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rsidR="00D27BC6" w:rsidRDefault="004D5071">
      <w:pPr>
        <w:spacing w:after="0" w:line="259" w:lineRule="auto"/>
        <w:ind w:left="-1505" w:right="11061" w:firstLine="0"/>
        <w:jc w:val="left"/>
      </w:pPr>
      <w:r>
        <w:rPr>
          <w:noProof/>
          <w:sz w:val="22"/>
        </w:rPr>
        <mc:AlternateContent>
          <mc:Choice Requires="wpg">
            <w:drawing>
              <wp:anchor distT="0" distB="0" distL="114300" distR="114300" simplePos="0" relativeHeight="251658240" behindDoc="0" locked="0" layoutInCell="1" allowOverlap="1">
                <wp:simplePos x="0" y="0"/>
                <wp:positionH relativeFrom="page">
                  <wp:posOffset>0</wp:posOffset>
                </wp:positionH>
                <wp:positionV relativeFrom="page">
                  <wp:posOffset>0</wp:posOffset>
                </wp:positionV>
                <wp:extent cx="7560005" cy="10619994"/>
                <wp:effectExtent l="0" t="0" r="0" b="0"/>
                <wp:wrapTopAndBottom/>
                <wp:docPr id="251325" name="Group 251325"/>
                <wp:cNvGraphicFramePr/>
                <a:graphic xmlns:a="http://schemas.openxmlformats.org/drawingml/2006/main">
                  <a:graphicData uri="http://schemas.microsoft.com/office/word/2010/wordprocessingGroup">
                    <wpg:wgp>
                      <wpg:cNvGrpSpPr/>
                      <wpg:grpSpPr>
                        <a:xfrm>
                          <a:off x="0" y="0"/>
                          <a:ext cx="7560005" cy="10619994"/>
                          <a:chOff x="0" y="0"/>
                          <a:chExt cx="7560005" cy="10619994"/>
                        </a:xfrm>
                      </wpg:grpSpPr>
                      <pic:pic xmlns:pic="http://schemas.openxmlformats.org/drawingml/2006/picture">
                        <pic:nvPicPr>
                          <pic:cNvPr id="358150" name="Picture 358150"/>
                          <pic:cNvPicPr/>
                        </pic:nvPicPr>
                        <pic:blipFill>
                          <a:blip r:embed="rId7"/>
                          <a:stretch>
                            <a:fillRect/>
                          </a:stretch>
                        </pic:blipFill>
                        <pic:spPr>
                          <a:xfrm>
                            <a:off x="0" y="0"/>
                            <a:ext cx="7543800" cy="10616185"/>
                          </a:xfrm>
                          <a:prstGeom prst="rect">
                            <a:avLst/>
                          </a:prstGeom>
                        </pic:spPr>
                      </pic:pic>
                      <wps:wsp>
                        <wps:cNvPr id="8" name="Rectangle 8"/>
                        <wps:cNvSpPr/>
                        <wps:spPr>
                          <a:xfrm>
                            <a:off x="360003" y="575996"/>
                            <a:ext cx="9225459" cy="972921"/>
                          </a:xfrm>
                          <a:prstGeom prst="rect">
                            <a:avLst/>
                          </a:prstGeom>
                          <a:ln>
                            <a:noFill/>
                          </a:ln>
                        </wps:spPr>
                        <wps:txbx>
                          <w:txbxContent>
                            <w:p w:rsidR="00D27BC6" w:rsidRDefault="004D5071">
                              <w:pPr>
                                <w:spacing w:after="160" w:line="259" w:lineRule="auto"/>
                                <w:ind w:left="0" w:right="0" w:firstLine="0"/>
                                <w:jc w:val="left"/>
                              </w:pPr>
                              <w:r>
                                <w:rPr>
                                  <w:b/>
                                  <w:color w:val="FFFFFF"/>
                                  <w:w w:val="114"/>
                                  <w:sz w:val="128"/>
                                </w:rPr>
                                <w:t>Сахарный</w:t>
                              </w:r>
                              <w:r>
                                <w:rPr>
                                  <w:b/>
                                  <w:color w:val="FFFFFF"/>
                                  <w:spacing w:val="34"/>
                                  <w:w w:val="114"/>
                                  <w:sz w:val="128"/>
                                </w:rPr>
                                <w:t xml:space="preserve"> </w:t>
                              </w:r>
                              <w:r>
                                <w:rPr>
                                  <w:b/>
                                  <w:color w:val="FFFFFF"/>
                                  <w:w w:val="114"/>
                                  <w:sz w:val="128"/>
                                </w:rPr>
                                <w:t>диабет</w:t>
                              </w:r>
                            </w:p>
                          </w:txbxContent>
                        </wps:txbx>
                        <wps:bodyPr horzOverflow="overflow" vert="horz" lIns="0" tIns="0" rIns="0" bIns="0" rtlCol="0">
                          <a:noAutofit/>
                        </wps:bodyPr>
                      </wps:wsp>
                      <wps:wsp>
                        <wps:cNvPr id="9" name="Rectangle 9"/>
                        <wps:cNvSpPr/>
                        <wps:spPr>
                          <a:xfrm>
                            <a:off x="526308" y="1311143"/>
                            <a:ext cx="3073107" cy="448033"/>
                          </a:xfrm>
                          <a:prstGeom prst="rect">
                            <a:avLst/>
                          </a:prstGeom>
                          <a:ln>
                            <a:noFill/>
                          </a:ln>
                        </wps:spPr>
                        <wps:txbx>
                          <w:txbxContent>
                            <w:p w:rsidR="00D27BC6" w:rsidRDefault="004D5071">
                              <w:pPr>
                                <w:spacing w:after="160" w:line="259" w:lineRule="auto"/>
                                <w:ind w:left="0" w:right="0" w:firstLine="0"/>
                                <w:jc w:val="left"/>
                              </w:pPr>
                              <w:r>
                                <w:rPr>
                                  <w:color w:val="FFFFFF"/>
                                  <w:w w:val="101"/>
                                  <w:sz w:val="50"/>
                                </w:rPr>
                                <w:t>Diabetes</w:t>
                              </w:r>
                              <w:r>
                                <w:rPr>
                                  <w:color w:val="FFFFFF"/>
                                  <w:spacing w:val="23"/>
                                  <w:w w:val="101"/>
                                  <w:sz w:val="50"/>
                                </w:rPr>
                                <w:t xml:space="preserve"> </w:t>
                              </w:r>
                              <w:r>
                                <w:rPr>
                                  <w:color w:val="FFFFFF"/>
                                  <w:w w:val="101"/>
                                  <w:sz w:val="50"/>
                                </w:rPr>
                                <w:t>mellitus</w:t>
                              </w:r>
                            </w:p>
                          </w:txbxContent>
                        </wps:txbx>
                        <wps:bodyPr horzOverflow="overflow" vert="horz" lIns="0" tIns="0" rIns="0" bIns="0" rtlCol="0">
                          <a:noAutofit/>
                        </wps:bodyPr>
                      </wps:wsp>
                      <wps:wsp>
                        <wps:cNvPr id="10" name="Rectangle 10"/>
                        <wps:cNvSpPr/>
                        <wps:spPr>
                          <a:xfrm>
                            <a:off x="5245442" y="10000879"/>
                            <a:ext cx="2631618" cy="178725"/>
                          </a:xfrm>
                          <a:prstGeom prst="rect">
                            <a:avLst/>
                          </a:prstGeom>
                          <a:ln>
                            <a:noFill/>
                          </a:ln>
                        </wps:spPr>
                        <wps:txbx>
                          <w:txbxContent>
                            <w:p w:rsidR="00D27BC6" w:rsidRDefault="004D5071">
                              <w:pPr>
                                <w:spacing w:after="160" w:line="259" w:lineRule="auto"/>
                                <w:ind w:left="0" w:right="0" w:firstLine="0"/>
                                <w:jc w:val="left"/>
                              </w:pPr>
                              <w:r>
                                <w:rPr>
                                  <w:color w:val="FFFFFF"/>
                                  <w:w w:val="113"/>
                                </w:rPr>
                                <w:t>https://www.dia-endojournals.ru/</w:t>
                              </w:r>
                            </w:p>
                          </w:txbxContent>
                        </wps:txbx>
                        <wps:bodyPr horzOverflow="overflow" vert="horz" lIns="0" tIns="0" rIns="0" bIns="0" rtlCol="0">
                          <a:noAutofit/>
                        </wps:bodyPr>
                      </wps:wsp>
                      <wps:wsp>
                        <wps:cNvPr id="11" name="Rectangle 11"/>
                        <wps:cNvSpPr/>
                        <wps:spPr>
                          <a:xfrm>
                            <a:off x="5626803" y="197396"/>
                            <a:ext cx="2055702" cy="214470"/>
                          </a:xfrm>
                          <a:prstGeom prst="rect">
                            <a:avLst/>
                          </a:prstGeom>
                          <a:ln>
                            <a:noFill/>
                          </a:ln>
                        </wps:spPr>
                        <wps:txbx>
                          <w:txbxContent>
                            <w:p w:rsidR="00D27BC6" w:rsidRDefault="004D5071">
                              <w:pPr>
                                <w:spacing w:after="160" w:line="259" w:lineRule="auto"/>
                                <w:ind w:left="0" w:right="0" w:firstLine="0"/>
                                <w:jc w:val="left"/>
                              </w:pPr>
                              <w:r>
                                <w:rPr>
                                  <w:color w:val="FFFFFF"/>
                                  <w:w w:val="111"/>
                                  <w:sz w:val="24"/>
                                </w:rPr>
                                <w:t>ISSN</w:t>
                              </w:r>
                              <w:r>
                                <w:rPr>
                                  <w:color w:val="FFFFFF"/>
                                  <w:spacing w:val="8"/>
                                  <w:w w:val="111"/>
                                  <w:sz w:val="24"/>
                                </w:rPr>
                                <w:t xml:space="preserve"> </w:t>
                              </w:r>
                              <w:r>
                                <w:rPr>
                                  <w:color w:val="FFFFFF"/>
                                  <w:w w:val="111"/>
                                  <w:sz w:val="24"/>
                                </w:rPr>
                                <w:t>2072-0351</w:t>
                              </w:r>
                              <w:r>
                                <w:rPr>
                                  <w:color w:val="FFFFFF"/>
                                  <w:spacing w:val="8"/>
                                  <w:w w:val="111"/>
                                  <w:sz w:val="24"/>
                                </w:rPr>
                                <w:t xml:space="preserve"> </w:t>
                              </w:r>
                              <w:r>
                                <w:rPr>
                                  <w:color w:val="FFFFFF"/>
                                  <w:w w:val="111"/>
                                  <w:sz w:val="24"/>
                                </w:rPr>
                                <w:t>(Print)</w:t>
                              </w:r>
                            </w:p>
                          </w:txbxContent>
                        </wps:txbx>
                        <wps:bodyPr horzOverflow="overflow" vert="horz" lIns="0" tIns="0" rIns="0" bIns="0" rtlCol="0">
                          <a:noAutofit/>
                        </wps:bodyPr>
                      </wps:wsp>
                      <wps:wsp>
                        <wps:cNvPr id="12" name="Rectangle 12"/>
                        <wps:cNvSpPr/>
                        <wps:spPr>
                          <a:xfrm>
                            <a:off x="5626803" y="380277"/>
                            <a:ext cx="2221910" cy="214470"/>
                          </a:xfrm>
                          <a:prstGeom prst="rect">
                            <a:avLst/>
                          </a:prstGeom>
                          <a:ln>
                            <a:noFill/>
                          </a:ln>
                        </wps:spPr>
                        <wps:txbx>
                          <w:txbxContent>
                            <w:p w:rsidR="00D27BC6" w:rsidRDefault="004D5071">
                              <w:pPr>
                                <w:spacing w:after="160" w:line="259" w:lineRule="auto"/>
                                <w:ind w:left="0" w:right="0" w:firstLine="0"/>
                                <w:jc w:val="left"/>
                              </w:pPr>
                              <w:r>
                                <w:rPr>
                                  <w:color w:val="FFFFFF"/>
                                  <w:w w:val="111"/>
                                  <w:sz w:val="24"/>
                                </w:rPr>
                                <w:t>ISSN</w:t>
                              </w:r>
                              <w:r>
                                <w:rPr>
                                  <w:color w:val="FFFFFF"/>
                                  <w:spacing w:val="8"/>
                                  <w:w w:val="111"/>
                                  <w:sz w:val="24"/>
                                </w:rPr>
                                <w:t xml:space="preserve"> </w:t>
                              </w:r>
                              <w:r>
                                <w:rPr>
                                  <w:color w:val="FFFFFF"/>
                                  <w:w w:val="111"/>
                                  <w:sz w:val="24"/>
                                </w:rPr>
                                <w:t>2072-0378</w:t>
                              </w:r>
                              <w:r>
                                <w:rPr>
                                  <w:color w:val="FFFFFF"/>
                                  <w:spacing w:val="8"/>
                                  <w:w w:val="111"/>
                                  <w:sz w:val="24"/>
                                </w:rPr>
                                <w:t xml:space="preserve"> </w:t>
                              </w:r>
                              <w:r>
                                <w:rPr>
                                  <w:color w:val="FFFFFF"/>
                                  <w:w w:val="111"/>
                                  <w:sz w:val="24"/>
                                </w:rPr>
                                <w:t>(Online)</w:t>
                              </w:r>
                            </w:p>
                          </w:txbxContent>
                        </wps:txbx>
                        <wps:bodyPr horzOverflow="overflow" vert="horz" lIns="0" tIns="0" rIns="0" bIns="0" rtlCol="0">
                          <a:noAutofit/>
                        </wps:bodyPr>
                      </wps:wsp>
                      <pic:pic xmlns:pic="http://schemas.openxmlformats.org/drawingml/2006/picture">
                        <pic:nvPicPr>
                          <pic:cNvPr id="358151" name="Picture 358151"/>
                          <pic:cNvPicPr/>
                        </pic:nvPicPr>
                        <pic:blipFill>
                          <a:blip r:embed="rId8"/>
                          <a:stretch>
                            <a:fillRect/>
                          </a:stretch>
                        </pic:blipFill>
                        <pic:spPr>
                          <a:xfrm>
                            <a:off x="6438392" y="9133840"/>
                            <a:ext cx="786384" cy="795528"/>
                          </a:xfrm>
                          <a:prstGeom prst="rect">
                            <a:avLst/>
                          </a:prstGeom>
                        </pic:spPr>
                      </pic:pic>
                      <pic:pic xmlns:pic="http://schemas.openxmlformats.org/drawingml/2006/picture">
                        <pic:nvPicPr>
                          <pic:cNvPr id="17" name="Picture 17"/>
                          <pic:cNvPicPr/>
                        </pic:nvPicPr>
                        <pic:blipFill>
                          <a:blip r:embed="rId9"/>
                          <a:stretch>
                            <a:fillRect/>
                          </a:stretch>
                        </pic:blipFill>
                        <pic:spPr>
                          <a:xfrm>
                            <a:off x="526308" y="8474597"/>
                            <a:ext cx="1623454" cy="1623454"/>
                          </a:xfrm>
                          <a:prstGeom prst="rect">
                            <a:avLst/>
                          </a:prstGeom>
                        </pic:spPr>
                      </pic:pic>
                      <pic:pic xmlns:pic="http://schemas.openxmlformats.org/drawingml/2006/picture">
                        <pic:nvPicPr>
                          <pic:cNvPr id="358152" name="Picture 358152"/>
                          <pic:cNvPicPr/>
                        </pic:nvPicPr>
                        <pic:blipFill>
                          <a:blip r:embed="rId10"/>
                          <a:stretch>
                            <a:fillRect/>
                          </a:stretch>
                        </pic:blipFill>
                        <pic:spPr>
                          <a:xfrm>
                            <a:off x="2386584" y="8476488"/>
                            <a:ext cx="1597152" cy="1597152"/>
                          </a:xfrm>
                          <a:prstGeom prst="rect">
                            <a:avLst/>
                          </a:prstGeom>
                        </pic:spPr>
                      </pic:pic>
                      <pic:pic xmlns:pic="http://schemas.openxmlformats.org/drawingml/2006/picture">
                        <pic:nvPicPr>
                          <pic:cNvPr id="358153" name="Picture 358153"/>
                          <pic:cNvPicPr/>
                        </pic:nvPicPr>
                        <pic:blipFill>
                          <a:blip r:embed="rId11"/>
                          <a:stretch>
                            <a:fillRect/>
                          </a:stretch>
                        </pic:blipFill>
                        <pic:spPr>
                          <a:xfrm>
                            <a:off x="2380488" y="8469376"/>
                            <a:ext cx="1609344" cy="1612392"/>
                          </a:xfrm>
                          <a:prstGeom prst="rect">
                            <a:avLst/>
                          </a:prstGeom>
                        </pic:spPr>
                      </pic:pic>
                      <wps:wsp>
                        <wps:cNvPr id="21" name="Rectangle 21"/>
                        <wps:cNvSpPr/>
                        <wps:spPr>
                          <a:xfrm>
                            <a:off x="3230205" y="4546942"/>
                            <a:ext cx="1693339" cy="483877"/>
                          </a:xfrm>
                          <a:prstGeom prst="rect">
                            <a:avLst/>
                          </a:prstGeom>
                          <a:ln>
                            <a:noFill/>
                          </a:ln>
                        </wps:spPr>
                        <wps:txbx>
                          <w:txbxContent>
                            <w:p w:rsidR="00D27BC6" w:rsidRDefault="004D5071">
                              <w:pPr>
                                <w:spacing w:after="160" w:line="259" w:lineRule="auto"/>
                                <w:ind w:left="0" w:right="0" w:firstLine="0"/>
                                <w:jc w:val="left"/>
                              </w:pPr>
                              <w:r>
                                <w:rPr>
                                  <w:color w:val="FFFFFF"/>
                                  <w:w w:val="111"/>
                                  <w:sz w:val="54"/>
                                </w:rPr>
                                <w:t>том</w:t>
                              </w:r>
                              <w:r>
                                <w:rPr>
                                  <w:color w:val="FFFFFF"/>
                                  <w:spacing w:val="25"/>
                                  <w:w w:val="111"/>
                                  <w:sz w:val="54"/>
                                </w:rPr>
                                <w:t xml:space="preserve"> </w:t>
                              </w:r>
                              <w:r>
                                <w:rPr>
                                  <w:color w:val="FFFFFF"/>
                                  <w:w w:val="111"/>
                                  <w:sz w:val="54"/>
                                </w:rPr>
                                <w:t>28</w:t>
                              </w:r>
                              <w:r>
                                <w:rPr>
                                  <w:color w:val="FFFFFF"/>
                                  <w:spacing w:val="26"/>
                                  <w:w w:val="111"/>
                                  <w:sz w:val="54"/>
                                </w:rPr>
                                <w:t xml:space="preserve"> </w:t>
                              </w:r>
                              <w:r>
                                <w:rPr>
                                  <w:color w:val="FFFFFF"/>
                                  <w:spacing w:val="4"/>
                                  <w:w w:val="111"/>
                                  <w:sz w:val="54"/>
                                </w:rPr>
                                <w:t xml:space="preserve"> </w:t>
                              </w:r>
                            </w:p>
                          </w:txbxContent>
                        </wps:txbx>
                        <wps:bodyPr horzOverflow="overflow" vert="horz" lIns="0" tIns="0" rIns="0" bIns="0" rtlCol="0">
                          <a:noAutofit/>
                        </wps:bodyPr>
                      </wps:wsp>
                      <wps:wsp>
                        <wps:cNvPr id="22" name="Rectangle 22"/>
                        <wps:cNvSpPr/>
                        <wps:spPr>
                          <a:xfrm>
                            <a:off x="2142183" y="4940592"/>
                            <a:ext cx="4356941" cy="483877"/>
                          </a:xfrm>
                          <a:prstGeom prst="rect">
                            <a:avLst/>
                          </a:prstGeom>
                          <a:ln>
                            <a:noFill/>
                          </a:ln>
                        </wps:spPr>
                        <wps:txbx>
                          <w:txbxContent>
                            <w:p w:rsidR="00D27BC6" w:rsidRDefault="004D5071">
                              <w:pPr>
                                <w:spacing w:after="160" w:line="259" w:lineRule="auto"/>
                                <w:ind w:left="0" w:right="0" w:firstLine="0"/>
                                <w:jc w:val="left"/>
                              </w:pPr>
                              <w:r>
                                <w:rPr>
                                  <w:color w:val="FFFFFF"/>
                                  <w:w w:val="108"/>
                                  <w:sz w:val="54"/>
                                </w:rPr>
                                <w:t>спецвыпуск</w:t>
                              </w:r>
                              <w:r>
                                <w:rPr>
                                  <w:color w:val="FFFFFF"/>
                                  <w:spacing w:val="25"/>
                                  <w:w w:val="108"/>
                                  <w:sz w:val="54"/>
                                </w:rPr>
                                <w:t xml:space="preserve"> </w:t>
                              </w:r>
                              <w:r>
                                <w:rPr>
                                  <w:color w:val="FFFFFF"/>
                                  <w:w w:val="108"/>
                                  <w:sz w:val="54"/>
                                </w:rPr>
                                <w:t>5</w:t>
                              </w:r>
                              <w:r>
                                <w:rPr>
                                  <w:color w:val="FFFFFF"/>
                                  <w:spacing w:val="25"/>
                                  <w:w w:val="108"/>
                                  <w:sz w:val="54"/>
                                </w:rPr>
                                <w:t xml:space="preserve"> </w:t>
                              </w:r>
                              <w:r>
                                <w:rPr>
                                  <w:color w:val="FFFFFF"/>
                                  <w:w w:val="108"/>
                                  <w:sz w:val="54"/>
                                </w:rPr>
                                <w:t>(2025)</w:t>
                              </w:r>
                            </w:p>
                          </w:txbxContent>
                        </wps:txbx>
                        <wps:bodyPr horzOverflow="overflow" vert="horz" lIns="0" tIns="0" rIns="0" bIns="0" rtlCol="0">
                          <a:noAutofit/>
                        </wps:bodyPr>
                      </wps:wsp>
                      <wps:wsp>
                        <wps:cNvPr id="23" name="Rectangle 23"/>
                        <wps:cNvSpPr/>
                        <wps:spPr>
                          <a:xfrm>
                            <a:off x="2944890" y="5618886"/>
                            <a:ext cx="2271569" cy="284242"/>
                          </a:xfrm>
                          <a:prstGeom prst="rect">
                            <a:avLst/>
                          </a:prstGeom>
                          <a:ln>
                            <a:noFill/>
                          </a:ln>
                        </wps:spPr>
                        <wps:txbx>
                          <w:txbxContent>
                            <w:p w:rsidR="00D27BC6" w:rsidRDefault="004D5071">
                              <w:pPr>
                                <w:spacing w:after="160" w:line="259" w:lineRule="auto"/>
                                <w:ind w:left="0" w:right="0" w:firstLine="0"/>
                                <w:jc w:val="left"/>
                              </w:pPr>
                              <w:r>
                                <w:rPr>
                                  <w:color w:val="FFFFFF"/>
                                  <w:w w:val="103"/>
                                  <w:sz w:val="28"/>
                                </w:rPr>
                                <w:t>научно-практический</w:t>
                              </w:r>
                              <w:r>
                                <w:rPr>
                                  <w:color w:val="FFFFFF"/>
                                  <w:spacing w:val="-4"/>
                                  <w:w w:val="103"/>
                                  <w:sz w:val="28"/>
                                </w:rPr>
                                <w:t xml:space="preserve"> </w:t>
                              </w:r>
                            </w:p>
                          </w:txbxContent>
                        </wps:txbx>
                        <wps:bodyPr horzOverflow="overflow" vert="horz" lIns="0" tIns="0" rIns="0" bIns="0" rtlCol="0">
                          <a:noAutofit/>
                        </wps:bodyPr>
                      </wps:wsp>
                      <wps:wsp>
                        <wps:cNvPr id="24" name="Rectangle 24"/>
                        <wps:cNvSpPr/>
                        <wps:spPr>
                          <a:xfrm>
                            <a:off x="2935289" y="5796686"/>
                            <a:ext cx="2297109" cy="284242"/>
                          </a:xfrm>
                          <a:prstGeom prst="rect">
                            <a:avLst/>
                          </a:prstGeom>
                          <a:ln>
                            <a:noFill/>
                          </a:ln>
                        </wps:spPr>
                        <wps:txbx>
                          <w:txbxContent>
                            <w:p w:rsidR="00D27BC6" w:rsidRDefault="004D5071">
                              <w:pPr>
                                <w:spacing w:after="160" w:line="259" w:lineRule="auto"/>
                                <w:ind w:left="0" w:right="0" w:firstLine="0"/>
                                <w:jc w:val="left"/>
                              </w:pPr>
                              <w:r>
                                <w:rPr>
                                  <w:color w:val="FFFFFF"/>
                                  <w:spacing w:val="-4"/>
                                  <w:w w:val="101"/>
                                  <w:sz w:val="28"/>
                                </w:rPr>
                                <w:t xml:space="preserve"> </w:t>
                              </w:r>
                              <w:r>
                                <w:rPr>
                                  <w:color w:val="FFFFFF"/>
                                  <w:w w:val="101"/>
                                  <w:sz w:val="28"/>
                                </w:rPr>
                                <w:t>медицинский</w:t>
                              </w:r>
                              <w:r>
                                <w:rPr>
                                  <w:color w:val="FFFFFF"/>
                                  <w:spacing w:val="-4"/>
                                  <w:w w:val="101"/>
                                  <w:sz w:val="28"/>
                                </w:rPr>
                                <w:t xml:space="preserve"> </w:t>
                              </w:r>
                              <w:r>
                                <w:rPr>
                                  <w:color w:val="FFFFFF"/>
                                  <w:w w:val="101"/>
                                  <w:sz w:val="28"/>
                                </w:rPr>
                                <w:t>журнал</w:t>
                              </w:r>
                              <w:r>
                                <w:rPr>
                                  <w:color w:val="FFFFFF"/>
                                  <w:spacing w:val="-4"/>
                                  <w:w w:val="101"/>
                                  <w:sz w:val="28"/>
                                </w:rPr>
                                <w:t xml:space="preserve"> </w:t>
                              </w:r>
                            </w:p>
                          </w:txbxContent>
                        </wps:txbx>
                        <wps:bodyPr horzOverflow="overflow" vert="horz" lIns="0" tIns="0" rIns="0" bIns="0" rtlCol="0">
                          <a:noAutofit/>
                        </wps:bodyPr>
                      </wps:wsp>
                    </wpg:wgp>
                  </a:graphicData>
                </a:graphic>
              </wp:anchor>
            </w:drawing>
          </mc:Choice>
          <mc:Fallback xmlns:a="http://schemas.openxmlformats.org/drawingml/2006/main">
            <w:pict>
              <v:group id="Group 251325" style="width:595.276pt;height:836.22pt;position:absolute;mso-position-horizontal-relative:page;mso-position-horizontal:absolute;margin-left:0pt;mso-position-vertical-relative:page;margin-top:1.90735e-05pt;" coordsize="75600,106199">
                <v:shape id="Picture 358150" style="position:absolute;width:75438;height:106161;left:0;top:0;" filled="f">
                  <v:imagedata r:id="rId58"/>
                </v:shape>
                <v:rect id="Rectangle 8" style="position:absolute;width:92254;height:9729;left:3600;top:5759;" filled="f" stroked="f">
                  <v:textbox inset="0,0,0,0">
                    <w:txbxContent>
                      <w:p>
                        <w:pPr>
                          <w:spacing w:before="0" w:after="160" w:line="259" w:lineRule="auto"/>
                          <w:ind w:left="0" w:right="0" w:firstLine="0"/>
                          <w:jc w:val="left"/>
                        </w:pPr>
                        <w:r>
                          <w:rPr>
                            <w:rFonts w:cs="Calibri" w:hAnsi="Calibri" w:eastAsia="Calibri" w:ascii="Calibri"/>
                            <w:b w:val="1"/>
                            <w:color w:val="ffffff"/>
                            <w:w w:val="114"/>
                            <w:sz w:val="128"/>
                          </w:rPr>
                          <w:t xml:space="preserve">Сахарный</w:t>
                        </w:r>
                        <w:r>
                          <w:rPr>
                            <w:rFonts w:cs="Calibri" w:hAnsi="Calibri" w:eastAsia="Calibri" w:ascii="Calibri"/>
                            <w:b w:val="1"/>
                            <w:color w:val="ffffff"/>
                            <w:spacing w:val="34"/>
                            <w:w w:val="114"/>
                            <w:sz w:val="128"/>
                          </w:rPr>
                          <w:t xml:space="preserve"> </w:t>
                        </w:r>
                        <w:r>
                          <w:rPr>
                            <w:rFonts w:cs="Calibri" w:hAnsi="Calibri" w:eastAsia="Calibri" w:ascii="Calibri"/>
                            <w:b w:val="1"/>
                            <w:color w:val="ffffff"/>
                            <w:w w:val="114"/>
                            <w:sz w:val="128"/>
                          </w:rPr>
                          <w:t xml:space="preserve">диабет</w:t>
                        </w:r>
                      </w:p>
                    </w:txbxContent>
                  </v:textbox>
                </v:rect>
                <v:rect id="Rectangle 9" style="position:absolute;width:30731;height:4480;left:5263;top:13111;" filled="f" stroked="f">
                  <v:textbox inset="0,0,0,0">
                    <w:txbxContent>
                      <w:p>
                        <w:pPr>
                          <w:spacing w:before="0" w:after="160" w:line="259" w:lineRule="auto"/>
                          <w:ind w:left="0" w:right="0" w:firstLine="0"/>
                          <w:jc w:val="left"/>
                        </w:pPr>
                        <w:r>
                          <w:rPr>
                            <w:rFonts w:cs="Calibri" w:hAnsi="Calibri" w:eastAsia="Calibri" w:ascii="Calibri"/>
                            <w:color w:val="ffffff"/>
                            <w:w w:val="101"/>
                            <w:sz w:val="50"/>
                          </w:rPr>
                          <w:t xml:space="preserve">Diabetes</w:t>
                        </w:r>
                        <w:r>
                          <w:rPr>
                            <w:rFonts w:cs="Calibri" w:hAnsi="Calibri" w:eastAsia="Calibri" w:ascii="Calibri"/>
                            <w:color w:val="ffffff"/>
                            <w:spacing w:val="23"/>
                            <w:w w:val="101"/>
                            <w:sz w:val="50"/>
                          </w:rPr>
                          <w:t xml:space="preserve"> </w:t>
                        </w:r>
                        <w:r>
                          <w:rPr>
                            <w:rFonts w:cs="Calibri" w:hAnsi="Calibri" w:eastAsia="Calibri" w:ascii="Calibri"/>
                            <w:color w:val="ffffff"/>
                            <w:w w:val="101"/>
                            <w:sz w:val="50"/>
                          </w:rPr>
                          <w:t xml:space="preserve">mellitus</w:t>
                        </w:r>
                      </w:p>
                    </w:txbxContent>
                  </v:textbox>
                </v:rect>
                <v:rect id="Rectangle 10" style="position:absolute;width:26316;height:1787;left:52454;top:100008;" filled="f" stroked="f">
                  <v:textbox inset="0,0,0,0">
                    <w:txbxContent>
                      <w:p>
                        <w:pPr>
                          <w:spacing w:before="0" w:after="160" w:line="259" w:lineRule="auto"/>
                          <w:ind w:left="0" w:right="0" w:firstLine="0"/>
                          <w:jc w:val="left"/>
                        </w:pPr>
                        <w:r>
                          <w:rPr>
                            <w:rFonts w:cs="Calibri" w:hAnsi="Calibri" w:eastAsia="Calibri" w:ascii="Calibri"/>
                            <w:color w:val="ffffff"/>
                            <w:w w:val="113"/>
                          </w:rPr>
                          <w:t xml:space="preserve">https://www.dia-endojournals.ru/</w:t>
                        </w:r>
                      </w:p>
                    </w:txbxContent>
                  </v:textbox>
                </v:rect>
                <v:rect id="Rectangle 11" style="position:absolute;width:20557;height:2144;left:56268;top:1973;" filled="f" stroked="f">
                  <v:textbox inset="0,0,0,0">
                    <w:txbxContent>
                      <w:p>
                        <w:pPr>
                          <w:spacing w:before="0" w:after="160" w:line="259" w:lineRule="auto"/>
                          <w:ind w:left="0" w:right="0" w:firstLine="0"/>
                          <w:jc w:val="left"/>
                        </w:pPr>
                        <w:r>
                          <w:rPr>
                            <w:rFonts w:cs="Calibri" w:hAnsi="Calibri" w:eastAsia="Calibri" w:ascii="Calibri"/>
                            <w:color w:val="ffffff"/>
                            <w:w w:val="111"/>
                            <w:sz w:val="24"/>
                          </w:rPr>
                          <w:t xml:space="preserve">ISSN</w:t>
                        </w:r>
                        <w:r>
                          <w:rPr>
                            <w:rFonts w:cs="Calibri" w:hAnsi="Calibri" w:eastAsia="Calibri" w:ascii="Calibri"/>
                            <w:color w:val="ffffff"/>
                            <w:spacing w:val="8"/>
                            <w:w w:val="111"/>
                            <w:sz w:val="24"/>
                          </w:rPr>
                          <w:t xml:space="preserve"> </w:t>
                        </w:r>
                        <w:r>
                          <w:rPr>
                            <w:rFonts w:cs="Calibri" w:hAnsi="Calibri" w:eastAsia="Calibri" w:ascii="Calibri"/>
                            <w:color w:val="ffffff"/>
                            <w:w w:val="111"/>
                            <w:sz w:val="24"/>
                          </w:rPr>
                          <w:t xml:space="preserve">2072-0351</w:t>
                        </w:r>
                        <w:r>
                          <w:rPr>
                            <w:rFonts w:cs="Calibri" w:hAnsi="Calibri" w:eastAsia="Calibri" w:ascii="Calibri"/>
                            <w:color w:val="ffffff"/>
                            <w:spacing w:val="8"/>
                            <w:w w:val="111"/>
                            <w:sz w:val="24"/>
                          </w:rPr>
                          <w:t xml:space="preserve"> </w:t>
                        </w:r>
                        <w:r>
                          <w:rPr>
                            <w:rFonts w:cs="Calibri" w:hAnsi="Calibri" w:eastAsia="Calibri" w:ascii="Calibri"/>
                            <w:color w:val="ffffff"/>
                            <w:w w:val="111"/>
                            <w:sz w:val="24"/>
                          </w:rPr>
                          <w:t xml:space="preserve">(Print)</w:t>
                        </w:r>
                      </w:p>
                    </w:txbxContent>
                  </v:textbox>
                </v:rect>
                <v:rect id="Rectangle 12" style="position:absolute;width:22219;height:2144;left:56268;top:3802;" filled="f" stroked="f">
                  <v:textbox inset="0,0,0,0">
                    <w:txbxContent>
                      <w:p>
                        <w:pPr>
                          <w:spacing w:before="0" w:after="160" w:line="259" w:lineRule="auto"/>
                          <w:ind w:left="0" w:right="0" w:firstLine="0"/>
                          <w:jc w:val="left"/>
                        </w:pPr>
                        <w:r>
                          <w:rPr>
                            <w:rFonts w:cs="Calibri" w:hAnsi="Calibri" w:eastAsia="Calibri" w:ascii="Calibri"/>
                            <w:color w:val="ffffff"/>
                            <w:w w:val="111"/>
                            <w:sz w:val="24"/>
                          </w:rPr>
                          <w:t xml:space="preserve">ISSN</w:t>
                        </w:r>
                        <w:r>
                          <w:rPr>
                            <w:rFonts w:cs="Calibri" w:hAnsi="Calibri" w:eastAsia="Calibri" w:ascii="Calibri"/>
                            <w:color w:val="ffffff"/>
                            <w:spacing w:val="8"/>
                            <w:w w:val="111"/>
                            <w:sz w:val="24"/>
                          </w:rPr>
                          <w:t xml:space="preserve"> </w:t>
                        </w:r>
                        <w:r>
                          <w:rPr>
                            <w:rFonts w:cs="Calibri" w:hAnsi="Calibri" w:eastAsia="Calibri" w:ascii="Calibri"/>
                            <w:color w:val="ffffff"/>
                            <w:w w:val="111"/>
                            <w:sz w:val="24"/>
                          </w:rPr>
                          <w:t xml:space="preserve">2072-0378</w:t>
                        </w:r>
                        <w:r>
                          <w:rPr>
                            <w:rFonts w:cs="Calibri" w:hAnsi="Calibri" w:eastAsia="Calibri" w:ascii="Calibri"/>
                            <w:color w:val="ffffff"/>
                            <w:spacing w:val="8"/>
                            <w:w w:val="111"/>
                            <w:sz w:val="24"/>
                          </w:rPr>
                          <w:t xml:space="preserve"> </w:t>
                        </w:r>
                        <w:r>
                          <w:rPr>
                            <w:rFonts w:cs="Calibri" w:hAnsi="Calibri" w:eastAsia="Calibri" w:ascii="Calibri"/>
                            <w:color w:val="ffffff"/>
                            <w:w w:val="111"/>
                            <w:sz w:val="24"/>
                          </w:rPr>
                          <w:t xml:space="preserve">(Online)</w:t>
                        </w:r>
                      </w:p>
                    </w:txbxContent>
                  </v:textbox>
                </v:rect>
                <v:shape id="Picture 358151" style="position:absolute;width:7863;height:7955;left:64383;top:91338;" filled="f">
                  <v:imagedata r:id="rId59"/>
                </v:shape>
                <v:shape id="Picture 17" style="position:absolute;width:16234;height:16234;left:5263;top:84745;" filled="f">
                  <v:imagedata r:id="rId60"/>
                </v:shape>
                <v:shape id="Picture 358152" style="position:absolute;width:15971;height:15971;left:23865;top:84764;" filled="f">
                  <v:imagedata r:id="rId61"/>
                </v:shape>
                <v:shape id="Picture 358153" style="position:absolute;width:16093;height:16123;left:23804;top:84693;" filled="f">
                  <v:imagedata r:id="rId62"/>
                </v:shape>
                <v:rect id="Rectangle 21" style="position:absolute;width:16933;height:4838;left:32302;top:45469;" filled="f" stroked="f">
                  <v:textbox inset="0,0,0,0">
                    <w:txbxContent>
                      <w:p>
                        <w:pPr>
                          <w:spacing w:before="0" w:after="160" w:line="259" w:lineRule="auto"/>
                          <w:ind w:left="0" w:right="0" w:firstLine="0"/>
                          <w:jc w:val="left"/>
                        </w:pPr>
                        <w:r>
                          <w:rPr>
                            <w:rFonts w:cs="Calibri" w:hAnsi="Calibri" w:eastAsia="Calibri" w:ascii="Calibri"/>
                            <w:color w:val="ffffff"/>
                            <w:w w:val="111"/>
                            <w:sz w:val="54"/>
                          </w:rPr>
                          <w:t xml:space="preserve">том</w:t>
                        </w:r>
                        <w:r>
                          <w:rPr>
                            <w:rFonts w:cs="Calibri" w:hAnsi="Calibri" w:eastAsia="Calibri" w:ascii="Calibri"/>
                            <w:color w:val="ffffff"/>
                            <w:spacing w:val="25"/>
                            <w:w w:val="111"/>
                            <w:sz w:val="54"/>
                          </w:rPr>
                          <w:t xml:space="preserve"> </w:t>
                        </w:r>
                        <w:r>
                          <w:rPr>
                            <w:rFonts w:cs="Calibri" w:hAnsi="Calibri" w:eastAsia="Calibri" w:ascii="Calibri"/>
                            <w:color w:val="ffffff"/>
                            <w:w w:val="111"/>
                            <w:sz w:val="54"/>
                          </w:rPr>
                          <w:t xml:space="preserve">28</w:t>
                        </w:r>
                        <w:r>
                          <w:rPr>
                            <w:rFonts w:cs="Calibri" w:hAnsi="Calibri" w:eastAsia="Calibri" w:ascii="Calibri"/>
                            <w:color w:val="ffffff"/>
                            <w:spacing w:val="26"/>
                            <w:w w:val="111"/>
                            <w:sz w:val="54"/>
                          </w:rPr>
                          <w:t xml:space="preserve"> </w:t>
                        </w:r>
                        <w:r>
                          <w:rPr>
                            <w:rFonts w:cs="Calibri" w:hAnsi="Calibri" w:eastAsia="Calibri" w:ascii="Calibri"/>
                            <w:color w:val="ffffff"/>
                            <w:spacing w:val="4"/>
                            <w:w w:val="111"/>
                            <w:sz w:val="54"/>
                          </w:rPr>
                          <w:t xml:space="preserve"> </w:t>
                        </w:r>
                      </w:p>
                    </w:txbxContent>
                  </v:textbox>
                </v:rect>
                <v:rect id="Rectangle 22" style="position:absolute;width:43569;height:4838;left:21421;top:49405;" filled="f" stroked="f">
                  <v:textbox inset="0,0,0,0">
                    <w:txbxContent>
                      <w:p>
                        <w:pPr>
                          <w:spacing w:before="0" w:after="160" w:line="259" w:lineRule="auto"/>
                          <w:ind w:left="0" w:right="0" w:firstLine="0"/>
                          <w:jc w:val="left"/>
                        </w:pPr>
                        <w:r>
                          <w:rPr>
                            <w:rFonts w:cs="Calibri" w:hAnsi="Calibri" w:eastAsia="Calibri" w:ascii="Calibri"/>
                            <w:color w:val="ffffff"/>
                            <w:w w:val="108"/>
                            <w:sz w:val="54"/>
                          </w:rPr>
                          <w:t xml:space="preserve">спецвыпуск</w:t>
                        </w:r>
                        <w:r>
                          <w:rPr>
                            <w:rFonts w:cs="Calibri" w:hAnsi="Calibri" w:eastAsia="Calibri" w:ascii="Calibri"/>
                            <w:color w:val="ffffff"/>
                            <w:spacing w:val="25"/>
                            <w:w w:val="108"/>
                            <w:sz w:val="54"/>
                          </w:rPr>
                          <w:t xml:space="preserve"> </w:t>
                        </w:r>
                        <w:r>
                          <w:rPr>
                            <w:rFonts w:cs="Calibri" w:hAnsi="Calibri" w:eastAsia="Calibri" w:ascii="Calibri"/>
                            <w:color w:val="ffffff"/>
                            <w:w w:val="108"/>
                            <w:sz w:val="54"/>
                          </w:rPr>
                          <w:t xml:space="preserve">5</w:t>
                        </w:r>
                        <w:r>
                          <w:rPr>
                            <w:rFonts w:cs="Calibri" w:hAnsi="Calibri" w:eastAsia="Calibri" w:ascii="Calibri"/>
                            <w:color w:val="ffffff"/>
                            <w:spacing w:val="25"/>
                            <w:w w:val="108"/>
                            <w:sz w:val="54"/>
                          </w:rPr>
                          <w:t xml:space="preserve"> </w:t>
                        </w:r>
                        <w:r>
                          <w:rPr>
                            <w:rFonts w:cs="Calibri" w:hAnsi="Calibri" w:eastAsia="Calibri" w:ascii="Calibri"/>
                            <w:color w:val="ffffff"/>
                            <w:w w:val="108"/>
                            <w:sz w:val="54"/>
                          </w:rPr>
                          <w:t xml:space="preserve">(2025)</w:t>
                        </w:r>
                      </w:p>
                    </w:txbxContent>
                  </v:textbox>
                </v:rect>
                <v:rect id="Rectangle 23" style="position:absolute;width:22715;height:2842;left:29448;top:56188;" filled="f" stroked="f">
                  <v:textbox inset="0,0,0,0">
                    <w:txbxContent>
                      <w:p>
                        <w:pPr>
                          <w:spacing w:before="0" w:after="160" w:line="259" w:lineRule="auto"/>
                          <w:ind w:left="0" w:right="0" w:firstLine="0"/>
                          <w:jc w:val="left"/>
                        </w:pPr>
                        <w:r>
                          <w:rPr>
                            <w:color w:val="ffffff"/>
                            <w:w w:val="103"/>
                            <w:sz w:val="28"/>
                          </w:rPr>
                          <w:t xml:space="preserve">научно-практический</w:t>
                        </w:r>
                        <w:r>
                          <w:rPr>
                            <w:color w:val="ffffff"/>
                            <w:spacing w:val="-4"/>
                            <w:w w:val="103"/>
                            <w:sz w:val="28"/>
                          </w:rPr>
                          <w:t xml:space="preserve"> </w:t>
                        </w:r>
                      </w:p>
                    </w:txbxContent>
                  </v:textbox>
                </v:rect>
                <v:rect id="Rectangle 24" style="position:absolute;width:22971;height:2842;left:29352;top:57966;" filled="f" stroked="f">
                  <v:textbox inset="0,0,0,0">
                    <w:txbxContent>
                      <w:p>
                        <w:pPr>
                          <w:spacing w:before="0" w:after="160" w:line="259" w:lineRule="auto"/>
                          <w:ind w:left="0" w:right="0" w:firstLine="0"/>
                          <w:jc w:val="left"/>
                        </w:pPr>
                        <w:r>
                          <w:rPr>
                            <w:color w:val="ffffff"/>
                            <w:spacing w:val="-4"/>
                            <w:w w:val="101"/>
                            <w:sz w:val="28"/>
                          </w:rPr>
                          <w:t xml:space="preserve"> </w:t>
                        </w:r>
                        <w:r>
                          <w:rPr>
                            <w:color w:val="ffffff"/>
                            <w:w w:val="101"/>
                            <w:sz w:val="28"/>
                          </w:rPr>
                          <w:t xml:space="preserve">медицинский</w:t>
                        </w:r>
                        <w:r>
                          <w:rPr>
                            <w:color w:val="ffffff"/>
                            <w:spacing w:val="-4"/>
                            <w:w w:val="101"/>
                            <w:sz w:val="28"/>
                          </w:rPr>
                          <w:t xml:space="preserve"> </w:t>
                        </w:r>
                        <w:r>
                          <w:rPr>
                            <w:color w:val="ffffff"/>
                            <w:w w:val="101"/>
                            <w:sz w:val="28"/>
                          </w:rPr>
                          <w:t xml:space="preserve">журнал</w:t>
                        </w:r>
                        <w:r>
                          <w:rPr>
                            <w:color w:val="ffffff"/>
                            <w:spacing w:val="-4"/>
                            <w:w w:val="101"/>
                            <w:sz w:val="28"/>
                          </w:rPr>
                          <w:t xml:space="preserve"> </w:t>
                        </w:r>
                      </w:p>
                    </w:txbxContent>
                  </v:textbox>
                </v:rect>
                <w10:wrap type="topAndBottom"/>
              </v:group>
            </w:pict>
          </mc:Fallback>
        </mc:AlternateContent>
      </w:r>
      <w:r>
        <w:br w:type="page"/>
      </w:r>
    </w:p>
    <w:p w:rsidR="00D27BC6" w:rsidRDefault="004D5071">
      <w:pPr>
        <w:spacing w:after="87" w:line="259" w:lineRule="auto"/>
        <w:ind w:left="10" w:right="660"/>
        <w:jc w:val="center"/>
      </w:pPr>
      <w:r>
        <w:rPr>
          <w:b/>
          <w:sz w:val="22"/>
        </w:rPr>
        <w:lastRenderedPageBreak/>
        <w:t>Министерство здравоохранения Российской Федерации</w:t>
      </w:r>
    </w:p>
    <w:p w:rsidR="00D27BC6" w:rsidRDefault="004D5071">
      <w:pPr>
        <w:spacing w:after="87" w:line="259" w:lineRule="auto"/>
        <w:ind w:left="10" w:right="660"/>
        <w:jc w:val="center"/>
      </w:pPr>
      <w:r>
        <w:rPr>
          <w:b/>
          <w:sz w:val="22"/>
        </w:rPr>
        <w:t>ОО «Российская ассоциация эндокринологов»</w:t>
      </w:r>
    </w:p>
    <w:p w:rsidR="00D27BC6" w:rsidRDefault="004D5071">
      <w:pPr>
        <w:spacing w:after="1194" w:line="236" w:lineRule="auto"/>
        <w:ind w:left="3504" w:right="0" w:hanging="3504"/>
        <w:jc w:val="left"/>
      </w:pPr>
      <w:r>
        <w:rPr>
          <w:b/>
          <w:sz w:val="22"/>
        </w:rPr>
        <w:t>ГНЦ РФ ФГБУ «Национальный медицинский исследовательский центр эндокринологии»  Минздрава России</w:t>
      </w:r>
    </w:p>
    <w:p w:rsidR="00D27BC6" w:rsidRDefault="004D5071">
      <w:pPr>
        <w:spacing w:after="0" w:line="259" w:lineRule="auto"/>
        <w:ind w:left="10" w:right="660"/>
        <w:jc w:val="center"/>
      </w:pPr>
      <w:r>
        <w:rPr>
          <w:b/>
          <w:sz w:val="40"/>
        </w:rPr>
        <w:t xml:space="preserve">АЛГОРИТМЫ </w:t>
      </w:r>
    </w:p>
    <w:p w:rsidR="00D27BC6" w:rsidRDefault="004D5071">
      <w:pPr>
        <w:spacing w:after="0" w:line="259" w:lineRule="auto"/>
        <w:ind w:left="10" w:right="660"/>
        <w:jc w:val="center"/>
      </w:pPr>
      <w:r>
        <w:rPr>
          <w:b/>
          <w:sz w:val="40"/>
        </w:rPr>
        <w:t xml:space="preserve">СПЕЦИАЛИЗИРОВАННОЙ </w:t>
      </w:r>
    </w:p>
    <w:p w:rsidR="00D27BC6" w:rsidRDefault="004D5071">
      <w:pPr>
        <w:spacing w:after="0" w:line="259" w:lineRule="auto"/>
        <w:ind w:left="10" w:right="660"/>
        <w:jc w:val="center"/>
      </w:pPr>
      <w:r>
        <w:rPr>
          <w:b/>
          <w:sz w:val="40"/>
        </w:rPr>
        <w:t xml:space="preserve">МЕДИЦИНСКОЙ ПОМОЩИ </w:t>
      </w:r>
    </w:p>
    <w:p w:rsidR="00D27BC6" w:rsidRDefault="004D5071">
      <w:pPr>
        <w:spacing w:after="360" w:line="236" w:lineRule="auto"/>
        <w:ind w:left="2292" w:right="1881" w:firstLine="1182"/>
        <w:jc w:val="left"/>
      </w:pPr>
      <w:r>
        <w:rPr>
          <w:b/>
          <w:sz w:val="40"/>
        </w:rPr>
        <w:t>БОЛЬНЫМ САХАРНЫМ ДИАБЕТОМ</w:t>
      </w:r>
    </w:p>
    <w:p w:rsidR="00D27BC6" w:rsidRDefault="004D5071">
      <w:pPr>
        <w:spacing w:after="741" w:line="343" w:lineRule="auto"/>
        <w:ind w:left="10" w:right="660"/>
        <w:jc w:val="center"/>
      </w:pPr>
      <w:r>
        <w:rPr>
          <w:b/>
          <w:i/>
          <w:sz w:val="22"/>
        </w:rPr>
        <w:t>Под редакцией И.И. Дедова, М.В. Шестаков</w:t>
      </w:r>
      <w:r>
        <w:rPr>
          <w:b/>
          <w:i/>
          <w:sz w:val="22"/>
        </w:rPr>
        <w:t xml:space="preserve">ой, О.Ю. Сухаревой </w:t>
      </w:r>
    </w:p>
    <w:p w:rsidR="00D27BC6" w:rsidRDefault="004D5071">
      <w:pPr>
        <w:spacing w:after="764" w:line="259" w:lineRule="auto"/>
        <w:ind w:left="10" w:right="660"/>
        <w:jc w:val="center"/>
      </w:pPr>
      <w:r>
        <w:rPr>
          <w:b/>
          <w:sz w:val="44"/>
        </w:rPr>
        <w:t xml:space="preserve">12-й выпуск </w:t>
      </w:r>
    </w:p>
    <w:p w:rsidR="00D27BC6" w:rsidRDefault="004D5071">
      <w:pPr>
        <w:spacing w:after="0" w:line="259" w:lineRule="auto"/>
        <w:ind w:left="10" w:right="660"/>
        <w:jc w:val="center"/>
      </w:pPr>
      <w:r>
        <w:rPr>
          <w:b/>
          <w:sz w:val="40"/>
        </w:rPr>
        <w:lastRenderedPageBreak/>
        <w:t xml:space="preserve">STANDARDS </w:t>
      </w:r>
    </w:p>
    <w:p w:rsidR="00D27BC6" w:rsidRDefault="004D5071">
      <w:pPr>
        <w:spacing w:after="313" w:line="259" w:lineRule="auto"/>
        <w:ind w:left="10" w:right="659"/>
        <w:jc w:val="center"/>
      </w:pPr>
      <w:r>
        <w:rPr>
          <w:b/>
          <w:sz w:val="40"/>
        </w:rPr>
        <w:t>OF SPECIALIZED DIABETES CARE</w:t>
      </w:r>
    </w:p>
    <w:p w:rsidR="00D27BC6" w:rsidRDefault="004D5071">
      <w:pPr>
        <w:spacing w:after="741" w:line="343" w:lineRule="auto"/>
        <w:ind w:left="10" w:right="660"/>
        <w:jc w:val="center"/>
      </w:pPr>
      <w:r>
        <w:rPr>
          <w:b/>
          <w:i/>
          <w:sz w:val="22"/>
        </w:rPr>
        <w:t>Edited by Dedov I.I., Shestakova M.V., Sukhareva O.Yu.</w:t>
      </w:r>
    </w:p>
    <w:p w:rsidR="00D27BC6" w:rsidRDefault="004D5071">
      <w:pPr>
        <w:spacing w:after="573" w:line="259" w:lineRule="auto"/>
        <w:ind w:left="10" w:right="660"/>
        <w:jc w:val="center"/>
      </w:pPr>
      <w:r>
        <w:rPr>
          <w:b/>
          <w:sz w:val="44"/>
        </w:rPr>
        <w:t>12th Edition</w:t>
      </w:r>
      <w:r>
        <w:rPr>
          <w:rFonts w:ascii="Times New Roman" w:eastAsia="Times New Roman" w:hAnsi="Times New Roman" w:cs="Times New Roman"/>
          <w:b/>
          <w:sz w:val="28"/>
        </w:rPr>
        <w:t xml:space="preserve"> </w:t>
      </w:r>
    </w:p>
    <w:p w:rsidR="00D27BC6" w:rsidRDefault="004D5071">
      <w:pPr>
        <w:spacing w:after="14"/>
        <w:ind w:left="313" w:right="963"/>
        <w:jc w:val="center"/>
      </w:pPr>
      <w:r>
        <w:rPr>
          <w:b/>
          <w:sz w:val="24"/>
        </w:rPr>
        <w:t>Москва</w:t>
      </w:r>
    </w:p>
    <w:p w:rsidR="00D27BC6" w:rsidRDefault="004D5071">
      <w:pPr>
        <w:pStyle w:val="Heading1"/>
        <w:ind w:left="313" w:right="963"/>
      </w:pPr>
      <w:r>
        <w:t>2025</w:t>
      </w:r>
    </w:p>
    <w:p w:rsidR="00D27BC6" w:rsidRDefault="004D5071">
      <w:pPr>
        <w:spacing w:after="480" w:line="236" w:lineRule="auto"/>
        <w:ind w:right="1165"/>
        <w:jc w:val="left"/>
      </w:pPr>
      <w:r>
        <w:rPr>
          <w:b/>
        </w:rPr>
        <w:t>Алгоритмы специализированной медицинской помощи больным сахарным диабетом</w:t>
      </w:r>
      <w:r>
        <w:t xml:space="preserve"> / </w:t>
      </w:r>
      <w:r>
        <w:t xml:space="preserve">Под редакцией И.И. Дедова, М.В. Шестаковой, О.Ю. Сухаревой. – 12-й выпуск. – М.; 2025. </w:t>
      </w:r>
      <w:r>
        <w:rPr>
          <w:b/>
        </w:rPr>
        <w:t xml:space="preserve">doi: https://doi.org/10.14341/DM20255S </w:t>
      </w:r>
    </w:p>
    <w:p w:rsidR="00D27BC6" w:rsidRDefault="004D5071">
      <w:pPr>
        <w:ind w:left="196" w:right="0" w:firstLine="283"/>
      </w:pPr>
      <w:r>
        <w:t>Данное издание содержит двенадцатый актуализированный выпуск рекомендаций по стандартизации и оптимизации оказания медицинской по</w:t>
      </w:r>
      <w:r>
        <w:t xml:space="preserve">мощи пациентам с сахарным диабетом во всех регионах России на основе доказательной медицины. </w:t>
      </w:r>
    </w:p>
    <w:p w:rsidR="00D27BC6" w:rsidRDefault="004D5071">
      <w:pPr>
        <w:spacing w:after="8" w:line="231" w:lineRule="auto"/>
        <w:ind w:left="196" w:right="0" w:firstLine="283"/>
        <w:jc w:val="left"/>
      </w:pPr>
      <w:r>
        <w:t>Включена обновленная информация в соответствии с результатами крупных завершенных клинических исследований и последними международными и отечественными рекомендац</w:t>
      </w:r>
      <w:r>
        <w:t xml:space="preserve">иями по лечению пациентов с сахарным диабетом. </w:t>
      </w:r>
    </w:p>
    <w:p w:rsidR="00D27BC6" w:rsidRDefault="004D5071">
      <w:pPr>
        <w:spacing w:after="470"/>
        <w:ind w:left="196" w:right="0" w:firstLine="283"/>
      </w:pPr>
      <w:r>
        <w:t>Издание предназначено для практикующих эндокринологов, детских эндокринологов, терапевтов, врачей общей практики, педиатров и врачей смежных специальностей, а также ординаторов и аспирантов соответствующих на</w:t>
      </w:r>
      <w:r>
        <w:t>правлений.</w:t>
      </w:r>
    </w:p>
    <w:p w:rsidR="00D27BC6" w:rsidRDefault="004D5071">
      <w:pPr>
        <w:spacing w:after="900"/>
        <w:ind w:right="0"/>
      </w:pPr>
      <w:r>
        <w:t>Права на данное издание принадлежат коллективу авторов, а также организациям-разработчикам: ГНЦ РФ ФГБУ «Национальный медицинский исследовательский центр эндокринологии» Минздрава России, ОО «Российская ассоциация эндокринологов». Воспроизведение и распрос</w:t>
      </w:r>
      <w:r>
        <w:t>транение в каком-бы то ни было виде части или целого издания не могут быть осуществлены без письменного разрешения правообладателей.</w:t>
      </w:r>
    </w:p>
    <w:p w:rsidR="00D27BC6" w:rsidRDefault="004D5071">
      <w:pPr>
        <w:spacing w:after="143" w:line="259" w:lineRule="auto"/>
        <w:ind w:left="248" w:right="-9"/>
        <w:jc w:val="right"/>
      </w:pPr>
      <w:r>
        <w:t>© Коллектив авторов, 2025.</w:t>
      </w:r>
    </w:p>
    <w:p w:rsidR="00D27BC6" w:rsidRDefault="004D5071">
      <w:pPr>
        <w:spacing w:after="27" w:line="259" w:lineRule="auto"/>
        <w:ind w:left="248" w:right="-9"/>
        <w:jc w:val="right"/>
      </w:pPr>
      <w:r>
        <w:t>© ГНЦ РФ ФГБУ «Национальный медицинский исследовательский центр эндокринологии» Минздрава России</w:t>
      </w:r>
      <w:r>
        <w:t xml:space="preserve">, 2025. </w:t>
      </w:r>
      <w:r>
        <w:rPr>
          <w:b/>
        </w:rPr>
        <w:t>doi: https://doi.org/10.14341/DM20255S</w:t>
      </w:r>
      <w:r>
        <w:rPr>
          <w:b/>
        </w:rPr>
        <w:tab/>
      </w:r>
      <w:r>
        <w:t>© ОО «Российская ассоциация эндокринологов», 2025.</w:t>
      </w:r>
    </w:p>
    <w:p w:rsidR="00D27BC6" w:rsidRDefault="00D27BC6">
      <w:pPr>
        <w:sectPr w:rsidR="00D27BC6">
          <w:headerReference w:type="even" r:id="rId63"/>
          <w:headerReference w:type="default" r:id="rId64"/>
          <w:footerReference w:type="even" r:id="rId65"/>
          <w:footerReference w:type="default" r:id="rId66"/>
          <w:headerReference w:type="first" r:id="rId67"/>
          <w:footerReference w:type="first" r:id="rId68"/>
          <w:footnotePr>
            <w:numRestart w:val="eachPage"/>
          </w:footnotePr>
          <w:pgSz w:w="11906" w:h="16724"/>
          <w:pgMar w:top="2278" w:right="845" w:bottom="2621" w:left="1505" w:header="720" w:footer="720" w:gutter="0"/>
          <w:cols w:space="720"/>
        </w:sectPr>
      </w:pPr>
    </w:p>
    <w:p w:rsidR="00D27BC6" w:rsidRDefault="004D5071">
      <w:pPr>
        <w:spacing w:after="12"/>
        <w:ind w:left="290" w:right="284"/>
        <w:jc w:val="center"/>
      </w:pPr>
      <w:r>
        <w:rPr>
          <w:b/>
        </w:rPr>
        <w:t>РАБОЧАЯ ГРУППА ПО ПОДГОТОВКЕ РЕКОМЕНДАЦИЙ:</w:t>
      </w:r>
    </w:p>
    <w:tbl>
      <w:tblPr>
        <w:tblStyle w:val="TableGrid"/>
        <w:tblW w:w="10248" w:type="dxa"/>
        <w:tblInd w:w="2" w:type="dxa"/>
        <w:tblCellMar>
          <w:top w:w="0" w:type="dxa"/>
          <w:left w:w="0" w:type="dxa"/>
          <w:bottom w:w="0" w:type="dxa"/>
          <w:right w:w="0" w:type="dxa"/>
        </w:tblCellMar>
        <w:tblLook w:val="04A0" w:firstRow="1" w:lastRow="0" w:firstColumn="1" w:lastColumn="0" w:noHBand="0" w:noVBand="1"/>
      </w:tblPr>
      <w:tblGrid>
        <w:gridCol w:w="2098"/>
        <w:gridCol w:w="8150"/>
      </w:tblGrid>
      <w:tr w:rsidR="00D27BC6">
        <w:trPr>
          <w:trHeight w:val="1021"/>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Дедов И.И. </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акад. РАН, проф., президент ГНЦ РФ ФГБУ «Национальный медицинский исследовательский центр эндокринологии» Министерства здравоохранения Российской Федерации, главный внештатный специалист эндокринолог Министерства здравоохранения Российской Федерации, прези</w:t>
            </w:r>
            <w:r>
              <w:t>дент ОО «Российская ассоциация эндокринологов»</w:t>
            </w:r>
          </w:p>
        </w:tc>
      </w:tr>
      <w:tr w:rsidR="00D27BC6">
        <w:trPr>
          <w:trHeight w:val="1073"/>
        </w:trPr>
        <w:tc>
          <w:tcPr>
            <w:tcW w:w="2098" w:type="dxa"/>
            <w:tcBorders>
              <w:top w:val="nil"/>
              <w:left w:val="nil"/>
              <w:bottom w:val="nil"/>
              <w:right w:val="nil"/>
            </w:tcBorders>
          </w:tcPr>
          <w:p w:rsidR="00D27BC6" w:rsidRDefault="004D5071">
            <w:pPr>
              <w:spacing w:after="0" w:line="259" w:lineRule="auto"/>
              <w:ind w:left="0" w:right="0" w:firstLine="0"/>
              <w:jc w:val="left"/>
            </w:pPr>
            <w:r>
              <w:rPr>
                <w:b/>
              </w:rPr>
              <w:t>Шестакова М.В.</w:t>
            </w:r>
            <w:r>
              <w:t xml:space="preserve"> </w:t>
            </w:r>
          </w:p>
        </w:tc>
        <w:tc>
          <w:tcPr>
            <w:tcW w:w="8150" w:type="dxa"/>
            <w:tcBorders>
              <w:top w:val="nil"/>
              <w:left w:val="nil"/>
              <w:bottom w:val="nil"/>
              <w:right w:val="nil"/>
            </w:tcBorders>
          </w:tcPr>
          <w:p w:rsidR="00D27BC6" w:rsidRDefault="004D5071">
            <w:pPr>
              <w:spacing w:after="0" w:line="259" w:lineRule="auto"/>
              <w:ind w:left="0" w:right="42" w:firstLine="0"/>
            </w:pPr>
            <w:r>
              <w:t>акад. РАН, проф., д.м.н., заместитель директора – директор Института диабета, зав. кафедрой диабетологии и диетологии Института высшего и дополнительного профессионального образования ГНЦ РФ Ф</w:t>
            </w:r>
            <w:r>
              <w:t>ГБУ «Национальный медицинский исследовательский центр эндокринологии» Министерства здравоохранения Российской Федерации</w:t>
            </w:r>
          </w:p>
        </w:tc>
      </w:tr>
      <w:tr w:rsidR="00D27BC6">
        <w:trPr>
          <w:trHeight w:val="1313"/>
        </w:trPr>
        <w:tc>
          <w:tcPr>
            <w:tcW w:w="2098" w:type="dxa"/>
            <w:tcBorders>
              <w:top w:val="nil"/>
              <w:left w:val="nil"/>
              <w:bottom w:val="nil"/>
              <w:right w:val="nil"/>
            </w:tcBorders>
          </w:tcPr>
          <w:p w:rsidR="00D27BC6" w:rsidRDefault="004D5071">
            <w:pPr>
              <w:spacing w:after="0" w:line="259" w:lineRule="auto"/>
              <w:ind w:left="0" w:right="0" w:firstLine="0"/>
              <w:jc w:val="left"/>
            </w:pPr>
            <w:r>
              <w:rPr>
                <w:b/>
              </w:rPr>
              <w:t>Сухарева О.Ю.</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к.м.н., ведущий научный сотрудник отделения диабетической болезни почек и посттрансплантационной реабилитации Института диабета, доцент кафедры диабетологии и диетологии Института высшего и дополнительного профессионального образования ГНЦ РФ ФГБУ «Национа</w:t>
            </w:r>
            <w:r>
              <w:t>льный медицинский исследовательский центр эндокринологии» Министерства здравоохранения Российской Федерации</w:t>
            </w:r>
          </w:p>
        </w:tc>
      </w:tr>
      <w:tr w:rsidR="00D27BC6">
        <w:trPr>
          <w:trHeight w:val="155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Мокрышева Н.Г. </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чл.-корр. РАН, проф., директор ГНЦ РФ ФГБУ «Национальный медицинский исследовательский центр эндокринологии» Министерства здравоох</w:t>
            </w:r>
            <w:r>
              <w:t>ранения Российской Федерации, зав. кафедрой персонализированной и трансляционной медицины Института высшего и дополнительного профессионального образования ГНЦ РФ ФГБУ «Национальный медицинский исследовательский центр эндокринологии» Министерства здравоохр</w:t>
            </w:r>
            <w:r>
              <w:t>анения Российской Федерации</w:t>
            </w:r>
          </w:p>
        </w:tc>
      </w:tr>
      <w:tr w:rsidR="00D27BC6">
        <w:trPr>
          <w:trHeight w:val="1793"/>
        </w:trPr>
        <w:tc>
          <w:tcPr>
            <w:tcW w:w="2098" w:type="dxa"/>
            <w:tcBorders>
              <w:top w:val="nil"/>
              <w:left w:val="nil"/>
              <w:bottom w:val="nil"/>
              <w:right w:val="nil"/>
            </w:tcBorders>
          </w:tcPr>
          <w:p w:rsidR="00D27BC6" w:rsidRDefault="004D5071">
            <w:pPr>
              <w:spacing w:after="0" w:line="259" w:lineRule="auto"/>
              <w:ind w:left="0" w:right="0" w:firstLine="0"/>
              <w:jc w:val="left"/>
            </w:pPr>
            <w:r>
              <w:rPr>
                <w:b/>
              </w:rPr>
              <w:t>Андреева Е.Н.</w:t>
            </w:r>
            <w:r>
              <w:t xml:space="preserve">  </w:t>
            </w:r>
          </w:p>
        </w:tc>
        <w:tc>
          <w:tcPr>
            <w:tcW w:w="8150" w:type="dxa"/>
            <w:tcBorders>
              <w:top w:val="nil"/>
              <w:left w:val="nil"/>
              <w:bottom w:val="nil"/>
              <w:right w:val="nil"/>
            </w:tcBorders>
          </w:tcPr>
          <w:p w:rsidR="00D27BC6" w:rsidRDefault="004D5071">
            <w:pPr>
              <w:spacing w:after="0" w:line="259" w:lineRule="auto"/>
              <w:ind w:left="0" w:right="42" w:firstLine="0"/>
            </w:pPr>
            <w:r>
              <w:t>д.м.н., заместитель директора – директор Института репродуктивной медицины, профессор кафедры клинической эндокринологии Института высшего и дополнительного профессионального образования ГНЦ РФ ФГБУ «Национальны</w:t>
            </w:r>
            <w:r>
              <w:t>й медицинский исследовательский центр эндокринологии» Министерства здравоохранения Российской Федерации, профессор кафедры репродуктивной медицины и хирургии факультета постдипломного образования ФГБОУ ВО «Московский государственный медико-стоматологически</w:t>
            </w:r>
            <w:r>
              <w:t>й университет имени А.Е. Евдокимова» Министерства здравоохранения Российской Федерации</w:t>
            </w:r>
          </w:p>
        </w:tc>
      </w:tr>
      <w:tr w:rsidR="00D27BC6">
        <w:trPr>
          <w:trHeight w:val="1073"/>
        </w:trPr>
        <w:tc>
          <w:tcPr>
            <w:tcW w:w="2098" w:type="dxa"/>
            <w:tcBorders>
              <w:top w:val="nil"/>
              <w:left w:val="nil"/>
              <w:bottom w:val="nil"/>
              <w:right w:val="nil"/>
            </w:tcBorders>
          </w:tcPr>
          <w:p w:rsidR="00D27BC6" w:rsidRDefault="004D5071">
            <w:pPr>
              <w:spacing w:after="0" w:line="259" w:lineRule="auto"/>
              <w:ind w:left="0" w:right="0" w:firstLine="0"/>
              <w:jc w:val="left"/>
            </w:pPr>
            <w:r>
              <w:rPr>
                <w:b/>
              </w:rPr>
              <w:t>Безлепкина О.Б.</w:t>
            </w:r>
            <w:r>
              <w:t xml:space="preserve">  </w:t>
            </w:r>
          </w:p>
        </w:tc>
        <w:tc>
          <w:tcPr>
            <w:tcW w:w="8150" w:type="dxa"/>
            <w:tcBorders>
              <w:top w:val="nil"/>
              <w:left w:val="nil"/>
              <w:bottom w:val="nil"/>
              <w:right w:val="nil"/>
            </w:tcBorders>
          </w:tcPr>
          <w:p w:rsidR="00D27BC6" w:rsidRDefault="004D5071">
            <w:pPr>
              <w:spacing w:after="0" w:line="259" w:lineRule="auto"/>
              <w:ind w:left="0" w:right="42" w:firstLine="0"/>
            </w:pPr>
            <w:r>
              <w:t>д.м.н., заместитель директора – директор Института детской эндокринологии, профессор кафедры детской эндокринологии-диабетологии Института высшего и дополнительного образования ГНЦ РФ ФГБУ «Национальный медицинский исследовательский центр эндокринологии» М</w:t>
            </w:r>
            <w:r>
              <w:t>инистерства здравоохранения Российской Федерации</w:t>
            </w:r>
          </w:p>
        </w:tc>
      </w:tr>
      <w:tr w:rsidR="00D27BC6">
        <w:trPr>
          <w:trHeight w:val="1313"/>
        </w:trPr>
        <w:tc>
          <w:tcPr>
            <w:tcW w:w="2098" w:type="dxa"/>
            <w:tcBorders>
              <w:top w:val="nil"/>
              <w:left w:val="nil"/>
              <w:bottom w:val="nil"/>
              <w:right w:val="nil"/>
            </w:tcBorders>
          </w:tcPr>
          <w:p w:rsidR="00D27BC6" w:rsidRDefault="004D5071">
            <w:pPr>
              <w:spacing w:after="0" w:line="259" w:lineRule="auto"/>
              <w:ind w:left="0" w:right="0" w:firstLine="0"/>
              <w:jc w:val="left"/>
            </w:pPr>
            <w:r>
              <w:rPr>
                <w:b/>
              </w:rPr>
              <w:t>Петеркова В.А.</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акад. РАН, проф., научный руководитель Института детской эндокринологии, зав. кафедрой детской эндокринологии-диабетологии Института высшего и дополнительного профессионального образования ГНЦ РФ ФГБУ «Национальный медицинский исследовательский центр эндок</w:t>
            </w:r>
            <w:r>
              <w:t>ринологии» Министерства здравоохранения Российской Федерации, главный внештатный специалист детский эндокринолог Министерства здравоохранения Российской Федерации</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Артемова Е.В. </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к.м.н., научный сотрудник отделения диабетической стопы Института диабета ГНЦ РФ ФГБУ «Национальный медицинский исследовательский центр эндокринологии» Министерства здравоохранения Российской Федерации</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Бессмертная Е.Г.  </w:t>
            </w:r>
          </w:p>
        </w:tc>
        <w:tc>
          <w:tcPr>
            <w:tcW w:w="8150" w:type="dxa"/>
            <w:tcBorders>
              <w:top w:val="nil"/>
              <w:left w:val="nil"/>
              <w:bottom w:val="nil"/>
              <w:right w:val="nil"/>
            </w:tcBorders>
          </w:tcPr>
          <w:p w:rsidR="00D27BC6" w:rsidRDefault="004D5071">
            <w:pPr>
              <w:spacing w:after="0" w:line="259" w:lineRule="auto"/>
              <w:ind w:left="0" w:right="43" w:firstLine="0"/>
            </w:pPr>
            <w:r>
              <w:t xml:space="preserve">к.м.н., ведущий научный сотрудник </w:t>
            </w:r>
            <w:r>
              <w:t>отделения диабетической ретинопатии и офтальмохирургии Института диабета ГНЦ РФ ФГБУ «Национальный медицинский исследовательский центр эндокринологии» Министерства здравоохранения Российской Федерации</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Бардюгов П.С. </w:t>
            </w:r>
            <w:r>
              <w:t xml:space="preserve"> </w:t>
            </w:r>
          </w:p>
        </w:tc>
        <w:tc>
          <w:tcPr>
            <w:tcW w:w="8150" w:type="dxa"/>
            <w:tcBorders>
              <w:top w:val="nil"/>
              <w:left w:val="nil"/>
              <w:bottom w:val="nil"/>
              <w:right w:val="nil"/>
            </w:tcBorders>
          </w:tcPr>
          <w:p w:rsidR="00D27BC6" w:rsidRDefault="004D5071">
            <w:pPr>
              <w:spacing w:after="0" w:line="259" w:lineRule="auto"/>
              <w:ind w:left="0" w:right="42" w:firstLine="0"/>
            </w:pPr>
            <w:r>
              <w:t>к.м.н., врач травматолог-ортопед отделения диабетической стопы Института диабета ГНЦ РФ ФГБУ «Национальный медицинский исследовательский центр эндокринологии» Министерства здравоохранения Российской Федерации</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Бешлиева Д.Д. </w:t>
            </w:r>
            <w:r>
              <w:t xml:space="preserve"> </w:t>
            </w:r>
          </w:p>
        </w:tc>
        <w:tc>
          <w:tcPr>
            <w:tcW w:w="8150" w:type="dxa"/>
            <w:tcBorders>
              <w:top w:val="nil"/>
              <w:left w:val="nil"/>
              <w:bottom w:val="nil"/>
              <w:right w:val="nil"/>
            </w:tcBorders>
          </w:tcPr>
          <w:p w:rsidR="00D27BC6" w:rsidRDefault="004D5071">
            <w:pPr>
              <w:spacing w:after="0" w:line="259" w:lineRule="auto"/>
              <w:ind w:left="0" w:right="42" w:firstLine="0"/>
            </w:pPr>
            <w:r>
              <w:t>врач отдела кардиологии и сосу</w:t>
            </w:r>
            <w:r>
              <w:t>дистой хирургии Института диабета ГНЦ РФ ФГБУ «Национальный медицинский исследовательский центр эндокринологии» Министерства здравоохранения Российской Федерации</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Бондаренко О.Н. </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к.м.н., ведущий научный сотрудник отделения диабетической стопы Института д</w:t>
            </w:r>
            <w:r>
              <w:t>иабета ГНЦ РФ ФГБУ «Национальный медицинский исследовательский центр эндокринологии» Министерства здравоохранения Российской Федерации</w:t>
            </w:r>
          </w:p>
        </w:tc>
      </w:tr>
      <w:tr w:rsidR="00D27BC6">
        <w:trPr>
          <w:trHeight w:val="781"/>
        </w:trPr>
        <w:tc>
          <w:tcPr>
            <w:tcW w:w="2098" w:type="dxa"/>
            <w:tcBorders>
              <w:top w:val="nil"/>
              <w:left w:val="nil"/>
              <w:bottom w:val="nil"/>
              <w:right w:val="nil"/>
            </w:tcBorders>
          </w:tcPr>
          <w:p w:rsidR="00D27BC6" w:rsidRDefault="004D5071">
            <w:pPr>
              <w:spacing w:after="0" w:line="259" w:lineRule="auto"/>
              <w:ind w:left="0" w:right="0" w:firstLine="0"/>
              <w:jc w:val="left"/>
            </w:pPr>
            <w:r>
              <w:rPr>
                <w:b/>
              </w:rPr>
              <w:t>Бурумкулова Ф.Ф.</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 xml:space="preserve">д.м.н., ведущий научный сотрудник терапевтической группы ГБУЗ МО «Московский областной НИИ акушерства </w:t>
            </w:r>
            <w:r>
              <w:t>и гинекологии», профессор кафедры акушерства и гинекологии ФУВ ГБУЗ МО МОНИКИ имени М.Ф.Владимирского</w:t>
            </w:r>
          </w:p>
        </w:tc>
      </w:tr>
    </w:tbl>
    <w:p w:rsidR="00D27BC6" w:rsidRDefault="00D27BC6">
      <w:pPr>
        <w:spacing w:after="0" w:line="259" w:lineRule="auto"/>
        <w:ind w:left="-848" w:right="11061" w:firstLine="0"/>
        <w:jc w:val="left"/>
      </w:pPr>
    </w:p>
    <w:tbl>
      <w:tblPr>
        <w:tblStyle w:val="TableGrid"/>
        <w:tblW w:w="10248" w:type="dxa"/>
        <w:tblInd w:w="2" w:type="dxa"/>
        <w:tblCellMar>
          <w:top w:w="0" w:type="dxa"/>
          <w:left w:w="0" w:type="dxa"/>
          <w:bottom w:w="0" w:type="dxa"/>
          <w:right w:w="0" w:type="dxa"/>
        </w:tblCellMar>
        <w:tblLook w:val="04A0" w:firstRow="1" w:lastRow="0" w:firstColumn="1" w:lastColumn="0" w:noHBand="0" w:noVBand="1"/>
      </w:tblPr>
      <w:tblGrid>
        <w:gridCol w:w="2098"/>
        <w:gridCol w:w="8150"/>
      </w:tblGrid>
      <w:tr w:rsidR="00D27BC6">
        <w:trPr>
          <w:trHeight w:val="1021"/>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Викулова О.К. </w:t>
            </w:r>
            <w:r>
              <w:t xml:space="preserve"> </w:t>
            </w:r>
          </w:p>
        </w:tc>
        <w:tc>
          <w:tcPr>
            <w:tcW w:w="8150" w:type="dxa"/>
            <w:tcBorders>
              <w:top w:val="nil"/>
              <w:left w:val="nil"/>
              <w:bottom w:val="nil"/>
              <w:right w:val="nil"/>
            </w:tcBorders>
          </w:tcPr>
          <w:p w:rsidR="00D27BC6" w:rsidRDefault="004D5071">
            <w:pPr>
              <w:spacing w:after="0" w:line="259" w:lineRule="auto"/>
              <w:ind w:left="0" w:right="42" w:firstLine="0"/>
            </w:pPr>
            <w:r>
              <w:t>д.м.н., зав. отделом эпидемиологии эндокринопатий, доцент кафедры диабетологии и диетологии Института высшего и дополнительного профессионального образования ГНЦ РФ ФГБУ «Национальный медицинский исследовательский центр эндокринологии» Министерства здравоо</w:t>
            </w:r>
            <w:r>
              <w:t>хранения Российской Федерации</w:t>
            </w:r>
          </w:p>
        </w:tc>
      </w:tr>
      <w:tr w:rsidR="00D27BC6">
        <w:trPr>
          <w:trHeight w:val="107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Волеводз Н.Н. </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д.м.н., зам. директора по научной и консультативно-диагностической работе, профессор кафедры диабетологии и диетологии Института высшего и дополнительного профессионального образования ГНЦ РФ ФГБУ «Национальный медицинский исследовательский центр эндокрино</w:t>
            </w:r>
            <w:r>
              <w:t>логии» Министерства здравоохранения Российской Федерации</w:t>
            </w:r>
          </w:p>
        </w:tc>
      </w:tr>
      <w:tr w:rsidR="00D27BC6">
        <w:trPr>
          <w:trHeight w:val="131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Галстян Г.Р. </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д.м.н., зав. отделением диабетической стопы Института диабета, профессор кафедры диабетологии и диетологии Института высшего и дополнительного профессионального образования, руководит</w:t>
            </w:r>
            <w:r>
              <w:t>ель Экспертного центра ГНЦ РФ ФГБУ «Национальный медицинский исследовательский центр эндокринологии» Министерства здравоохранения Российской Федерации</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Гомова И.С. </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к.м.н., врач отдела кардиологии и сосудистой хирургии Института диабета ГНЦ РФ ФГБУ «Нацио</w:t>
            </w:r>
            <w:r>
              <w:t xml:space="preserve">нальный медицинский исследовательский центр эндокринологии» Министерства здравоохранения Российской Федерации </w:t>
            </w:r>
          </w:p>
        </w:tc>
      </w:tr>
      <w:tr w:rsidR="00D27BC6">
        <w:trPr>
          <w:trHeight w:val="107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Григорян О.Р. </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д.м.н., главный научный сотрудник отделения эндокринной гинекологии Института репродуктивной медицины, профессор кафедры эндокринологии Института высшего и дополнительного профессионального образования ГНЦ РФ ФГБУ «Национальный медицинский исследовательски</w:t>
            </w:r>
            <w:r>
              <w:t>й центр эндокринологии» Министерства здравоохранения Российской Федерации</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Джемилова З.Н. </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к.м.н., научный сотрудник отделения диабетической стопы Института диабета ГНЦ РФ ФГБУ «Национальный медицинский исследовательский центр эндокринологии» Министерства</w:t>
            </w:r>
            <w:r>
              <w:t xml:space="preserve"> здравоохранения Российской Федерации</w:t>
            </w:r>
          </w:p>
        </w:tc>
      </w:tr>
      <w:tr w:rsidR="00D27BC6">
        <w:trPr>
          <w:trHeight w:val="1073"/>
        </w:trPr>
        <w:tc>
          <w:tcPr>
            <w:tcW w:w="2098" w:type="dxa"/>
            <w:tcBorders>
              <w:top w:val="nil"/>
              <w:left w:val="nil"/>
              <w:bottom w:val="nil"/>
              <w:right w:val="nil"/>
            </w:tcBorders>
          </w:tcPr>
          <w:p w:rsidR="00D27BC6" w:rsidRDefault="004D5071">
            <w:pPr>
              <w:spacing w:after="0" w:line="259" w:lineRule="auto"/>
              <w:ind w:left="0" w:right="0" w:firstLine="0"/>
              <w:jc w:val="left"/>
            </w:pPr>
            <w:r>
              <w:rPr>
                <w:b/>
              </w:rPr>
              <w:t>Дзгоева Ф.Х.</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к.м.н., зав. отделом оказания диетологической помощи, доцент кафедры диабетологии и диетологии Института высшего и дополнительного профессионального образования ГНЦ РФ ФГБУ «Национальный медицинский иссл</w:t>
            </w:r>
            <w:r>
              <w:t>едовательский центр эндокринологии» Министерства здравоохранения Российской Федерации</w:t>
            </w:r>
          </w:p>
        </w:tc>
      </w:tr>
      <w:tr w:rsidR="00D27BC6">
        <w:trPr>
          <w:trHeight w:val="1313"/>
        </w:trPr>
        <w:tc>
          <w:tcPr>
            <w:tcW w:w="2098" w:type="dxa"/>
            <w:tcBorders>
              <w:top w:val="nil"/>
              <w:left w:val="nil"/>
              <w:bottom w:val="nil"/>
              <w:right w:val="nil"/>
            </w:tcBorders>
          </w:tcPr>
          <w:p w:rsidR="00D27BC6" w:rsidRDefault="004D5071">
            <w:pPr>
              <w:spacing w:after="0" w:line="259" w:lineRule="auto"/>
              <w:ind w:left="0" w:right="0" w:firstLine="0"/>
              <w:jc w:val="left"/>
            </w:pPr>
            <w:r>
              <w:rPr>
                <w:b/>
              </w:rPr>
              <w:t>Ибрагимова Л.И.</w:t>
            </w:r>
            <w:r>
              <w:t xml:space="preserve"> </w:t>
            </w:r>
          </w:p>
        </w:tc>
        <w:tc>
          <w:tcPr>
            <w:tcW w:w="8150" w:type="dxa"/>
            <w:tcBorders>
              <w:top w:val="nil"/>
              <w:left w:val="nil"/>
              <w:bottom w:val="nil"/>
              <w:right w:val="nil"/>
            </w:tcBorders>
          </w:tcPr>
          <w:p w:rsidR="00D27BC6" w:rsidRDefault="004D5071">
            <w:pPr>
              <w:spacing w:after="0" w:line="259" w:lineRule="auto"/>
              <w:ind w:left="0" w:right="42" w:firstLine="0"/>
            </w:pPr>
            <w:r>
              <w:t>к.м.н., ведущий научный сотрудник центра «Диабет и беременность» Института диабета, зав. отделом прогнозирования и инноваций диабета Института диабета, доцент кафедры диабетологии и диетологии Института высшего и дополнительного профессионального образован</w:t>
            </w:r>
            <w:r>
              <w:t>ия ГНЦ РФ ФГБУ «Национальный медицинский исследовательский центр эндокринологии» Министерства здравоохранения Российской Федерации</w:t>
            </w:r>
          </w:p>
        </w:tc>
      </w:tr>
      <w:tr w:rsidR="00D27BC6">
        <w:trPr>
          <w:trHeight w:val="107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Калашников В.Ю. </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чл.-корр. РАН, д.м.н., руководитель Координационного совета – заместитель директора по координации эндокри</w:t>
            </w:r>
            <w:r>
              <w:t>нологической службы, зав. отделом кардиологии и сосудистой хирургии Института диабета ГНЦ РФ ФГБУ «Национальный медицинский исследовательский центр эндокринологии» Министерства здравоохранения Российской Федерации</w:t>
            </w:r>
          </w:p>
        </w:tc>
      </w:tr>
      <w:tr w:rsidR="00D27BC6">
        <w:trPr>
          <w:trHeight w:val="1313"/>
        </w:trPr>
        <w:tc>
          <w:tcPr>
            <w:tcW w:w="2098" w:type="dxa"/>
            <w:tcBorders>
              <w:top w:val="nil"/>
              <w:left w:val="nil"/>
              <w:bottom w:val="nil"/>
              <w:right w:val="nil"/>
            </w:tcBorders>
          </w:tcPr>
          <w:p w:rsidR="00D27BC6" w:rsidRDefault="004D5071">
            <w:pPr>
              <w:spacing w:after="0" w:line="259" w:lineRule="auto"/>
              <w:ind w:left="0" w:right="0" w:firstLine="0"/>
              <w:jc w:val="left"/>
            </w:pPr>
            <w:r>
              <w:rPr>
                <w:b/>
              </w:rPr>
              <w:t>Кононенко И.В.</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к.м.н., руководитель отдела по вопросам исследований и разработок Координационного совета, доцент кафедры диабетологии и диетологии Института высшего и дополнительного профессионального образования ГНЦ РФ ФГБУ «Национальный медицинский исследовательский це</w:t>
            </w:r>
            <w:r>
              <w:t>нтр эндокринологии» Министерства здравоохранения Российской Федерации</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Кураева Т.Л. </w:t>
            </w:r>
            <w:r>
              <w:t xml:space="preserve"> </w:t>
            </w:r>
          </w:p>
        </w:tc>
        <w:tc>
          <w:tcPr>
            <w:tcW w:w="8150" w:type="dxa"/>
            <w:tcBorders>
              <w:top w:val="nil"/>
              <w:left w:val="nil"/>
              <w:bottom w:val="nil"/>
              <w:right w:val="nil"/>
            </w:tcBorders>
          </w:tcPr>
          <w:p w:rsidR="00D27BC6" w:rsidRDefault="004D5071">
            <w:pPr>
              <w:spacing w:after="0" w:line="259" w:lineRule="auto"/>
              <w:ind w:left="0" w:right="42" w:firstLine="0"/>
            </w:pPr>
            <w:r>
              <w:t>проф., д.м.н., главный научный сотрудник детского отделения сахарного диабета Института детской эндокринологии ГНЦ РФ ФГБУ «Национальный медицинский исследовательский цен</w:t>
            </w:r>
            <w:r>
              <w:t>тр эндокринологии» Министерства здравоохранения Российской Федерации</w:t>
            </w:r>
          </w:p>
        </w:tc>
      </w:tr>
      <w:tr w:rsidR="00D27BC6">
        <w:trPr>
          <w:trHeight w:val="107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Лаптев Д.Н. </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д.м.н., зав. детским отделением сахарного диабета Института детской эндокринологии, профессор кафедры детской эндокринологии-диабетологии Института высшего и дополнительног</w:t>
            </w:r>
            <w:r>
              <w:t>о профессионального образования ГНЦ РФ ФГБУ «Национальный медицинский исследовательский центр эндокринологии» Министерства здравоохранения Российской Федерации</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Липатов Д.В.</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д.м.н., зав. отделом организационного обеспечения ФГБУ «Национальный медицинский исследовательский центр глазных болезней имени Гельмгольца» Министерства здравоохранения Российской Федерации</w:t>
            </w:r>
          </w:p>
        </w:tc>
      </w:tr>
      <w:tr w:rsidR="00D27BC6">
        <w:trPr>
          <w:trHeight w:val="781"/>
        </w:trPr>
        <w:tc>
          <w:tcPr>
            <w:tcW w:w="2098" w:type="dxa"/>
            <w:tcBorders>
              <w:top w:val="nil"/>
              <w:left w:val="nil"/>
              <w:bottom w:val="nil"/>
              <w:right w:val="nil"/>
            </w:tcBorders>
          </w:tcPr>
          <w:p w:rsidR="00D27BC6" w:rsidRDefault="004D5071">
            <w:pPr>
              <w:spacing w:after="0" w:line="259" w:lineRule="auto"/>
              <w:ind w:left="0" w:right="0" w:firstLine="0"/>
              <w:jc w:val="left"/>
            </w:pPr>
            <w:r>
              <w:rPr>
                <w:b/>
              </w:rPr>
              <w:t>Мельникова О.Г.</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к.м.н., ведущий научный сотрудник отделения тер</w:t>
            </w:r>
            <w:r>
              <w:t>апии диабета Института диабета ГНЦ РФ ФГБУ «Национальный медицинский исследовательский центр эндокринологии» Министерства здравоохранения Российской Федерации</w:t>
            </w:r>
            <w:r>
              <w:rPr>
                <w:b/>
              </w:rPr>
              <w:t xml:space="preserve"> </w:t>
            </w:r>
          </w:p>
        </w:tc>
      </w:tr>
      <w:tr w:rsidR="00D27BC6">
        <w:trPr>
          <w:trHeight w:val="781"/>
        </w:trPr>
        <w:tc>
          <w:tcPr>
            <w:tcW w:w="2098" w:type="dxa"/>
            <w:tcBorders>
              <w:top w:val="nil"/>
              <w:left w:val="nil"/>
              <w:bottom w:val="nil"/>
              <w:right w:val="nil"/>
            </w:tcBorders>
          </w:tcPr>
          <w:p w:rsidR="00D27BC6" w:rsidRDefault="004D5071">
            <w:pPr>
              <w:spacing w:after="0" w:line="259" w:lineRule="auto"/>
              <w:ind w:left="0" w:right="0" w:firstLine="0"/>
              <w:jc w:val="left"/>
            </w:pPr>
            <w:r>
              <w:rPr>
                <w:b/>
              </w:rPr>
              <w:t>Михина М.С.</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врач отделения терапии диабета Института диабета ГНЦ РФ ФГБУ «Национальный медицинский исследовательский центр эндокринологии» Министерства здравоохранения Российской Федерации</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Мичурова М.С. </w:t>
            </w:r>
            <w:r>
              <w:t xml:space="preserve"> </w:t>
            </w:r>
          </w:p>
        </w:tc>
        <w:tc>
          <w:tcPr>
            <w:tcW w:w="8150" w:type="dxa"/>
            <w:tcBorders>
              <w:top w:val="nil"/>
              <w:left w:val="nil"/>
              <w:bottom w:val="nil"/>
              <w:right w:val="nil"/>
            </w:tcBorders>
          </w:tcPr>
          <w:p w:rsidR="00D27BC6" w:rsidRDefault="004D5071">
            <w:pPr>
              <w:spacing w:after="0" w:line="259" w:lineRule="auto"/>
              <w:ind w:left="0" w:right="42" w:firstLine="0"/>
            </w:pPr>
            <w:r>
              <w:t>научный сотрудник отдела кардиологии и сосудистой хирургии Инс</w:t>
            </w:r>
            <w:r>
              <w:t xml:space="preserve">титута диабета ГНЦ РФ ФГБУ «Национальный медицинский исследовательский центр эндокринологии» Министерства здравоохранения Российской Федерации </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Мишина Е.Е.  </w:t>
            </w:r>
          </w:p>
        </w:tc>
        <w:tc>
          <w:tcPr>
            <w:tcW w:w="8150" w:type="dxa"/>
            <w:tcBorders>
              <w:top w:val="nil"/>
              <w:left w:val="nil"/>
              <w:bottom w:val="nil"/>
              <w:right w:val="nil"/>
            </w:tcBorders>
          </w:tcPr>
          <w:p w:rsidR="00D27BC6" w:rsidRDefault="004D5071">
            <w:pPr>
              <w:spacing w:after="0" w:line="259" w:lineRule="auto"/>
              <w:ind w:left="0" w:right="43" w:firstLine="0"/>
            </w:pPr>
            <w:r>
              <w:t>врач-эндокринолог отдела клинических исследований, научный сотрудник лаборатории клэмп-технологий ГНЦ РФ ФГБУ «Национальный медицинский исследовательский центр эндокринологии» Министерства здравоохранения Российской Федерации</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Мотовилин О.Г.</w:t>
            </w:r>
            <w:r>
              <w:t xml:space="preserve"> </w:t>
            </w:r>
          </w:p>
        </w:tc>
        <w:tc>
          <w:tcPr>
            <w:tcW w:w="8150" w:type="dxa"/>
            <w:tcBorders>
              <w:top w:val="nil"/>
              <w:left w:val="nil"/>
              <w:bottom w:val="nil"/>
              <w:right w:val="nil"/>
            </w:tcBorders>
          </w:tcPr>
          <w:p w:rsidR="00D27BC6" w:rsidRDefault="004D5071">
            <w:pPr>
              <w:spacing w:after="0" w:line="259" w:lineRule="auto"/>
              <w:ind w:left="0" w:right="44" w:firstLine="0"/>
            </w:pPr>
            <w:r>
              <w:t xml:space="preserve">к.психол.н., </w:t>
            </w:r>
            <w:r>
              <w:t>ведущий научный сотрудник отделения терапии диабета Института диабета ГНЦ РФ ФГБУ «Национальный медицинский исследовательский центр эндокринологии» Министерства здравоохранения Российской Федерации</w:t>
            </w:r>
          </w:p>
        </w:tc>
      </w:tr>
      <w:tr w:rsidR="00D27BC6">
        <w:trPr>
          <w:trHeight w:val="131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Никонова Т.В. </w:t>
            </w:r>
            <w:r>
              <w:t xml:space="preserve"> </w:t>
            </w:r>
          </w:p>
        </w:tc>
        <w:tc>
          <w:tcPr>
            <w:tcW w:w="8150" w:type="dxa"/>
            <w:tcBorders>
              <w:top w:val="nil"/>
              <w:left w:val="nil"/>
              <w:bottom w:val="nil"/>
              <w:right w:val="nil"/>
            </w:tcBorders>
          </w:tcPr>
          <w:p w:rsidR="00D27BC6" w:rsidRDefault="004D5071">
            <w:pPr>
              <w:spacing w:after="0" w:line="259" w:lineRule="auto"/>
              <w:ind w:left="0" w:right="42" w:firstLine="0"/>
            </w:pPr>
            <w:r>
              <w:t>д.м.н., руководитель отдела по вопросам л</w:t>
            </w:r>
            <w:r>
              <w:t>екарственного обеспечения и регулирования обращения медицинских изделий Координационного совета, главный научный сотрудник отдела прогнозирования и инноваций диабета Института диабета ГНЦ РФ ФГБУ «Национальный медицинский исследовательский центр Министерст</w:t>
            </w:r>
            <w:r>
              <w:t>ва здравоохранения Российской Федерации</w:t>
            </w:r>
          </w:p>
        </w:tc>
      </w:tr>
      <w:tr w:rsidR="00D27BC6">
        <w:trPr>
          <w:trHeight w:val="107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Роживанов Р.В. </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 xml:space="preserve">д.м.н., главный научный сотрудник отделения андрологии и урологии Института репродуктивной медицины, профессор кафедры эндокринологии Института высшего и дополнительного профессионального образования ГНЦ РФ ФГБУ «Национальный медицинский исследовательский </w:t>
            </w:r>
            <w:r>
              <w:t>центр эндокринологии» Министерства здравоохранения Российской Федерации</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Смирнова О.М.</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проф., д.м.н., главный специалист редакционно-издательского отдела ГНЦ РФ ФГБУ «Национальный медицинский исследовательский центр эндокринологии» Министерства здравоохра</w:t>
            </w:r>
            <w:r>
              <w:t>нения Российской Федерации</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Старостина Е.Г.</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д.м.н., зав. кафедрой и профессор кафедры эндокринологии ФУВ ГБУЗ МО «Московский областной научно-исследовательский институт им. М.Ф. Владимирского» Министерства здравоохранения Московской области</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Суркова Е.В.</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д.м.н., профессор кафедры эндокринологии №1 ФГАОУ ВО «Первый Московский государственный медицинский университет имени И.М. Сеченова» Министерства здравоохранения Российской Федерации (Сеченовский Университет)</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Тиселько А.В.</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д.м.н., ведущий научный сотру</w:t>
            </w:r>
            <w:r>
              <w:t>дник, врач-эндокринолог Отдела гинекологии и эндокринологии ФГБНУ «Научно-исследовательский институт акушерства, гинекологии и репродуктологии им. Д.О.Отта»</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Токмакова А.Ю. </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д.м.н., главный научный сотрудник отделения диабетической стопы Института диабета</w:t>
            </w:r>
            <w:r>
              <w:t xml:space="preserve"> ГНЦ РФ ФГБУ «Национальный медицинский исследовательский центр эндокринологии» Министерства здравоохранения Российской Федерации</w:t>
            </w:r>
          </w:p>
        </w:tc>
      </w:tr>
      <w:tr w:rsidR="00D27BC6">
        <w:trPr>
          <w:trHeight w:val="131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Шамхалова М.Ш. </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 xml:space="preserve">д.м.н., зав. отделением диабетической болезни почек и посттрансплантационной реабилитации Института диабета, </w:t>
            </w:r>
            <w:r>
              <w:t>профессор кафедры диабетологии и диетологии Института высшего и дополнительного профессионального образования ГНЦ РФ ФГБУ «Национальный медицинский исследовательский центр эндокринологии» Министерства здравоохранения Российской Федерации</w:t>
            </w:r>
          </w:p>
        </w:tc>
      </w:tr>
      <w:tr w:rsidR="00D27BC6">
        <w:trPr>
          <w:trHeight w:val="1261"/>
        </w:trPr>
        <w:tc>
          <w:tcPr>
            <w:tcW w:w="2098" w:type="dxa"/>
            <w:tcBorders>
              <w:top w:val="nil"/>
              <w:left w:val="nil"/>
              <w:bottom w:val="nil"/>
              <w:right w:val="nil"/>
            </w:tcBorders>
          </w:tcPr>
          <w:p w:rsidR="00D27BC6" w:rsidRDefault="004D5071">
            <w:pPr>
              <w:spacing w:after="0" w:line="259" w:lineRule="auto"/>
              <w:ind w:left="0" w:right="0" w:firstLine="0"/>
              <w:jc w:val="left"/>
            </w:pPr>
            <w:r>
              <w:rPr>
                <w:b/>
              </w:rPr>
              <w:t>Шестакова Е.А.</w:t>
            </w:r>
            <w:r>
              <w:t xml:space="preserve"> </w:t>
            </w:r>
          </w:p>
        </w:tc>
        <w:tc>
          <w:tcPr>
            <w:tcW w:w="8150" w:type="dxa"/>
            <w:tcBorders>
              <w:top w:val="nil"/>
              <w:left w:val="nil"/>
              <w:bottom w:val="nil"/>
              <w:right w:val="nil"/>
            </w:tcBorders>
          </w:tcPr>
          <w:p w:rsidR="00D27BC6" w:rsidRDefault="004D5071">
            <w:pPr>
              <w:spacing w:after="0" w:line="259" w:lineRule="auto"/>
              <w:ind w:left="0" w:right="42" w:firstLine="0"/>
            </w:pPr>
            <w:r>
              <w:t>д.м.н., главный научный сотрудник отдела прогнозирования и инноваций диабета ГНЦ РФ ФГБУ «Национальный медицинский исследовательский центр эндокринологии» Министерства здравоохранения Российской Федерации, профессор кафедры эндокринологии ФГБОУ ДПО «Россий</w:t>
            </w:r>
            <w:r>
              <w:t>ская медицинская академия непрерывного профессионального образования» Министерства здравоохранения Российской Федерации</w:t>
            </w:r>
          </w:p>
        </w:tc>
      </w:tr>
    </w:tbl>
    <w:p w:rsidR="00D27BC6" w:rsidRDefault="004D5071">
      <w:pPr>
        <w:spacing w:after="110"/>
        <w:ind w:left="2087" w:right="0" w:hanging="2098"/>
      </w:pPr>
      <w:r>
        <w:rPr>
          <w:b/>
        </w:rPr>
        <w:t xml:space="preserve">Ярек-Мартынова И.Р. </w:t>
      </w:r>
      <w:r>
        <w:t>к.м.н., зам. главного врача, ведущий научный сотрудник отделения диабетической болезни почек и посттрансплантационн</w:t>
      </w:r>
      <w:r>
        <w:t>ой реабилитации Института диабета ГНЦ РФ ФГБУ «Национальный медицинский исследовательский центр эндокринологии» Министерства здравоохранения Российской Федерации</w:t>
      </w:r>
    </w:p>
    <w:p w:rsidR="00D27BC6" w:rsidRDefault="004D5071">
      <w:pPr>
        <w:ind w:left="2087" w:right="0" w:hanging="2098"/>
      </w:pPr>
      <w:r>
        <w:rPr>
          <w:b/>
        </w:rPr>
        <w:t xml:space="preserve">Ярославцева М.В. </w:t>
      </w:r>
      <w:r>
        <w:t xml:space="preserve"> к.м.н., старший научный сотрудник отделения диабетической стопы Института ди</w:t>
      </w:r>
      <w:r>
        <w:t>абета ГНЦ РФ ФГБУ «Национальный медицинский исследовательский центр эндокринологии» Министерства здравоохранения Российской Федерации</w:t>
      </w:r>
    </w:p>
    <w:p w:rsidR="00D27BC6" w:rsidRDefault="004D5071">
      <w:pPr>
        <w:spacing w:after="12"/>
        <w:ind w:left="290" w:right="284"/>
        <w:jc w:val="center"/>
      </w:pPr>
      <w:r>
        <w:rPr>
          <w:b/>
        </w:rPr>
        <w:t>РЕКОМЕНДАЦИИ РАССМОТРЕНЫ И ОДОБРЕНЫ КОМИТЕТОМ ЭКСПЕРТОВ В СЛЕДУЮЩЕМ СОСТАВЕ:</w:t>
      </w:r>
    </w:p>
    <w:tbl>
      <w:tblPr>
        <w:tblStyle w:val="TableGrid"/>
        <w:tblW w:w="10248" w:type="dxa"/>
        <w:tblInd w:w="2" w:type="dxa"/>
        <w:tblCellMar>
          <w:top w:w="0" w:type="dxa"/>
          <w:left w:w="0" w:type="dxa"/>
          <w:bottom w:w="0" w:type="dxa"/>
          <w:right w:w="0" w:type="dxa"/>
        </w:tblCellMar>
        <w:tblLook w:val="04A0" w:firstRow="1" w:lastRow="0" w:firstColumn="1" w:lastColumn="0" w:noHBand="0" w:noVBand="1"/>
      </w:tblPr>
      <w:tblGrid>
        <w:gridCol w:w="2098"/>
        <w:gridCol w:w="8150"/>
      </w:tblGrid>
      <w:tr w:rsidR="00D27BC6">
        <w:trPr>
          <w:trHeight w:val="1021"/>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Аметов А.С. </w:t>
            </w:r>
            <w:r>
              <w:t xml:space="preserve"> </w:t>
            </w:r>
          </w:p>
        </w:tc>
        <w:tc>
          <w:tcPr>
            <w:tcW w:w="8150" w:type="dxa"/>
            <w:tcBorders>
              <w:top w:val="nil"/>
              <w:left w:val="nil"/>
              <w:bottom w:val="nil"/>
              <w:right w:val="nil"/>
            </w:tcBorders>
          </w:tcPr>
          <w:p w:rsidR="00D27BC6" w:rsidRDefault="004D5071">
            <w:pPr>
              <w:spacing w:after="0" w:line="259" w:lineRule="auto"/>
              <w:ind w:left="0" w:right="42" w:firstLine="0"/>
            </w:pPr>
            <w:r>
              <w:t>проф., д.м.н., зав. кафедрой эндокринологии ФГБОУ ДПО «Российская медицинская академия непрерывного профессионального образования» Министерства здравоохранения Российской Федерации, руководитель сетевой кафедры ЮНЕСКО «Биоэтика сахарного диабета как глобал</w:t>
            </w:r>
            <w:r>
              <w:t>ьная проблема»</w:t>
            </w:r>
          </w:p>
        </w:tc>
      </w:tr>
      <w:tr w:rsidR="00D27BC6">
        <w:trPr>
          <w:trHeight w:val="131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Анциферов М.Б. </w:t>
            </w:r>
            <w:r>
              <w:t xml:space="preserve"> </w:t>
            </w:r>
          </w:p>
        </w:tc>
        <w:tc>
          <w:tcPr>
            <w:tcW w:w="8150" w:type="dxa"/>
            <w:tcBorders>
              <w:top w:val="nil"/>
              <w:left w:val="nil"/>
              <w:bottom w:val="nil"/>
              <w:right w:val="nil"/>
            </w:tcBorders>
          </w:tcPr>
          <w:p w:rsidR="00D27BC6" w:rsidRDefault="004D5071">
            <w:pPr>
              <w:spacing w:after="0" w:line="259" w:lineRule="auto"/>
              <w:ind w:left="0" w:right="42" w:firstLine="0"/>
            </w:pPr>
            <w:r>
              <w:t>проф., д.м.н., президент ГБУЗ «Эндокринологический диспансер» Департамента здравоохранения г. Москвы, профессор кафедры эндокринологии ФГБОУ ДПО «Российская медицинская академия непрерывного профессионального образования» М</w:t>
            </w:r>
            <w:r>
              <w:t>инистерства здравоохранения Российской Федерации, главный внештатный специалист эндокринолог Департамента здравоохранения г. Москвы</w:t>
            </w:r>
          </w:p>
        </w:tc>
      </w:tr>
      <w:tr w:rsidR="00D27BC6">
        <w:trPr>
          <w:trHeight w:val="1073"/>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Мкртумян А.М. </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проф., д.м.н., зав. кафедрой эндокринологии и диабетологии ФГБОУ ВО «Российский университет медицины» Министерства здравоохранения Российской Федерации, руководитель научного отдела эндокринных и метаболических нарушений МКНЦ им. А.С. Логинова Департамента</w:t>
            </w:r>
            <w:r>
              <w:t xml:space="preserve"> здравоохранения г. Москвы</w:t>
            </w:r>
          </w:p>
        </w:tc>
      </w:tr>
      <w:tr w:rsidR="00D27BC6">
        <w:trPr>
          <w:trHeight w:val="1313"/>
        </w:trPr>
        <w:tc>
          <w:tcPr>
            <w:tcW w:w="2098" w:type="dxa"/>
            <w:tcBorders>
              <w:top w:val="nil"/>
              <w:left w:val="nil"/>
              <w:bottom w:val="nil"/>
              <w:right w:val="nil"/>
            </w:tcBorders>
          </w:tcPr>
          <w:p w:rsidR="00D27BC6" w:rsidRDefault="004D5071">
            <w:pPr>
              <w:spacing w:after="0" w:line="259" w:lineRule="auto"/>
              <w:ind w:left="0" w:right="0" w:firstLine="0"/>
              <w:jc w:val="left"/>
            </w:pPr>
            <w:r>
              <w:rPr>
                <w:b/>
              </w:rPr>
              <w:t>Петунина Н.А.</w:t>
            </w:r>
            <w:r>
              <w:t xml:space="preserve"> </w:t>
            </w:r>
          </w:p>
        </w:tc>
        <w:tc>
          <w:tcPr>
            <w:tcW w:w="8150" w:type="dxa"/>
            <w:tcBorders>
              <w:top w:val="nil"/>
              <w:left w:val="nil"/>
              <w:bottom w:val="nil"/>
              <w:right w:val="nil"/>
            </w:tcBorders>
          </w:tcPr>
          <w:p w:rsidR="00D27BC6" w:rsidRDefault="004D5071">
            <w:pPr>
              <w:spacing w:after="0" w:line="259" w:lineRule="auto"/>
              <w:ind w:left="0" w:right="42" w:firstLine="0"/>
            </w:pPr>
            <w:r>
              <w:t>чл.-корр. РАН, проф., д.м.н., зав. кафедрой эндокринологии лечебного факультета ФГАОУ ВО «Первый Московский государственный медицинский университет имени И.М. Сеченова» Министерства здравоохранения Российской Федерации (Сеченовский Университет), главный вн</w:t>
            </w:r>
            <w:r>
              <w:t>ештатный специалист эндокринолог Министерства здравоохранения Российской Федерации в Центральном федеральном округе</w:t>
            </w:r>
          </w:p>
        </w:tc>
      </w:tr>
      <w:tr w:rsidR="00D27BC6">
        <w:trPr>
          <w:trHeight w:val="1261"/>
        </w:trPr>
        <w:tc>
          <w:tcPr>
            <w:tcW w:w="2098" w:type="dxa"/>
            <w:tcBorders>
              <w:top w:val="nil"/>
              <w:left w:val="nil"/>
              <w:bottom w:val="nil"/>
              <w:right w:val="nil"/>
            </w:tcBorders>
          </w:tcPr>
          <w:p w:rsidR="00D27BC6" w:rsidRDefault="004D5071">
            <w:pPr>
              <w:spacing w:after="0" w:line="259" w:lineRule="auto"/>
              <w:ind w:left="0" w:right="0" w:firstLine="0"/>
              <w:jc w:val="left"/>
            </w:pPr>
            <w:r>
              <w:rPr>
                <w:b/>
              </w:rPr>
              <w:t>Халимов Ю.Ш.</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проф., д.м.н., зав. кафедрой терапии факультетской с курсом эндокринологии, кардиологии с клиникой им. Г.Ф. Ланга ФГБОУ ВО «П</w:t>
            </w:r>
            <w:r>
              <w:t>ервый Санкт-Петербургский государственный медицинский университет им. акад. И.П. Павлова» Министерства здравоохранения Российской Федерации, главный внештатный специалист эндокринолог Комитета по здравоохранению Правительства Санкт-Петербурга</w:t>
            </w:r>
          </w:p>
        </w:tc>
      </w:tr>
    </w:tbl>
    <w:p w:rsidR="00D27BC6" w:rsidRDefault="004D5071">
      <w:r>
        <w:br w:type="page"/>
      </w:r>
    </w:p>
    <w:p w:rsidR="00D27BC6" w:rsidRDefault="004D5071">
      <w:pPr>
        <w:spacing w:after="12"/>
        <w:ind w:left="290" w:right="284"/>
        <w:jc w:val="center"/>
      </w:pPr>
      <w:r>
        <w:rPr>
          <w:b/>
        </w:rPr>
        <w:t>MEMBERS OF THE WORKING GROUP:</w:t>
      </w:r>
    </w:p>
    <w:tbl>
      <w:tblPr>
        <w:tblStyle w:val="TableGrid"/>
        <w:tblW w:w="10248" w:type="dxa"/>
        <w:tblInd w:w="2" w:type="dxa"/>
        <w:tblCellMar>
          <w:top w:w="1" w:type="dxa"/>
          <w:left w:w="0" w:type="dxa"/>
          <w:bottom w:w="0" w:type="dxa"/>
          <w:right w:w="0" w:type="dxa"/>
        </w:tblCellMar>
        <w:tblLook w:val="04A0" w:firstRow="1" w:lastRow="0" w:firstColumn="1" w:lastColumn="0" w:noHBand="0" w:noVBand="1"/>
      </w:tblPr>
      <w:tblGrid>
        <w:gridCol w:w="2098"/>
        <w:gridCol w:w="8150"/>
      </w:tblGrid>
      <w:tr w:rsidR="00D27BC6">
        <w:trPr>
          <w:trHeight w:val="789"/>
        </w:trPr>
        <w:tc>
          <w:tcPr>
            <w:tcW w:w="2098" w:type="dxa"/>
            <w:tcBorders>
              <w:top w:val="nil"/>
              <w:left w:val="nil"/>
              <w:bottom w:val="nil"/>
              <w:right w:val="nil"/>
            </w:tcBorders>
          </w:tcPr>
          <w:p w:rsidR="00D27BC6" w:rsidRDefault="004D5071">
            <w:pPr>
              <w:spacing w:after="0" w:line="259" w:lineRule="auto"/>
              <w:ind w:left="0" w:right="0" w:firstLine="0"/>
              <w:jc w:val="left"/>
            </w:pPr>
            <w:r>
              <w:rPr>
                <w:b/>
              </w:rPr>
              <w:t>Dedov I.</w:t>
            </w:r>
            <w:r>
              <w:t xml:space="preserve">  </w:t>
            </w:r>
          </w:p>
        </w:tc>
        <w:tc>
          <w:tcPr>
            <w:tcW w:w="8150" w:type="dxa"/>
            <w:tcBorders>
              <w:top w:val="nil"/>
              <w:left w:val="nil"/>
              <w:bottom w:val="nil"/>
              <w:right w:val="nil"/>
            </w:tcBorders>
          </w:tcPr>
          <w:p w:rsidR="00D27BC6" w:rsidRDefault="004D5071">
            <w:pPr>
              <w:spacing w:after="0" w:line="259" w:lineRule="auto"/>
              <w:ind w:left="0" w:right="0" w:firstLine="0"/>
              <w:jc w:val="left"/>
            </w:pPr>
            <w:r>
              <w:t>Fellow of the Russian Academy of Sciences, Professor, President of Endocrinology Research Centre of the Ministry of Health of the Russian Federation, Chief Endocrinologist of the Ministry of Health of the Russian Fe</w:t>
            </w:r>
            <w:r>
              <w:t>deration, President of the Russian Association of Endocrinologists</w:t>
            </w:r>
          </w:p>
        </w:tc>
      </w:tr>
      <w:tr w:rsidR="00D27BC6">
        <w:trPr>
          <w:trHeight w:val="850"/>
        </w:trPr>
        <w:tc>
          <w:tcPr>
            <w:tcW w:w="2098" w:type="dxa"/>
            <w:tcBorders>
              <w:top w:val="nil"/>
              <w:left w:val="nil"/>
              <w:bottom w:val="nil"/>
              <w:right w:val="nil"/>
            </w:tcBorders>
          </w:tcPr>
          <w:p w:rsidR="00D27BC6" w:rsidRDefault="004D5071">
            <w:pPr>
              <w:spacing w:after="0" w:line="259" w:lineRule="auto"/>
              <w:ind w:left="0" w:right="0" w:firstLine="0"/>
              <w:jc w:val="left"/>
            </w:pPr>
            <w:r>
              <w:rPr>
                <w:b/>
              </w:rPr>
              <w:t>Shestakova M</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Fellow of the Russian Academy of Sciences, Professor, Deputy Director – Director of Diabetes Institution, Head of the Chair of Diabetology and Dietology, Endocrinology Rese</w:t>
            </w:r>
            <w:r>
              <w:t>arch Centre of the Ministry of Health of the Russian Federation</w:t>
            </w:r>
          </w:p>
        </w:tc>
      </w:tr>
      <w:tr w:rsidR="00D27BC6">
        <w:trPr>
          <w:trHeight w:val="850"/>
        </w:trPr>
        <w:tc>
          <w:tcPr>
            <w:tcW w:w="2098" w:type="dxa"/>
            <w:tcBorders>
              <w:top w:val="nil"/>
              <w:left w:val="nil"/>
              <w:bottom w:val="nil"/>
              <w:right w:val="nil"/>
            </w:tcBorders>
          </w:tcPr>
          <w:p w:rsidR="00D27BC6" w:rsidRDefault="004D5071">
            <w:pPr>
              <w:spacing w:after="0" w:line="259" w:lineRule="auto"/>
              <w:ind w:left="0" w:right="0" w:firstLine="0"/>
              <w:jc w:val="left"/>
            </w:pPr>
            <w:r>
              <w:rPr>
                <w:b/>
              </w:rPr>
              <w:t>Sukhareva O.</w:t>
            </w:r>
            <w:r>
              <w:t xml:space="preserve">  </w:t>
            </w:r>
          </w:p>
        </w:tc>
        <w:tc>
          <w:tcPr>
            <w:tcW w:w="8150" w:type="dxa"/>
            <w:tcBorders>
              <w:top w:val="nil"/>
              <w:left w:val="nil"/>
              <w:bottom w:val="nil"/>
              <w:right w:val="nil"/>
            </w:tcBorders>
          </w:tcPr>
          <w:p w:rsidR="00D27BC6" w:rsidRDefault="004D5071">
            <w:pPr>
              <w:spacing w:after="0" w:line="259" w:lineRule="auto"/>
              <w:ind w:left="0" w:right="44" w:firstLine="0"/>
            </w:pPr>
            <w:r>
              <w:t>Candidate of Medical Sciences, Leading Research Fellow of the Department of Diabetic Kidney Disease and Post-transplant Rehabilitation, Assistant Professor of the Chair of Diabetology and Dietology, Endocrinology Research Centre of the Ministry of Health o</w:t>
            </w:r>
            <w:r>
              <w:t>f the Russian Federation</w:t>
            </w:r>
          </w:p>
        </w:tc>
      </w:tr>
      <w:tr w:rsidR="00D27BC6">
        <w:trPr>
          <w:trHeight w:val="1090"/>
        </w:trPr>
        <w:tc>
          <w:tcPr>
            <w:tcW w:w="2098" w:type="dxa"/>
            <w:tcBorders>
              <w:top w:val="nil"/>
              <w:left w:val="nil"/>
              <w:bottom w:val="nil"/>
              <w:right w:val="nil"/>
            </w:tcBorders>
          </w:tcPr>
          <w:p w:rsidR="00D27BC6" w:rsidRDefault="004D5071">
            <w:pPr>
              <w:spacing w:after="0" w:line="259" w:lineRule="auto"/>
              <w:ind w:left="0" w:right="0" w:firstLine="0"/>
              <w:jc w:val="left"/>
            </w:pPr>
            <w:r>
              <w:rPr>
                <w:b/>
              </w:rPr>
              <w:t>Mokrysheva N.</w:t>
            </w:r>
            <w:r>
              <w:t xml:space="preserve"> </w:t>
            </w:r>
          </w:p>
        </w:tc>
        <w:tc>
          <w:tcPr>
            <w:tcW w:w="8150" w:type="dxa"/>
            <w:tcBorders>
              <w:top w:val="nil"/>
              <w:left w:val="nil"/>
              <w:bottom w:val="nil"/>
              <w:right w:val="nil"/>
            </w:tcBorders>
          </w:tcPr>
          <w:p w:rsidR="00D27BC6" w:rsidRDefault="004D5071">
            <w:pPr>
              <w:spacing w:after="0" w:line="236" w:lineRule="auto"/>
              <w:ind w:left="0" w:right="43" w:firstLine="0"/>
            </w:pPr>
            <w:r>
              <w:t>Corresponding Member of the Russian Academy of Sciences, Professor, Director of Endocrinology Research Centre of the Ministry of Health of the Russian Federation, Head of the Chair of Prersolnalised and Translationa</w:t>
            </w:r>
            <w:r>
              <w:t xml:space="preserve">l Medicine of Endocrinology Research Centre of the Ministry of Health of the </w:t>
            </w:r>
          </w:p>
          <w:p w:rsidR="00D27BC6" w:rsidRDefault="004D5071">
            <w:pPr>
              <w:spacing w:after="0" w:line="259" w:lineRule="auto"/>
              <w:ind w:left="0" w:right="0" w:firstLine="0"/>
              <w:jc w:val="left"/>
            </w:pPr>
            <w:r>
              <w:t>Russian Federation</w:t>
            </w:r>
          </w:p>
        </w:tc>
      </w:tr>
      <w:tr w:rsidR="00D27BC6">
        <w:trPr>
          <w:trHeight w:val="1330"/>
        </w:trPr>
        <w:tc>
          <w:tcPr>
            <w:tcW w:w="2098" w:type="dxa"/>
            <w:tcBorders>
              <w:top w:val="nil"/>
              <w:left w:val="nil"/>
              <w:bottom w:val="nil"/>
              <w:right w:val="nil"/>
            </w:tcBorders>
          </w:tcPr>
          <w:p w:rsidR="00D27BC6" w:rsidRDefault="004D5071">
            <w:pPr>
              <w:spacing w:after="0" w:line="259" w:lineRule="auto"/>
              <w:ind w:left="0" w:right="0" w:firstLine="0"/>
              <w:jc w:val="left"/>
            </w:pPr>
            <w:r>
              <w:rPr>
                <w:b/>
              </w:rPr>
              <w:t>Andreeva E.</w:t>
            </w:r>
            <w:r>
              <w:t xml:space="preserve"> </w:t>
            </w:r>
          </w:p>
        </w:tc>
        <w:tc>
          <w:tcPr>
            <w:tcW w:w="8150" w:type="dxa"/>
            <w:tcBorders>
              <w:top w:val="nil"/>
              <w:left w:val="nil"/>
              <w:bottom w:val="nil"/>
              <w:right w:val="nil"/>
            </w:tcBorders>
          </w:tcPr>
          <w:p w:rsidR="00D27BC6" w:rsidRDefault="004D5071">
            <w:pPr>
              <w:spacing w:after="0" w:line="259" w:lineRule="auto"/>
              <w:ind w:left="0" w:right="42" w:firstLine="0"/>
            </w:pPr>
            <w:r>
              <w:t>PhD, Deputy Director-Director of the Institute of Reproductive Medicine, Professor of the Chair of Clinical Endocrinology, Endocrinology Research Centre of the Ministry of Health of the Russian Federation, Professor of the Department of Reproductive Medici</w:t>
            </w:r>
            <w:r>
              <w:t>ne and Surgery, Faculty of Postgraduate Education A.I. Yevdokimov Moscow State University of Medicine and Dentistry of the Ministry of Health of the Russian Federation</w:t>
            </w:r>
          </w:p>
        </w:tc>
      </w:tr>
      <w:tr w:rsidR="00D27BC6">
        <w:trPr>
          <w:trHeight w:val="850"/>
        </w:trPr>
        <w:tc>
          <w:tcPr>
            <w:tcW w:w="2098" w:type="dxa"/>
            <w:tcBorders>
              <w:top w:val="nil"/>
              <w:left w:val="nil"/>
              <w:bottom w:val="nil"/>
              <w:right w:val="nil"/>
            </w:tcBorders>
          </w:tcPr>
          <w:p w:rsidR="00D27BC6" w:rsidRDefault="004D5071">
            <w:pPr>
              <w:spacing w:after="0" w:line="259" w:lineRule="auto"/>
              <w:ind w:left="0" w:right="0" w:firstLine="0"/>
              <w:jc w:val="left"/>
            </w:pPr>
            <w:r>
              <w:rPr>
                <w:b/>
              </w:rPr>
              <w:t>Bezlepkina O.</w:t>
            </w:r>
            <w:r>
              <w:t xml:space="preserve"> </w:t>
            </w:r>
          </w:p>
        </w:tc>
        <w:tc>
          <w:tcPr>
            <w:tcW w:w="8150" w:type="dxa"/>
            <w:tcBorders>
              <w:top w:val="nil"/>
              <w:left w:val="nil"/>
              <w:bottom w:val="nil"/>
              <w:right w:val="nil"/>
            </w:tcBorders>
          </w:tcPr>
          <w:p w:rsidR="00D27BC6" w:rsidRDefault="004D5071">
            <w:pPr>
              <w:spacing w:after="0" w:line="236" w:lineRule="auto"/>
              <w:ind w:left="0" w:right="0" w:firstLine="0"/>
            </w:pPr>
            <w:r>
              <w:t>PhD, Deputy Director – Director of Pediatric Endocrinology Institute, Pr</w:t>
            </w:r>
            <w:r>
              <w:t xml:space="preserve">ofessor of the Chair of Pediatric Endocrinology-Diabetology Endocrinology Research Centre of the Ministry of Health of the </w:t>
            </w:r>
          </w:p>
          <w:p w:rsidR="00D27BC6" w:rsidRDefault="004D5071">
            <w:pPr>
              <w:spacing w:after="0" w:line="259" w:lineRule="auto"/>
              <w:ind w:left="0" w:right="0" w:firstLine="0"/>
              <w:jc w:val="left"/>
            </w:pPr>
            <w:r>
              <w:t>Russian Federation</w:t>
            </w:r>
          </w:p>
        </w:tc>
      </w:tr>
      <w:tr w:rsidR="00D27BC6">
        <w:trPr>
          <w:trHeight w:val="1090"/>
        </w:trPr>
        <w:tc>
          <w:tcPr>
            <w:tcW w:w="2098" w:type="dxa"/>
            <w:tcBorders>
              <w:top w:val="nil"/>
              <w:left w:val="nil"/>
              <w:bottom w:val="nil"/>
              <w:right w:val="nil"/>
            </w:tcBorders>
          </w:tcPr>
          <w:p w:rsidR="00D27BC6" w:rsidRDefault="004D5071">
            <w:pPr>
              <w:spacing w:after="0" w:line="259" w:lineRule="auto"/>
              <w:ind w:left="0" w:right="0" w:firstLine="0"/>
              <w:jc w:val="left"/>
            </w:pPr>
            <w:r>
              <w:rPr>
                <w:b/>
              </w:rPr>
              <w:t>Peterkova V.</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Fellow of the Russian Academy of Sciences, Professor, Scientific chief of Pediatric Endocrinology Institution, Head of the Chair of Pediatric Endocrinology-Diabetology, Endocrinology Research Centre of the Ministry of Health of the Russian Federation, Chie</w:t>
            </w:r>
            <w:r>
              <w:t>f Pediatric Endocrinologist of the Ministry of Health of the Russian Federation</w:t>
            </w:r>
          </w:p>
        </w:tc>
      </w:tr>
      <w:tr w:rsidR="00D27BC6">
        <w:trPr>
          <w:trHeight w:val="610"/>
        </w:trPr>
        <w:tc>
          <w:tcPr>
            <w:tcW w:w="2098" w:type="dxa"/>
            <w:tcBorders>
              <w:top w:val="nil"/>
              <w:left w:val="nil"/>
              <w:bottom w:val="nil"/>
              <w:right w:val="nil"/>
            </w:tcBorders>
          </w:tcPr>
          <w:p w:rsidR="00D27BC6" w:rsidRDefault="004D5071">
            <w:pPr>
              <w:spacing w:after="0" w:line="259" w:lineRule="auto"/>
              <w:ind w:left="0" w:right="0" w:firstLine="0"/>
              <w:jc w:val="left"/>
            </w:pPr>
            <w:r>
              <w:rPr>
                <w:b/>
              </w:rPr>
              <w:t>Artemova E.</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 xml:space="preserve">Candidate of Medical Sciences, Research Fellow of the Diabetic Foot Department, Endocrinology Research Centre of the Ministry of Health of the Russian Federation </w:t>
            </w:r>
          </w:p>
        </w:tc>
      </w:tr>
      <w:tr w:rsidR="00D27BC6">
        <w:trPr>
          <w:trHeight w:val="610"/>
        </w:trPr>
        <w:tc>
          <w:tcPr>
            <w:tcW w:w="2098" w:type="dxa"/>
            <w:tcBorders>
              <w:top w:val="nil"/>
              <w:left w:val="nil"/>
              <w:bottom w:val="nil"/>
              <w:right w:val="nil"/>
            </w:tcBorders>
          </w:tcPr>
          <w:p w:rsidR="00D27BC6" w:rsidRDefault="004D5071">
            <w:pPr>
              <w:spacing w:after="0" w:line="259" w:lineRule="auto"/>
              <w:ind w:left="29" w:right="0" w:firstLine="0"/>
              <w:jc w:val="left"/>
            </w:pPr>
            <w:r>
              <w:rPr>
                <w:b/>
              </w:rPr>
              <w:t xml:space="preserve">Bardiugov P.  </w:t>
            </w:r>
          </w:p>
        </w:tc>
        <w:tc>
          <w:tcPr>
            <w:tcW w:w="8150" w:type="dxa"/>
            <w:tcBorders>
              <w:top w:val="nil"/>
              <w:left w:val="nil"/>
              <w:bottom w:val="nil"/>
              <w:right w:val="nil"/>
            </w:tcBorders>
          </w:tcPr>
          <w:p w:rsidR="00D27BC6" w:rsidRDefault="004D5071">
            <w:pPr>
              <w:spacing w:after="0" w:line="259" w:lineRule="auto"/>
              <w:ind w:left="29" w:right="0" w:firstLine="0"/>
              <w:jc w:val="left"/>
            </w:pPr>
            <w:r>
              <w:t>Candidate of Medical Sciences, orthopediс surgeon of the Diabetic Foot Depart</w:t>
            </w:r>
            <w:r>
              <w:t>ment, Endocrinology Research Centre of the Ministry of Health of the Russian Federation</w:t>
            </w:r>
          </w:p>
        </w:tc>
      </w:tr>
      <w:tr w:rsidR="00D27BC6">
        <w:trPr>
          <w:trHeight w:val="610"/>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Bessmertnaya E. </w:t>
            </w:r>
          </w:p>
        </w:tc>
        <w:tc>
          <w:tcPr>
            <w:tcW w:w="8150" w:type="dxa"/>
            <w:tcBorders>
              <w:top w:val="nil"/>
              <w:left w:val="nil"/>
              <w:bottom w:val="nil"/>
              <w:right w:val="nil"/>
            </w:tcBorders>
          </w:tcPr>
          <w:p w:rsidR="00D27BC6" w:rsidRDefault="004D5071">
            <w:pPr>
              <w:spacing w:after="0" w:line="259" w:lineRule="auto"/>
              <w:ind w:left="0" w:right="0" w:firstLine="0"/>
            </w:pPr>
            <w:r>
              <w:t>Candidate of Medical Sciences, Leading Research Fellow of the Diabetic Retinopathy Department, Endocrinology Research Centre of the Ministry of Health</w:t>
            </w:r>
            <w:r>
              <w:t xml:space="preserve"> of the Russian Federation</w:t>
            </w:r>
          </w:p>
        </w:tc>
      </w:tr>
      <w:tr w:rsidR="00D27BC6">
        <w:trPr>
          <w:trHeight w:val="610"/>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Beshlieva D. </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Physician of the Department of Cardiology and Vascular Surgery, Endocrinology Research Centre of the Ministry of Health of the Russian Federation</w:t>
            </w:r>
          </w:p>
        </w:tc>
      </w:tr>
      <w:tr w:rsidR="00D27BC6">
        <w:trPr>
          <w:trHeight w:val="610"/>
        </w:trPr>
        <w:tc>
          <w:tcPr>
            <w:tcW w:w="2098" w:type="dxa"/>
            <w:tcBorders>
              <w:top w:val="nil"/>
              <w:left w:val="nil"/>
              <w:bottom w:val="nil"/>
              <w:right w:val="nil"/>
            </w:tcBorders>
          </w:tcPr>
          <w:p w:rsidR="00D27BC6" w:rsidRDefault="004D5071">
            <w:pPr>
              <w:spacing w:after="0" w:line="259" w:lineRule="auto"/>
              <w:ind w:left="0" w:right="0" w:firstLine="0"/>
              <w:jc w:val="left"/>
            </w:pPr>
            <w:r>
              <w:rPr>
                <w:b/>
              </w:rPr>
              <w:t>Bondarenko O.</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Candidate of Medical Sciences, Leading Research Fellow of the Diabetic Foot Department, Endocrinology Research Centre of the Ministry of Health of the Russian Federation</w:t>
            </w:r>
          </w:p>
        </w:tc>
      </w:tr>
      <w:tr w:rsidR="00D27BC6">
        <w:trPr>
          <w:trHeight w:val="1090"/>
        </w:trPr>
        <w:tc>
          <w:tcPr>
            <w:tcW w:w="2098" w:type="dxa"/>
            <w:tcBorders>
              <w:top w:val="nil"/>
              <w:left w:val="nil"/>
              <w:bottom w:val="nil"/>
              <w:right w:val="nil"/>
            </w:tcBorders>
          </w:tcPr>
          <w:p w:rsidR="00D27BC6" w:rsidRDefault="004D5071">
            <w:pPr>
              <w:spacing w:after="0" w:line="259" w:lineRule="auto"/>
              <w:ind w:left="0" w:right="0" w:firstLine="0"/>
              <w:jc w:val="left"/>
            </w:pPr>
            <w:r>
              <w:rPr>
                <w:b/>
              </w:rPr>
              <w:t>Burumkulova F.</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PhD, Leading Research Fellow of the Internal Disease Group of the Mo</w:t>
            </w:r>
            <w:r>
              <w:t>scow Regional Research Institute of Obstetrics and Gynecology, Professor of the Chair of Obstetrics and Gynecology, Postgraduate Training Faculty, M.F. Vladimirsky Moscow Regional Clinical and Research Institute of the Ministry of Health of Moscow region</w:t>
            </w:r>
          </w:p>
        </w:tc>
      </w:tr>
      <w:tr w:rsidR="00D27BC6">
        <w:trPr>
          <w:trHeight w:val="850"/>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Vikulova O. </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 xml:space="preserve">PhD, Head of the Department of Epidemiology of Endocrine Diseases, Assistant Professor of the </w:t>
            </w:r>
          </w:p>
          <w:p w:rsidR="00D27BC6" w:rsidRDefault="004D5071">
            <w:pPr>
              <w:spacing w:after="0" w:line="259" w:lineRule="auto"/>
              <w:ind w:left="0" w:right="0" w:firstLine="0"/>
            </w:pPr>
            <w:r>
              <w:t xml:space="preserve">Chair of Diabetology and Dietology, Endocrinology Research Centre of the Ministry of Health of the </w:t>
            </w:r>
          </w:p>
          <w:p w:rsidR="00D27BC6" w:rsidRDefault="004D5071">
            <w:pPr>
              <w:spacing w:after="0" w:line="259" w:lineRule="auto"/>
              <w:ind w:left="0" w:right="0" w:firstLine="0"/>
              <w:jc w:val="left"/>
            </w:pPr>
            <w:r>
              <w:t>Russian Federation</w:t>
            </w:r>
          </w:p>
        </w:tc>
      </w:tr>
      <w:tr w:rsidR="00D27BC6">
        <w:trPr>
          <w:trHeight w:val="850"/>
        </w:trPr>
        <w:tc>
          <w:tcPr>
            <w:tcW w:w="2098" w:type="dxa"/>
            <w:tcBorders>
              <w:top w:val="nil"/>
              <w:left w:val="nil"/>
              <w:bottom w:val="nil"/>
              <w:right w:val="nil"/>
            </w:tcBorders>
          </w:tcPr>
          <w:p w:rsidR="00D27BC6" w:rsidRDefault="004D5071">
            <w:pPr>
              <w:spacing w:after="0" w:line="259" w:lineRule="auto"/>
              <w:ind w:left="0" w:right="0" w:firstLine="0"/>
              <w:jc w:val="left"/>
            </w:pPr>
            <w:r>
              <w:rPr>
                <w:b/>
              </w:rPr>
              <w:t>Volevodz N.</w:t>
            </w:r>
            <w:r>
              <w:t xml:space="preserve">  </w:t>
            </w:r>
          </w:p>
        </w:tc>
        <w:tc>
          <w:tcPr>
            <w:tcW w:w="8150" w:type="dxa"/>
            <w:tcBorders>
              <w:top w:val="nil"/>
              <w:left w:val="nil"/>
              <w:bottom w:val="nil"/>
              <w:right w:val="nil"/>
            </w:tcBorders>
          </w:tcPr>
          <w:p w:rsidR="00D27BC6" w:rsidRDefault="004D5071">
            <w:pPr>
              <w:spacing w:after="0" w:line="236" w:lineRule="auto"/>
              <w:ind w:left="0" w:right="0" w:firstLine="0"/>
            </w:pPr>
            <w:r>
              <w:t xml:space="preserve">PhD, Deputy Director on Research and Consultative&amp;Diagnostic activities, Professor of the Chair of Diabetology and Dietology, Endocrinology Research Centre of the Ministry of Health of the Russian </w:t>
            </w:r>
          </w:p>
          <w:p w:rsidR="00D27BC6" w:rsidRDefault="004D5071">
            <w:pPr>
              <w:spacing w:after="0" w:line="259" w:lineRule="auto"/>
              <w:ind w:left="0" w:right="0" w:firstLine="0"/>
              <w:jc w:val="left"/>
            </w:pPr>
            <w:r>
              <w:t>Federation</w:t>
            </w:r>
          </w:p>
        </w:tc>
      </w:tr>
      <w:tr w:rsidR="00D27BC6">
        <w:trPr>
          <w:trHeight w:val="850"/>
        </w:trPr>
        <w:tc>
          <w:tcPr>
            <w:tcW w:w="2098" w:type="dxa"/>
            <w:tcBorders>
              <w:top w:val="nil"/>
              <w:left w:val="nil"/>
              <w:bottom w:val="nil"/>
              <w:right w:val="nil"/>
            </w:tcBorders>
          </w:tcPr>
          <w:p w:rsidR="00D27BC6" w:rsidRDefault="004D5071">
            <w:pPr>
              <w:spacing w:after="0" w:line="259" w:lineRule="auto"/>
              <w:ind w:left="0" w:right="0" w:firstLine="0"/>
              <w:jc w:val="left"/>
            </w:pPr>
            <w:r>
              <w:rPr>
                <w:b/>
              </w:rPr>
              <w:t>Galstyan G.</w:t>
            </w:r>
            <w:r>
              <w:t xml:space="preserve">  </w:t>
            </w:r>
          </w:p>
        </w:tc>
        <w:tc>
          <w:tcPr>
            <w:tcW w:w="8150" w:type="dxa"/>
            <w:tcBorders>
              <w:top w:val="nil"/>
              <w:left w:val="nil"/>
              <w:bottom w:val="nil"/>
              <w:right w:val="nil"/>
            </w:tcBorders>
          </w:tcPr>
          <w:p w:rsidR="00D27BC6" w:rsidRDefault="004D5071">
            <w:pPr>
              <w:spacing w:after="0" w:line="236" w:lineRule="auto"/>
              <w:ind w:left="0" w:right="0" w:firstLine="0"/>
            </w:pPr>
            <w:r>
              <w:t xml:space="preserve">PhD, Head of the Diabetic Foot Department, Professor of the Chair of Diabetology and Dietology, Head of the Expert Center, Endocrinology Research Centre of the Ministry of Health of the Russian </w:t>
            </w:r>
          </w:p>
          <w:p w:rsidR="00D27BC6" w:rsidRDefault="004D5071">
            <w:pPr>
              <w:spacing w:after="0" w:line="259" w:lineRule="auto"/>
              <w:ind w:left="0" w:right="0" w:firstLine="0"/>
              <w:jc w:val="left"/>
            </w:pPr>
            <w:r>
              <w:t>Federation</w:t>
            </w:r>
          </w:p>
        </w:tc>
      </w:tr>
      <w:tr w:rsidR="00D27BC6">
        <w:trPr>
          <w:trHeight w:val="549"/>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Gomova I. </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 xml:space="preserve">Candidate of Medical Science, Physician of the Department of Cardiology and Vascular Surgery, Endocrinology Research Centre of the Ministry of Health of the Russian Federation </w:t>
            </w:r>
          </w:p>
        </w:tc>
      </w:tr>
    </w:tbl>
    <w:p w:rsidR="00D27BC6" w:rsidRDefault="00D27BC6">
      <w:pPr>
        <w:spacing w:after="0" w:line="259" w:lineRule="auto"/>
        <w:ind w:left="-848" w:right="11061" w:firstLine="0"/>
        <w:jc w:val="left"/>
      </w:pPr>
    </w:p>
    <w:tbl>
      <w:tblPr>
        <w:tblStyle w:val="TableGrid"/>
        <w:tblW w:w="10248" w:type="dxa"/>
        <w:tblInd w:w="2" w:type="dxa"/>
        <w:tblCellMar>
          <w:top w:w="1" w:type="dxa"/>
          <w:left w:w="0" w:type="dxa"/>
          <w:bottom w:w="0" w:type="dxa"/>
          <w:right w:w="0" w:type="dxa"/>
        </w:tblCellMar>
        <w:tblLook w:val="04A0" w:firstRow="1" w:lastRow="0" w:firstColumn="1" w:lastColumn="0" w:noHBand="0" w:noVBand="1"/>
      </w:tblPr>
      <w:tblGrid>
        <w:gridCol w:w="2098"/>
        <w:gridCol w:w="8150"/>
      </w:tblGrid>
      <w:tr w:rsidR="00D27BC6">
        <w:trPr>
          <w:trHeight w:val="789"/>
        </w:trPr>
        <w:tc>
          <w:tcPr>
            <w:tcW w:w="2098" w:type="dxa"/>
            <w:tcBorders>
              <w:top w:val="nil"/>
              <w:left w:val="nil"/>
              <w:bottom w:val="nil"/>
              <w:right w:val="nil"/>
            </w:tcBorders>
          </w:tcPr>
          <w:p w:rsidR="00D27BC6" w:rsidRDefault="004D5071">
            <w:pPr>
              <w:spacing w:after="0" w:line="259" w:lineRule="auto"/>
              <w:ind w:left="0" w:right="0" w:firstLine="0"/>
              <w:jc w:val="left"/>
            </w:pPr>
            <w:r>
              <w:rPr>
                <w:b/>
              </w:rPr>
              <w:t>Grigoryan O.</w:t>
            </w:r>
            <w:r>
              <w:t xml:space="preserve">  </w:t>
            </w:r>
          </w:p>
        </w:tc>
        <w:tc>
          <w:tcPr>
            <w:tcW w:w="8150" w:type="dxa"/>
            <w:tcBorders>
              <w:top w:val="nil"/>
              <w:left w:val="nil"/>
              <w:bottom w:val="nil"/>
              <w:right w:val="nil"/>
            </w:tcBorders>
          </w:tcPr>
          <w:p w:rsidR="00D27BC6" w:rsidRDefault="004D5071">
            <w:pPr>
              <w:spacing w:after="0" w:line="236" w:lineRule="auto"/>
              <w:ind w:left="0" w:right="0" w:firstLine="0"/>
            </w:pPr>
            <w:r>
              <w:t>PhD, Chief Research Fellow of the Department of Endocrinologic</w:t>
            </w:r>
            <w:r>
              <w:t xml:space="preserve">al Gynecology, Professor of the Chair of Endocrinology, Endocrinology Research Centre of the Ministry of Health of the Russian </w:t>
            </w:r>
          </w:p>
          <w:p w:rsidR="00D27BC6" w:rsidRDefault="004D5071">
            <w:pPr>
              <w:spacing w:after="0" w:line="259" w:lineRule="auto"/>
              <w:ind w:left="0" w:right="0" w:firstLine="0"/>
              <w:jc w:val="left"/>
            </w:pPr>
            <w:r>
              <w:t>Federation</w:t>
            </w:r>
          </w:p>
        </w:tc>
      </w:tr>
      <w:tr w:rsidR="00D27BC6">
        <w:trPr>
          <w:trHeight w:val="610"/>
        </w:trPr>
        <w:tc>
          <w:tcPr>
            <w:tcW w:w="2098" w:type="dxa"/>
            <w:tcBorders>
              <w:top w:val="nil"/>
              <w:left w:val="nil"/>
              <w:bottom w:val="nil"/>
              <w:right w:val="nil"/>
            </w:tcBorders>
          </w:tcPr>
          <w:p w:rsidR="00D27BC6" w:rsidRDefault="004D5071">
            <w:pPr>
              <w:spacing w:after="0" w:line="259" w:lineRule="auto"/>
              <w:ind w:left="0" w:right="0" w:firstLine="0"/>
              <w:jc w:val="left"/>
            </w:pPr>
            <w:r>
              <w:rPr>
                <w:b/>
              </w:rPr>
              <w:t>Dzhemilova Z.</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 xml:space="preserve">Candidate of Medical Science, Research Fellow of the Diabetic Foot Department, Endocrinology Research Centre of the Ministry of Health of the Russian Federation </w:t>
            </w:r>
          </w:p>
        </w:tc>
      </w:tr>
      <w:tr w:rsidR="00D27BC6">
        <w:trPr>
          <w:trHeight w:val="850"/>
        </w:trPr>
        <w:tc>
          <w:tcPr>
            <w:tcW w:w="2098" w:type="dxa"/>
            <w:tcBorders>
              <w:top w:val="nil"/>
              <w:left w:val="nil"/>
              <w:bottom w:val="nil"/>
              <w:right w:val="nil"/>
            </w:tcBorders>
          </w:tcPr>
          <w:p w:rsidR="00D27BC6" w:rsidRDefault="004D5071">
            <w:pPr>
              <w:spacing w:after="0" w:line="259" w:lineRule="auto"/>
              <w:ind w:left="0" w:right="0" w:firstLine="0"/>
              <w:jc w:val="left"/>
            </w:pPr>
            <w:r>
              <w:rPr>
                <w:b/>
              </w:rPr>
              <w:t>Dzgoeva F.</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Candidate of Medical Sciences, Head of the Dietetic Assistance Department, Assis</w:t>
            </w:r>
            <w:r>
              <w:t>tant Professor of the Chair of Diabetology and Dietology, Endocrinology Research Centre of the Ministry of Health of the Russian Federation</w:t>
            </w:r>
          </w:p>
        </w:tc>
      </w:tr>
      <w:tr w:rsidR="00D27BC6">
        <w:trPr>
          <w:trHeight w:val="1090"/>
        </w:trPr>
        <w:tc>
          <w:tcPr>
            <w:tcW w:w="2098" w:type="dxa"/>
            <w:tcBorders>
              <w:top w:val="nil"/>
              <w:left w:val="nil"/>
              <w:bottom w:val="nil"/>
              <w:right w:val="nil"/>
            </w:tcBorders>
          </w:tcPr>
          <w:p w:rsidR="00D27BC6" w:rsidRDefault="004D5071">
            <w:pPr>
              <w:spacing w:after="0" w:line="259" w:lineRule="auto"/>
              <w:ind w:left="0" w:right="0" w:firstLine="0"/>
              <w:jc w:val="left"/>
            </w:pPr>
            <w:r>
              <w:rPr>
                <w:b/>
              </w:rPr>
              <w:t>Ibragimova L.</w:t>
            </w:r>
            <w:r>
              <w:t xml:space="preserve"> </w:t>
            </w:r>
          </w:p>
        </w:tc>
        <w:tc>
          <w:tcPr>
            <w:tcW w:w="8150" w:type="dxa"/>
            <w:tcBorders>
              <w:top w:val="nil"/>
              <w:left w:val="nil"/>
              <w:bottom w:val="nil"/>
              <w:right w:val="nil"/>
            </w:tcBorders>
          </w:tcPr>
          <w:p w:rsidR="00D27BC6" w:rsidRDefault="004D5071">
            <w:pPr>
              <w:spacing w:after="0" w:line="236" w:lineRule="auto"/>
              <w:ind w:left="0" w:right="42" w:firstLine="0"/>
            </w:pPr>
            <w:r>
              <w:t>Candidate of Medical Science, Leading Research Fellow of the Department “Diabetes and Pregnancy”, Head of the Department of Diabetes Care and Innovation, Assistant Professor of the Chair of Diabetology and Dietology, Endocrinology Research Centre of the Mi</w:t>
            </w:r>
            <w:r>
              <w:t xml:space="preserve">nistry of Health of the Russian </w:t>
            </w:r>
          </w:p>
          <w:p w:rsidR="00D27BC6" w:rsidRDefault="004D5071">
            <w:pPr>
              <w:spacing w:after="0" w:line="259" w:lineRule="auto"/>
              <w:ind w:left="0" w:right="0" w:firstLine="0"/>
              <w:jc w:val="left"/>
            </w:pPr>
            <w:r>
              <w:t>Federation</w:t>
            </w:r>
          </w:p>
        </w:tc>
      </w:tr>
      <w:tr w:rsidR="00D27BC6">
        <w:trPr>
          <w:trHeight w:val="1090"/>
        </w:trPr>
        <w:tc>
          <w:tcPr>
            <w:tcW w:w="2098" w:type="dxa"/>
            <w:tcBorders>
              <w:top w:val="nil"/>
              <w:left w:val="nil"/>
              <w:bottom w:val="nil"/>
              <w:right w:val="nil"/>
            </w:tcBorders>
          </w:tcPr>
          <w:p w:rsidR="00D27BC6" w:rsidRDefault="004D5071">
            <w:pPr>
              <w:spacing w:after="0" w:line="259" w:lineRule="auto"/>
              <w:ind w:left="0" w:right="0" w:firstLine="0"/>
              <w:jc w:val="left"/>
            </w:pPr>
            <w:r>
              <w:rPr>
                <w:b/>
              </w:rPr>
              <w:t>Kalashnikov V.</w:t>
            </w:r>
            <w:r>
              <w:t xml:space="preserve">  </w:t>
            </w:r>
          </w:p>
        </w:tc>
        <w:tc>
          <w:tcPr>
            <w:tcW w:w="8150" w:type="dxa"/>
            <w:tcBorders>
              <w:top w:val="nil"/>
              <w:left w:val="nil"/>
              <w:bottom w:val="nil"/>
              <w:right w:val="nil"/>
            </w:tcBorders>
          </w:tcPr>
          <w:p w:rsidR="00D27BC6" w:rsidRDefault="004D5071">
            <w:pPr>
              <w:spacing w:after="0" w:line="259" w:lineRule="auto"/>
              <w:ind w:left="0" w:right="42" w:firstLine="0"/>
            </w:pPr>
            <w:r>
              <w:t>Corresponding Member of the Russian Academy of Sciences, PhD, Head of the Coordination Council – Deputy of Director of Endocrinology Research Centre, Head of the Department of Cardiology and Vascular Surgery, Endocrinology Research Centre of the Ministry o</w:t>
            </w:r>
            <w:r>
              <w:t>f Health of the Russian Federation</w:t>
            </w:r>
          </w:p>
        </w:tc>
      </w:tr>
      <w:tr w:rsidR="00D27BC6">
        <w:trPr>
          <w:trHeight w:val="850"/>
        </w:trPr>
        <w:tc>
          <w:tcPr>
            <w:tcW w:w="2098" w:type="dxa"/>
            <w:tcBorders>
              <w:top w:val="nil"/>
              <w:left w:val="nil"/>
              <w:bottom w:val="nil"/>
              <w:right w:val="nil"/>
            </w:tcBorders>
          </w:tcPr>
          <w:p w:rsidR="00D27BC6" w:rsidRDefault="004D5071">
            <w:pPr>
              <w:spacing w:after="0" w:line="259" w:lineRule="auto"/>
              <w:ind w:left="0" w:right="0" w:firstLine="0"/>
              <w:jc w:val="left"/>
            </w:pPr>
            <w:r>
              <w:rPr>
                <w:b/>
              </w:rPr>
              <w:t>Kononenko I.</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Candidate of Medical Sciences, Head of the Department of Research and Development of the Coordination Council, Assistant Professor of the Chair of Diabetology and Dietology, Endocrinology Research Centre o</w:t>
            </w:r>
            <w:r>
              <w:t>f the Ministry of Health of the Russian Federation</w:t>
            </w:r>
          </w:p>
        </w:tc>
      </w:tr>
      <w:tr w:rsidR="00D27BC6">
        <w:trPr>
          <w:trHeight w:val="610"/>
        </w:trPr>
        <w:tc>
          <w:tcPr>
            <w:tcW w:w="2098" w:type="dxa"/>
            <w:tcBorders>
              <w:top w:val="nil"/>
              <w:left w:val="nil"/>
              <w:bottom w:val="nil"/>
              <w:right w:val="nil"/>
            </w:tcBorders>
          </w:tcPr>
          <w:p w:rsidR="00D27BC6" w:rsidRDefault="004D5071">
            <w:pPr>
              <w:spacing w:after="0" w:line="259" w:lineRule="auto"/>
              <w:ind w:left="0" w:right="0" w:firstLine="0"/>
              <w:jc w:val="left"/>
            </w:pPr>
            <w:r>
              <w:rPr>
                <w:b/>
              </w:rPr>
              <w:t>Kuraeva T.</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 xml:space="preserve">Professor, PhD, Chief Research Associate of the Department of Pediatric Diabetes, Endocrinology Research Centre of the Ministry of Health of the Russian Federation </w:t>
            </w:r>
          </w:p>
        </w:tc>
      </w:tr>
      <w:tr w:rsidR="00D27BC6">
        <w:trPr>
          <w:trHeight w:val="850"/>
        </w:trPr>
        <w:tc>
          <w:tcPr>
            <w:tcW w:w="2098" w:type="dxa"/>
            <w:tcBorders>
              <w:top w:val="nil"/>
              <w:left w:val="nil"/>
              <w:bottom w:val="nil"/>
              <w:right w:val="nil"/>
            </w:tcBorders>
          </w:tcPr>
          <w:p w:rsidR="00D27BC6" w:rsidRDefault="004D5071">
            <w:pPr>
              <w:spacing w:after="0" w:line="259" w:lineRule="auto"/>
              <w:ind w:left="0" w:right="0" w:firstLine="0"/>
              <w:jc w:val="left"/>
            </w:pPr>
            <w:r>
              <w:rPr>
                <w:b/>
              </w:rPr>
              <w:t>Laptev D.</w:t>
            </w:r>
            <w:r>
              <w:t xml:space="preserve">  </w:t>
            </w:r>
          </w:p>
        </w:tc>
        <w:tc>
          <w:tcPr>
            <w:tcW w:w="8150" w:type="dxa"/>
            <w:tcBorders>
              <w:top w:val="nil"/>
              <w:left w:val="nil"/>
              <w:bottom w:val="nil"/>
              <w:right w:val="nil"/>
            </w:tcBorders>
          </w:tcPr>
          <w:p w:rsidR="00D27BC6" w:rsidRDefault="004D5071">
            <w:pPr>
              <w:spacing w:after="0" w:line="259" w:lineRule="auto"/>
              <w:ind w:left="0" w:right="0" w:firstLine="0"/>
              <w:jc w:val="left"/>
            </w:pPr>
            <w:r>
              <w:t xml:space="preserve">PhD, Head of the Department of Pediatric Diabetes, Professor of the Chair of Pediatric Endocrinology&amp;Diabetology, Endocrinology Research Centre of the Ministry of Health of the Russian Federation </w:t>
            </w:r>
          </w:p>
        </w:tc>
      </w:tr>
      <w:tr w:rsidR="00D27BC6">
        <w:trPr>
          <w:trHeight w:val="610"/>
        </w:trPr>
        <w:tc>
          <w:tcPr>
            <w:tcW w:w="2098" w:type="dxa"/>
            <w:tcBorders>
              <w:top w:val="nil"/>
              <w:left w:val="nil"/>
              <w:bottom w:val="nil"/>
              <w:right w:val="nil"/>
            </w:tcBorders>
          </w:tcPr>
          <w:p w:rsidR="00D27BC6" w:rsidRDefault="004D5071">
            <w:pPr>
              <w:spacing w:after="0" w:line="259" w:lineRule="auto"/>
              <w:ind w:left="0" w:right="0" w:firstLine="0"/>
              <w:jc w:val="left"/>
            </w:pPr>
            <w:r>
              <w:rPr>
                <w:b/>
              </w:rPr>
              <w:t>Lipatov D.</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PhD, Head of the Department of Organizational</w:t>
            </w:r>
            <w:r>
              <w:t xml:space="preserve"> Support, Helmholtz Scientific Medical Research Centre of the Ministry of Health of the Russian Federation</w:t>
            </w:r>
          </w:p>
        </w:tc>
      </w:tr>
      <w:tr w:rsidR="00D27BC6">
        <w:trPr>
          <w:trHeight w:val="610"/>
        </w:trPr>
        <w:tc>
          <w:tcPr>
            <w:tcW w:w="2098" w:type="dxa"/>
            <w:tcBorders>
              <w:top w:val="nil"/>
              <w:left w:val="nil"/>
              <w:bottom w:val="nil"/>
              <w:right w:val="nil"/>
            </w:tcBorders>
          </w:tcPr>
          <w:p w:rsidR="00D27BC6" w:rsidRDefault="004D5071">
            <w:pPr>
              <w:spacing w:after="0" w:line="259" w:lineRule="auto"/>
              <w:ind w:left="0" w:right="0" w:firstLine="0"/>
              <w:jc w:val="left"/>
            </w:pPr>
            <w:r>
              <w:rPr>
                <w:b/>
              </w:rPr>
              <w:t>Melnikova O.</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Candidate of Medical Sciences, Leading Research Fellow of the Department of Diabetes Therapy, Endocrinology Research Centre of the Ministry of Health of the Russian Federation</w:t>
            </w:r>
            <w:r>
              <w:rPr>
                <w:b/>
              </w:rPr>
              <w:t xml:space="preserve"> </w:t>
            </w:r>
          </w:p>
        </w:tc>
      </w:tr>
      <w:tr w:rsidR="00D27BC6">
        <w:trPr>
          <w:trHeight w:val="610"/>
        </w:trPr>
        <w:tc>
          <w:tcPr>
            <w:tcW w:w="2098" w:type="dxa"/>
            <w:tcBorders>
              <w:top w:val="nil"/>
              <w:left w:val="nil"/>
              <w:bottom w:val="nil"/>
              <w:right w:val="nil"/>
            </w:tcBorders>
          </w:tcPr>
          <w:p w:rsidR="00D27BC6" w:rsidRDefault="004D5071">
            <w:pPr>
              <w:spacing w:after="0" w:line="259" w:lineRule="auto"/>
              <w:ind w:left="0" w:right="0" w:firstLine="0"/>
              <w:jc w:val="left"/>
            </w:pPr>
            <w:r>
              <w:rPr>
                <w:b/>
              </w:rPr>
              <w:t>Mikhina M.</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Physician of the Department of Diabetes Therapy, Endocrinology Re</w:t>
            </w:r>
            <w:r>
              <w:t>search Centre of the Ministry of Health of the Russian Federation</w:t>
            </w:r>
          </w:p>
        </w:tc>
      </w:tr>
      <w:tr w:rsidR="00D27BC6">
        <w:trPr>
          <w:trHeight w:val="610"/>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Michurova M. </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 xml:space="preserve">Research Fellow of the Department of Cardiology and Vascular Surgery, Endocrinology Research Centre of the Ministry of Health of the Russian Federation </w:t>
            </w:r>
          </w:p>
        </w:tc>
      </w:tr>
      <w:tr w:rsidR="00D27BC6">
        <w:trPr>
          <w:trHeight w:val="850"/>
        </w:trPr>
        <w:tc>
          <w:tcPr>
            <w:tcW w:w="2098" w:type="dxa"/>
            <w:tcBorders>
              <w:top w:val="nil"/>
              <w:left w:val="nil"/>
              <w:bottom w:val="nil"/>
              <w:right w:val="nil"/>
            </w:tcBorders>
          </w:tcPr>
          <w:p w:rsidR="00D27BC6" w:rsidRDefault="004D5071">
            <w:pPr>
              <w:spacing w:after="0" w:line="259" w:lineRule="auto"/>
              <w:ind w:left="0" w:right="0" w:firstLine="0"/>
              <w:jc w:val="left"/>
            </w:pPr>
            <w:r>
              <w:rPr>
                <w:b/>
              </w:rPr>
              <w:t>Mishina E.</w:t>
            </w:r>
            <w:r>
              <w:t xml:space="preserve">  </w:t>
            </w:r>
          </w:p>
        </w:tc>
        <w:tc>
          <w:tcPr>
            <w:tcW w:w="8150" w:type="dxa"/>
            <w:tcBorders>
              <w:top w:val="nil"/>
              <w:left w:val="nil"/>
              <w:bottom w:val="nil"/>
              <w:right w:val="nil"/>
            </w:tcBorders>
          </w:tcPr>
          <w:p w:rsidR="00D27BC6" w:rsidRDefault="004D5071">
            <w:pPr>
              <w:spacing w:after="0" w:line="236" w:lineRule="auto"/>
              <w:ind w:left="0" w:right="0" w:firstLine="0"/>
            </w:pPr>
            <w:r>
              <w:t>Candida</w:t>
            </w:r>
            <w:r>
              <w:t xml:space="preserve">te of Medical Sciences, Endocrinologist of the Research Department, Research Associate of the Clamp Technology Laboratory, Endocrinology Research Centre of the Ministry of Health of the </w:t>
            </w:r>
          </w:p>
          <w:p w:rsidR="00D27BC6" w:rsidRDefault="004D5071">
            <w:pPr>
              <w:spacing w:after="0" w:line="259" w:lineRule="auto"/>
              <w:ind w:left="0" w:right="0" w:firstLine="0"/>
              <w:jc w:val="left"/>
            </w:pPr>
            <w:r>
              <w:t>Russian Federation</w:t>
            </w:r>
          </w:p>
        </w:tc>
      </w:tr>
      <w:tr w:rsidR="00D27BC6">
        <w:trPr>
          <w:trHeight w:val="610"/>
        </w:trPr>
        <w:tc>
          <w:tcPr>
            <w:tcW w:w="2098" w:type="dxa"/>
            <w:tcBorders>
              <w:top w:val="nil"/>
              <w:left w:val="nil"/>
              <w:bottom w:val="nil"/>
              <w:right w:val="nil"/>
            </w:tcBorders>
          </w:tcPr>
          <w:p w:rsidR="00D27BC6" w:rsidRDefault="004D5071">
            <w:pPr>
              <w:spacing w:after="0" w:line="259" w:lineRule="auto"/>
              <w:ind w:left="0" w:right="0" w:firstLine="0"/>
              <w:jc w:val="left"/>
            </w:pPr>
            <w:r>
              <w:rPr>
                <w:b/>
              </w:rPr>
              <w:t>Motovilin O.</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Candidate of Psychological Sciences, Leading Research Fellow of the Department of Diabetes Therapy, Endocrinology Research Centre of the Ministry of Health of the Russian Federation</w:t>
            </w:r>
          </w:p>
        </w:tc>
      </w:tr>
      <w:tr w:rsidR="00D27BC6">
        <w:trPr>
          <w:trHeight w:val="850"/>
        </w:trPr>
        <w:tc>
          <w:tcPr>
            <w:tcW w:w="2098" w:type="dxa"/>
            <w:tcBorders>
              <w:top w:val="nil"/>
              <w:left w:val="nil"/>
              <w:bottom w:val="nil"/>
              <w:right w:val="nil"/>
            </w:tcBorders>
          </w:tcPr>
          <w:p w:rsidR="00D27BC6" w:rsidRDefault="004D5071">
            <w:pPr>
              <w:spacing w:after="0" w:line="259" w:lineRule="auto"/>
              <w:ind w:left="0" w:right="0" w:firstLine="0"/>
              <w:jc w:val="left"/>
            </w:pPr>
            <w:r>
              <w:rPr>
                <w:b/>
              </w:rPr>
              <w:t>Nikonova T.</w:t>
            </w:r>
            <w:r>
              <w:t xml:space="preserve"> </w:t>
            </w:r>
          </w:p>
        </w:tc>
        <w:tc>
          <w:tcPr>
            <w:tcW w:w="8150" w:type="dxa"/>
            <w:tcBorders>
              <w:top w:val="nil"/>
              <w:left w:val="nil"/>
              <w:bottom w:val="nil"/>
              <w:right w:val="nil"/>
            </w:tcBorders>
          </w:tcPr>
          <w:p w:rsidR="00D27BC6" w:rsidRDefault="004D5071">
            <w:pPr>
              <w:spacing w:after="0" w:line="259" w:lineRule="auto"/>
              <w:ind w:left="0" w:right="44" w:firstLine="0"/>
            </w:pPr>
            <w:r>
              <w:t>PhD, Head of the Department of Drug and Medical Devices of t</w:t>
            </w:r>
            <w:r>
              <w:t>he Coordination Council, Professor of the Chair of Diabetology and Dietology, Endocrinology Research Centre of the Ministry of Health of the Russian Federation</w:t>
            </w:r>
          </w:p>
        </w:tc>
      </w:tr>
      <w:tr w:rsidR="00D27BC6">
        <w:trPr>
          <w:trHeight w:val="610"/>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Rozhivanov R. </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PhD, Chief Research Fellow of the Department of Andrology and Urology, Professor of the Chair of Endocrinology, Endocrinology Research Centre of the Ministry of Health of the Russian Federation</w:t>
            </w:r>
          </w:p>
        </w:tc>
      </w:tr>
      <w:tr w:rsidR="00D27BC6">
        <w:trPr>
          <w:trHeight w:val="610"/>
        </w:trPr>
        <w:tc>
          <w:tcPr>
            <w:tcW w:w="2098" w:type="dxa"/>
            <w:tcBorders>
              <w:top w:val="nil"/>
              <w:left w:val="nil"/>
              <w:bottom w:val="nil"/>
              <w:right w:val="nil"/>
            </w:tcBorders>
          </w:tcPr>
          <w:p w:rsidR="00D27BC6" w:rsidRDefault="004D5071">
            <w:pPr>
              <w:spacing w:after="0" w:line="259" w:lineRule="auto"/>
              <w:ind w:left="0" w:right="0" w:firstLine="0"/>
              <w:jc w:val="left"/>
            </w:pPr>
            <w:r>
              <w:rPr>
                <w:b/>
              </w:rPr>
              <w:t>Smirnova O.</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PhD, Professor, Chief Specialist of the Editori</w:t>
            </w:r>
            <w:r>
              <w:t>al Department, Endocrinology Research Centre of the Ministry of Health of the Russian Federation</w:t>
            </w:r>
          </w:p>
        </w:tc>
      </w:tr>
      <w:tr w:rsidR="00D27BC6">
        <w:trPr>
          <w:trHeight w:val="610"/>
        </w:trPr>
        <w:tc>
          <w:tcPr>
            <w:tcW w:w="2098" w:type="dxa"/>
            <w:tcBorders>
              <w:top w:val="nil"/>
              <w:left w:val="nil"/>
              <w:bottom w:val="nil"/>
              <w:right w:val="nil"/>
            </w:tcBorders>
          </w:tcPr>
          <w:p w:rsidR="00D27BC6" w:rsidRDefault="004D5071">
            <w:pPr>
              <w:spacing w:after="0" w:line="259" w:lineRule="auto"/>
              <w:ind w:left="0" w:right="0" w:firstLine="0"/>
              <w:jc w:val="left"/>
            </w:pPr>
            <w:r>
              <w:rPr>
                <w:b/>
              </w:rPr>
              <w:t xml:space="preserve">Starostina E. </w:t>
            </w:r>
            <w:r>
              <w:t xml:space="preserve"> </w:t>
            </w:r>
          </w:p>
        </w:tc>
        <w:tc>
          <w:tcPr>
            <w:tcW w:w="8150" w:type="dxa"/>
            <w:tcBorders>
              <w:top w:val="nil"/>
              <w:left w:val="nil"/>
              <w:bottom w:val="nil"/>
              <w:right w:val="nil"/>
            </w:tcBorders>
          </w:tcPr>
          <w:p w:rsidR="00D27BC6" w:rsidRDefault="004D5071">
            <w:pPr>
              <w:spacing w:after="0" w:line="259" w:lineRule="auto"/>
              <w:ind w:left="0" w:right="0" w:firstLine="0"/>
              <w:jc w:val="left"/>
            </w:pPr>
            <w:r>
              <w:t>PhD, Professor, Head of the Chair of Endocrinology, Postgraduate Training Faculty, M.F. Vladimirsky Moscow Regional Clinical and Research Inst</w:t>
            </w:r>
            <w:r>
              <w:t>itute of the Ministry of Health of Moscow region</w:t>
            </w:r>
          </w:p>
        </w:tc>
      </w:tr>
      <w:tr w:rsidR="00D27BC6">
        <w:trPr>
          <w:trHeight w:val="610"/>
        </w:trPr>
        <w:tc>
          <w:tcPr>
            <w:tcW w:w="2098" w:type="dxa"/>
            <w:tcBorders>
              <w:top w:val="nil"/>
              <w:left w:val="nil"/>
              <w:bottom w:val="nil"/>
              <w:right w:val="nil"/>
            </w:tcBorders>
          </w:tcPr>
          <w:p w:rsidR="00D27BC6" w:rsidRDefault="004D5071">
            <w:pPr>
              <w:spacing w:after="0" w:line="259" w:lineRule="auto"/>
              <w:ind w:left="0" w:right="0" w:firstLine="0"/>
              <w:jc w:val="left"/>
            </w:pPr>
            <w:r>
              <w:rPr>
                <w:b/>
              </w:rPr>
              <w:t>Surkova E.</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PhD, Professor of the Chair of Endocrinology, I.M. Sechenov First Moscow State Medical University of the Ministry of Health of the Russian Federation (Sechenov University)</w:t>
            </w:r>
          </w:p>
        </w:tc>
      </w:tr>
      <w:tr w:rsidR="00D27BC6">
        <w:trPr>
          <w:trHeight w:val="549"/>
        </w:trPr>
        <w:tc>
          <w:tcPr>
            <w:tcW w:w="2098" w:type="dxa"/>
            <w:tcBorders>
              <w:top w:val="nil"/>
              <w:left w:val="nil"/>
              <w:bottom w:val="nil"/>
              <w:right w:val="nil"/>
            </w:tcBorders>
          </w:tcPr>
          <w:p w:rsidR="00D27BC6" w:rsidRDefault="004D5071">
            <w:pPr>
              <w:spacing w:after="0" w:line="259" w:lineRule="auto"/>
              <w:ind w:left="0" w:right="0" w:firstLine="0"/>
              <w:jc w:val="left"/>
            </w:pPr>
            <w:r>
              <w:rPr>
                <w:b/>
              </w:rPr>
              <w:t>Tiselko A</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Ph.D., Leading Research Fellow of the Department of Endocrinology, FSBI «The Research Institute of Obstetrics, Gynecology and Reproductology named after D.O. Ott»</w:t>
            </w:r>
          </w:p>
        </w:tc>
      </w:tr>
    </w:tbl>
    <w:p w:rsidR="00D27BC6" w:rsidRDefault="00D27BC6">
      <w:pPr>
        <w:spacing w:after="0" w:line="259" w:lineRule="auto"/>
        <w:ind w:left="-848" w:right="11061" w:firstLine="0"/>
        <w:jc w:val="left"/>
      </w:pPr>
    </w:p>
    <w:tbl>
      <w:tblPr>
        <w:tblStyle w:val="TableGrid"/>
        <w:tblW w:w="10248" w:type="dxa"/>
        <w:tblInd w:w="2" w:type="dxa"/>
        <w:tblCellMar>
          <w:top w:w="0" w:type="dxa"/>
          <w:left w:w="0" w:type="dxa"/>
          <w:bottom w:w="0" w:type="dxa"/>
          <w:right w:w="0" w:type="dxa"/>
        </w:tblCellMar>
        <w:tblLook w:val="04A0" w:firstRow="1" w:lastRow="0" w:firstColumn="1" w:lastColumn="0" w:noHBand="0" w:noVBand="1"/>
      </w:tblPr>
      <w:tblGrid>
        <w:gridCol w:w="2098"/>
        <w:gridCol w:w="8150"/>
      </w:tblGrid>
      <w:tr w:rsidR="00D27BC6">
        <w:trPr>
          <w:trHeight w:val="541"/>
        </w:trPr>
        <w:tc>
          <w:tcPr>
            <w:tcW w:w="2098" w:type="dxa"/>
            <w:tcBorders>
              <w:top w:val="nil"/>
              <w:left w:val="nil"/>
              <w:bottom w:val="nil"/>
              <w:right w:val="nil"/>
            </w:tcBorders>
          </w:tcPr>
          <w:p w:rsidR="00D27BC6" w:rsidRDefault="004D5071">
            <w:pPr>
              <w:spacing w:after="0" w:line="259" w:lineRule="auto"/>
              <w:ind w:left="0" w:right="0" w:firstLine="0"/>
              <w:jc w:val="left"/>
            </w:pPr>
            <w:r>
              <w:rPr>
                <w:b/>
              </w:rPr>
              <w:t>Tokmakova A.</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PhD, Chief Research Fellow of the Diabetic Foot Department, Endocrinology Research Centre of the Ministry of Health of the Russian Federation</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Shamkhalova M.</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PhD, Head of the Diabetic Kidney Disease and Post-transplant Rehabilitation Department, Professo</w:t>
            </w:r>
            <w:r>
              <w:t>r of the Chair of Diabetology and Dietology, Endocrinology Research Centre of the Ministry of Health of the Russian Federation</w:t>
            </w:r>
          </w:p>
        </w:tc>
      </w:tr>
      <w:tr w:rsidR="00D27BC6">
        <w:trPr>
          <w:trHeight w:val="593"/>
        </w:trPr>
        <w:tc>
          <w:tcPr>
            <w:tcW w:w="2098" w:type="dxa"/>
            <w:tcBorders>
              <w:top w:val="nil"/>
              <w:left w:val="nil"/>
              <w:bottom w:val="nil"/>
              <w:right w:val="nil"/>
            </w:tcBorders>
          </w:tcPr>
          <w:p w:rsidR="00D27BC6" w:rsidRDefault="004D5071">
            <w:pPr>
              <w:spacing w:after="0" w:line="259" w:lineRule="auto"/>
              <w:ind w:left="0" w:right="0" w:firstLine="0"/>
              <w:jc w:val="left"/>
            </w:pPr>
            <w:r>
              <w:rPr>
                <w:b/>
              </w:rPr>
              <w:t>Shestakova E.</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PhD, Chief Research Fellow of the Department of Diabetes Care and Innovation, Professor of the Chair of Endocrinology, Russian Medical Academy of Continuing Professional Education</w:t>
            </w:r>
          </w:p>
        </w:tc>
      </w:tr>
      <w:tr w:rsidR="00D27BC6">
        <w:trPr>
          <w:trHeight w:val="833"/>
        </w:trPr>
        <w:tc>
          <w:tcPr>
            <w:tcW w:w="2098" w:type="dxa"/>
            <w:tcBorders>
              <w:top w:val="nil"/>
              <w:left w:val="nil"/>
              <w:bottom w:val="nil"/>
              <w:right w:val="nil"/>
            </w:tcBorders>
          </w:tcPr>
          <w:p w:rsidR="00D27BC6" w:rsidRDefault="004D5071">
            <w:pPr>
              <w:spacing w:after="0" w:line="259" w:lineRule="auto"/>
              <w:ind w:left="0" w:right="0" w:firstLine="0"/>
              <w:jc w:val="left"/>
            </w:pPr>
            <w:r>
              <w:rPr>
                <w:b/>
              </w:rPr>
              <w:t>Jarek-Martynowa I.</w:t>
            </w:r>
            <w:r>
              <w:t xml:space="preserve">  </w:t>
            </w:r>
          </w:p>
        </w:tc>
        <w:tc>
          <w:tcPr>
            <w:tcW w:w="8150" w:type="dxa"/>
            <w:tcBorders>
              <w:top w:val="nil"/>
              <w:left w:val="nil"/>
              <w:bottom w:val="nil"/>
              <w:right w:val="nil"/>
            </w:tcBorders>
          </w:tcPr>
          <w:p w:rsidR="00D27BC6" w:rsidRDefault="004D5071">
            <w:pPr>
              <w:spacing w:after="0" w:line="259" w:lineRule="auto"/>
              <w:ind w:left="0" w:right="43" w:firstLine="0"/>
            </w:pPr>
            <w:r>
              <w:t xml:space="preserve">Candidate of Medical Sciences, Deputy of Chief Doctor </w:t>
            </w:r>
            <w:r>
              <w:t>of Endocrinology Research Centre, Leading Research Fellow of the Department of Diabetic Kidney Disease and Post-transplant Rehabilitation, Endocrinology Research Centre of the Ministry of Health of the Russian Federation</w:t>
            </w:r>
          </w:p>
        </w:tc>
      </w:tr>
      <w:tr w:rsidR="00D27BC6">
        <w:trPr>
          <w:trHeight w:val="541"/>
        </w:trPr>
        <w:tc>
          <w:tcPr>
            <w:tcW w:w="2098" w:type="dxa"/>
            <w:tcBorders>
              <w:top w:val="nil"/>
              <w:left w:val="nil"/>
              <w:bottom w:val="nil"/>
              <w:right w:val="nil"/>
            </w:tcBorders>
          </w:tcPr>
          <w:p w:rsidR="00D27BC6" w:rsidRDefault="004D5071">
            <w:pPr>
              <w:spacing w:after="0" w:line="259" w:lineRule="auto"/>
              <w:ind w:left="0" w:right="0" w:firstLine="0"/>
              <w:jc w:val="left"/>
            </w:pPr>
            <w:r>
              <w:rPr>
                <w:b/>
              </w:rPr>
              <w:t>Yaroslavceva M.</w:t>
            </w:r>
            <w:r>
              <w:t xml:space="preserve"> </w:t>
            </w:r>
          </w:p>
        </w:tc>
        <w:tc>
          <w:tcPr>
            <w:tcW w:w="8150" w:type="dxa"/>
            <w:tcBorders>
              <w:top w:val="nil"/>
              <w:left w:val="nil"/>
              <w:bottom w:val="nil"/>
              <w:right w:val="nil"/>
            </w:tcBorders>
          </w:tcPr>
          <w:p w:rsidR="00D27BC6" w:rsidRDefault="004D5071">
            <w:pPr>
              <w:spacing w:after="0" w:line="259" w:lineRule="auto"/>
              <w:ind w:left="0" w:right="0" w:firstLine="0"/>
            </w:pPr>
            <w:r>
              <w:t>Candidate of Medical Sciences, Senior Research Fellow of the Diabetic Foot Department, Endocrinology Research Centre of the Ministry of Health of the Russian Federation</w:t>
            </w:r>
          </w:p>
        </w:tc>
      </w:tr>
    </w:tbl>
    <w:p w:rsidR="00D27BC6" w:rsidRDefault="004D5071">
      <w:r>
        <w:br w:type="page"/>
      </w:r>
    </w:p>
    <w:p w:rsidR="00D27BC6" w:rsidRDefault="004D5071">
      <w:pPr>
        <w:spacing w:after="12"/>
        <w:ind w:left="290" w:right="284"/>
        <w:jc w:val="center"/>
      </w:pPr>
      <w:r>
        <w:rPr>
          <w:b/>
        </w:rPr>
        <w:t>REVIEWED AND APPROVED BY THE FOLLOWING EXPERTS:</w:t>
      </w:r>
    </w:p>
    <w:p w:rsidR="00D27BC6" w:rsidRDefault="004D5071">
      <w:pPr>
        <w:tabs>
          <w:tab w:val="right" w:pos="10213"/>
        </w:tabs>
        <w:spacing w:after="160" w:line="259" w:lineRule="auto"/>
        <w:ind w:left="0" w:right="0" w:firstLine="0"/>
        <w:jc w:val="left"/>
      </w:pPr>
      <w:r>
        <w:rPr>
          <w:b/>
        </w:rPr>
        <w:t>Ametov A.</w:t>
      </w:r>
      <w:r>
        <w:t xml:space="preserve">  </w:t>
      </w:r>
      <w:r>
        <w:tab/>
        <w:t>Professor, Head of the C</w:t>
      </w:r>
      <w:r>
        <w:t xml:space="preserve">hair of Endocrinology, Head of the UNESCO Network Chair on the subject </w:t>
      </w:r>
    </w:p>
    <w:p w:rsidR="00D27BC6" w:rsidRDefault="004D5071">
      <w:pPr>
        <w:spacing w:after="160" w:line="259" w:lineRule="auto"/>
        <w:ind w:left="0" w:right="0" w:firstLine="0"/>
        <w:jc w:val="left"/>
      </w:pPr>
      <w:r>
        <w:t xml:space="preserve">«Bioethics of diabetes as a global problem», Russian Medical Academy of Continuing Professional </w:t>
      </w:r>
    </w:p>
    <w:p w:rsidR="00D27BC6" w:rsidRDefault="004D5071">
      <w:pPr>
        <w:spacing w:after="160" w:line="259" w:lineRule="auto"/>
        <w:ind w:left="0" w:right="0" w:firstLine="0"/>
        <w:jc w:val="left"/>
      </w:pPr>
      <w:r>
        <w:t>Education of the Ministry of Health of the Russian Federation</w:t>
      </w:r>
    </w:p>
    <w:p w:rsidR="00D27BC6" w:rsidRDefault="004D5071">
      <w:pPr>
        <w:tabs>
          <w:tab w:val="right" w:pos="10213"/>
        </w:tabs>
        <w:spacing w:after="160" w:line="259" w:lineRule="auto"/>
        <w:ind w:left="0" w:right="0" w:firstLine="0"/>
        <w:jc w:val="left"/>
      </w:pPr>
      <w:r>
        <w:rPr>
          <w:b/>
        </w:rPr>
        <w:t>Antsiferov M.</w:t>
      </w:r>
      <w:r>
        <w:t xml:space="preserve">  </w:t>
      </w:r>
      <w:r>
        <w:tab/>
        <w:t>Professor</w:t>
      </w:r>
      <w:r>
        <w:t xml:space="preserve">, President of Moscow Endocrinology Dispensary, Professor of the Chair of Endocrinology, </w:t>
      </w:r>
    </w:p>
    <w:p w:rsidR="00D27BC6" w:rsidRDefault="004D5071">
      <w:pPr>
        <w:spacing w:after="160" w:line="259" w:lineRule="auto"/>
        <w:ind w:left="0" w:right="0" w:firstLine="0"/>
        <w:jc w:val="left"/>
      </w:pPr>
      <w:r>
        <w:t xml:space="preserve">Russian Medical Academy of Continuing Professional Education, Chief Endocrinologist of Moscow </w:t>
      </w:r>
    </w:p>
    <w:p w:rsidR="00D27BC6" w:rsidRDefault="004D5071">
      <w:pPr>
        <w:spacing w:after="160" w:line="259" w:lineRule="auto"/>
        <w:ind w:left="0" w:right="0" w:firstLine="0"/>
        <w:jc w:val="left"/>
      </w:pPr>
      <w:r>
        <w:t>Health Department</w:t>
      </w:r>
    </w:p>
    <w:p w:rsidR="00D27BC6" w:rsidRDefault="004D5071">
      <w:pPr>
        <w:tabs>
          <w:tab w:val="right" w:pos="10213"/>
        </w:tabs>
        <w:spacing w:after="160" w:line="259" w:lineRule="auto"/>
        <w:ind w:left="0" w:right="0" w:firstLine="0"/>
        <w:jc w:val="left"/>
      </w:pPr>
      <w:r>
        <w:rPr>
          <w:b/>
        </w:rPr>
        <w:t>Mkrtumyan A.</w:t>
      </w:r>
      <w:r>
        <w:t xml:space="preserve"> </w:t>
      </w:r>
      <w:r>
        <w:tab/>
      </w:r>
      <w:r>
        <w:t xml:space="preserve">Professor, Head of the Chair of Endocrinology and Diabetology, Federal State Budgetary Educational </w:t>
      </w:r>
    </w:p>
    <w:p w:rsidR="00D27BC6" w:rsidRDefault="004D5071">
      <w:pPr>
        <w:spacing w:after="160" w:line="259" w:lineRule="auto"/>
        <w:ind w:left="0" w:right="0" w:firstLine="0"/>
        <w:jc w:val="left"/>
      </w:pPr>
      <w:r>
        <w:t xml:space="preserve">Institution of Higher Education “Russian University of Medicine” of The Ministry of Health of The </w:t>
      </w:r>
    </w:p>
    <w:p w:rsidR="00D27BC6" w:rsidRDefault="004D5071">
      <w:pPr>
        <w:spacing w:after="160" w:line="259" w:lineRule="auto"/>
        <w:ind w:left="0" w:right="0" w:firstLine="0"/>
        <w:jc w:val="left"/>
      </w:pPr>
      <w:r>
        <w:t xml:space="preserve">Russian Federation, Head of the Scientific Department of </w:t>
      </w:r>
      <w:r>
        <w:t xml:space="preserve">Endocrine and Metabolic Disorders of </w:t>
      </w:r>
    </w:p>
    <w:p w:rsidR="00D27BC6" w:rsidRDefault="004D5071">
      <w:pPr>
        <w:spacing w:after="160" w:line="259" w:lineRule="auto"/>
        <w:ind w:left="0" w:right="0" w:firstLine="0"/>
        <w:jc w:val="left"/>
      </w:pPr>
      <w:r>
        <w:t>Moscow Scientific and Practical Center named after A.S. Loginov, Moscow Department of Health.</w:t>
      </w:r>
    </w:p>
    <w:p w:rsidR="00D27BC6" w:rsidRDefault="004D5071">
      <w:pPr>
        <w:tabs>
          <w:tab w:val="right" w:pos="10213"/>
        </w:tabs>
        <w:spacing w:after="160" w:line="259" w:lineRule="auto"/>
        <w:ind w:left="0" w:right="0" w:firstLine="0"/>
        <w:jc w:val="left"/>
      </w:pPr>
      <w:r>
        <w:rPr>
          <w:b/>
        </w:rPr>
        <w:t xml:space="preserve">Petunina N. </w:t>
      </w:r>
      <w:r>
        <w:t xml:space="preserve"> </w:t>
      </w:r>
      <w:r>
        <w:tab/>
        <w:t xml:space="preserve">Corresponding Member of the Russian Academy of Sciences, Professor, Head of the Chair of </w:t>
      </w:r>
    </w:p>
    <w:p w:rsidR="00D27BC6" w:rsidRDefault="004D5071">
      <w:pPr>
        <w:spacing w:after="160" w:line="259" w:lineRule="auto"/>
        <w:ind w:left="0" w:right="0" w:firstLine="0"/>
        <w:jc w:val="left"/>
      </w:pPr>
      <w:r>
        <w:t xml:space="preserve">Endocrinology, I.M. </w:t>
      </w:r>
      <w:r>
        <w:t xml:space="preserve">Sechenov First Moscow State Medical University of the Ministry of Health of </w:t>
      </w:r>
    </w:p>
    <w:p w:rsidR="00D27BC6" w:rsidRDefault="004D5071">
      <w:pPr>
        <w:spacing w:after="160" w:line="259" w:lineRule="auto"/>
        <w:ind w:left="0" w:right="0" w:firstLine="0"/>
        <w:jc w:val="left"/>
      </w:pPr>
      <w:r>
        <w:t>the Russian Federation (Sechenov University), Chief Endocrinologist of the Central Federal District</w:t>
      </w:r>
    </w:p>
    <w:p w:rsidR="00D27BC6" w:rsidRDefault="004D5071">
      <w:pPr>
        <w:tabs>
          <w:tab w:val="right" w:pos="10213"/>
        </w:tabs>
        <w:spacing w:after="160" w:line="259" w:lineRule="auto"/>
        <w:ind w:left="0" w:right="0" w:firstLine="0"/>
        <w:jc w:val="left"/>
      </w:pPr>
      <w:r>
        <w:rPr>
          <w:b/>
        </w:rPr>
        <w:t xml:space="preserve">Khalimov Yu. </w:t>
      </w:r>
      <w:r>
        <w:t xml:space="preserve"> </w:t>
      </w:r>
      <w:r>
        <w:tab/>
        <w:t xml:space="preserve">Professor, Head of Faculty Therapy Department, Academician I.P. </w:t>
      </w:r>
      <w:r>
        <w:t xml:space="preserve">Pavlov First Saint Petersburg State </w:t>
      </w:r>
    </w:p>
    <w:p w:rsidR="00D27BC6" w:rsidRDefault="004D5071">
      <w:pPr>
        <w:spacing w:after="160" w:line="259" w:lineRule="auto"/>
        <w:ind w:left="0" w:right="0" w:firstLine="0"/>
        <w:jc w:val="left"/>
      </w:pPr>
      <w:r>
        <w:t>Medical University, Chief Endocrinologist of Saint Petersburg Health Committee</w:t>
      </w:r>
    </w:p>
    <w:p w:rsidR="00D27BC6" w:rsidRDefault="004D5071">
      <w:pPr>
        <w:pStyle w:val="Heading1"/>
        <w:ind w:left="313" w:right="307"/>
      </w:pPr>
      <w:r>
        <w:t>СОДЕРЖАНИЕ</w:t>
      </w:r>
    </w:p>
    <w:p w:rsidR="00D27BC6" w:rsidRDefault="004D5071">
      <w:pPr>
        <w:tabs>
          <w:tab w:val="center" w:pos="6898"/>
          <w:tab w:val="right" w:pos="10213"/>
        </w:tabs>
        <w:spacing w:after="160" w:line="259" w:lineRule="auto"/>
        <w:ind w:left="0" w:right="0" w:firstLine="0"/>
        <w:jc w:val="left"/>
      </w:pPr>
      <w:r>
        <w:rPr>
          <w:b/>
          <w:sz w:val="19"/>
        </w:rPr>
        <w:t xml:space="preserve">ПРЕДИСЛОВИЕ К ДВЕНАДЦАТОМУ ВЫПУСКУ </w:t>
      </w:r>
      <w:r>
        <w:rPr>
          <w:b/>
          <w:sz w:val="19"/>
        </w:rPr>
        <w:tab/>
        <w:t xml:space="preserve"> . . . . . . . . . . . . . . . . . . . . . . . . . . . . . . . . . . . . . . . . . . . . . . </w:t>
      </w:r>
      <w:r>
        <w:rPr>
          <w:b/>
          <w:sz w:val="19"/>
        </w:rPr>
        <w:t xml:space="preserve">. . . . . . . . . . . . . . . . . . </w:t>
      </w:r>
      <w:r>
        <w:rPr>
          <w:b/>
          <w:sz w:val="19"/>
        </w:rPr>
        <w:tab/>
        <w:t>13</w:t>
      </w:r>
    </w:p>
    <w:p w:rsidR="00D27BC6" w:rsidRDefault="004D5071">
      <w:pPr>
        <w:numPr>
          <w:ilvl w:val="0"/>
          <w:numId w:val="1"/>
        </w:numPr>
        <w:spacing w:after="160" w:line="259" w:lineRule="auto"/>
        <w:ind w:right="0" w:hanging="299"/>
        <w:jc w:val="left"/>
      </w:pPr>
      <w:r>
        <w:rPr>
          <w:b/>
          <w:sz w:val="19"/>
        </w:rPr>
        <w:t xml:space="preserve">ОПРЕДЕЛЕНИЕ САХАРНОГО ДИАБЕТА И ЕГО КЛАССИФИКАЦИЯ </w:t>
      </w:r>
      <w:r>
        <w:rPr>
          <w:b/>
          <w:sz w:val="19"/>
        </w:rPr>
        <w:tab/>
        <w:t xml:space="preserve"> . . . . . . . . . . . . . . . . . . . . . . . . . . . . . . . . . . . . . . . . . . . . </w:t>
      </w:r>
      <w:r>
        <w:rPr>
          <w:b/>
          <w:sz w:val="19"/>
        </w:rPr>
        <w:tab/>
        <w:t>17</w:t>
      </w:r>
    </w:p>
    <w:p w:rsidR="00D27BC6" w:rsidRDefault="004D5071">
      <w:pPr>
        <w:numPr>
          <w:ilvl w:val="0"/>
          <w:numId w:val="1"/>
        </w:numPr>
        <w:spacing w:after="160" w:line="259" w:lineRule="auto"/>
        <w:ind w:right="0" w:hanging="299"/>
        <w:jc w:val="left"/>
      </w:pPr>
      <w:r>
        <w:rPr>
          <w:b/>
          <w:sz w:val="19"/>
        </w:rPr>
        <w:t xml:space="preserve">ДИАГНОСТИКА САХАРНОГО ДИАБЕТА </w:t>
      </w:r>
      <w:r>
        <w:rPr>
          <w:b/>
          <w:sz w:val="19"/>
        </w:rPr>
        <w:tab/>
      </w:r>
      <w:r>
        <w:rPr>
          <w:b/>
          <w:sz w:val="19"/>
        </w:rPr>
        <w:t xml:space="preserve"> . . . . . . . . . . . . . . . . . . . . . . . . . . . . . . . . . . . . . . . . . . . . . . . . . . . . . . . . . . . . . . . . . . . . </w:t>
      </w:r>
      <w:r>
        <w:rPr>
          <w:b/>
          <w:sz w:val="19"/>
        </w:rPr>
        <w:tab/>
        <w:t>18</w:t>
      </w:r>
    </w:p>
    <w:p w:rsidR="00D27BC6" w:rsidRDefault="004D5071">
      <w:pPr>
        <w:numPr>
          <w:ilvl w:val="1"/>
          <w:numId w:val="1"/>
        </w:numPr>
        <w:spacing w:after="160" w:line="259" w:lineRule="auto"/>
        <w:ind w:right="0" w:firstLine="0"/>
        <w:jc w:val="left"/>
      </w:pPr>
      <w:r>
        <w:rPr>
          <w:sz w:val="19"/>
        </w:rPr>
        <w:t xml:space="preserve">ДИАГНОСТИЧЕСКИЕ КРИТЕРИИ СД И ДРУГИХ НАРУШЕНИЙ ГЛИКЕМИИ (ВОЗ, 1999–2013) </w:t>
      </w:r>
      <w:r>
        <w:rPr>
          <w:sz w:val="19"/>
        </w:rPr>
        <w:tab/>
      </w:r>
      <w:r>
        <w:rPr>
          <w:sz w:val="19"/>
        </w:rPr>
        <w:t xml:space="preserve"> . . . . . . . . . . . . . . . . . . . . </w:t>
      </w:r>
      <w:r>
        <w:rPr>
          <w:sz w:val="19"/>
        </w:rPr>
        <w:tab/>
        <w:t>18</w:t>
      </w:r>
    </w:p>
    <w:p w:rsidR="00D27BC6" w:rsidRDefault="004D5071">
      <w:pPr>
        <w:numPr>
          <w:ilvl w:val="1"/>
          <w:numId w:val="1"/>
        </w:numPr>
        <w:spacing w:after="160" w:line="259" w:lineRule="auto"/>
        <w:ind w:right="0" w:firstLine="0"/>
        <w:jc w:val="left"/>
      </w:pPr>
      <w:r>
        <w:rPr>
          <w:sz w:val="19"/>
        </w:rPr>
        <w:t xml:space="preserve">НbA1с КАК ДИАГНОСТИЧЕСКИЙ КРИТЕРИЙ СД </w:t>
      </w:r>
      <w:r>
        <w:rPr>
          <w:sz w:val="19"/>
        </w:rPr>
        <w:tab/>
        <w:t xml:space="preserve"> . . . . . . . . . . . . . . . . . . . . . . . . . . . . . . . . . . . . . . . . . . . . . . . . . . . . . . . . . . . . . . . </w:t>
      </w:r>
      <w:r>
        <w:rPr>
          <w:sz w:val="19"/>
        </w:rPr>
        <w:tab/>
        <w:t>19</w:t>
      </w:r>
    </w:p>
    <w:p w:rsidR="00D27BC6" w:rsidRDefault="004D5071">
      <w:pPr>
        <w:numPr>
          <w:ilvl w:val="1"/>
          <w:numId w:val="1"/>
        </w:numPr>
        <w:spacing w:after="160" w:line="259" w:lineRule="auto"/>
        <w:ind w:right="0" w:firstLine="0"/>
        <w:jc w:val="left"/>
      </w:pPr>
      <w:r>
        <w:rPr>
          <w:sz w:val="19"/>
        </w:rPr>
        <w:t>КРИТЕРИИ РЕМИССИИ САХАРНОГО ДИАБЕТА 2 ТИП</w:t>
      </w:r>
      <w:r>
        <w:rPr>
          <w:sz w:val="19"/>
        </w:rPr>
        <w:t xml:space="preserve">А </w:t>
      </w:r>
      <w:r>
        <w:rPr>
          <w:sz w:val="19"/>
        </w:rPr>
        <w:tab/>
        <w:t xml:space="preserve">. . . . . . . . . . . . . . . . . . . . . . . . . . . . . . . . . . . . . . . . . . . . . . . . . . . . . . . . . </w:t>
      </w:r>
      <w:r>
        <w:rPr>
          <w:sz w:val="19"/>
        </w:rPr>
        <w:tab/>
        <w:t>20</w:t>
      </w:r>
    </w:p>
    <w:p w:rsidR="00D27BC6" w:rsidRDefault="004D5071">
      <w:pPr>
        <w:numPr>
          <w:ilvl w:val="1"/>
          <w:numId w:val="1"/>
        </w:numPr>
        <w:spacing w:after="160" w:line="259" w:lineRule="auto"/>
        <w:ind w:right="0" w:firstLine="0"/>
        <w:jc w:val="left"/>
      </w:pPr>
      <w:r>
        <w:rPr>
          <w:sz w:val="19"/>
        </w:rPr>
        <w:t xml:space="preserve">ДИФФЕРЕНЦИАЛЬНАЯ ДИАГНОСТИКА </w:t>
      </w:r>
      <w:r>
        <w:rPr>
          <w:sz w:val="19"/>
        </w:rPr>
        <w:tab/>
        <w:t xml:space="preserve"> . . . . . . . . . . . . . . . . . . . . . . . . . . . . . . . . . . . . . . . . . . . . . . . . . . . . </w:t>
      </w:r>
      <w:r>
        <w:rPr>
          <w:sz w:val="19"/>
        </w:rPr>
        <w:t xml:space="preserve">. . . . . . . . . . . . . . . . . . . . </w:t>
      </w:r>
      <w:r>
        <w:rPr>
          <w:sz w:val="19"/>
        </w:rPr>
        <w:tab/>
        <w:t>20</w:t>
      </w:r>
    </w:p>
    <w:p w:rsidR="00D27BC6" w:rsidRDefault="004D5071">
      <w:pPr>
        <w:numPr>
          <w:ilvl w:val="0"/>
          <w:numId w:val="1"/>
        </w:numPr>
        <w:spacing w:after="160" w:line="259" w:lineRule="auto"/>
        <w:ind w:right="0" w:hanging="299"/>
        <w:jc w:val="left"/>
      </w:pPr>
      <w:r>
        <w:rPr>
          <w:b/>
          <w:sz w:val="19"/>
        </w:rPr>
        <w:t xml:space="preserve">ТЕРАПЕВТИЧЕСКИЕ ЦЕЛИ ПРИ САХАРНОМ ДИАБЕТЕ 1 И 2 ТИПА </w:t>
      </w:r>
      <w:r>
        <w:rPr>
          <w:b/>
          <w:sz w:val="19"/>
        </w:rPr>
        <w:tab/>
        <w:t xml:space="preserve"> . . . . . . . . . . . . . . . . . . . . . . . . . . . . . . . . . . . . . . . . . . . </w:t>
      </w:r>
      <w:r>
        <w:rPr>
          <w:b/>
          <w:sz w:val="19"/>
        </w:rPr>
        <w:tab/>
        <w:t>20</w:t>
      </w:r>
    </w:p>
    <w:p w:rsidR="00D27BC6" w:rsidRDefault="004D5071">
      <w:pPr>
        <w:numPr>
          <w:ilvl w:val="1"/>
          <w:numId w:val="1"/>
        </w:numPr>
        <w:spacing w:after="160" w:line="259" w:lineRule="auto"/>
        <w:ind w:right="0" w:firstLine="0"/>
        <w:jc w:val="left"/>
      </w:pPr>
      <w:r>
        <w:rPr>
          <w:sz w:val="19"/>
        </w:rPr>
        <w:t>ПОКАЗАТЕЛИ КОНТРОЛЯ УГЛЕВОДНОГО ОБМЕНА (ИНДИВИДУАЛЬНЫЕ ЦЕЛИ ЛЕЧЕНИЯ</w:t>
      </w:r>
      <w:r>
        <w:rPr>
          <w:sz w:val="19"/>
        </w:rPr>
        <w:t xml:space="preserve">) </w:t>
      </w:r>
      <w:r>
        <w:rPr>
          <w:sz w:val="19"/>
        </w:rPr>
        <w:tab/>
        <w:t xml:space="preserve"> . . . . . . . . . . . . . . . . . . . . </w:t>
      </w:r>
      <w:r>
        <w:rPr>
          <w:sz w:val="19"/>
        </w:rPr>
        <w:tab/>
        <w:t>20</w:t>
      </w:r>
    </w:p>
    <w:p w:rsidR="00D27BC6" w:rsidRDefault="004D5071">
      <w:pPr>
        <w:numPr>
          <w:ilvl w:val="1"/>
          <w:numId w:val="1"/>
        </w:numPr>
        <w:spacing w:after="160" w:line="259" w:lineRule="auto"/>
        <w:ind w:right="0" w:firstLine="0"/>
        <w:jc w:val="left"/>
      </w:pPr>
      <w:r>
        <w:rPr>
          <w:sz w:val="19"/>
        </w:rPr>
        <w:t xml:space="preserve">МЕТОДЫ КОНТРОЛЯ УРОВНЯ ГЛЮКОЗЫ </w:t>
      </w:r>
      <w:r>
        <w:rPr>
          <w:sz w:val="19"/>
        </w:rPr>
        <w:tab/>
        <w:t xml:space="preserve"> . . . . . . . . . . . . . . . . . . . . . . . . . . . . . . . . . . . . . . . . . . . . . . . . . . . . . . . . . . . . . . . . . . . . . . . </w:t>
      </w:r>
      <w:r>
        <w:rPr>
          <w:sz w:val="19"/>
        </w:rPr>
        <w:tab/>
        <w:t>22</w:t>
      </w:r>
    </w:p>
    <w:p w:rsidR="00D27BC6" w:rsidRDefault="004D5071">
      <w:pPr>
        <w:numPr>
          <w:ilvl w:val="1"/>
          <w:numId w:val="1"/>
        </w:numPr>
        <w:spacing w:after="160" w:line="259" w:lineRule="auto"/>
        <w:ind w:right="0" w:firstLine="0"/>
        <w:jc w:val="left"/>
      </w:pPr>
      <w:r>
        <w:rPr>
          <w:sz w:val="19"/>
        </w:rPr>
        <w:t>ЦЕЛЕВЫЕ УРОВНИ ПОКАЗАТЕЛЕЙ ЛИ</w:t>
      </w:r>
      <w:r>
        <w:rPr>
          <w:sz w:val="19"/>
        </w:rPr>
        <w:t xml:space="preserve">ПИДНОГО ОБМЕНА </w:t>
      </w:r>
      <w:r>
        <w:rPr>
          <w:sz w:val="19"/>
        </w:rPr>
        <w:tab/>
        <w:t xml:space="preserve"> . . . . . . . . . . . . . . . . . . . . . . . . . . . . . . . . . . . . . . . . . . . . . . . . . . . . . </w:t>
      </w:r>
      <w:r>
        <w:rPr>
          <w:sz w:val="19"/>
        </w:rPr>
        <w:tab/>
        <w:t>23</w:t>
      </w:r>
    </w:p>
    <w:p w:rsidR="00D27BC6" w:rsidRDefault="004D5071">
      <w:pPr>
        <w:numPr>
          <w:ilvl w:val="1"/>
          <w:numId w:val="1"/>
        </w:numPr>
        <w:spacing w:after="160" w:line="259" w:lineRule="auto"/>
        <w:ind w:right="0" w:firstLine="0"/>
        <w:jc w:val="left"/>
      </w:pPr>
      <w:r>
        <w:rPr>
          <w:sz w:val="19"/>
        </w:rPr>
        <w:t xml:space="preserve">ЦЕЛЕВЫЕ УРОВНИ ПОКАЗАТЕЛЕЙ АРТЕРИАЛЬНОГО ДАВЛЕНИЯ </w:t>
      </w:r>
      <w:r>
        <w:rPr>
          <w:sz w:val="19"/>
        </w:rPr>
        <w:tab/>
        <w:t xml:space="preserve"> . . . . . . . . . . . . . . . . . . . . . . . . . . . . . . . . . . . . . . .</w:t>
      </w:r>
      <w:r>
        <w:rPr>
          <w:sz w:val="19"/>
        </w:rPr>
        <w:t xml:space="preserve"> . . . . . . . </w:t>
      </w:r>
      <w:r>
        <w:rPr>
          <w:sz w:val="19"/>
        </w:rPr>
        <w:tab/>
        <w:t>24</w:t>
      </w:r>
    </w:p>
    <w:p w:rsidR="00D27BC6" w:rsidRDefault="004D5071">
      <w:pPr>
        <w:numPr>
          <w:ilvl w:val="0"/>
          <w:numId w:val="1"/>
        </w:numPr>
        <w:spacing w:after="160" w:line="259" w:lineRule="auto"/>
        <w:ind w:right="0" w:hanging="299"/>
        <w:jc w:val="left"/>
      </w:pPr>
      <w:r>
        <w:rPr>
          <w:b/>
          <w:sz w:val="19"/>
        </w:rPr>
        <w:t xml:space="preserve">ТРЕБОВАНИЯ К ФОРМУЛИРОВКЕ ДИАГНОЗА ПРИ САХАРНОМ ДИАБЕТЕ </w:t>
      </w:r>
      <w:r>
        <w:rPr>
          <w:b/>
          <w:sz w:val="19"/>
        </w:rPr>
        <w:tab/>
        <w:t xml:space="preserve"> . . . . . . . . . . . . . . . . . . . . . . . . . . . . . . . . . . . . </w:t>
      </w:r>
      <w:r>
        <w:rPr>
          <w:b/>
          <w:sz w:val="19"/>
        </w:rPr>
        <w:tab/>
        <w:t>24</w:t>
      </w:r>
    </w:p>
    <w:p w:rsidR="00D27BC6" w:rsidRDefault="004D5071">
      <w:pPr>
        <w:numPr>
          <w:ilvl w:val="0"/>
          <w:numId w:val="1"/>
        </w:numPr>
        <w:spacing w:after="160" w:line="259" w:lineRule="auto"/>
        <w:ind w:right="0" w:hanging="299"/>
        <w:jc w:val="left"/>
      </w:pPr>
      <w:r>
        <w:rPr>
          <w:b/>
          <w:sz w:val="19"/>
        </w:rPr>
        <w:t xml:space="preserve">САХАРНЫЙ ДИАБЕТ 1 ТИПА </w:t>
      </w:r>
      <w:r>
        <w:rPr>
          <w:b/>
          <w:sz w:val="19"/>
        </w:rPr>
        <w:tab/>
        <w:t xml:space="preserve"> . . . . . . . . . . . . . . . . . . . . . . . . . . . . . . . . . . . . . . . </w:t>
      </w:r>
      <w:r>
        <w:rPr>
          <w:b/>
          <w:sz w:val="19"/>
        </w:rPr>
        <w:t xml:space="preserve">. . . . . . . . . . . . . . . . . . . . . . . . . . . . . . . . . . . . . . . </w:t>
      </w:r>
      <w:r>
        <w:rPr>
          <w:b/>
          <w:sz w:val="19"/>
        </w:rPr>
        <w:tab/>
        <w:t>24</w:t>
      </w:r>
    </w:p>
    <w:p w:rsidR="00D27BC6" w:rsidRDefault="004D5071">
      <w:pPr>
        <w:numPr>
          <w:ilvl w:val="1"/>
          <w:numId w:val="1"/>
        </w:numPr>
        <w:spacing w:after="160" w:line="259" w:lineRule="auto"/>
        <w:ind w:right="0" w:firstLine="0"/>
        <w:jc w:val="left"/>
      </w:pPr>
      <w:r>
        <w:rPr>
          <w:sz w:val="19"/>
        </w:rPr>
        <w:t xml:space="preserve">ЛЕЧЕНИЕ СД 1 ТИПА </w:t>
      </w:r>
      <w:r>
        <w:rPr>
          <w:sz w:val="19"/>
        </w:rPr>
        <w:tab/>
        <w:t xml:space="preserve"> . . . . . . . . . . . . . . . . . . . . . . . . . . . . . . . . . . . . . . . . . . . . . . . . . . . . . . . . . . . . . . . . . . . . . . . . . . . . . </w:t>
      </w:r>
      <w:r>
        <w:rPr>
          <w:sz w:val="19"/>
        </w:rPr>
        <w:t xml:space="preserve">. . . . . . . . . . . . . . </w:t>
      </w:r>
      <w:r>
        <w:rPr>
          <w:sz w:val="19"/>
        </w:rPr>
        <w:tab/>
        <w:t>24</w:t>
      </w:r>
    </w:p>
    <w:p w:rsidR="00D27BC6" w:rsidRDefault="004D5071">
      <w:pPr>
        <w:numPr>
          <w:ilvl w:val="2"/>
          <w:numId w:val="1"/>
        </w:numPr>
        <w:spacing w:after="160" w:line="259" w:lineRule="auto"/>
        <w:ind w:right="0" w:hanging="451"/>
        <w:jc w:val="left"/>
      </w:pPr>
      <w:r>
        <w:rPr>
          <w:sz w:val="19"/>
        </w:rPr>
        <w:t xml:space="preserve">Инсулинотерапия СД 1 типа </w:t>
      </w:r>
      <w:r>
        <w:rPr>
          <w:sz w:val="19"/>
        </w:rPr>
        <w:tab/>
        <w:t xml:space="preserve"> . . . . . . . . . . . . . . . . . . . . . . . . . . . . . . . . . . . . . . . . . . . . . . . . . . . . . . . . . . . . . . . . . . . . . . . . . . . . . . </w:t>
      </w:r>
      <w:r>
        <w:rPr>
          <w:sz w:val="19"/>
        </w:rPr>
        <w:tab/>
        <w:t>25</w:t>
      </w:r>
    </w:p>
    <w:p w:rsidR="00D27BC6" w:rsidRDefault="004D5071">
      <w:pPr>
        <w:numPr>
          <w:ilvl w:val="2"/>
          <w:numId w:val="1"/>
        </w:numPr>
        <w:spacing w:after="160" w:line="259" w:lineRule="auto"/>
        <w:ind w:right="0" w:hanging="451"/>
        <w:jc w:val="left"/>
      </w:pPr>
      <w:r>
        <w:rPr>
          <w:sz w:val="19"/>
        </w:rPr>
        <w:t xml:space="preserve">Помповая инсулинотерапия </w:t>
      </w:r>
      <w:r>
        <w:rPr>
          <w:sz w:val="19"/>
        </w:rPr>
        <w:tab/>
        <w:t xml:space="preserve"> . . . . .</w:t>
      </w:r>
      <w:r>
        <w:rPr>
          <w:sz w:val="19"/>
        </w:rPr>
        <w:t xml:space="preserve"> . . . . . . . . . . . . . . . . . . . . . . . . . . . . . . . . . . . . . . . . . . . . . . . . . . . . . . . . . . . . . . . . . . . . . . . . . </w:t>
      </w:r>
      <w:r>
        <w:rPr>
          <w:sz w:val="19"/>
        </w:rPr>
        <w:tab/>
        <w:t>26</w:t>
      </w:r>
    </w:p>
    <w:p w:rsidR="00D27BC6" w:rsidRDefault="004D5071">
      <w:pPr>
        <w:numPr>
          <w:ilvl w:val="2"/>
          <w:numId w:val="1"/>
        </w:numPr>
        <w:spacing w:after="160" w:line="259" w:lineRule="auto"/>
        <w:ind w:right="0" w:hanging="451"/>
        <w:jc w:val="left"/>
      </w:pPr>
      <w:r>
        <w:rPr>
          <w:sz w:val="19"/>
        </w:rPr>
        <w:t xml:space="preserve">Техника инъекций и инфузии инсулина </w:t>
      </w:r>
      <w:r>
        <w:rPr>
          <w:sz w:val="19"/>
        </w:rPr>
        <w:tab/>
        <w:t xml:space="preserve"> . . . . . . . . . . . . . . . . . . . . . . . . . . . . . . . . . .</w:t>
      </w:r>
      <w:r>
        <w:rPr>
          <w:sz w:val="19"/>
        </w:rPr>
        <w:t xml:space="preserve"> . . . . . . . . . . . . . . . . . . . . . . . . . . . . . . . . . </w:t>
      </w:r>
      <w:r>
        <w:rPr>
          <w:sz w:val="19"/>
        </w:rPr>
        <w:tab/>
        <w:t>27</w:t>
      </w:r>
    </w:p>
    <w:p w:rsidR="00D27BC6" w:rsidRDefault="004D5071">
      <w:pPr>
        <w:numPr>
          <w:ilvl w:val="2"/>
          <w:numId w:val="1"/>
        </w:numPr>
        <w:spacing w:after="160" w:line="259" w:lineRule="auto"/>
        <w:ind w:right="0" w:hanging="451"/>
        <w:jc w:val="left"/>
      </w:pPr>
      <w:r>
        <w:rPr>
          <w:sz w:val="19"/>
        </w:rPr>
        <w:t xml:space="preserve">Рекомендации по питанию </w:t>
      </w:r>
      <w:r>
        <w:rPr>
          <w:sz w:val="19"/>
        </w:rPr>
        <w:tab/>
        <w:t xml:space="preserve"> . . . . . . . . . . . . . . . . . . . . . . . . . . . . . . . . . . . . . . . . . . . . . . . . . . . . . . . . . . . . . . . . . . . . . . . . . . . . . . . </w:t>
      </w:r>
      <w:r>
        <w:rPr>
          <w:sz w:val="19"/>
        </w:rPr>
        <w:tab/>
      </w:r>
      <w:r>
        <w:rPr>
          <w:sz w:val="19"/>
        </w:rPr>
        <w:t>28</w:t>
      </w:r>
    </w:p>
    <w:p w:rsidR="00D27BC6" w:rsidRDefault="004D5071">
      <w:pPr>
        <w:numPr>
          <w:ilvl w:val="2"/>
          <w:numId w:val="1"/>
        </w:numPr>
        <w:spacing w:after="160" w:line="259" w:lineRule="auto"/>
        <w:ind w:right="0" w:hanging="451"/>
        <w:jc w:val="left"/>
      </w:pPr>
      <w:r>
        <w:rPr>
          <w:sz w:val="19"/>
        </w:rPr>
        <w:t xml:space="preserve">Рекомендации по физической активности </w:t>
      </w:r>
      <w:r>
        <w:rPr>
          <w:sz w:val="19"/>
        </w:rPr>
        <w:tab/>
        <w:t xml:space="preserve"> . . . . . . . . . . . . . . . . . . . . . . . . . . . . . . . . . . . . . . . . . . . . . . . . . . . . . . . . . . . . . . . . </w:t>
      </w:r>
      <w:r>
        <w:rPr>
          <w:sz w:val="19"/>
        </w:rPr>
        <w:tab/>
        <w:t>29</w:t>
      </w:r>
    </w:p>
    <w:p w:rsidR="00D27BC6" w:rsidRDefault="004D5071">
      <w:pPr>
        <w:numPr>
          <w:ilvl w:val="1"/>
          <w:numId w:val="1"/>
        </w:numPr>
        <w:spacing w:after="160" w:line="259" w:lineRule="auto"/>
        <w:ind w:right="0" w:firstLine="0"/>
        <w:jc w:val="left"/>
      </w:pPr>
      <w:r>
        <w:rPr>
          <w:sz w:val="19"/>
        </w:rPr>
        <w:t xml:space="preserve">МОНИТОРИНГ БОЛЬНЫХ СД 1 ТИПА БЕЗ ОСЛОЖНЕНИЙ </w:t>
      </w:r>
      <w:r>
        <w:rPr>
          <w:sz w:val="19"/>
        </w:rPr>
        <w:tab/>
        <w:t xml:space="preserve"> . . . . . . . . . . . . . . . . . .</w:t>
      </w:r>
      <w:r>
        <w:rPr>
          <w:sz w:val="19"/>
        </w:rPr>
        <w:t xml:space="preserve"> . . . . . . . . . . . . . . . . . . . . . . . . . . . . . . . . . . . . </w:t>
      </w:r>
      <w:r>
        <w:rPr>
          <w:sz w:val="19"/>
        </w:rPr>
        <w:tab/>
        <w:t>29</w:t>
      </w:r>
    </w:p>
    <w:p w:rsidR="00D27BC6" w:rsidRDefault="004D5071">
      <w:pPr>
        <w:numPr>
          <w:ilvl w:val="1"/>
          <w:numId w:val="1"/>
        </w:numPr>
        <w:spacing w:after="160" w:line="259" w:lineRule="auto"/>
        <w:ind w:right="0" w:firstLine="0"/>
        <w:jc w:val="left"/>
      </w:pPr>
      <w:r>
        <w:rPr>
          <w:sz w:val="19"/>
        </w:rPr>
        <w:t xml:space="preserve">ВОПРОСЫ ПРОФИЛАКТИКИ САХАРНОГО ДИАБЕТА 1 ТИПА </w:t>
      </w:r>
      <w:r>
        <w:rPr>
          <w:sz w:val="19"/>
        </w:rPr>
        <w:tab/>
        <w:t xml:space="preserve"> . . . . . . . . . . . . . . . . . . . . . . . . . . . . . . . . . . . . . . . . . . . . . . . . . . . </w:t>
      </w:r>
      <w:r>
        <w:rPr>
          <w:sz w:val="19"/>
        </w:rPr>
        <w:tab/>
        <w:t>30</w:t>
      </w:r>
    </w:p>
    <w:p w:rsidR="00D27BC6" w:rsidRDefault="004D5071">
      <w:pPr>
        <w:numPr>
          <w:ilvl w:val="0"/>
          <w:numId w:val="1"/>
        </w:numPr>
        <w:spacing w:after="160" w:line="259" w:lineRule="auto"/>
        <w:ind w:right="0" w:hanging="299"/>
        <w:jc w:val="left"/>
      </w:pPr>
      <w:r>
        <w:rPr>
          <w:b/>
          <w:sz w:val="19"/>
        </w:rPr>
        <w:t xml:space="preserve">САХАРНЫЙ ДИАБЕТ 2 ТИПА </w:t>
      </w:r>
      <w:r>
        <w:rPr>
          <w:b/>
          <w:sz w:val="19"/>
        </w:rPr>
        <w:tab/>
        <w:t xml:space="preserve"> </w:t>
      </w:r>
      <w:r>
        <w:rPr>
          <w:b/>
          <w:sz w:val="19"/>
        </w:rPr>
        <w:t xml:space="preserve">. . . . . . . . . . . . . . . . . . . . . . . . . . . . . . . . . . . . . . . . . . . . . . . . . . . . . . . . . . . . . . . . . . . . . . . . . . . . . . </w:t>
      </w:r>
      <w:r>
        <w:rPr>
          <w:b/>
          <w:sz w:val="19"/>
        </w:rPr>
        <w:tab/>
        <w:t>30</w:t>
      </w:r>
    </w:p>
    <w:p w:rsidR="00D27BC6" w:rsidRDefault="004D5071">
      <w:pPr>
        <w:numPr>
          <w:ilvl w:val="1"/>
          <w:numId w:val="1"/>
        </w:numPr>
        <w:spacing w:after="160" w:line="259" w:lineRule="auto"/>
        <w:ind w:right="0" w:firstLine="0"/>
        <w:jc w:val="left"/>
      </w:pPr>
      <w:r>
        <w:rPr>
          <w:sz w:val="19"/>
        </w:rPr>
        <w:t xml:space="preserve">ЛЕЧЕНИЕ СД 2 ТИПА </w:t>
      </w:r>
      <w:r>
        <w:rPr>
          <w:sz w:val="19"/>
        </w:rPr>
        <w:tab/>
        <w:t xml:space="preserve"> . . . . . . . . . . . . . . . . . . . . . . . . . . . . . . . . . . . . . . </w:t>
      </w:r>
      <w:r>
        <w:rPr>
          <w:sz w:val="19"/>
        </w:rPr>
        <w:t xml:space="preserve">. . . . . . . . . . . . . . . . . . . . . . . . . . . . . . . . . . . . . . . . . . . . . . . . . . . . . </w:t>
      </w:r>
      <w:r>
        <w:rPr>
          <w:sz w:val="19"/>
        </w:rPr>
        <w:tab/>
        <w:t>30</w:t>
      </w:r>
    </w:p>
    <w:p w:rsidR="00D27BC6" w:rsidRDefault="004D5071">
      <w:pPr>
        <w:numPr>
          <w:ilvl w:val="2"/>
          <w:numId w:val="1"/>
        </w:numPr>
        <w:spacing w:after="160" w:line="259" w:lineRule="auto"/>
        <w:ind w:right="0" w:hanging="451"/>
        <w:jc w:val="left"/>
      </w:pPr>
      <w:r>
        <w:rPr>
          <w:sz w:val="19"/>
        </w:rPr>
        <w:t xml:space="preserve">Рекомендации по питанию </w:t>
      </w:r>
      <w:r>
        <w:rPr>
          <w:sz w:val="19"/>
        </w:rPr>
        <w:tab/>
        <w:t xml:space="preserve"> . . . . . . . . . . . . . . . . . . . . . . . . . . . . . . . . . . . . . . . . . . . . . . . . . . . . . . . . . . . . </w:t>
      </w:r>
      <w:r>
        <w:rPr>
          <w:sz w:val="19"/>
        </w:rPr>
        <w:t xml:space="preserve">. . . . . . . . . . . . . . . . . . . </w:t>
      </w:r>
      <w:r>
        <w:rPr>
          <w:sz w:val="19"/>
        </w:rPr>
        <w:tab/>
        <w:t>31</w:t>
      </w:r>
    </w:p>
    <w:p w:rsidR="00D27BC6" w:rsidRDefault="004D5071">
      <w:pPr>
        <w:numPr>
          <w:ilvl w:val="2"/>
          <w:numId w:val="1"/>
        </w:numPr>
        <w:spacing w:after="160" w:line="259" w:lineRule="auto"/>
        <w:ind w:right="0" w:hanging="451"/>
        <w:jc w:val="left"/>
      </w:pPr>
      <w:r>
        <w:rPr>
          <w:sz w:val="19"/>
        </w:rPr>
        <w:t xml:space="preserve">Рекомендации по физической активности </w:t>
      </w:r>
      <w:r>
        <w:rPr>
          <w:sz w:val="19"/>
        </w:rPr>
        <w:tab/>
        <w:t xml:space="preserve"> . . . . . . . . . . . . . . . . . . . . . . . . . . . . . . . . . . . . . . . . . . . . . . . . . . . . . . . . . . . . . . . . </w:t>
      </w:r>
      <w:r>
        <w:rPr>
          <w:sz w:val="19"/>
        </w:rPr>
        <w:tab/>
        <w:t>31</w:t>
      </w:r>
    </w:p>
    <w:p w:rsidR="00D27BC6" w:rsidRDefault="004D5071">
      <w:pPr>
        <w:numPr>
          <w:ilvl w:val="2"/>
          <w:numId w:val="1"/>
        </w:numPr>
        <w:spacing w:after="160" w:line="259" w:lineRule="auto"/>
        <w:ind w:right="0" w:hanging="451"/>
        <w:jc w:val="left"/>
      </w:pPr>
      <w:r>
        <w:rPr>
          <w:sz w:val="19"/>
        </w:rPr>
        <w:t xml:space="preserve">Медикаментозная терапия </w:t>
      </w:r>
      <w:r>
        <w:rPr>
          <w:sz w:val="19"/>
        </w:rPr>
        <w:tab/>
      </w:r>
      <w:r>
        <w:rPr>
          <w:sz w:val="19"/>
        </w:rPr>
        <w:t xml:space="preserve"> . . . . . . . . . . . . . . . . . . . . . . . . . . . . . . . . . . . . . . . . . . . . . . . . . . . . . . . . . . . . . . . . . . . . . . . . . . . . . . . </w:t>
      </w:r>
      <w:r>
        <w:rPr>
          <w:sz w:val="19"/>
        </w:rPr>
        <w:tab/>
        <w:t>32</w:t>
      </w:r>
    </w:p>
    <w:p w:rsidR="00D27BC6" w:rsidRDefault="004D5071">
      <w:pPr>
        <w:numPr>
          <w:ilvl w:val="2"/>
          <w:numId w:val="1"/>
        </w:numPr>
        <w:spacing w:after="160" w:line="259" w:lineRule="auto"/>
        <w:ind w:right="0" w:hanging="451"/>
        <w:jc w:val="left"/>
      </w:pPr>
      <w:r>
        <w:rPr>
          <w:sz w:val="19"/>
        </w:rPr>
        <w:t xml:space="preserve">Рекомендуемый темп интенсификации лечения у больных СД 2 типа  </w:t>
      </w:r>
    </w:p>
    <w:p w:rsidR="00D27BC6" w:rsidRDefault="004D5071">
      <w:pPr>
        <w:tabs>
          <w:tab w:val="center" w:pos="2268"/>
          <w:tab w:val="center" w:pos="6966"/>
          <w:tab w:val="right" w:pos="10213"/>
        </w:tabs>
        <w:spacing w:after="160" w:line="259" w:lineRule="auto"/>
        <w:ind w:left="0" w:right="0" w:firstLine="0"/>
        <w:jc w:val="left"/>
      </w:pPr>
      <w:r>
        <w:rPr>
          <w:sz w:val="22"/>
        </w:rPr>
        <w:tab/>
      </w:r>
      <w:r>
        <w:rPr>
          <w:sz w:val="19"/>
        </w:rPr>
        <w:t>в зависимости от уровня HbA1</w:t>
      </w:r>
      <w:r>
        <w:rPr>
          <w:sz w:val="19"/>
        </w:rPr>
        <w:t xml:space="preserve">c в дебюте </w:t>
      </w:r>
      <w:r>
        <w:rPr>
          <w:sz w:val="19"/>
        </w:rPr>
        <w:tab/>
        <w:t xml:space="preserve"> . . . . . . . . . . . . . . . . . . . . . . . . . . . . . . . . . . . . . . . . . . . . . . . . . . . . . . . . . . . . . . . . . . . . . . </w:t>
      </w:r>
      <w:r>
        <w:rPr>
          <w:sz w:val="19"/>
        </w:rPr>
        <w:tab/>
        <w:t>37</w:t>
      </w:r>
    </w:p>
    <w:p w:rsidR="00D27BC6" w:rsidRDefault="004D5071">
      <w:pPr>
        <w:numPr>
          <w:ilvl w:val="2"/>
          <w:numId w:val="1"/>
        </w:numPr>
        <w:spacing w:after="160" w:line="259" w:lineRule="auto"/>
        <w:ind w:right="0" w:hanging="451"/>
        <w:jc w:val="left"/>
      </w:pPr>
      <w:r>
        <w:rPr>
          <w:sz w:val="19"/>
        </w:rPr>
        <w:t xml:space="preserve">Рациональные комбинации сахароснижающих препаратов </w:t>
      </w:r>
      <w:r>
        <w:rPr>
          <w:sz w:val="19"/>
        </w:rPr>
        <w:tab/>
        <w:t xml:space="preserve"> . . . . . . . . . . . . . . . . . . . . . . . </w:t>
      </w:r>
      <w:r>
        <w:rPr>
          <w:sz w:val="19"/>
        </w:rPr>
        <w:t xml:space="preserve">. . . . . . . . . . . . . . . . . . . . . . . </w:t>
      </w:r>
      <w:r>
        <w:rPr>
          <w:sz w:val="19"/>
        </w:rPr>
        <w:tab/>
        <w:t>38</w:t>
      </w:r>
    </w:p>
    <w:p w:rsidR="00D27BC6" w:rsidRDefault="004D5071">
      <w:pPr>
        <w:numPr>
          <w:ilvl w:val="2"/>
          <w:numId w:val="1"/>
        </w:numPr>
        <w:spacing w:after="160" w:line="259" w:lineRule="auto"/>
        <w:ind w:right="0" w:hanging="451"/>
        <w:jc w:val="left"/>
      </w:pPr>
      <w:r>
        <w:rPr>
          <w:sz w:val="19"/>
        </w:rPr>
        <w:t xml:space="preserve">Персонализация выбора сахароснижающих препаратов </w:t>
      </w:r>
      <w:r>
        <w:rPr>
          <w:sz w:val="19"/>
        </w:rPr>
        <w:tab/>
        <w:t xml:space="preserve"> . . . . . . . . . . . . . . . . . . . . . . . . . . . . . . . . . . . . . . . . . . . . . . . . . </w:t>
      </w:r>
      <w:r>
        <w:rPr>
          <w:sz w:val="19"/>
        </w:rPr>
        <w:tab/>
        <w:t>39</w:t>
      </w:r>
    </w:p>
    <w:p w:rsidR="00D27BC6" w:rsidRDefault="004D5071">
      <w:pPr>
        <w:numPr>
          <w:ilvl w:val="2"/>
          <w:numId w:val="1"/>
        </w:numPr>
        <w:spacing w:after="160" w:line="259" w:lineRule="auto"/>
        <w:ind w:right="0" w:hanging="451"/>
        <w:jc w:val="left"/>
      </w:pPr>
      <w:r>
        <w:rPr>
          <w:sz w:val="19"/>
        </w:rPr>
        <w:t xml:space="preserve">Инсулинотерапия </w:t>
      </w:r>
      <w:r>
        <w:rPr>
          <w:sz w:val="19"/>
        </w:rPr>
        <w:tab/>
        <w:t xml:space="preserve"> . . . . . . . . . . . . . . . . . .</w:t>
      </w:r>
      <w:r>
        <w:rPr>
          <w:sz w:val="19"/>
        </w:rPr>
        <w:t xml:space="preserve"> . . . . . . . . . . . . . . . . . . . . . . . . . . . . . . . . . . . . . . . . . . . . . . . . . . . . . . . . . . . . . . . . . . . . . . . </w:t>
      </w:r>
      <w:r>
        <w:rPr>
          <w:sz w:val="19"/>
        </w:rPr>
        <w:tab/>
        <w:t>42</w:t>
      </w:r>
    </w:p>
    <w:p w:rsidR="00D27BC6" w:rsidRDefault="004D5071">
      <w:pPr>
        <w:numPr>
          <w:ilvl w:val="2"/>
          <w:numId w:val="1"/>
        </w:numPr>
        <w:spacing w:after="160" w:line="259" w:lineRule="auto"/>
        <w:ind w:right="0" w:hanging="451"/>
        <w:jc w:val="left"/>
      </w:pPr>
      <w:r>
        <w:rPr>
          <w:sz w:val="19"/>
        </w:rPr>
        <w:t xml:space="preserve">Техника инъекций сахароснижающих препаратов </w:t>
      </w:r>
      <w:r>
        <w:rPr>
          <w:sz w:val="19"/>
        </w:rPr>
        <w:tab/>
        <w:t xml:space="preserve"> . . . . . . . . . . . . . . . . . . . . . . . . . . . . . . . .</w:t>
      </w:r>
      <w:r>
        <w:rPr>
          <w:sz w:val="19"/>
        </w:rPr>
        <w:t xml:space="preserve"> . . . . . . . . . . . . . . . . . . . . . . . . </w:t>
      </w:r>
      <w:r>
        <w:rPr>
          <w:sz w:val="19"/>
        </w:rPr>
        <w:tab/>
        <w:t>45</w:t>
      </w:r>
    </w:p>
    <w:p w:rsidR="00D27BC6" w:rsidRDefault="004D5071">
      <w:pPr>
        <w:numPr>
          <w:ilvl w:val="1"/>
          <w:numId w:val="1"/>
        </w:numPr>
        <w:spacing w:after="160" w:line="259" w:lineRule="auto"/>
        <w:ind w:right="0" w:firstLine="0"/>
        <w:jc w:val="left"/>
      </w:pPr>
      <w:r>
        <w:rPr>
          <w:sz w:val="19"/>
        </w:rPr>
        <w:t xml:space="preserve">МОНИТОРИНГ БОЛЬНЫХ СД 2 ТИПА БЕЗ ОСЛОЖНЕНИЙ </w:t>
      </w:r>
      <w:r>
        <w:rPr>
          <w:sz w:val="19"/>
        </w:rPr>
        <w:tab/>
        <w:t xml:space="preserve"> . . . . . . . . . . . . . . . . . . . . . . . . . . . . . . . . . . . . . . . . . . . . . . . . . . . . . . </w:t>
      </w:r>
      <w:r>
        <w:rPr>
          <w:sz w:val="19"/>
        </w:rPr>
        <w:tab/>
        <w:t>45</w:t>
      </w:r>
    </w:p>
    <w:p w:rsidR="00D27BC6" w:rsidRDefault="004D5071">
      <w:pPr>
        <w:numPr>
          <w:ilvl w:val="1"/>
          <w:numId w:val="1"/>
        </w:numPr>
        <w:spacing w:after="160" w:line="259" w:lineRule="auto"/>
        <w:ind w:right="0" w:firstLine="0"/>
        <w:jc w:val="left"/>
      </w:pPr>
      <w:r>
        <w:rPr>
          <w:sz w:val="19"/>
        </w:rPr>
        <w:t>ВОПРОСЫ ПРОФИЛАКТИКИ САХАРНОГО ДИАБЕТА 2 ТИПА</w:t>
      </w:r>
      <w:r>
        <w:rPr>
          <w:sz w:val="19"/>
        </w:rPr>
        <w:t xml:space="preserve"> </w:t>
      </w:r>
      <w:r>
        <w:rPr>
          <w:sz w:val="19"/>
        </w:rPr>
        <w:tab/>
        <w:t xml:space="preserve"> . . . . . . . . . . . . . . . . . . . . . . . . . . . . . . . . . . . . . . . . . . . . . . . . . . . </w:t>
      </w:r>
      <w:r>
        <w:rPr>
          <w:sz w:val="19"/>
        </w:rPr>
        <w:tab/>
        <w:t>46</w:t>
      </w:r>
    </w:p>
    <w:p w:rsidR="00D27BC6" w:rsidRDefault="004D5071">
      <w:pPr>
        <w:numPr>
          <w:ilvl w:val="0"/>
          <w:numId w:val="1"/>
        </w:numPr>
        <w:spacing w:after="0" w:line="259" w:lineRule="auto"/>
        <w:ind w:right="0" w:hanging="299"/>
        <w:jc w:val="left"/>
      </w:pPr>
      <w:r>
        <w:rPr>
          <w:b/>
          <w:sz w:val="19"/>
        </w:rPr>
        <w:t xml:space="preserve">ТЕРАПЕВТИЧЕСКОЕ ОБУЧЕНИЕ И ПСИХОСОЦИАЛЬНАЯ ПОДДЕРЖКА  </w:t>
      </w:r>
      <w:r>
        <w:rPr>
          <w:b/>
          <w:sz w:val="19"/>
        </w:rPr>
        <w:tab/>
        <w:t xml:space="preserve"> . . . . . . . . . . . . . . . . . . . . . . . . . . . . . . . . . . . . . . </w:t>
      </w:r>
      <w:r>
        <w:rPr>
          <w:b/>
          <w:sz w:val="19"/>
        </w:rPr>
        <w:tab/>
        <w:t>47</w:t>
      </w:r>
    </w:p>
    <w:p w:rsidR="00D27BC6" w:rsidRDefault="004D5071">
      <w:pPr>
        <w:numPr>
          <w:ilvl w:val="1"/>
          <w:numId w:val="1"/>
        </w:numPr>
        <w:spacing w:after="3" w:line="259" w:lineRule="auto"/>
        <w:ind w:right="0" w:firstLine="0"/>
        <w:jc w:val="left"/>
      </w:pPr>
      <w:r>
        <w:rPr>
          <w:sz w:val="19"/>
        </w:rPr>
        <w:t>ТЕРАПЕВТИЧЕ</w:t>
      </w:r>
      <w:r>
        <w:rPr>
          <w:sz w:val="19"/>
        </w:rPr>
        <w:t xml:space="preserve">СКОЕ ОБУЧЕНИЕ БОЛЬНЫХ СД </w:t>
      </w:r>
      <w:r>
        <w:rPr>
          <w:sz w:val="19"/>
        </w:rPr>
        <w:tab/>
        <w:t xml:space="preserve"> . . . . . . . . . . . . . . . . . . . . . . . . . . . . . . . . . . . . . . . . . . . . . . . . . . . . . . . . . . . . . . . . . . </w:t>
      </w:r>
      <w:r>
        <w:rPr>
          <w:sz w:val="19"/>
        </w:rPr>
        <w:tab/>
        <w:t>47</w:t>
      </w:r>
    </w:p>
    <w:p w:rsidR="00D27BC6" w:rsidRDefault="004D5071">
      <w:pPr>
        <w:numPr>
          <w:ilvl w:val="1"/>
          <w:numId w:val="1"/>
        </w:numPr>
        <w:spacing w:after="113" w:line="259" w:lineRule="auto"/>
        <w:ind w:right="0" w:firstLine="0"/>
        <w:jc w:val="left"/>
      </w:pPr>
      <w:r>
        <w:rPr>
          <w:sz w:val="19"/>
        </w:rPr>
        <w:t xml:space="preserve">ПСИХОСОЦИАЛЬНАЯ ПОДДЕРЖКА БОЛЬНЫХ СД </w:t>
      </w:r>
      <w:r>
        <w:rPr>
          <w:sz w:val="19"/>
        </w:rPr>
        <w:tab/>
        <w:t xml:space="preserve"> . . . . . . . . . . . . . . . . . . . . . . . . . . . </w:t>
      </w:r>
      <w:r>
        <w:rPr>
          <w:sz w:val="19"/>
        </w:rPr>
        <w:t xml:space="preserve">. . . . . . . . . . . . . . . . . . . . . . . . . . . . . . . . . . </w:t>
      </w:r>
      <w:r>
        <w:rPr>
          <w:sz w:val="19"/>
        </w:rPr>
        <w:tab/>
        <w:t>48</w:t>
      </w:r>
    </w:p>
    <w:p w:rsidR="00D27BC6" w:rsidRDefault="004D5071">
      <w:pPr>
        <w:numPr>
          <w:ilvl w:val="0"/>
          <w:numId w:val="1"/>
        </w:numPr>
        <w:spacing w:after="0" w:line="259" w:lineRule="auto"/>
        <w:ind w:right="0" w:hanging="299"/>
        <w:jc w:val="left"/>
      </w:pPr>
      <w:r>
        <w:rPr>
          <w:b/>
          <w:sz w:val="19"/>
        </w:rPr>
        <w:t xml:space="preserve">ОСТРЫЕ ОСЛОЖНЕНИЯ САХАРНОГО ДИАБЕТА </w:t>
      </w:r>
      <w:r>
        <w:rPr>
          <w:b/>
          <w:sz w:val="19"/>
        </w:rPr>
        <w:tab/>
        <w:t xml:space="preserve"> . . . . . . . . . . . . . . . . . . . . . . . . . . . . . . . . . . . . . . . . . . . . . . . . . . . . . . . . . . . . </w:t>
      </w:r>
      <w:r>
        <w:rPr>
          <w:b/>
          <w:sz w:val="19"/>
        </w:rPr>
        <w:tab/>
        <w:t>49</w:t>
      </w:r>
    </w:p>
    <w:p w:rsidR="00D27BC6" w:rsidRDefault="004D5071">
      <w:pPr>
        <w:numPr>
          <w:ilvl w:val="1"/>
          <w:numId w:val="1"/>
        </w:numPr>
        <w:spacing w:after="3" w:line="259" w:lineRule="auto"/>
        <w:ind w:right="0" w:firstLine="0"/>
        <w:jc w:val="left"/>
      </w:pPr>
      <w:r>
        <w:rPr>
          <w:sz w:val="19"/>
        </w:rPr>
        <w:t xml:space="preserve">ДИАБЕТИЧЕСКИЙ КЕТОАЦИДОЗ (ДКА, ДИАБЕТИЧЕСКАЯ КЕТОАЦИДОТИЧЕСКАЯ КОМА) </w:t>
      </w:r>
      <w:r>
        <w:rPr>
          <w:sz w:val="19"/>
        </w:rPr>
        <w:tab/>
        <w:t xml:space="preserve"> . . . . . . . . . . . . . . . . . . . . . </w:t>
      </w:r>
      <w:r>
        <w:rPr>
          <w:sz w:val="19"/>
        </w:rPr>
        <w:tab/>
        <w:t>49</w:t>
      </w:r>
    </w:p>
    <w:p w:rsidR="00D27BC6" w:rsidRDefault="004D5071">
      <w:pPr>
        <w:numPr>
          <w:ilvl w:val="1"/>
          <w:numId w:val="1"/>
        </w:numPr>
        <w:spacing w:after="0" w:line="259" w:lineRule="auto"/>
        <w:ind w:right="0" w:firstLine="0"/>
        <w:jc w:val="left"/>
      </w:pPr>
      <w:r>
        <w:rPr>
          <w:sz w:val="19"/>
        </w:rPr>
        <w:t xml:space="preserve">ГИПЕРОСМОЛЯРНОЕ ГИПЕРГЛИКЕМИЧЕСКОЕ СОСТОЯНИЕ (ГГС) </w:t>
      </w:r>
      <w:r>
        <w:rPr>
          <w:sz w:val="19"/>
        </w:rPr>
        <w:tab/>
        <w:t xml:space="preserve"> . . . . . . . . . . . . . . . . . . . . . . . . . . . . . . . . . . . . . . . . . . . </w:t>
      </w:r>
      <w:r>
        <w:rPr>
          <w:sz w:val="19"/>
        </w:rPr>
        <w:t xml:space="preserve">. . </w:t>
      </w:r>
      <w:r>
        <w:rPr>
          <w:sz w:val="19"/>
        </w:rPr>
        <w:tab/>
        <w:t xml:space="preserve">53 8.3. МОЛОЧНОКИСЛЫЙ АЦИДОЗ (ЛАКТАТАЦИДОЗ) </w:t>
      </w:r>
      <w:r>
        <w:rPr>
          <w:sz w:val="19"/>
        </w:rPr>
        <w:tab/>
        <w:t xml:space="preserve"> . . . . . . . . . . . . . . . . . . . . . . . . . . . . . . . . . . . . . . . . . . . . . . . . . . . . . . . . . . . . . . . </w:t>
      </w:r>
      <w:r>
        <w:rPr>
          <w:sz w:val="19"/>
        </w:rPr>
        <w:tab/>
        <w:t>55</w:t>
      </w:r>
    </w:p>
    <w:p w:rsidR="00D27BC6" w:rsidRDefault="004D5071">
      <w:pPr>
        <w:tabs>
          <w:tab w:val="center" w:pos="2496"/>
          <w:tab w:val="center" w:pos="7326"/>
          <w:tab w:val="right" w:pos="10213"/>
        </w:tabs>
        <w:spacing w:after="113" w:line="259" w:lineRule="auto"/>
        <w:ind w:left="0" w:right="0" w:firstLine="0"/>
        <w:jc w:val="left"/>
      </w:pPr>
      <w:r>
        <w:rPr>
          <w:sz w:val="22"/>
        </w:rPr>
        <w:tab/>
      </w:r>
      <w:r>
        <w:rPr>
          <w:sz w:val="19"/>
        </w:rPr>
        <w:t xml:space="preserve">8.4. ГИПОГЛИКЕМИЯ И ГИПОГЛИКЕМИЧЕСКАЯ КОМА </w:t>
      </w:r>
      <w:r>
        <w:rPr>
          <w:sz w:val="19"/>
        </w:rPr>
        <w:tab/>
        <w:t xml:space="preserve"> . . . . . . . . . . . . . . .</w:t>
      </w:r>
      <w:r>
        <w:rPr>
          <w:sz w:val="19"/>
        </w:rPr>
        <w:t xml:space="preserve"> . . . . . . . . . . . . . . . . . . . . . . . . . . . . . . . . . . . . . . . . . . . . . . </w:t>
      </w:r>
      <w:r>
        <w:rPr>
          <w:sz w:val="19"/>
        </w:rPr>
        <w:tab/>
        <w:t>56</w:t>
      </w:r>
    </w:p>
    <w:p w:rsidR="00D27BC6" w:rsidRDefault="004D5071">
      <w:pPr>
        <w:numPr>
          <w:ilvl w:val="0"/>
          <w:numId w:val="1"/>
        </w:numPr>
        <w:spacing w:after="0" w:line="259" w:lineRule="auto"/>
        <w:ind w:right="0" w:hanging="299"/>
        <w:jc w:val="left"/>
      </w:pPr>
      <w:r>
        <w:rPr>
          <w:b/>
          <w:sz w:val="19"/>
        </w:rPr>
        <w:t xml:space="preserve">ДИАБЕТИЧЕСКИЕ МИКРОАНГИОПАТИИ </w:t>
      </w:r>
      <w:r>
        <w:rPr>
          <w:b/>
          <w:sz w:val="19"/>
        </w:rPr>
        <w:tab/>
        <w:t xml:space="preserve"> . . . . . . . . . . . . . . . . . . . . . . . . . . . . . . . . . . . . . . . . . . . . . . . . . . . . . . . . . . . . . . . .</w:t>
      </w:r>
      <w:r>
        <w:rPr>
          <w:b/>
          <w:sz w:val="19"/>
        </w:rPr>
        <w:t xml:space="preserve"> . . . </w:t>
      </w:r>
      <w:r>
        <w:rPr>
          <w:b/>
          <w:sz w:val="19"/>
        </w:rPr>
        <w:tab/>
        <w:t>58</w:t>
      </w:r>
    </w:p>
    <w:p w:rsidR="00D27BC6" w:rsidRDefault="004D5071">
      <w:pPr>
        <w:numPr>
          <w:ilvl w:val="1"/>
          <w:numId w:val="1"/>
        </w:numPr>
        <w:spacing w:after="3" w:line="259" w:lineRule="auto"/>
        <w:ind w:right="0" w:firstLine="0"/>
        <w:jc w:val="left"/>
      </w:pPr>
      <w:r>
        <w:rPr>
          <w:sz w:val="19"/>
        </w:rPr>
        <w:t xml:space="preserve">ДИАБЕТИЧЕСКАЯ РЕТИНОПАТИЯ </w:t>
      </w:r>
      <w:r>
        <w:rPr>
          <w:sz w:val="19"/>
        </w:rPr>
        <w:tab/>
        <w:t xml:space="preserve"> . . . . . . . . . . . . . . . . . . . . . . . . . . . . . . . . . . . . . . . . . . . . . . . . . . . . . . . . . . . . . . . . . . . . . . . . . . . . . . </w:t>
      </w:r>
      <w:r>
        <w:rPr>
          <w:sz w:val="19"/>
        </w:rPr>
        <w:tab/>
        <w:t>58</w:t>
      </w:r>
    </w:p>
    <w:p w:rsidR="00D27BC6" w:rsidRDefault="004D5071">
      <w:pPr>
        <w:numPr>
          <w:ilvl w:val="1"/>
          <w:numId w:val="1"/>
        </w:numPr>
        <w:spacing w:after="3" w:line="259" w:lineRule="auto"/>
        <w:ind w:right="0" w:firstLine="0"/>
        <w:jc w:val="left"/>
      </w:pPr>
      <w:r>
        <w:rPr>
          <w:sz w:val="19"/>
        </w:rPr>
        <w:t xml:space="preserve">ДИАБЕТИЧЕСКАЯ НЕФРОПАТИЯ </w:t>
      </w:r>
      <w:r>
        <w:rPr>
          <w:sz w:val="19"/>
        </w:rPr>
        <w:tab/>
      </w:r>
      <w:r>
        <w:rPr>
          <w:sz w:val="19"/>
        </w:rPr>
        <w:t xml:space="preserve"> . . . . . . . . . . . . . . . . . . . . . . . . . . . . . . . . . . . . . . . . . . . . . . . . . . . . . . . . . . . . . . . . . . . . . . . . . . . . . . . </w:t>
      </w:r>
      <w:r>
        <w:rPr>
          <w:sz w:val="19"/>
        </w:rPr>
        <w:tab/>
        <w:t>61</w:t>
      </w:r>
    </w:p>
    <w:p w:rsidR="00D27BC6" w:rsidRDefault="004D5071">
      <w:pPr>
        <w:numPr>
          <w:ilvl w:val="0"/>
          <w:numId w:val="1"/>
        </w:numPr>
        <w:spacing w:after="160" w:line="259" w:lineRule="auto"/>
        <w:ind w:right="0" w:hanging="299"/>
        <w:jc w:val="left"/>
      </w:pPr>
      <w:r>
        <w:rPr>
          <w:b/>
          <w:sz w:val="19"/>
        </w:rPr>
        <w:t xml:space="preserve">ДИАБЕТИЧЕСКИЕ МАКРОАНГИОПАТИИ </w:t>
      </w:r>
      <w:r>
        <w:rPr>
          <w:b/>
          <w:sz w:val="19"/>
        </w:rPr>
        <w:tab/>
        <w:t xml:space="preserve"> . . . . . . . . . . . . . . . . . . . . . . . . . . . . . . .</w:t>
      </w:r>
      <w:r>
        <w:rPr>
          <w:b/>
          <w:sz w:val="19"/>
        </w:rPr>
        <w:t xml:space="preserve"> . . . . . . . . . . . . . . . . . . . . . . . . . . . . . . . . . . . </w:t>
      </w:r>
      <w:r>
        <w:rPr>
          <w:b/>
          <w:sz w:val="19"/>
        </w:rPr>
        <w:tab/>
        <w:t>73</w:t>
      </w:r>
    </w:p>
    <w:p w:rsidR="00D27BC6" w:rsidRDefault="004D5071">
      <w:pPr>
        <w:numPr>
          <w:ilvl w:val="1"/>
          <w:numId w:val="1"/>
        </w:numPr>
        <w:spacing w:after="160" w:line="259" w:lineRule="auto"/>
        <w:ind w:right="0" w:firstLine="0"/>
        <w:jc w:val="left"/>
      </w:pPr>
      <w:r>
        <w:rPr>
          <w:sz w:val="19"/>
        </w:rPr>
        <w:t xml:space="preserve">ИШЕМИЧЕСКАЯ БОЛЕЗНЬ СЕРДЦА (ИБС) </w:t>
      </w:r>
      <w:r>
        <w:rPr>
          <w:sz w:val="19"/>
        </w:rPr>
        <w:tab/>
        <w:t xml:space="preserve"> . . . . . . . . . . . . . . . . . . . . . . . . . . . . . . . . . . . . . . . . . . . . . . . . . . . . . . . . . . . . . . . . . . . . . </w:t>
      </w:r>
      <w:r>
        <w:rPr>
          <w:sz w:val="19"/>
        </w:rPr>
        <w:tab/>
        <w:t>74</w:t>
      </w:r>
    </w:p>
    <w:p w:rsidR="00D27BC6" w:rsidRDefault="004D5071">
      <w:pPr>
        <w:numPr>
          <w:ilvl w:val="1"/>
          <w:numId w:val="1"/>
        </w:numPr>
        <w:spacing w:after="160" w:line="259" w:lineRule="auto"/>
        <w:ind w:right="0" w:firstLine="0"/>
        <w:jc w:val="left"/>
      </w:pPr>
      <w:r>
        <w:rPr>
          <w:sz w:val="19"/>
        </w:rPr>
        <w:t>ЦЕРЕ</w:t>
      </w:r>
      <w:r>
        <w:rPr>
          <w:sz w:val="19"/>
        </w:rPr>
        <w:t xml:space="preserve">БРОВАСКУЛЯРНЫЕ ЗАБОЛЕВАНИЯ </w:t>
      </w:r>
      <w:r>
        <w:rPr>
          <w:sz w:val="19"/>
        </w:rPr>
        <w:tab/>
        <w:t xml:space="preserve"> . . . . . . . . . . . . . . . . . . . . . . . . . . . . . . . . . . . . . . . . . . . . . . . . . . . . . . . . . . . . . . . . . . . . . . </w:t>
      </w:r>
      <w:r>
        <w:rPr>
          <w:sz w:val="19"/>
        </w:rPr>
        <w:tab/>
        <w:t>77</w:t>
      </w:r>
    </w:p>
    <w:p w:rsidR="00D27BC6" w:rsidRDefault="004D5071">
      <w:pPr>
        <w:numPr>
          <w:ilvl w:val="1"/>
          <w:numId w:val="1"/>
        </w:numPr>
        <w:spacing w:after="160" w:line="259" w:lineRule="auto"/>
        <w:ind w:right="0" w:firstLine="0"/>
        <w:jc w:val="left"/>
      </w:pPr>
      <w:r>
        <w:rPr>
          <w:sz w:val="19"/>
        </w:rPr>
        <w:t xml:space="preserve">ЗАБОЛЕВАНИЯ АРТЕРИЙ НИЖНИХ КОНЕЧНОСТЕЙ </w:t>
      </w:r>
      <w:r>
        <w:rPr>
          <w:sz w:val="19"/>
        </w:rPr>
        <w:tab/>
        <w:t xml:space="preserve"> . . . . . . . . . . . . . . . . . . . . . </w:t>
      </w:r>
      <w:r>
        <w:rPr>
          <w:sz w:val="19"/>
        </w:rPr>
        <w:t xml:space="preserve">. . . . . . . . . . . . . . . . . . . . . . . . . . . . . . . . . . . . . </w:t>
      </w:r>
      <w:r>
        <w:rPr>
          <w:sz w:val="19"/>
        </w:rPr>
        <w:tab/>
        <w:t>79</w:t>
      </w:r>
    </w:p>
    <w:p w:rsidR="00D27BC6" w:rsidRDefault="004D5071">
      <w:pPr>
        <w:numPr>
          <w:ilvl w:val="1"/>
          <w:numId w:val="1"/>
        </w:numPr>
        <w:spacing w:after="160" w:line="259" w:lineRule="auto"/>
        <w:ind w:right="0" w:firstLine="0"/>
        <w:jc w:val="left"/>
      </w:pPr>
      <w:r>
        <w:rPr>
          <w:sz w:val="19"/>
        </w:rPr>
        <w:t xml:space="preserve">ТАКТИКА ДИАГНОСТИКИ И ЛЕЧЕНИЯ ИБС У БОЛЬНЫХ СД И КРИТИЧЕСКОЙ ИШЕМИЕЙ  </w:t>
      </w:r>
    </w:p>
    <w:p w:rsidR="00D27BC6" w:rsidRDefault="004D5071">
      <w:pPr>
        <w:tabs>
          <w:tab w:val="center" w:pos="1338"/>
          <w:tab w:val="center" w:pos="6171"/>
          <w:tab w:val="right" w:pos="10213"/>
        </w:tabs>
        <w:spacing w:after="160" w:line="259" w:lineRule="auto"/>
        <w:ind w:left="0" w:right="0" w:firstLine="0"/>
        <w:jc w:val="left"/>
      </w:pPr>
      <w:r>
        <w:rPr>
          <w:sz w:val="22"/>
        </w:rPr>
        <w:tab/>
      </w:r>
      <w:r>
        <w:rPr>
          <w:sz w:val="19"/>
        </w:rPr>
        <w:t xml:space="preserve">НИЖНИХ КОНЕЧНОСТЕЙ </w:t>
      </w:r>
      <w:r>
        <w:rPr>
          <w:sz w:val="19"/>
        </w:rPr>
        <w:tab/>
      </w:r>
      <w:r>
        <w:rPr>
          <w:sz w:val="19"/>
        </w:rPr>
        <w:t xml:space="preserve"> . . . . . . . . . . . . . . . . . . . . . . . . . . . . . . . . . . . . . . . . . . . . . . . . . . . . . . . . . . . . . . . . . . . . . . . . . . . . . . . . . . . . . . . . . . </w:t>
      </w:r>
      <w:r>
        <w:rPr>
          <w:sz w:val="19"/>
        </w:rPr>
        <w:tab/>
        <w:t>85</w:t>
      </w:r>
    </w:p>
    <w:p w:rsidR="00D27BC6" w:rsidRDefault="004D5071">
      <w:pPr>
        <w:numPr>
          <w:ilvl w:val="0"/>
          <w:numId w:val="1"/>
        </w:numPr>
        <w:spacing w:after="113" w:line="259" w:lineRule="auto"/>
        <w:ind w:right="0" w:hanging="299"/>
        <w:jc w:val="left"/>
      </w:pPr>
      <w:r>
        <w:rPr>
          <w:b/>
          <w:sz w:val="19"/>
        </w:rPr>
        <w:t xml:space="preserve">ХРОНИЧЕСКАЯ СЕРДЕЧНАЯ НЕДОСТАТОЧНОСТЬ </w:t>
      </w:r>
      <w:r>
        <w:rPr>
          <w:b/>
          <w:sz w:val="19"/>
        </w:rPr>
        <w:tab/>
        <w:t xml:space="preserve"> . . . . . . . . . . . . . . . .</w:t>
      </w:r>
      <w:r>
        <w:rPr>
          <w:b/>
          <w:sz w:val="19"/>
        </w:rPr>
        <w:t xml:space="preserve"> . . . . . . . . . . . . . . . . . . . . . . . . . . . . . . . . . . . . . . . . . </w:t>
      </w:r>
      <w:r>
        <w:rPr>
          <w:b/>
          <w:sz w:val="19"/>
        </w:rPr>
        <w:tab/>
        <w:t>85</w:t>
      </w:r>
    </w:p>
    <w:p w:rsidR="00D27BC6" w:rsidRDefault="004D5071">
      <w:pPr>
        <w:numPr>
          <w:ilvl w:val="0"/>
          <w:numId w:val="1"/>
        </w:numPr>
        <w:spacing w:after="0" w:line="259" w:lineRule="auto"/>
        <w:ind w:right="0" w:hanging="299"/>
        <w:jc w:val="left"/>
      </w:pPr>
      <w:r>
        <w:rPr>
          <w:b/>
          <w:sz w:val="19"/>
        </w:rPr>
        <w:t xml:space="preserve">ДИАБЕТИЧЕСКАЯ НЕЙРОПАТИЯ </w:t>
      </w:r>
      <w:r>
        <w:rPr>
          <w:b/>
          <w:sz w:val="19"/>
        </w:rPr>
        <w:tab/>
        <w:t xml:space="preserve"> . . . . . . . . . . . . . . . . . . . . . . . . . . . . . . . . . . . . . . . . . . . . . . . . . . . . . . . . . . . . . . . . . . . . . . . </w:t>
      </w:r>
      <w:r>
        <w:rPr>
          <w:b/>
          <w:sz w:val="19"/>
        </w:rPr>
        <w:t xml:space="preserve">. . </w:t>
      </w:r>
      <w:r>
        <w:rPr>
          <w:b/>
          <w:sz w:val="19"/>
        </w:rPr>
        <w:tab/>
        <w:t>89</w:t>
      </w:r>
    </w:p>
    <w:p w:rsidR="00D27BC6" w:rsidRDefault="004D5071">
      <w:pPr>
        <w:numPr>
          <w:ilvl w:val="1"/>
          <w:numId w:val="1"/>
        </w:numPr>
        <w:spacing w:after="113" w:line="259" w:lineRule="auto"/>
        <w:ind w:right="0" w:firstLine="0"/>
        <w:jc w:val="left"/>
      </w:pPr>
      <w:r>
        <w:rPr>
          <w:sz w:val="19"/>
        </w:rPr>
        <w:t xml:space="preserve">КАРДИОВАСКУЛЯРНАЯ АВТОНОМНАЯ НЕЙРОПАТИЯ </w:t>
      </w:r>
      <w:r>
        <w:rPr>
          <w:sz w:val="19"/>
        </w:rPr>
        <w:tab/>
        <w:t xml:space="preserve"> . . . . . . . . . . . . . . . . . . . . . . . . . . . . . . . . . . . . . . . . . . . . . . . . . . . . . . . . </w:t>
      </w:r>
      <w:r>
        <w:rPr>
          <w:sz w:val="19"/>
        </w:rPr>
        <w:tab/>
        <w:t>93</w:t>
      </w:r>
    </w:p>
    <w:p w:rsidR="00D27BC6" w:rsidRDefault="004D5071">
      <w:pPr>
        <w:numPr>
          <w:ilvl w:val="0"/>
          <w:numId w:val="1"/>
        </w:numPr>
        <w:spacing w:after="113" w:line="259" w:lineRule="auto"/>
        <w:ind w:right="0" w:hanging="299"/>
        <w:jc w:val="left"/>
      </w:pPr>
      <w:r>
        <w:rPr>
          <w:b/>
          <w:sz w:val="19"/>
        </w:rPr>
        <w:t xml:space="preserve">ДИАБЕТИЧЕСКАЯ НЕЙРООСТЕОАРТРОПАТИЯ </w:t>
      </w:r>
      <w:r>
        <w:rPr>
          <w:b/>
          <w:sz w:val="19"/>
        </w:rPr>
        <w:tab/>
        <w:t xml:space="preserve"> . . . . . . . . . . . . . . . . . . . . . . . . . . .</w:t>
      </w:r>
      <w:r>
        <w:rPr>
          <w:b/>
          <w:sz w:val="19"/>
        </w:rPr>
        <w:t xml:space="preserve"> . . . . . . . . . . . . . . . . . . . . . . . . . . . . . . . . . </w:t>
      </w:r>
      <w:r>
        <w:rPr>
          <w:b/>
          <w:sz w:val="19"/>
        </w:rPr>
        <w:tab/>
        <w:t>97</w:t>
      </w:r>
    </w:p>
    <w:p w:rsidR="00D27BC6" w:rsidRDefault="004D5071">
      <w:pPr>
        <w:numPr>
          <w:ilvl w:val="0"/>
          <w:numId w:val="1"/>
        </w:numPr>
        <w:spacing w:after="0" w:line="259" w:lineRule="auto"/>
        <w:ind w:right="0" w:hanging="299"/>
        <w:jc w:val="left"/>
      </w:pPr>
      <w:r>
        <w:rPr>
          <w:b/>
          <w:sz w:val="19"/>
        </w:rPr>
        <w:t xml:space="preserve">СИНДРОМ ДИАБЕТИЧЕСКОЙ СТОПЫ </w:t>
      </w:r>
      <w:r>
        <w:rPr>
          <w:b/>
          <w:sz w:val="19"/>
        </w:rPr>
        <w:tab/>
        <w:t xml:space="preserve"> . . . . . . . . . . . . . . . . . . . . . . . . . . . . . . . . . . . . . . . . . . . . . . . . . . . . . . . . . . . . . . . . . . . . . </w:t>
      </w:r>
      <w:r>
        <w:rPr>
          <w:b/>
          <w:sz w:val="19"/>
        </w:rPr>
        <w:tab/>
        <w:t>99</w:t>
      </w:r>
    </w:p>
    <w:p w:rsidR="00D27BC6" w:rsidRDefault="004D5071">
      <w:pPr>
        <w:numPr>
          <w:ilvl w:val="0"/>
          <w:numId w:val="1"/>
        </w:numPr>
        <w:spacing w:after="160" w:line="259" w:lineRule="auto"/>
        <w:ind w:right="0" w:hanging="299"/>
        <w:jc w:val="left"/>
      </w:pPr>
      <w:r>
        <w:rPr>
          <w:b/>
          <w:sz w:val="19"/>
        </w:rPr>
        <w:t>САХАРНЫЙ ДИАБ</w:t>
      </w:r>
      <w:r>
        <w:rPr>
          <w:b/>
          <w:sz w:val="19"/>
        </w:rPr>
        <w:t xml:space="preserve">ЕТ И АРТЕРИАЛЬНАЯ ГИПЕРТЕНЗИЯ </w:t>
      </w:r>
      <w:r>
        <w:rPr>
          <w:b/>
          <w:sz w:val="19"/>
        </w:rPr>
        <w:tab/>
        <w:t xml:space="preserve"> . . . . . . . . . . . . . . . . . . . . . . . . . . . . . . . . . . . . . . . . . . . . . . . . . . . </w:t>
      </w:r>
      <w:r>
        <w:rPr>
          <w:b/>
          <w:sz w:val="19"/>
        </w:rPr>
        <w:tab/>
        <w:t>106</w:t>
      </w:r>
    </w:p>
    <w:p w:rsidR="00D27BC6" w:rsidRDefault="004D5071">
      <w:pPr>
        <w:numPr>
          <w:ilvl w:val="0"/>
          <w:numId w:val="1"/>
        </w:numPr>
        <w:spacing w:after="160" w:line="259" w:lineRule="auto"/>
        <w:ind w:right="0" w:hanging="299"/>
        <w:jc w:val="left"/>
      </w:pPr>
      <w:r>
        <w:rPr>
          <w:b/>
          <w:sz w:val="19"/>
        </w:rPr>
        <w:t xml:space="preserve">НЕАЛКОГОЛЬНАЯ (МЕТАБОЛИЧЕСКИ АССОЦИИРОВАННАЯ) ЖИРОВАЯ БОЛЕЗНЬ ПЕЧЕНИ  </w:t>
      </w:r>
    </w:p>
    <w:p w:rsidR="00D27BC6" w:rsidRDefault="004D5071">
      <w:pPr>
        <w:tabs>
          <w:tab w:val="center" w:pos="6063"/>
          <w:tab w:val="right" w:pos="10213"/>
        </w:tabs>
        <w:spacing w:after="160" w:line="259" w:lineRule="auto"/>
        <w:ind w:left="0" w:right="0" w:firstLine="0"/>
        <w:jc w:val="left"/>
      </w:pPr>
      <w:r>
        <w:rPr>
          <w:b/>
          <w:sz w:val="19"/>
        </w:rPr>
        <w:t xml:space="preserve">ПРИ САХАРНОМ ДИАБЕТЕ </w:t>
      </w:r>
      <w:r>
        <w:rPr>
          <w:b/>
          <w:sz w:val="19"/>
        </w:rPr>
        <w:tab/>
        <w:t xml:space="preserve"> . . . . . . . . . . . .</w:t>
      </w:r>
      <w:r>
        <w:rPr>
          <w:b/>
          <w:sz w:val="19"/>
        </w:rPr>
        <w:t xml:space="preserve"> . . . . . . . . . . . . . . . . . . . . . . . . . . . . . . . . . . . . . . . . . . . . . . . . . . . . . . . . . . . . . . . . . . . . . </w:t>
      </w:r>
      <w:r>
        <w:rPr>
          <w:b/>
          <w:sz w:val="19"/>
        </w:rPr>
        <w:tab/>
        <w:t>110</w:t>
      </w:r>
    </w:p>
    <w:p w:rsidR="00D27BC6" w:rsidRDefault="004D5071">
      <w:pPr>
        <w:numPr>
          <w:ilvl w:val="0"/>
          <w:numId w:val="1"/>
        </w:numPr>
        <w:spacing w:after="160" w:line="259" w:lineRule="auto"/>
        <w:ind w:right="0" w:hanging="299"/>
        <w:jc w:val="left"/>
      </w:pPr>
      <w:r>
        <w:rPr>
          <w:b/>
          <w:sz w:val="19"/>
        </w:rPr>
        <w:t xml:space="preserve">БЕРЕМЕННОСТЬ И САХАРНЫЙ ДИАБЕТ </w:t>
      </w:r>
      <w:r>
        <w:rPr>
          <w:b/>
          <w:sz w:val="19"/>
        </w:rPr>
        <w:tab/>
        <w:t xml:space="preserve"> . . . . . . . . . . . . . . . . . . . . . . . . . . . . . . . . . . . . . . . .</w:t>
      </w:r>
      <w:r>
        <w:rPr>
          <w:b/>
          <w:sz w:val="19"/>
        </w:rPr>
        <w:t xml:space="preserve"> . . . . . . . . . . . . . . . . . . . . . . . . . </w:t>
      </w:r>
      <w:r>
        <w:rPr>
          <w:b/>
          <w:sz w:val="19"/>
        </w:rPr>
        <w:tab/>
        <w:t>112</w:t>
      </w:r>
    </w:p>
    <w:p w:rsidR="00D27BC6" w:rsidRDefault="004D5071">
      <w:pPr>
        <w:numPr>
          <w:ilvl w:val="0"/>
          <w:numId w:val="1"/>
        </w:numPr>
        <w:spacing w:after="160" w:line="259" w:lineRule="auto"/>
        <w:ind w:right="0" w:hanging="299"/>
        <w:jc w:val="left"/>
      </w:pPr>
      <w:r>
        <w:rPr>
          <w:b/>
          <w:sz w:val="19"/>
        </w:rPr>
        <w:t xml:space="preserve">ГЕСТАЦИОННЫЙ САХАРНЫЙ ДИАБЕТ </w:t>
      </w:r>
      <w:r>
        <w:rPr>
          <w:b/>
          <w:sz w:val="19"/>
        </w:rPr>
        <w:tab/>
        <w:t xml:space="preserve"> . . . . . . . . . . . . . . . . . . . . . . . . . . . . . . . . . . . . . . . . . . . . . . . . . . . . . . . . . . . . . . . . . . . </w:t>
      </w:r>
      <w:r>
        <w:rPr>
          <w:b/>
          <w:sz w:val="19"/>
        </w:rPr>
        <w:tab/>
        <w:t>117</w:t>
      </w:r>
    </w:p>
    <w:p w:rsidR="00D27BC6" w:rsidRDefault="004D5071">
      <w:pPr>
        <w:numPr>
          <w:ilvl w:val="0"/>
          <w:numId w:val="1"/>
        </w:numPr>
        <w:spacing w:after="160" w:line="259" w:lineRule="auto"/>
        <w:ind w:right="0" w:hanging="299"/>
        <w:jc w:val="left"/>
      </w:pPr>
      <w:r>
        <w:rPr>
          <w:b/>
          <w:sz w:val="19"/>
        </w:rPr>
        <w:t>КОНТРАЦЕПЦИЯ ПРИ САХАРНОМ ДИАБ</w:t>
      </w:r>
      <w:r>
        <w:rPr>
          <w:b/>
          <w:sz w:val="19"/>
        </w:rPr>
        <w:t xml:space="preserve">ЕТЕ </w:t>
      </w:r>
      <w:r>
        <w:rPr>
          <w:b/>
          <w:sz w:val="19"/>
        </w:rPr>
        <w:tab/>
        <w:t xml:space="preserve"> . . . . . . . . . . . . . . . . . . . . . . . . . . . . . . . . . . . . . . . . . . . . . . . . . . . . . . . . . . . . . </w:t>
      </w:r>
      <w:r>
        <w:rPr>
          <w:b/>
          <w:sz w:val="19"/>
        </w:rPr>
        <w:tab/>
        <w:t>120</w:t>
      </w:r>
    </w:p>
    <w:p w:rsidR="00D27BC6" w:rsidRDefault="004D5071">
      <w:pPr>
        <w:numPr>
          <w:ilvl w:val="0"/>
          <w:numId w:val="1"/>
        </w:numPr>
        <w:spacing w:after="160" w:line="259" w:lineRule="auto"/>
        <w:ind w:right="0" w:hanging="299"/>
        <w:jc w:val="left"/>
      </w:pPr>
      <w:r>
        <w:rPr>
          <w:b/>
          <w:sz w:val="19"/>
        </w:rPr>
        <w:t xml:space="preserve">САХАРНЫЙ ДИАБЕТ У ДЕТЕЙ И ПОДРОСТКОВ </w:t>
      </w:r>
      <w:r>
        <w:rPr>
          <w:b/>
          <w:sz w:val="19"/>
        </w:rPr>
        <w:tab/>
        <w:t xml:space="preserve"> . . . . . . . . . . . . . . . . . . . . . . . . . . . . . . . . . . . . . . . . . . </w:t>
      </w:r>
      <w:r>
        <w:rPr>
          <w:b/>
          <w:sz w:val="19"/>
        </w:rPr>
        <w:t xml:space="preserve">. . . . . . . . . . . . . . . . . </w:t>
      </w:r>
      <w:r>
        <w:rPr>
          <w:b/>
          <w:sz w:val="19"/>
        </w:rPr>
        <w:tab/>
        <w:t>123</w:t>
      </w:r>
    </w:p>
    <w:p w:rsidR="00D27BC6" w:rsidRDefault="004D5071">
      <w:pPr>
        <w:numPr>
          <w:ilvl w:val="1"/>
          <w:numId w:val="1"/>
        </w:numPr>
        <w:spacing w:after="160" w:line="259" w:lineRule="auto"/>
        <w:ind w:right="0" w:firstLine="0"/>
        <w:jc w:val="left"/>
      </w:pPr>
      <w:r>
        <w:rPr>
          <w:sz w:val="19"/>
        </w:rPr>
        <w:t xml:space="preserve">САХАРНЫЙ ДИАБЕТ 1 ТИПА </w:t>
      </w:r>
      <w:r>
        <w:rPr>
          <w:sz w:val="19"/>
        </w:rPr>
        <w:tab/>
        <w:t xml:space="preserve"> . . . . . . . . . . . . . . . . . . . . . . . . . . . . . . . . . . . . . . . . . . . . . . . . . . . . . . . . . . . . . . . . . . . . . . . . . . . . . . . . </w:t>
      </w:r>
      <w:r>
        <w:rPr>
          <w:sz w:val="19"/>
        </w:rPr>
        <w:tab/>
        <w:t>123</w:t>
      </w:r>
    </w:p>
    <w:p w:rsidR="00D27BC6" w:rsidRDefault="004D5071">
      <w:pPr>
        <w:numPr>
          <w:ilvl w:val="1"/>
          <w:numId w:val="1"/>
        </w:numPr>
        <w:spacing w:after="160" w:line="259" w:lineRule="auto"/>
        <w:ind w:right="0" w:firstLine="0"/>
        <w:jc w:val="left"/>
      </w:pPr>
      <w:r>
        <w:rPr>
          <w:sz w:val="19"/>
        </w:rPr>
        <w:t xml:space="preserve">НЕИММУННЫЕ ФОРМЫ СД </w:t>
      </w:r>
      <w:r>
        <w:rPr>
          <w:sz w:val="19"/>
        </w:rPr>
        <w:tab/>
      </w:r>
      <w:r>
        <w:rPr>
          <w:sz w:val="19"/>
        </w:rPr>
        <w:t xml:space="preserve"> . . . . . . . . . . . . . . . . . . . . . . . . . . . . . . . . . . . . . . . . . . . . . . . . . . . . . . . . . . . . . . . . . . . . . . . . . . . . . . . . . </w:t>
      </w:r>
      <w:r>
        <w:rPr>
          <w:sz w:val="19"/>
        </w:rPr>
        <w:tab/>
        <w:t>126</w:t>
      </w:r>
    </w:p>
    <w:p w:rsidR="00D27BC6" w:rsidRDefault="004D5071">
      <w:pPr>
        <w:numPr>
          <w:ilvl w:val="1"/>
          <w:numId w:val="1"/>
        </w:numPr>
        <w:spacing w:after="160" w:line="259" w:lineRule="auto"/>
        <w:ind w:right="0" w:firstLine="0"/>
        <w:jc w:val="left"/>
      </w:pPr>
      <w:r>
        <w:rPr>
          <w:sz w:val="19"/>
        </w:rPr>
        <w:t xml:space="preserve">МЕДИКО-ГЕНЕТИЧЕСКОЕ КОНСУЛЬТИРОВАНИЕ СЕМЕЙ ПАЦИЕНТОВ С СД </w:t>
      </w:r>
      <w:r>
        <w:rPr>
          <w:sz w:val="19"/>
        </w:rPr>
        <w:tab/>
        <w:t xml:space="preserve"> . . . . . . . . . . . . . . </w:t>
      </w:r>
      <w:r>
        <w:rPr>
          <w:sz w:val="19"/>
        </w:rPr>
        <w:t xml:space="preserve">. . . . . . . . . . . . . . . . . . </w:t>
      </w:r>
      <w:r>
        <w:rPr>
          <w:sz w:val="19"/>
        </w:rPr>
        <w:tab/>
        <w:t>131</w:t>
      </w:r>
    </w:p>
    <w:p w:rsidR="00D27BC6" w:rsidRDefault="004D5071">
      <w:pPr>
        <w:numPr>
          <w:ilvl w:val="1"/>
          <w:numId w:val="1"/>
        </w:numPr>
        <w:spacing w:after="160" w:line="259" w:lineRule="auto"/>
        <w:ind w:right="0" w:firstLine="0"/>
        <w:jc w:val="left"/>
      </w:pPr>
      <w:r>
        <w:rPr>
          <w:sz w:val="19"/>
        </w:rPr>
        <w:t xml:space="preserve">ПЕРЕХОД ПАЦИЕНТА С САХАРНЫМ ДИАБЕТОМ ИЗ ПЕДИАТРИЧЕСКОЙ  </w:t>
      </w:r>
    </w:p>
    <w:p w:rsidR="00D27BC6" w:rsidRDefault="004D5071">
      <w:pPr>
        <w:tabs>
          <w:tab w:val="center" w:pos="1988"/>
          <w:tab w:val="center" w:pos="6737"/>
          <w:tab w:val="right" w:pos="10213"/>
        </w:tabs>
        <w:spacing w:after="160" w:line="259" w:lineRule="auto"/>
        <w:ind w:left="0" w:right="0" w:firstLine="0"/>
        <w:jc w:val="left"/>
      </w:pPr>
      <w:r>
        <w:rPr>
          <w:sz w:val="22"/>
        </w:rPr>
        <w:tab/>
      </w:r>
      <w:r>
        <w:rPr>
          <w:sz w:val="19"/>
        </w:rPr>
        <w:t xml:space="preserve">ВО ВЗРОСЛУЮ МЕДИЦИНСКУЮ СЛУЖБУ </w:t>
      </w:r>
      <w:r>
        <w:rPr>
          <w:sz w:val="19"/>
        </w:rPr>
        <w:tab/>
        <w:t xml:space="preserve"> . . . . . . . . . . . . . . . . . . . . . . . . . . . . . . . . . . . . . . . . . . . . . . . . . . . . . . . . . . . . . . </w:t>
      </w:r>
      <w:r>
        <w:rPr>
          <w:sz w:val="19"/>
        </w:rPr>
        <w:t xml:space="preserve">. . . . . . . . . . </w:t>
      </w:r>
      <w:r>
        <w:rPr>
          <w:sz w:val="19"/>
        </w:rPr>
        <w:tab/>
        <w:t>132</w:t>
      </w:r>
    </w:p>
    <w:p w:rsidR="00D27BC6" w:rsidRDefault="004D5071">
      <w:pPr>
        <w:numPr>
          <w:ilvl w:val="0"/>
          <w:numId w:val="1"/>
        </w:numPr>
        <w:spacing w:after="160" w:line="259" w:lineRule="auto"/>
        <w:ind w:right="0" w:hanging="299"/>
        <w:jc w:val="left"/>
      </w:pPr>
      <w:r>
        <w:rPr>
          <w:b/>
          <w:sz w:val="19"/>
        </w:rPr>
        <w:t xml:space="preserve">САХАРНЫЙ ДИАБЕТ В ПОЖИЛОМ ВОЗРАСТЕ </w:t>
      </w:r>
      <w:r>
        <w:rPr>
          <w:b/>
          <w:sz w:val="19"/>
        </w:rPr>
        <w:tab/>
        <w:t xml:space="preserve"> . . . . . . . . . . . . . . . . . . . . . . . . . . . . . . . . . . . . . . . . . . . . . . . . . . . . . . . . . . . . </w:t>
      </w:r>
      <w:r>
        <w:rPr>
          <w:b/>
          <w:sz w:val="19"/>
        </w:rPr>
        <w:tab/>
        <w:t>132</w:t>
      </w:r>
    </w:p>
    <w:p w:rsidR="00D27BC6" w:rsidRDefault="004D5071">
      <w:pPr>
        <w:numPr>
          <w:ilvl w:val="0"/>
          <w:numId w:val="1"/>
        </w:numPr>
        <w:spacing w:after="160" w:line="259" w:lineRule="auto"/>
        <w:ind w:right="0" w:hanging="299"/>
        <w:jc w:val="left"/>
      </w:pPr>
      <w:r>
        <w:rPr>
          <w:b/>
          <w:sz w:val="19"/>
        </w:rPr>
        <w:t xml:space="preserve">МЕНОПАУЗАЛЬНАЯ ГОРМОНАЛЬНАЯ ТЕРАПИЯ ПРИ САХАРНОМ ДИАБЕТЕ </w:t>
      </w:r>
      <w:r>
        <w:rPr>
          <w:b/>
          <w:sz w:val="19"/>
        </w:rPr>
        <w:tab/>
        <w:t xml:space="preserve"> . . . . . </w:t>
      </w:r>
      <w:r>
        <w:rPr>
          <w:b/>
          <w:sz w:val="19"/>
        </w:rPr>
        <w:t xml:space="preserve">. . . . . . . . . . . . . . . . . . . . . . . . . . </w:t>
      </w:r>
      <w:r>
        <w:rPr>
          <w:b/>
          <w:sz w:val="19"/>
        </w:rPr>
        <w:tab/>
        <w:t>135</w:t>
      </w:r>
    </w:p>
    <w:p w:rsidR="00D27BC6" w:rsidRDefault="004D5071">
      <w:pPr>
        <w:numPr>
          <w:ilvl w:val="0"/>
          <w:numId w:val="1"/>
        </w:numPr>
        <w:spacing w:after="160" w:line="259" w:lineRule="auto"/>
        <w:ind w:right="0" w:hanging="299"/>
        <w:jc w:val="left"/>
      </w:pPr>
      <w:r>
        <w:rPr>
          <w:b/>
          <w:sz w:val="19"/>
        </w:rPr>
        <w:t xml:space="preserve">СИНДРОМ ГИПОГОНАДИЗМА У МУЖЧИН С САХАРНЫМ ДИАБЕТОМ </w:t>
      </w:r>
      <w:r>
        <w:rPr>
          <w:b/>
          <w:sz w:val="19"/>
        </w:rPr>
        <w:tab/>
        <w:t xml:space="preserve"> . . . . . . . . . . . . . . . . . . . . . . . . . . . . . . . . . . . . . </w:t>
      </w:r>
      <w:r>
        <w:rPr>
          <w:b/>
          <w:sz w:val="19"/>
        </w:rPr>
        <w:tab/>
        <w:t>139</w:t>
      </w:r>
    </w:p>
    <w:p w:rsidR="00D27BC6" w:rsidRDefault="004D5071">
      <w:pPr>
        <w:numPr>
          <w:ilvl w:val="0"/>
          <w:numId w:val="1"/>
        </w:numPr>
        <w:spacing w:after="160" w:line="259" w:lineRule="auto"/>
        <w:ind w:right="0" w:hanging="299"/>
        <w:jc w:val="left"/>
      </w:pPr>
      <w:r>
        <w:rPr>
          <w:b/>
          <w:sz w:val="19"/>
        </w:rPr>
        <w:t xml:space="preserve">ПЕРИОПЕРАЦИОННОЕ ВЕДЕНИЕ БОЛЬНЫХ САХАРНЫМ ДИАБЕТОМ </w:t>
      </w:r>
      <w:r>
        <w:rPr>
          <w:b/>
          <w:sz w:val="19"/>
        </w:rPr>
        <w:tab/>
        <w:t xml:space="preserve"> . . . . . . . </w:t>
      </w:r>
      <w:r>
        <w:rPr>
          <w:b/>
          <w:sz w:val="19"/>
        </w:rPr>
        <w:t xml:space="preserve">. . . . . . . . . . . . . . . . . . . . . . . . . . . . . . </w:t>
      </w:r>
      <w:r>
        <w:rPr>
          <w:b/>
          <w:sz w:val="19"/>
        </w:rPr>
        <w:tab/>
        <w:t>139</w:t>
      </w:r>
    </w:p>
    <w:p w:rsidR="00D27BC6" w:rsidRDefault="004D5071">
      <w:pPr>
        <w:numPr>
          <w:ilvl w:val="0"/>
          <w:numId w:val="1"/>
        </w:numPr>
        <w:spacing w:after="160" w:line="259" w:lineRule="auto"/>
        <w:ind w:right="0" w:hanging="299"/>
        <w:jc w:val="left"/>
      </w:pPr>
      <w:r>
        <w:rPr>
          <w:b/>
          <w:sz w:val="19"/>
        </w:rPr>
        <w:t xml:space="preserve">ХИРУРГИЧЕСКОЕ ЛЕЧЕНИЕ САХАРНОГО ДИАБЕТА </w:t>
      </w:r>
      <w:r>
        <w:rPr>
          <w:b/>
          <w:sz w:val="19"/>
        </w:rPr>
        <w:tab/>
        <w:t xml:space="preserve"> . . . . . . . . . . . . . . . . . . . . . . . . . . . . . . . . . . . . . . . . . . . . . . . . . . . . . . . </w:t>
      </w:r>
      <w:r>
        <w:rPr>
          <w:b/>
          <w:sz w:val="19"/>
        </w:rPr>
        <w:tab/>
        <w:t>144</w:t>
      </w:r>
    </w:p>
    <w:p w:rsidR="00D27BC6" w:rsidRDefault="004D5071">
      <w:pPr>
        <w:numPr>
          <w:ilvl w:val="0"/>
          <w:numId w:val="1"/>
        </w:numPr>
        <w:spacing w:after="160" w:line="259" w:lineRule="auto"/>
        <w:ind w:right="0" w:hanging="299"/>
        <w:jc w:val="left"/>
      </w:pPr>
      <w:r>
        <w:rPr>
          <w:b/>
          <w:sz w:val="19"/>
        </w:rPr>
        <w:t xml:space="preserve">ВАКЦИНАЦИЯ </w:t>
      </w:r>
      <w:r>
        <w:rPr>
          <w:b/>
          <w:sz w:val="19"/>
        </w:rPr>
        <w:tab/>
        <w:t xml:space="preserve"> . . . . . . . . . . .</w:t>
      </w:r>
      <w:r>
        <w:rPr>
          <w:b/>
          <w:sz w:val="19"/>
        </w:rPr>
        <w:t xml:space="preserve"> . . . . . . . . . . . . . . . . . . . . . . . . . . . . . . . . . . . . . . . . . . . . . . . . . . . . . . . . . . . . . . . . . . . . . . . . . . . . . . . </w:t>
      </w:r>
      <w:r>
        <w:rPr>
          <w:b/>
          <w:sz w:val="19"/>
        </w:rPr>
        <w:tab/>
        <w:t>145</w:t>
      </w:r>
    </w:p>
    <w:p w:rsidR="00D27BC6" w:rsidRDefault="004D5071">
      <w:pPr>
        <w:numPr>
          <w:ilvl w:val="0"/>
          <w:numId w:val="1"/>
        </w:numPr>
        <w:spacing w:after="160" w:line="259" w:lineRule="auto"/>
        <w:ind w:right="0" w:hanging="299"/>
        <w:jc w:val="left"/>
      </w:pPr>
      <w:r>
        <w:rPr>
          <w:b/>
          <w:sz w:val="19"/>
        </w:rPr>
        <w:t xml:space="preserve">БАЗА ДАННЫХ КЛИНИКО-ЭПИДЕМИОЛОГИЧЕСКОГО МОНИТОРИНГА  </w:t>
      </w:r>
    </w:p>
    <w:p w:rsidR="00D27BC6" w:rsidRDefault="004D5071">
      <w:pPr>
        <w:tabs>
          <w:tab w:val="center" w:pos="7821"/>
          <w:tab w:val="right" w:pos="10213"/>
        </w:tabs>
        <w:spacing w:after="160" w:line="259" w:lineRule="auto"/>
        <w:ind w:left="0" w:right="0" w:firstLine="0"/>
        <w:jc w:val="left"/>
      </w:pPr>
      <w:r>
        <w:rPr>
          <w:b/>
          <w:sz w:val="19"/>
        </w:rPr>
        <w:t>САХАРНОГО ДИАБЕТА НА ТЕРРИТОРИИ РОССИЙ</w:t>
      </w:r>
      <w:r>
        <w:rPr>
          <w:b/>
          <w:sz w:val="19"/>
        </w:rPr>
        <w:t xml:space="preserve">СКОЙ ФЕДЕРАЦИИ </w:t>
      </w:r>
      <w:r>
        <w:rPr>
          <w:b/>
          <w:sz w:val="19"/>
        </w:rPr>
        <w:tab/>
        <w:t xml:space="preserve"> . . . . . . . . . . . . . . . . . . . . . . . . . . . . . . . . . . . . . . . . . </w:t>
      </w:r>
      <w:r>
        <w:rPr>
          <w:b/>
          <w:sz w:val="19"/>
        </w:rPr>
        <w:tab/>
        <w:t>147</w:t>
      </w:r>
    </w:p>
    <w:p w:rsidR="00D27BC6" w:rsidRDefault="004D5071">
      <w:pPr>
        <w:numPr>
          <w:ilvl w:val="0"/>
          <w:numId w:val="1"/>
        </w:numPr>
        <w:spacing w:after="160" w:line="259" w:lineRule="auto"/>
        <w:ind w:right="0" w:hanging="299"/>
        <w:jc w:val="left"/>
      </w:pPr>
      <w:r>
        <w:rPr>
          <w:b/>
          <w:sz w:val="19"/>
        </w:rPr>
        <w:t xml:space="preserve">ПРИЛОЖЕНИЯ </w:t>
      </w:r>
      <w:r>
        <w:rPr>
          <w:b/>
          <w:sz w:val="19"/>
        </w:rPr>
        <w:tab/>
        <w:t xml:space="preserve"> . . . . . . . . . . . . . . . . . . . . . . . . . . . . . . . . . . . . . . . . . . . . . . . . . . . . . . . . . . . . . . . . . . . . . .</w:t>
      </w:r>
      <w:r>
        <w:rPr>
          <w:b/>
          <w:sz w:val="19"/>
        </w:rPr>
        <w:t xml:space="preserve"> . . . . . . . . . . . . . . . . . . . </w:t>
      </w:r>
      <w:r>
        <w:rPr>
          <w:b/>
          <w:sz w:val="19"/>
        </w:rPr>
        <w:tab/>
        <w:t>150</w:t>
      </w:r>
    </w:p>
    <w:p w:rsidR="00D27BC6" w:rsidRDefault="004D5071">
      <w:pPr>
        <w:tabs>
          <w:tab w:val="center" w:pos="5461"/>
          <w:tab w:val="right" w:pos="10213"/>
        </w:tabs>
        <w:spacing w:after="160" w:line="259" w:lineRule="auto"/>
        <w:ind w:left="0" w:right="0" w:firstLine="0"/>
        <w:jc w:val="left"/>
      </w:pPr>
      <w:r>
        <w:rPr>
          <w:b/>
          <w:sz w:val="19"/>
        </w:rPr>
        <w:t xml:space="preserve">ЛИТЕРАТУРА </w:t>
      </w:r>
      <w:r>
        <w:rPr>
          <w:b/>
          <w:sz w:val="19"/>
        </w:rPr>
        <w:tab/>
        <w:t xml:space="preserve"> . . . . . . . . . . . . . . . . . . . . . . . . . . . . . . . . . . . . . . . . . . . . . . . . . . . . . . . . . . . . . . . . . . . . . . . . . . . . . . . . . . . . . . . . . . . . . . . </w:t>
      </w:r>
      <w:r>
        <w:rPr>
          <w:b/>
          <w:sz w:val="19"/>
        </w:rPr>
        <w:tab/>
        <w:t>173</w:t>
      </w:r>
    </w:p>
    <w:p w:rsidR="00D27BC6" w:rsidRDefault="004D5071">
      <w:pPr>
        <w:tabs>
          <w:tab w:val="center" w:pos="5930"/>
          <w:tab w:val="right" w:pos="10213"/>
        </w:tabs>
        <w:spacing w:after="160" w:line="259" w:lineRule="auto"/>
        <w:ind w:left="0" w:right="0" w:firstLine="0"/>
        <w:jc w:val="left"/>
      </w:pPr>
      <w:r>
        <w:rPr>
          <w:b/>
          <w:sz w:val="19"/>
        </w:rPr>
        <w:t xml:space="preserve">СПИСОК СОКРАЩЕНИЙ </w:t>
      </w:r>
      <w:r>
        <w:rPr>
          <w:b/>
          <w:sz w:val="19"/>
        </w:rPr>
        <w:tab/>
        <w:t xml:space="preserve"> . . . . . . . . . . . . . . . . . . . . . . . . . . . . . . . . . . . . . . . . . . . . . . . . . . . . . . . . . . . . . . . . . . . . . . . . . . . . . . . . . . . . </w:t>
      </w:r>
      <w:r>
        <w:rPr>
          <w:b/>
          <w:sz w:val="19"/>
        </w:rPr>
        <w:tab/>
        <w:t>175</w:t>
      </w:r>
    </w:p>
    <w:p w:rsidR="00D27BC6" w:rsidRDefault="004D5071">
      <w:pPr>
        <w:pStyle w:val="Heading1"/>
        <w:spacing w:after="414"/>
        <w:ind w:left="313" w:right="307"/>
      </w:pPr>
      <w:r>
        <w:t>ПРЕДИСЛОВИЕ К ДВЕНАДЦАТОМУ ВЫПУСКУ</w:t>
      </w:r>
    </w:p>
    <w:p w:rsidR="00D27BC6" w:rsidRDefault="004D5071">
      <w:pPr>
        <w:spacing w:after="226"/>
        <w:ind w:left="290" w:right="284"/>
        <w:jc w:val="center"/>
      </w:pPr>
      <w:r>
        <w:rPr>
          <w:b/>
        </w:rPr>
        <w:t>Уважаемые коллеги!</w:t>
      </w:r>
    </w:p>
    <w:p w:rsidR="00D27BC6" w:rsidRDefault="004D5071">
      <w:pPr>
        <w:ind w:left="-11" w:right="0" w:firstLine="283"/>
      </w:pPr>
      <w:r>
        <w:t>Вашему вн</w:t>
      </w:r>
      <w:r>
        <w:t xml:space="preserve">иманию представлен двенадцатый актуализированный выпуск «Алгоритмы специализированной медицинской помощи больным сахарным диабетом». Целью данного руководства является стандартизация и оптимизация оказания медицинской помощи больным сахарным диабетом (СД) </w:t>
      </w:r>
      <w:r>
        <w:t>во всех регионах России на основе доказательной медицины.</w:t>
      </w:r>
    </w:p>
    <w:p w:rsidR="00D27BC6" w:rsidRDefault="004D5071">
      <w:pPr>
        <w:ind w:left="-11" w:right="0" w:firstLine="283"/>
      </w:pPr>
      <w:r>
        <w:t>Руководство регулярно обновляется в соответствии с новыми данными и рекомендациями по лечению больных СД, базирующимися на международном и отечественном опыте, включая рекомендации ВОЗ, Российской а</w:t>
      </w:r>
      <w:r>
        <w:t xml:space="preserve">ссоциации эндокринологов (РАЭ), Международной диабетической федерации (IDF), Европейской ассоциации по изучению диабета (EASD), Американской диабетической ассоциации (АDA), Американской ассоциации клинических эндокринологов (AACE), Международного общества </w:t>
      </w:r>
      <w:r>
        <w:t>по детскому и подростковому диабету (ISPAD), а также результатах завершенных рандомизированных клинических испытаний у больных СД.</w:t>
      </w:r>
    </w:p>
    <w:p w:rsidR="00D27BC6" w:rsidRDefault="004D5071">
      <w:pPr>
        <w:ind w:left="-11" w:right="0" w:firstLine="283"/>
      </w:pPr>
      <w:r>
        <w:t>Численность больных СД в мире за последние 20 лет увеличилась в 3 раза. В 2024 г. по данным Международной диабетической федер</w:t>
      </w:r>
      <w:r>
        <w:t>ации (Атлас IDF, 11-й выпуск, 2025 г.) численность больных СД в мире составила 588,7 млн человек, из них 40% своевременно не диагностированы. Еще более 1 млрд. человек имеют состояние предиабета (нарушенной толерантности к глюкозе и/или нарушенной гликемии</w:t>
      </w:r>
      <w:r>
        <w:t xml:space="preserve"> натощак).</w:t>
      </w:r>
    </w:p>
    <w:p w:rsidR="00D27BC6" w:rsidRDefault="004D5071">
      <w:pPr>
        <w:ind w:left="-11" w:right="0" w:firstLine="284"/>
      </w:pPr>
      <w:r>
        <w:t>В Российской Федерации, как и во всех странах мира, отмечается значимый рост распространенности СД. По данным ГНЦ РФ ФГБУ «НМИЦ эндокринологии», полученных на основе анализа «Базы данных клинико-эпидемиологического мониторинга» (https://www.diar</w:t>
      </w:r>
      <w:r>
        <w:t>egistry.ru) общее количество пациентов с СД в РФ на 01.01.2025 г. составило 5 463 982 человека (3,5% населения), из них: 92,4% (5 046 037) – СД 2 типа, 5,5% (298 919) – СД 1 типа и 2,1% (119 026) – другие типы СД, в том числе 10 010 женщин с гестационным С</w:t>
      </w:r>
      <w:r>
        <w:t xml:space="preserve">Д. Однако эти данные недооценивают реальное количество пациентов, поскольку учитывают только выявленные и зарегистрированные случаи заболевания. Так, результаты масштабного российского эпидемиологического исследования (NATION) показали, что 54% случаев СД </w:t>
      </w:r>
      <w:r>
        <w:t>2 типа не были диагностированы. Таким образом, реальная численность пациентов с СД в РФ не менее 11-12 млн. человек (около 7% населения), что представляет огромную угрозу. Самыми опасными последствиями глобальной эпидемии СД являются его системные сосудист</w:t>
      </w:r>
      <w:r>
        <w:t>ые осложнения – нефропатия, ретинопатия, поражение магистральных сосудов сердца, головного мозга, артерий нижних конечностей. Именно эти осложнения являются основной причиной инвалидизации и смертности больных СД.</w:t>
      </w:r>
    </w:p>
    <w:p w:rsidR="00D27BC6" w:rsidRDefault="004D5071">
      <w:pPr>
        <w:ind w:left="-11" w:right="0" w:firstLine="283"/>
      </w:pPr>
      <w:r>
        <w:t>В настоящем издании сохранен индивидуализи</w:t>
      </w:r>
      <w:r>
        <w:t>рованный подход к выбору целей лечения у пациентов с СД и выбору сахароснижающей терапии в зависимости от доминирующей клинической проблемы пациента. Важные обновления коснулись следующих разделов:</w:t>
      </w:r>
    </w:p>
    <w:p w:rsidR="00D27BC6" w:rsidRDefault="004D5071">
      <w:pPr>
        <w:numPr>
          <w:ilvl w:val="0"/>
          <w:numId w:val="2"/>
        </w:numPr>
        <w:ind w:right="0" w:hanging="283"/>
      </w:pPr>
      <w:r>
        <w:rPr>
          <w:b/>
          <w:i/>
        </w:rPr>
        <w:t>Методы контроля уровня глюкозы.</w:t>
      </w:r>
      <w:r>
        <w:t xml:space="preserve"> Обновлен перечень доступных систем непрерывного мониторирования глюкозы (НМГ), перечислены условия, когда использование НМГ нецелесообразно.</w:t>
      </w:r>
    </w:p>
    <w:p w:rsidR="00D27BC6" w:rsidRDefault="004D5071">
      <w:pPr>
        <w:numPr>
          <w:ilvl w:val="0"/>
          <w:numId w:val="2"/>
        </w:numPr>
        <w:ind w:right="0" w:hanging="283"/>
      </w:pPr>
      <w:r>
        <w:rPr>
          <w:b/>
          <w:i/>
        </w:rPr>
        <w:t>Целевые уровни показателей липидного обмена.</w:t>
      </w:r>
      <w:r>
        <w:t xml:space="preserve"> Учтена шкала SCORE2-Diabetes Европейского общества кардиологов (далее</w:t>
      </w:r>
      <w:r>
        <w:t xml:space="preserve"> актуально для определения лиц с высоким риском сердечно-сосудистых заболеваний атеросклеротического генеза (АССЗ) в разделе «Персонализация выбора сахароснижающих препаратов в зависимости от доминирующей клинической проблемы пациента»).</w:t>
      </w:r>
    </w:p>
    <w:p w:rsidR="00D27BC6" w:rsidRDefault="004D5071">
      <w:pPr>
        <w:numPr>
          <w:ilvl w:val="0"/>
          <w:numId w:val="2"/>
        </w:numPr>
        <w:ind w:right="0" w:hanging="283"/>
      </w:pPr>
      <w:r>
        <w:rPr>
          <w:b/>
          <w:i/>
        </w:rPr>
        <w:t>Вопросы профилакти</w:t>
      </w:r>
      <w:r>
        <w:rPr>
          <w:b/>
          <w:i/>
        </w:rPr>
        <w:t>ки сахарного диабета 1 типа.</w:t>
      </w:r>
      <w:r>
        <w:t xml:space="preserve"> Раздел представлен впервые. Уточнена целесообразность определения аутоантител у родственников 1 линии родства пациентов с СД 1 типа.</w:t>
      </w:r>
    </w:p>
    <w:p w:rsidR="00D27BC6" w:rsidRDefault="004D5071">
      <w:pPr>
        <w:numPr>
          <w:ilvl w:val="0"/>
          <w:numId w:val="2"/>
        </w:numPr>
        <w:ind w:right="0" w:hanging="283"/>
      </w:pPr>
      <w:r>
        <w:rPr>
          <w:b/>
          <w:i/>
        </w:rPr>
        <w:t>Сахарный диабет у детей и подростков. Сахарный диабет 1 типа.</w:t>
      </w:r>
      <w:r>
        <w:t xml:space="preserve"> Скорректированы целевые показате</w:t>
      </w:r>
      <w:r>
        <w:t>ли гликемического контроля в детском возрасте (ISPAD, 2024). Уточнены особенности применения НМГ.</w:t>
      </w:r>
    </w:p>
    <w:p w:rsidR="00D27BC6" w:rsidRDefault="004D5071">
      <w:pPr>
        <w:numPr>
          <w:ilvl w:val="0"/>
          <w:numId w:val="2"/>
        </w:numPr>
        <w:spacing w:after="3" w:line="259" w:lineRule="auto"/>
        <w:ind w:right="0" w:hanging="283"/>
      </w:pPr>
      <w:r>
        <w:rPr>
          <w:b/>
          <w:i/>
        </w:rPr>
        <w:t>Сахарный диабет 2 типа. Лечение.</w:t>
      </w:r>
      <w:r>
        <w:t xml:space="preserve"> </w:t>
      </w:r>
    </w:p>
    <w:p w:rsidR="00D27BC6" w:rsidRDefault="004D5071">
      <w:pPr>
        <w:numPr>
          <w:ilvl w:val="1"/>
          <w:numId w:val="2"/>
        </w:numPr>
        <w:ind w:left="568" w:right="0" w:hanging="283"/>
      </w:pPr>
      <w:r>
        <w:t>Представлен новый класс средств для СД 2 типа – двойные агонисты ГИП / арГПП-1. Определено место препарата тирзепатид в схем</w:t>
      </w:r>
      <w:r>
        <w:t xml:space="preserve">ах терапии СД 2 типа. </w:t>
      </w:r>
    </w:p>
    <w:p w:rsidR="00D27BC6" w:rsidRDefault="004D5071">
      <w:pPr>
        <w:numPr>
          <w:ilvl w:val="1"/>
          <w:numId w:val="2"/>
        </w:numPr>
        <w:ind w:left="568" w:right="0" w:hanging="283"/>
      </w:pPr>
      <w:r>
        <w:t xml:space="preserve">Усилены позиции комбинированной терапии при инициации лечения СД 2 типа. </w:t>
      </w:r>
    </w:p>
    <w:p w:rsidR="00D27BC6" w:rsidRDefault="004D5071">
      <w:pPr>
        <w:numPr>
          <w:ilvl w:val="1"/>
          <w:numId w:val="2"/>
        </w:numPr>
        <w:ind w:left="568" w:right="0" w:hanging="283"/>
      </w:pPr>
      <w:r>
        <w:t>Актуализирована информация о сравнительной эффективности, преимуществах и недостатках сахароснижающих препаратов, в т. ч. с учетом обновлений инструкций.</w:t>
      </w:r>
    </w:p>
    <w:p w:rsidR="00D27BC6" w:rsidRDefault="004D5071">
      <w:pPr>
        <w:numPr>
          <w:ilvl w:val="1"/>
          <w:numId w:val="2"/>
        </w:numPr>
        <w:ind w:left="568" w:right="0" w:hanging="283"/>
      </w:pPr>
      <w:r>
        <w:t>Обновлен раздел по персонализации выбора сахароснижающих препаратов: предложено использование шкалы SCORE2-Diabetes для пациентов с высоким риском АССЗ; изменено ранжирование препаратов у пациентов с ХБП (с учетом результатов исследования FLOW семаглутид о</w:t>
      </w:r>
      <w:r>
        <w:t xml:space="preserve">тнесен к препаратам 1-й линии); определены приоритетные препараты для лечения СД 2 при НАЖБП. </w:t>
      </w:r>
    </w:p>
    <w:p w:rsidR="00D27BC6" w:rsidRDefault="004D5071">
      <w:pPr>
        <w:numPr>
          <w:ilvl w:val="0"/>
          <w:numId w:val="2"/>
        </w:numPr>
        <w:ind w:right="0" w:hanging="283"/>
      </w:pPr>
      <w:r>
        <w:rPr>
          <w:b/>
          <w:i/>
        </w:rPr>
        <w:t>Острые осложнения сахарного диабета.</w:t>
      </w:r>
      <w:r>
        <w:t xml:space="preserve"> Существенно обновлен раздел по диабетическому кетоацидозу (ДКА, диабетическая кетоацидотическая кома) </w:t>
      </w:r>
    </w:p>
    <w:p w:rsidR="00D27BC6" w:rsidRDefault="004D5071">
      <w:pPr>
        <w:numPr>
          <w:ilvl w:val="0"/>
          <w:numId w:val="2"/>
        </w:numPr>
        <w:ind w:right="0" w:hanging="283"/>
      </w:pPr>
      <w:r>
        <w:rPr>
          <w:b/>
          <w:i/>
        </w:rPr>
        <w:t>Диабетическая нефропа</w:t>
      </w:r>
      <w:r>
        <w:rPr>
          <w:b/>
          <w:i/>
        </w:rPr>
        <w:t>тия.</w:t>
      </w:r>
      <w:r>
        <w:rPr>
          <w:i/>
        </w:rPr>
        <w:t xml:space="preserve"> </w:t>
      </w:r>
      <w:r>
        <w:t>Уточнена возможность использования цистатина С для диагностики. Скорректирована информация по применению различных препаратов с учетом приоритета и в зависимости от стадии ХБП.</w:t>
      </w:r>
    </w:p>
    <w:p w:rsidR="00D27BC6" w:rsidRDefault="004D5071">
      <w:pPr>
        <w:numPr>
          <w:ilvl w:val="0"/>
          <w:numId w:val="2"/>
        </w:numPr>
        <w:ind w:right="0" w:hanging="283"/>
      </w:pPr>
      <w:r>
        <w:rPr>
          <w:b/>
          <w:i/>
        </w:rPr>
        <w:t>Беременность и сахарный диабет.</w:t>
      </w:r>
      <w:r>
        <w:t xml:space="preserve"> Уточнена возможность использования метформ</w:t>
      </w:r>
      <w:r>
        <w:t>ина у пациенток с СД 2 типа на этапе планирования беременности (до ее наступления). Определены позиции возможного применения метформина при беременности.</w:t>
      </w:r>
    </w:p>
    <w:p w:rsidR="00D27BC6" w:rsidRDefault="004D5071">
      <w:pPr>
        <w:numPr>
          <w:ilvl w:val="0"/>
          <w:numId w:val="2"/>
        </w:numPr>
        <w:ind w:right="0" w:hanging="283"/>
      </w:pPr>
      <w:r>
        <w:rPr>
          <w:b/>
          <w:i/>
        </w:rPr>
        <w:t>Неалкогольная жировая болезнь печени при сахарном диабете.</w:t>
      </w:r>
      <w:r>
        <w:t xml:space="preserve"> Раздел представлен впервые. Кратко изложены</w:t>
      </w:r>
      <w:r>
        <w:t xml:space="preserve"> основные вопросы диагностики, определены предпочтительные для применения сахароснижающие препараты.</w:t>
      </w:r>
    </w:p>
    <w:p w:rsidR="00D27BC6" w:rsidRDefault="004D5071">
      <w:pPr>
        <w:numPr>
          <w:ilvl w:val="0"/>
          <w:numId w:val="2"/>
        </w:numPr>
        <w:ind w:right="0" w:hanging="283"/>
      </w:pPr>
      <w:r>
        <w:rPr>
          <w:b/>
          <w:i/>
        </w:rPr>
        <w:t>Сахарный диабет в пожилом возрасте.</w:t>
      </w:r>
      <w:r>
        <w:t xml:space="preserve"> Определяется возможность избрания более строгих целей лечения при использовании у пожилого пациента в случае применения</w:t>
      </w:r>
      <w:r>
        <w:t xml:space="preserve"> средств с низким риском гипогликемий.</w:t>
      </w:r>
    </w:p>
    <w:p w:rsidR="00D27BC6" w:rsidRDefault="004D5071">
      <w:pPr>
        <w:numPr>
          <w:ilvl w:val="0"/>
          <w:numId w:val="2"/>
        </w:numPr>
        <w:spacing w:after="3" w:line="259" w:lineRule="auto"/>
        <w:ind w:right="0" w:hanging="283"/>
      </w:pPr>
      <w:r>
        <w:rPr>
          <w:b/>
          <w:i/>
        </w:rPr>
        <w:t>Менопаузальная гормональная терапия при сахарном диабете.</w:t>
      </w:r>
      <w:r>
        <w:t xml:space="preserve"> Раздел представлен впервые.</w:t>
      </w:r>
    </w:p>
    <w:p w:rsidR="00D27BC6" w:rsidRDefault="004D5071">
      <w:pPr>
        <w:numPr>
          <w:ilvl w:val="0"/>
          <w:numId w:val="2"/>
        </w:numPr>
        <w:spacing w:after="3" w:line="259" w:lineRule="auto"/>
        <w:ind w:right="0" w:hanging="283"/>
      </w:pPr>
      <w:r>
        <w:rPr>
          <w:b/>
          <w:i/>
        </w:rPr>
        <w:t>Контрацепция при сахарном диабете.</w:t>
      </w:r>
      <w:r>
        <w:rPr>
          <w:i/>
        </w:rPr>
        <w:t xml:space="preserve"> </w:t>
      </w:r>
      <w:r>
        <w:t xml:space="preserve">Раздел существенно переработан. </w:t>
      </w:r>
    </w:p>
    <w:p w:rsidR="00D27BC6" w:rsidRDefault="004D5071">
      <w:pPr>
        <w:ind w:left="-11" w:right="0" w:firstLine="283"/>
      </w:pPr>
      <w:r>
        <w:t>«Алгоритмы специализированной медицинской помощи больным сахарн</w:t>
      </w:r>
      <w:r>
        <w:t>ым диабетом», в которых рассматриваются актуальные вопросы диагностики, лечения и профилактики заболевания и его осложнений, вот уже почти четверть века являются настольным справочником не только для врачей-эндокринологов, но для широчайшего круга врачей д</w:t>
      </w:r>
      <w:r>
        <w:t>ругих специальностей. Преимуществами издания являются сжатое, структурированное и наглядное изложение информации, а благодаря регулярным обновлениям (каждые 2 года) и быстрое представление наиболее актуальных данных. Это является результатом труда большого</w:t>
      </w:r>
      <w:r>
        <w:t xml:space="preserve"> коллектива авторов и позволяет осветить обширный спектр проблем пациентов как взрослого, так и детского возраста со столь гетерогенным заболеванием как сахарный диабет. </w:t>
      </w:r>
    </w:p>
    <w:p w:rsidR="00D27BC6" w:rsidRDefault="004D5071">
      <w:pPr>
        <w:spacing w:after="470"/>
        <w:ind w:left="-13" w:right="0" w:firstLine="283"/>
      </w:pPr>
      <w:r>
        <w:rPr>
          <w:b/>
        </w:rPr>
        <w:t>Рабочая группа обращает внимание читателей на то, что информация, содержащаяся в «Алг</w:t>
      </w:r>
      <w:r>
        <w:rPr>
          <w:b/>
        </w:rPr>
        <w:t xml:space="preserve">оритмах специализированной медицинской помощи больным сахарным диабетом», отражает ключевые позиции утвержденных клинических рекомендаций, но при этом «Алгоритмы» не являются нормативными правовыми документами, обязательными к исполнению на территории РФ, </w:t>
      </w:r>
      <w:r>
        <w:rPr>
          <w:b/>
        </w:rPr>
        <w:t>а носят в целом информационный и рекомендательный характер. Юридически приоритетными документами, обязательными к исполнению, являются актуальные версии соответствующих клинических рекомендаций, размещенные в рубрикаторе Министерства здравоохранения Россий</w:t>
      </w:r>
      <w:r>
        <w:rPr>
          <w:b/>
        </w:rPr>
        <w:t xml:space="preserve">ской Федерации (https://cr.minzdrav.gov.ru). </w:t>
      </w:r>
    </w:p>
    <w:p w:rsidR="00D27BC6" w:rsidRDefault="004D5071">
      <w:pPr>
        <w:spacing w:after="240" w:line="259" w:lineRule="auto"/>
        <w:ind w:left="10" w:right="-9"/>
        <w:jc w:val="right"/>
      </w:pPr>
      <w:r>
        <w:rPr>
          <w:i/>
        </w:rPr>
        <w:t>От имени рабочей группы</w:t>
      </w:r>
      <w:r>
        <w:br w:type="page"/>
      </w:r>
    </w:p>
    <w:p w:rsidR="00D27BC6" w:rsidRDefault="004D5071">
      <w:pPr>
        <w:pStyle w:val="Heading1"/>
        <w:spacing w:after="444"/>
        <w:ind w:left="313" w:right="307"/>
      </w:pPr>
      <w:r>
        <w:t>INTRODUCTION TO THE 12</w:t>
      </w:r>
      <w:r>
        <w:rPr>
          <w:sz w:val="21"/>
          <w:vertAlign w:val="superscript"/>
        </w:rPr>
        <w:t>TH</w:t>
      </w:r>
      <w:r>
        <w:t xml:space="preserve"> EDITION OF THE STANDARDS</w:t>
      </w:r>
    </w:p>
    <w:p w:rsidR="00D27BC6" w:rsidRDefault="004D5071">
      <w:pPr>
        <w:spacing w:after="226"/>
        <w:ind w:left="290" w:right="284"/>
        <w:jc w:val="center"/>
      </w:pPr>
      <w:r>
        <w:rPr>
          <w:b/>
        </w:rPr>
        <w:t>Dear Colleagues!</w:t>
      </w:r>
    </w:p>
    <w:p w:rsidR="00D27BC6" w:rsidRDefault="004D5071">
      <w:pPr>
        <w:ind w:left="295" w:right="0"/>
      </w:pPr>
      <w:r>
        <w:t xml:space="preserve">We are glad to present the 12th Edition of the Standards of Specialized Diabetes Care. </w:t>
      </w:r>
    </w:p>
    <w:p w:rsidR="00D27BC6" w:rsidRDefault="004D5071">
      <w:pPr>
        <w:ind w:left="-11" w:right="0" w:firstLine="283"/>
      </w:pPr>
      <w:r>
        <w:t>These evidence-based guidelines have been designed to standardize and facilitate diabetes care in all regions of the Russian Federation.</w:t>
      </w:r>
    </w:p>
    <w:p w:rsidR="00D27BC6" w:rsidRDefault="004D5071">
      <w:pPr>
        <w:ind w:left="-11" w:right="0" w:firstLine="283"/>
      </w:pPr>
      <w:r>
        <w:t>The Standards are regularly updated to incorporate new data and relevant recommendations from national and internationa</w:t>
      </w:r>
      <w:r>
        <w:t>l clinical societies, including World Health Organization (WHO), the Russian Association of Endocrinologists (RAE), the International Diabetes Federation (IDF), the European Association for the Study of Diabetes (EASD), the American Diabetes Association (A</w:t>
      </w:r>
      <w:r>
        <w:t>DA), the American Association of Clinical Endocrinologists (AACE), the International Society for Pediatric and Adolescent Diabetes (ISPAD), as well as the results of completed randomized clinical trials in patients with DM.</w:t>
      </w:r>
    </w:p>
    <w:p w:rsidR="00D27BC6" w:rsidRDefault="004D5071">
      <w:pPr>
        <w:ind w:left="-11" w:right="0" w:firstLine="283"/>
      </w:pPr>
      <w:r>
        <w:t>The number of people with diabet</w:t>
      </w:r>
      <w:r>
        <w:t>es in the world has increased threefold over the past 20 years. In 2024, according to the International Diabetes Federation (IDF Atlas, 11th Edition, 2025), the number of people with diabetes in the world was 588.7 million people, 40% of whom were not diag</w:t>
      </w:r>
      <w:r>
        <w:t>nosed in time. More than 1 billion people have prediabetes (impaired glucose tolerance and/or impaired fasting glucose). Like many other countries, Russian Federation experiences a sharp rise in the prevalence of DM. According to the data of the Endocrinol</w:t>
      </w:r>
      <w:r>
        <w:t xml:space="preserve">ogy Research Centre, obtained on the basis of the analysis of the “Clinical and Epidemiological Monitoring Database” (https://www.diaregistry.ru/) there were 5,463,982 people with DM in our country (3.5% of the population) on 01.01.2025: 92.4% (5,046,037) </w:t>
      </w:r>
      <w:r>
        <w:t>– type 2 diabetes, 5.5% (298,919) – type 1 diabetes and 2.1% (119,026) – other types of diabetes, including 10,010 women with gestational diabetes</w:t>
      </w:r>
    </w:p>
    <w:p w:rsidR="00D27BC6" w:rsidRDefault="004D5071">
      <w:pPr>
        <w:ind w:left="-11" w:right="0" w:firstLine="283"/>
      </w:pPr>
      <w:r>
        <w:t>However, these data underestimate the real number of patients, because they consider only registered cases of</w:t>
      </w:r>
      <w:r>
        <w:t xml:space="preserve"> DM. Results of the Russian epidemiological study (NATION) confirmed that 54% of type 2 diabetes cases were undiagnosed. Thus, the real number of patients with diabetes in the Russian Federation is at least 11-12 million people (about 7% of the population)</w:t>
      </w:r>
      <w:r>
        <w:t>. This represents an extreme threat. The most dangerous consequences of the global epidemic of diabetes are systemic vascular complications – nephropathy, retinopathy, coronary artery disease and peripheral vascular disease. These complications are respons</w:t>
      </w:r>
      <w:r>
        <w:t>ible for the majority of cases of diabetes-related disability and death.</w:t>
      </w:r>
    </w:p>
    <w:p w:rsidR="00D27BC6" w:rsidRDefault="004D5071">
      <w:pPr>
        <w:ind w:left="-11" w:right="0" w:firstLine="283"/>
      </w:pPr>
      <w:r>
        <w:t>This edition preserves the individualized approach to the selection of treatment goals in patients with diabetes and the choice of antihyperglycemic therapy. The most important update</w:t>
      </w:r>
      <w:r>
        <w:t>s:</w:t>
      </w:r>
    </w:p>
    <w:p w:rsidR="00D27BC6" w:rsidRDefault="004D5071">
      <w:pPr>
        <w:numPr>
          <w:ilvl w:val="0"/>
          <w:numId w:val="3"/>
        </w:numPr>
        <w:ind w:right="0" w:hanging="283"/>
      </w:pPr>
      <w:r>
        <w:rPr>
          <w:b/>
          <w:i/>
        </w:rPr>
        <w:t>Methods of glucose control.</w:t>
      </w:r>
      <w:r>
        <w:t xml:space="preserve"> The list of actually used continuous glucose monitoring (CGM) systems has been updated, conditions are listed when the use of CGM is inappropriate.</w:t>
      </w:r>
    </w:p>
    <w:p w:rsidR="00D27BC6" w:rsidRDefault="004D5071">
      <w:pPr>
        <w:numPr>
          <w:ilvl w:val="0"/>
          <w:numId w:val="3"/>
        </w:numPr>
        <w:ind w:right="0" w:hanging="283"/>
      </w:pPr>
      <w:r>
        <w:rPr>
          <w:b/>
          <w:i/>
        </w:rPr>
        <w:t>Targets of lipid control.</w:t>
      </w:r>
      <w:r>
        <w:t xml:space="preserve"> The SCORE2-Diabetes scale of the European Society o</w:t>
      </w:r>
      <w:r>
        <w:t>f Cardiology has been taken into account (further relevant for determining individuals with a high risk of ASCVD in the section “Personalization of the choice of antihyperglycemic agents depending on the patient’s dominant clinical problem”).</w:t>
      </w:r>
    </w:p>
    <w:p w:rsidR="00D27BC6" w:rsidRDefault="004D5071">
      <w:pPr>
        <w:numPr>
          <w:ilvl w:val="0"/>
          <w:numId w:val="3"/>
        </w:numPr>
        <w:ind w:right="0" w:hanging="283"/>
      </w:pPr>
      <w:r>
        <w:rPr>
          <w:b/>
          <w:i/>
        </w:rPr>
        <w:t>Prevention of</w:t>
      </w:r>
      <w:r>
        <w:rPr>
          <w:b/>
          <w:i/>
        </w:rPr>
        <w:t xml:space="preserve"> type 1 diabetes.</w:t>
      </w:r>
      <w:r>
        <w:t xml:space="preserve"> This section is presented for the first time. The advisability of determining autoantibodies in first-degree relatives of patients with type 1 diabetes has been clarified.</w:t>
      </w:r>
    </w:p>
    <w:p w:rsidR="00D27BC6" w:rsidRDefault="004D5071">
      <w:pPr>
        <w:numPr>
          <w:ilvl w:val="0"/>
          <w:numId w:val="3"/>
        </w:numPr>
        <w:ind w:right="0" w:hanging="283"/>
      </w:pPr>
      <w:r>
        <w:rPr>
          <w:b/>
          <w:i/>
        </w:rPr>
        <w:t>Diabetes mellitus in children and adolescents.</w:t>
      </w:r>
      <w:r>
        <w:t xml:space="preserve"> </w:t>
      </w:r>
      <w:r>
        <w:rPr>
          <w:i/>
        </w:rPr>
        <w:t>Type 1 diabetes mel</w:t>
      </w:r>
      <w:r>
        <w:rPr>
          <w:i/>
        </w:rPr>
        <w:t>litus.</w:t>
      </w:r>
      <w:r>
        <w:t xml:space="preserve"> Glycemic control goals in childhood have been adjusted (ISPAD, 2024). The specifics of using CGM have been clarified.</w:t>
      </w:r>
    </w:p>
    <w:p w:rsidR="00D27BC6" w:rsidRDefault="004D5071">
      <w:pPr>
        <w:numPr>
          <w:ilvl w:val="0"/>
          <w:numId w:val="3"/>
        </w:numPr>
        <w:spacing w:after="3" w:line="259" w:lineRule="auto"/>
        <w:ind w:right="0" w:hanging="283"/>
      </w:pPr>
      <w:r>
        <w:rPr>
          <w:b/>
          <w:i/>
        </w:rPr>
        <w:t>Type 2 diabetes mellitus. Treatment.</w:t>
      </w:r>
    </w:p>
    <w:p w:rsidR="00D27BC6" w:rsidRDefault="004D5071">
      <w:pPr>
        <w:numPr>
          <w:ilvl w:val="1"/>
          <w:numId w:val="3"/>
        </w:numPr>
        <w:ind w:left="568" w:right="0" w:hanging="283"/>
      </w:pPr>
      <w:r>
        <w:t>A new class of drugs for type 2 diabetes is presented – dual GIP/GLP-1 agonists. The position of tirzepatide in type 2 diabetes treatment has been determined.</w:t>
      </w:r>
    </w:p>
    <w:p w:rsidR="00D27BC6" w:rsidRDefault="004D5071">
      <w:pPr>
        <w:numPr>
          <w:ilvl w:val="1"/>
          <w:numId w:val="3"/>
        </w:numPr>
        <w:ind w:left="568" w:right="0" w:hanging="283"/>
      </w:pPr>
      <w:r>
        <w:t>The position of combination therapy when initiating type 2 diabetes treatment has been strengthen</w:t>
      </w:r>
      <w:r>
        <w:t>ed.</w:t>
      </w:r>
    </w:p>
    <w:p w:rsidR="00D27BC6" w:rsidRDefault="004D5071">
      <w:pPr>
        <w:numPr>
          <w:ilvl w:val="1"/>
          <w:numId w:val="3"/>
        </w:numPr>
        <w:ind w:left="568" w:right="0" w:hanging="283"/>
      </w:pPr>
      <w:r>
        <w:t>Information on the comparative efficacy, advantages and disadvantages of antihyperglycemic agents has been updated.</w:t>
      </w:r>
    </w:p>
    <w:p w:rsidR="00D27BC6" w:rsidRDefault="004D5071">
      <w:pPr>
        <w:numPr>
          <w:ilvl w:val="1"/>
          <w:numId w:val="3"/>
        </w:numPr>
        <w:ind w:left="568" w:right="0" w:hanging="283"/>
      </w:pPr>
      <w:r>
        <w:t>The section on personalizing the choice of antihyperglycemic drugs has been updated: the use of the SCORE2-Diabetes scale has been propo</w:t>
      </w:r>
      <w:r>
        <w:t>sed for patients with a high risk of atherosclerotic cardiovascular diseases (ASCVD); the ranking of drugs in patients with CKD has been changed (taking into account the results of the FLOW study, semaglutide has been classified as a first-line drug); prio</w:t>
      </w:r>
      <w:r>
        <w:t>rity drugs for the treatment of type 2 diabetes in NAFLD have been identified.</w:t>
      </w:r>
    </w:p>
    <w:p w:rsidR="00D27BC6" w:rsidRDefault="004D5071">
      <w:pPr>
        <w:numPr>
          <w:ilvl w:val="0"/>
          <w:numId w:val="3"/>
        </w:numPr>
        <w:ind w:right="0" w:hanging="283"/>
      </w:pPr>
      <w:r>
        <w:rPr>
          <w:b/>
          <w:i/>
        </w:rPr>
        <w:t>Acute complications of diabetes mellitus.</w:t>
      </w:r>
      <w:r>
        <w:t xml:space="preserve"> The section on diabetic ketoacidosis has been significantly updated.</w:t>
      </w:r>
    </w:p>
    <w:p w:rsidR="00D27BC6" w:rsidRDefault="004D5071">
      <w:pPr>
        <w:numPr>
          <w:ilvl w:val="0"/>
          <w:numId w:val="3"/>
        </w:numPr>
        <w:ind w:right="0" w:hanging="283"/>
      </w:pPr>
      <w:r>
        <w:rPr>
          <w:b/>
          <w:i/>
        </w:rPr>
        <w:t>Diabetic nephropathy.</w:t>
      </w:r>
      <w:r>
        <w:t xml:space="preserve"> The possibility of using cystatin C for diag</w:t>
      </w:r>
      <w:r>
        <w:t>nostics has been clarified. Information on the use of antihyperglycemic drugs at various stages of CKD has been adjusted.</w:t>
      </w:r>
    </w:p>
    <w:p w:rsidR="00D27BC6" w:rsidRDefault="004D5071">
      <w:pPr>
        <w:numPr>
          <w:ilvl w:val="0"/>
          <w:numId w:val="3"/>
        </w:numPr>
        <w:ind w:right="0" w:hanging="283"/>
      </w:pPr>
      <w:r>
        <w:rPr>
          <w:b/>
          <w:i/>
        </w:rPr>
        <w:t>Diabetes mellitus in pregnancy.</w:t>
      </w:r>
      <w:r>
        <w:t xml:space="preserve"> The possibility of using metformin in patients with type 2 diabetes during pregnancy planning (before </w:t>
      </w:r>
      <w:r>
        <w:t>pregnancy) has been clarified. The positions of possible use of metformin during pregnancy have been determined.</w:t>
      </w:r>
    </w:p>
    <w:p w:rsidR="00D27BC6" w:rsidRDefault="004D5071">
      <w:pPr>
        <w:numPr>
          <w:ilvl w:val="0"/>
          <w:numId w:val="3"/>
        </w:numPr>
        <w:ind w:right="0" w:hanging="283"/>
      </w:pPr>
      <w:r>
        <w:rPr>
          <w:b/>
          <w:i/>
        </w:rPr>
        <w:t>Non-alcoholic fatty liver disease in diabetes mellitus.</w:t>
      </w:r>
      <w:r>
        <w:t xml:space="preserve"> This section is presented for the first time. The main diagnostic issues are briefly ou</w:t>
      </w:r>
      <w:r>
        <w:t>tlined, and the preferred antihyperglycemic agents for use are determined.</w:t>
      </w:r>
    </w:p>
    <w:p w:rsidR="00D27BC6" w:rsidRDefault="004D5071">
      <w:pPr>
        <w:numPr>
          <w:ilvl w:val="0"/>
          <w:numId w:val="3"/>
        </w:numPr>
        <w:ind w:right="0" w:hanging="283"/>
      </w:pPr>
      <w:r>
        <w:rPr>
          <w:b/>
          <w:i/>
        </w:rPr>
        <w:t>Diabetes mellitus in the elderly.</w:t>
      </w:r>
      <w:r>
        <w:t xml:space="preserve"> The possibility of selecting more stringent treatment goals when used in an elderly patient in the case of using agents with a low risk of hypoglyc</w:t>
      </w:r>
      <w:r>
        <w:t>emia is determined.</w:t>
      </w:r>
    </w:p>
    <w:p w:rsidR="00D27BC6" w:rsidRDefault="004D5071">
      <w:pPr>
        <w:numPr>
          <w:ilvl w:val="0"/>
          <w:numId w:val="3"/>
        </w:numPr>
        <w:spacing w:after="3" w:line="259" w:lineRule="auto"/>
        <w:ind w:right="0" w:hanging="283"/>
      </w:pPr>
      <w:r>
        <w:rPr>
          <w:b/>
          <w:i/>
        </w:rPr>
        <w:t>Menopausal hormone therapy in diabetes mellitus.</w:t>
      </w:r>
      <w:r>
        <w:t xml:space="preserve"> The section is presented for the first time.</w:t>
      </w:r>
    </w:p>
    <w:p w:rsidR="00D27BC6" w:rsidRDefault="004D5071">
      <w:pPr>
        <w:numPr>
          <w:ilvl w:val="0"/>
          <w:numId w:val="3"/>
        </w:numPr>
        <w:ind w:right="0" w:hanging="283"/>
      </w:pPr>
      <w:r>
        <w:rPr>
          <w:b/>
          <w:i/>
        </w:rPr>
        <w:t>Contraception in diabetes mellitus.</w:t>
      </w:r>
      <w:r>
        <w:t xml:space="preserve"> The section has been significantly revised.</w:t>
      </w:r>
    </w:p>
    <w:p w:rsidR="00D27BC6" w:rsidRDefault="004D5071">
      <w:pPr>
        <w:ind w:left="-11" w:right="0" w:firstLine="283"/>
      </w:pPr>
      <w:r>
        <w:t xml:space="preserve">“Standards of Specialized Diabetes Care” have been a reference book for almost a quarter of a century not only for endocrinologists, but also for a wide range of doctors of other specialties. The advantages of the “Standards” are a concise, structured and </w:t>
      </w:r>
      <w:r>
        <w:t>visual presentation of information, and due to regular updates, every 2 years, a quick presentation of the most relevant data. This is the result of the work of a large team of authors and therefore allows us to cover a wide range of problems of patients w</w:t>
      </w:r>
      <w:r>
        <w:t>ith such a heterogeneous disease as DM.</w:t>
      </w:r>
    </w:p>
    <w:p w:rsidR="00D27BC6" w:rsidRDefault="004D5071">
      <w:pPr>
        <w:spacing w:after="470"/>
        <w:ind w:left="-13" w:right="0" w:firstLine="283"/>
      </w:pPr>
      <w:r>
        <w:rPr>
          <w:b/>
        </w:rPr>
        <w:t>The working group draws attention to the fact that the information contained in the “Standards of Specialized Diabetes Care” reflects the key positions of approved clinical guidelines, but at the same time the “Stand</w:t>
      </w:r>
      <w:r>
        <w:rPr>
          <w:b/>
        </w:rPr>
        <w:t>ards” are not regulatory legal documents mandatory for execution in the territory of the Russian Federation, but are generally informational and advisory in nature. Legally binding documents that have priority are the current versions of the relevant clini</w:t>
      </w:r>
      <w:r>
        <w:rPr>
          <w:b/>
        </w:rPr>
        <w:t>cal recommendations posted in the rubricator of the Ministry of Health of the Russian Federation (https://cr.minzdrav.gov.ru).</w:t>
      </w:r>
    </w:p>
    <w:p w:rsidR="00D27BC6" w:rsidRDefault="004D5071">
      <w:pPr>
        <w:spacing w:after="240" w:line="259" w:lineRule="auto"/>
        <w:ind w:left="10" w:right="-9"/>
        <w:jc w:val="right"/>
      </w:pPr>
      <w:r>
        <w:rPr>
          <w:i/>
        </w:rPr>
        <w:t>On behalf of the Working Group</w:t>
      </w:r>
      <w:r>
        <w:br w:type="page"/>
      </w:r>
    </w:p>
    <w:p w:rsidR="00D27BC6" w:rsidRDefault="004D5071">
      <w:pPr>
        <w:pStyle w:val="Heading1"/>
        <w:spacing w:after="168"/>
        <w:ind w:left="313" w:right="309"/>
      </w:pPr>
      <w:r>
        <w:t>1. ОПРЕДЕЛЕНИЕ САХАРНОГО ДИАБЕТА И ЕГО КЛАССИФИКАЦИЯ</w:t>
      </w:r>
    </w:p>
    <w:p w:rsidR="00D27BC6" w:rsidRDefault="004D5071">
      <w:pPr>
        <w:pBdr>
          <w:top w:val="single" w:sz="8" w:space="0" w:color="000000"/>
          <w:left w:val="single" w:sz="8" w:space="0" w:color="000000"/>
          <w:bottom w:val="single" w:sz="8" w:space="0" w:color="000000"/>
          <w:right w:val="single" w:sz="8" w:space="0" w:color="000000"/>
        </w:pBdr>
        <w:spacing w:after="243"/>
        <w:ind w:left="120" w:right="114"/>
      </w:pPr>
      <w:r>
        <w:rPr>
          <w:b/>
        </w:rPr>
        <w:t>Сахарный диабет</w:t>
      </w:r>
      <w:r>
        <w:t xml:space="preserve"> (СД) – это группа метаболиче</w:t>
      </w:r>
      <w:r>
        <w:t>ских (обменных) заболеваний, характеризующихся хронической гипергликемией, которая является результатом нарушения секреции инсулина, действия инсулина или обоих этих факторов. Хроническая гипергликемия при СД сопровождается повреждением, дисфункцией и недо</w:t>
      </w:r>
      <w:r>
        <w:t>статочностью различных органов, особенно глаз, почек, нервов, сердца и кровеносных сосудов.</w:t>
      </w:r>
    </w:p>
    <w:p w:rsidR="00D27BC6" w:rsidRDefault="004D5071">
      <w:pPr>
        <w:pStyle w:val="Heading2"/>
        <w:spacing w:after="10" w:line="248" w:lineRule="auto"/>
        <w:ind w:left="162" w:right="156"/>
        <w:jc w:val="center"/>
      </w:pPr>
      <w:r>
        <w:rPr>
          <w:color w:val="1E5D99"/>
        </w:rPr>
        <w:t>Классификация СД (ВОЗ, 1999, с дополнениями)</w:t>
      </w:r>
    </w:p>
    <w:tbl>
      <w:tblPr>
        <w:tblStyle w:val="TableGrid"/>
        <w:tblW w:w="10191" w:type="dxa"/>
        <w:tblInd w:w="9" w:type="dxa"/>
        <w:tblCellMar>
          <w:top w:w="9" w:type="dxa"/>
          <w:left w:w="56" w:type="dxa"/>
          <w:bottom w:w="0" w:type="dxa"/>
          <w:right w:w="112" w:type="dxa"/>
        </w:tblCellMar>
        <w:tblLook w:val="04A0" w:firstRow="1" w:lastRow="0" w:firstColumn="1" w:lastColumn="0" w:noHBand="0" w:noVBand="1"/>
      </w:tblPr>
      <w:tblGrid>
        <w:gridCol w:w="2743"/>
        <w:gridCol w:w="7448"/>
      </w:tblGrid>
      <w:tr w:rsidR="00D27BC6">
        <w:trPr>
          <w:trHeight w:val="800"/>
        </w:trPr>
        <w:tc>
          <w:tcPr>
            <w:tcW w:w="2743"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СД 1 типа</w:t>
            </w:r>
          </w:p>
          <w:p w:rsidR="00D27BC6" w:rsidRDefault="004D5071">
            <w:pPr>
              <w:numPr>
                <w:ilvl w:val="0"/>
                <w:numId w:val="186"/>
              </w:numPr>
              <w:spacing w:after="0" w:line="259" w:lineRule="auto"/>
              <w:ind w:right="0" w:hanging="170"/>
              <w:jc w:val="left"/>
            </w:pPr>
            <w:r>
              <w:rPr>
                <w:b/>
              </w:rPr>
              <w:t>Иммуноопосредованный</w:t>
            </w:r>
          </w:p>
          <w:p w:rsidR="00D27BC6" w:rsidRDefault="004D5071">
            <w:pPr>
              <w:numPr>
                <w:ilvl w:val="0"/>
                <w:numId w:val="186"/>
              </w:numPr>
              <w:spacing w:after="0" w:line="259" w:lineRule="auto"/>
              <w:ind w:right="0" w:hanging="170"/>
              <w:jc w:val="left"/>
            </w:pPr>
            <w:r>
              <w:rPr>
                <w:b/>
              </w:rPr>
              <w:t>Идиопатический</w:t>
            </w:r>
          </w:p>
        </w:tc>
        <w:tc>
          <w:tcPr>
            <w:tcW w:w="744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Деструкция β-клеток поджелудочной железы, обычно приводящая к абсолютной инсулиновой недостаточности</w:t>
            </w:r>
          </w:p>
        </w:tc>
      </w:tr>
      <w:tr w:rsidR="00D27BC6">
        <w:trPr>
          <w:trHeight w:val="1037"/>
        </w:trPr>
        <w:tc>
          <w:tcPr>
            <w:tcW w:w="2743"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СД 2 типа</w:t>
            </w:r>
          </w:p>
        </w:tc>
        <w:tc>
          <w:tcPr>
            <w:tcW w:w="744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187"/>
              </w:numPr>
              <w:spacing w:after="57" w:line="216" w:lineRule="auto"/>
              <w:ind w:right="1101" w:hanging="170"/>
              <w:jc w:val="left"/>
            </w:pPr>
            <w:r>
              <w:t>с преимущественной инсулинорезистентностью и относительной инсулиновой недостаточностью или</w:t>
            </w:r>
          </w:p>
          <w:p w:rsidR="00D27BC6" w:rsidRDefault="004D5071">
            <w:pPr>
              <w:numPr>
                <w:ilvl w:val="0"/>
                <w:numId w:val="187"/>
              </w:numPr>
              <w:spacing w:after="0" w:line="259" w:lineRule="auto"/>
              <w:ind w:right="1101" w:hanging="170"/>
              <w:jc w:val="left"/>
            </w:pPr>
            <w:r>
              <w:t>с преимущественным нарушением секреции инсулина с инсулинорезистентностью или без нее</w:t>
            </w:r>
          </w:p>
        </w:tc>
      </w:tr>
      <w:tr w:rsidR="00D27BC6">
        <w:trPr>
          <w:trHeight w:val="1860"/>
        </w:trPr>
        <w:tc>
          <w:tcPr>
            <w:tcW w:w="2743"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Другие специфические типы СД</w:t>
            </w:r>
          </w:p>
        </w:tc>
        <w:tc>
          <w:tcPr>
            <w:tcW w:w="744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188"/>
              </w:numPr>
              <w:spacing w:after="0" w:line="259" w:lineRule="auto"/>
              <w:ind w:right="0" w:hanging="170"/>
              <w:jc w:val="left"/>
            </w:pPr>
            <w:r>
              <w:t>Генетические дефекты функции β-клеток</w:t>
            </w:r>
          </w:p>
          <w:p w:rsidR="00D27BC6" w:rsidRDefault="004D5071">
            <w:pPr>
              <w:numPr>
                <w:ilvl w:val="0"/>
                <w:numId w:val="188"/>
              </w:numPr>
              <w:spacing w:after="0" w:line="259" w:lineRule="auto"/>
              <w:ind w:right="0" w:hanging="170"/>
              <w:jc w:val="left"/>
            </w:pPr>
            <w:r>
              <w:t>Генетические дефекты действия инсулина</w:t>
            </w:r>
          </w:p>
          <w:p w:rsidR="00D27BC6" w:rsidRDefault="004D5071">
            <w:pPr>
              <w:numPr>
                <w:ilvl w:val="0"/>
                <w:numId w:val="188"/>
              </w:numPr>
              <w:spacing w:after="0" w:line="259" w:lineRule="auto"/>
              <w:ind w:right="0" w:hanging="170"/>
              <w:jc w:val="left"/>
            </w:pPr>
            <w:r>
              <w:t>Заболевания экзокринной части поджелудочной железы</w:t>
            </w:r>
          </w:p>
          <w:p w:rsidR="00D27BC6" w:rsidRDefault="004D5071">
            <w:pPr>
              <w:numPr>
                <w:ilvl w:val="0"/>
                <w:numId w:val="188"/>
              </w:numPr>
              <w:spacing w:after="0" w:line="259" w:lineRule="auto"/>
              <w:ind w:right="0" w:hanging="170"/>
              <w:jc w:val="left"/>
            </w:pPr>
            <w:r>
              <w:t>Эндокринопат</w:t>
            </w:r>
            <w:r>
              <w:t>ии</w:t>
            </w:r>
          </w:p>
          <w:p w:rsidR="00D27BC6" w:rsidRDefault="004D5071">
            <w:pPr>
              <w:numPr>
                <w:ilvl w:val="0"/>
                <w:numId w:val="188"/>
              </w:numPr>
              <w:spacing w:after="0" w:line="259" w:lineRule="auto"/>
              <w:ind w:right="0" w:hanging="170"/>
              <w:jc w:val="left"/>
            </w:pPr>
            <w:r>
              <w:t>СД, индуцированный лекарственными препаратами или химическими веществами</w:t>
            </w:r>
          </w:p>
          <w:p w:rsidR="00D27BC6" w:rsidRDefault="004D5071">
            <w:pPr>
              <w:numPr>
                <w:ilvl w:val="0"/>
                <w:numId w:val="188"/>
              </w:numPr>
              <w:spacing w:after="0" w:line="259" w:lineRule="auto"/>
              <w:ind w:right="0" w:hanging="170"/>
              <w:jc w:val="left"/>
            </w:pPr>
            <w:r>
              <w:t>Инфекции</w:t>
            </w:r>
          </w:p>
          <w:p w:rsidR="00D27BC6" w:rsidRDefault="004D5071">
            <w:pPr>
              <w:numPr>
                <w:ilvl w:val="0"/>
                <w:numId w:val="188"/>
              </w:numPr>
              <w:spacing w:after="0" w:line="259" w:lineRule="auto"/>
              <w:ind w:right="0" w:hanging="170"/>
              <w:jc w:val="left"/>
            </w:pPr>
            <w:r>
              <w:t>Необычные формы иммунологически опосредованного СД</w:t>
            </w:r>
          </w:p>
          <w:p w:rsidR="00D27BC6" w:rsidRDefault="004D5071">
            <w:pPr>
              <w:numPr>
                <w:ilvl w:val="0"/>
                <w:numId w:val="188"/>
              </w:numPr>
              <w:spacing w:after="0" w:line="259" w:lineRule="auto"/>
              <w:ind w:right="0" w:hanging="170"/>
              <w:jc w:val="left"/>
            </w:pPr>
            <w:r>
              <w:t>Другие генетические синдромы, иногда сочетающиеся с СД</w:t>
            </w:r>
          </w:p>
        </w:tc>
      </w:tr>
      <w:tr w:rsidR="00D27BC6">
        <w:trPr>
          <w:trHeight w:val="320"/>
        </w:trPr>
        <w:tc>
          <w:tcPr>
            <w:tcW w:w="2743"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Гестационный СД</w:t>
            </w:r>
          </w:p>
        </w:tc>
        <w:tc>
          <w:tcPr>
            <w:tcW w:w="744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Возникает во время беременности*</w:t>
            </w:r>
          </w:p>
        </w:tc>
      </w:tr>
    </w:tbl>
    <w:p w:rsidR="00D27BC6" w:rsidRDefault="004D5071">
      <w:pPr>
        <w:numPr>
          <w:ilvl w:val="0"/>
          <w:numId w:val="4"/>
        </w:numPr>
        <w:spacing w:after="147"/>
        <w:ind w:right="0" w:hanging="100"/>
      </w:pPr>
      <w:r>
        <w:rPr>
          <w:sz w:val="16"/>
        </w:rPr>
        <w:t>Кроме манифестного СД.</w:t>
      </w:r>
    </w:p>
    <w:p w:rsidR="00D27BC6" w:rsidRDefault="004D5071">
      <w:pPr>
        <w:spacing w:after="230"/>
        <w:ind w:left="-11" w:right="0" w:firstLine="283"/>
      </w:pPr>
      <w:r>
        <w:t>В 2019 г. ВОЗ опубликовала новую классификацию СД, в которой появились гибридные формы СД, неклассифицируемый СД. В настоящее время Российская ассоциация эндокринологов рекомендует продолжать использовать классификацию 1999г., поскол</w:t>
      </w:r>
      <w:r>
        <w:t>ьку именно эта классификация лежит в основе кодирования болезни по МКБ-10.</w:t>
      </w:r>
    </w:p>
    <w:p w:rsidR="00D27BC6" w:rsidRDefault="004D5071">
      <w:pPr>
        <w:spacing w:after="0" w:line="259" w:lineRule="auto"/>
        <w:ind w:left="-3" w:right="0"/>
        <w:jc w:val="left"/>
      </w:pPr>
      <w:r>
        <w:rPr>
          <w:b/>
          <w:color w:val="6F6F6E"/>
        </w:rPr>
        <w:t>Другие специфические типы СД:</w:t>
      </w:r>
    </w:p>
    <w:tbl>
      <w:tblPr>
        <w:tblStyle w:val="TableGrid"/>
        <w:tblW w:w="10195" w:type="dxa"/>
        <w:tblInd w:w="9" w:type="dxa"/>
        <w:tblCellMar>
          <w:top w:w="9" w:type="dxa"/>
          <w:left w:w="55" w:type="dxa"/>
          <w:bottom w:w="0" w:type="dxa"/>
          <w:right w:w="57" w:type="dxa"/>
        </w:tblCellMar>
        <w:tblLook w:val="04A0" w:firstRow="1" w:lastRow="0" w:firstColumn="1" w:lastColumn="0" w:noHBand="0" w:noVBand="1"/>
      </w:tblPr>
      <w:tblGrid>
        <w:gridCol w:w="5097"/>
        <w:gridCol w:w="5097"/>
      </w:tblGrid>
      <w:tr w:rsidR="00D27BC6">
        <w:trPr>
          <w:trHeight w:val="320"/>
        </w:trPr>
        <w:tc>
          <w:tcPr>
            <w:tcW w:w="10195"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2" w:right="0" w:firstLine="0"/>
              <w:jc w:val="left"/>
            </w:pPr>
            <w:r>
              <w:rPr>
                <w:b/>
              </w:rPr>
              <w:t>• Генетические дефекты функции β-клеток</w:t>
            </w:r>
          </w:p>
        </w:tc>
      </w:tr>
      <w:tr w:rsidR="00D27BC6">
        <w:trPr>
          <w:trHeight w:val="957"/>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189"/>
              </w:numPr>
              <w:spacing w:after="0" w:line="259" w:lineRule="auto"/>
              <w:ind w:right="0" w:hanging="170"/>
              <w:jc w:val="left"/>
            </w:pPr>
            <w:r>
              <w:t>MODY-1</w:t>
            </w:r>
          </w:p>
          <w:p w:rsidR="00D27BC6" w:rsidRDefault="004D5071">
            <w:pPr>
              <w:numPr>
                <w:ilvl w:val="0"/>
                <w:numId w:val="189"/>
              </w:numPr>
              <w:spacing w:after="0" w:line="259" w:lineRule="auto"/>
              <w:ind w:right="0" w:hanging="170"/>
              <w:jc w:val="left"/>
            </w:pPr>
            <w:r>
              <w:t>MODY-2</w:t>
            </w:r>
          </w:p>
          <w:p w:rsidR="00D27BC6" w:rsidRDefault="004D5071">
            <w:pPr>
              <w:numPr>
                <w:ilvl w:val="0"/>
                <w:numId w:val="189"/>
              </w:numPr>
              <w:spacing w:after="0" w:line="259" w:lineRule="auto"/>
              <w:ind w:right="0" w:hanging="170"/>
              <w:jc w:val="left"/>
            </w:pPr>
            <w:r>
              <w:t>MODY-3</w:t>
            </w:r>
          </w:p>
          <w:p w:rsidR="00D27BC6" w:rsidRDefault="004D5071">
            <w:pPr>
              <w:numPr>
                <w:ilvl w:val="0"/>
                <w:numId w:val="189"/>
              </w:numPr>
              <w:spacing w:after="0" w:line="259" w:lineRule="auto"/>
              <w:ind w:right="0" w:hanging="170"/>
              <w:jc w:val="left"/>
            </w:pPr>
            <w:r>
              <w:t xml:space="preserve">Очень редкие формы MODY </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190"/>
              </w:numPr>
              <w:spacing w:after="0" w:line="259" w:lineRule="auto"/>
              <w:ind w:right="0" w:hanging="170"/>
              <w:jc w:val="left"/>
            </w:pPr>
            <w:r>
              <w:t>Транзиторный неонатальный СД*</w:t>
            </w:r>
          </w:p>
          <w:p w:rsidR="00D27BC6" w:rsidRDefault="004D5071">
            <w:pPr>
              <w:numPr>
                <w:ilvl w:val="0"/>
                <w:numId w:val="190"/>
              </w:numPr>
              <w:spacing w:after="0" w:line="259" w:lineRule="auto"/>
              <w:ind w:right="0" w:hanging="170"/>
              <w:jc w:val="left"/>
            </w:pPr>
            <w:r>
              <w:t>Перманентный неонатальный СД*</w:t>
            </w:r>
          </w:p>
          <w:p w:rsidR="00D27BC6" w:rsidRDefault="004D5071">
            <w:pPr>
              <w:numPr>
                <w:ilvl w:val="0"/>
                <w:numId w:val="190"/>
              </w:numPr>
              <w:spacing w:after="0" w:line="259" w:lineRule="auto"/>
              <w:ind w:right="0" w:hanging="170"/>
              <w:jc w:val="left"/>
            </w:pPr>
            <w:r>
              <w:t>Мутация митохондриальной ДНК</w:t>
            </w:r>
          </w:p>
          <w:p w:rsidR="00D27BC6" w:rsidRDefault="004D5071">
            <w:pPr>
              <w:numPr>
                <w:ilvl w:val="0"/>
                <w:numId w:val="190"/>
              </w:numPr>
              <w:spacing w:after="0" w:line="259" w:lineRule="auto"/>
              <w:ind w:right="0" w:hanging="170"/>
              <w:jc w:val="left"/>
            </w:pPr>
            <w:r>
              <w:t>Другие</w:t>
            </w:r>
          </w:p>
        </w:tc>
      </w:tr>
      <w:tr w:rsidR="00D27BC6">
        <w:trPr>
          <w:trHeight w:val="297"/>
        </w:trPr>
        <w:tc>
          <w:tcPr>
            <w:tcW w:w="10195"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1" w:right="0" w:firstLine="0"/>
              <w:jc w:val="left"/>
            </w:pPr>
            <w:r>
              <w:rPr>
                <w:b/>
              </w:rPr>
              <w:t>• Генетические дефекты действия инсулина</w:t>
            </w:r>
          </w:p>
        </w:tc>
      </w:tr>
      <w:tr w:rsidR="00D27BC6">
        <w:trPr>
          <w:trHeight w:val="737"/>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191"/>
              </w:numPr>
              <w:spacing w:after="0" w:line="259" w:lineRule="auto"/>
              <w:ind w:right="0" w:hanging="170"/>
              <w:jc w:val="left"/>
            </w:pPr>
            <w:r>
              <w:t>Инсулинорезистентность типа А</w:t>
            </w:r>
          </w:p>
          <w:p w:rsidR="00D27BC6" w:rsidRDefault="004D5071">
            <w:pPr>
              <w:numPr>
                <w:ilvl w:val="0"/>
                <w:numId w:val="191"/>
              </w:numPr>
              <w:spacing w:after="0" w:line="259" w:lineRule="auto"/>
              <w:ind w:right="0" w:hanging="170"/>
              <w:jc w:val="left"/>
            </w:pPr>
            <w:r>
              <w:t>Лепречаунизм</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192"/>
              </w:numPr>
              <w:spacing w:after="0" w:line="259" w:lineRule="auto"/>
              <w:ind w:right="0" w:hanging="170"/>
              <w:jc w:val="left"/>
            </w:pPr>
            <w:r>
              <w:t>Синдром Рабсона–Менденхолла</w:t>
            </w:r>
          </w:p>
          <w:p w:rsidR="00D27BC6" w:rsidRDefault="004D5071">
            <w:pPr>
              <w:numPr>
                <w:ilvl w:val="0"/>
                <w:numId w:val="192"/>
              </w:numPr>
              <w:spacing w:after="0" w:line="259" w:lineRule="auto"/>
              <w:ind w:right="0" w:hanging="170"/>
              <w:jc w:val="left"/>
            </w:pPr>
            <w:r>
              <w:t>Липоатрофический СД</w:t>
            </w:r>
          </w:p>
          <w:p w:rsidR="00D27BC6" w:rsidRDefault="004D5071">
            <w:pPr>
              <w:numPr>
                <w:ilvl w:val="0"/>
                <w:numId w:val="192"/>
              </w:numPr>
              <w:spacing w:after="0" w:line="259" w:lineRule="auto"/>
              <w:ind w:right="0" w:hanging="170"/>
              <w:jc w:val="left"/>
            </w:pPr>
            <w:r>
              <w:t>Другие</w:t>
            </w:r>
          </w:p>
        </w:tc>
      </w:tr>
      <w:tr w:rsidR="00D27BC6">
        <w:trPr>
          <w:trHeight w:val="297"/>
        </w:trPr>
        <w:tc>
          <w:tcPr>
            <w:tcW w:w="10195"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1" w:right="0" w:firstLine="0"/>
              <w:jc w:val="left"/>
            </w:pPr>
            <w:r>
              <w:rPr>
                <w:b/>
              </w:rPr>
              <w:t>• Заболевания экзокринной части поджелудочной железы</w:t>
            </w:r>
          </w:p>
        </w:tc>
      </w:tr>
      <w:tr w:rsidR="00D27BC6">
        <w:trPr>
          <w:trHeight w:val="957"/>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193"/>
              </w:numPr>
              <w:spacing w:after="0" w:line="259" w:lineRule="auto"/>
              <w:ind w:right="0" w:hanging="170"/>
              <w:jc w:val="left"/>
            </w:pPr>
            <w:r>
              <w:t>Панкреатит</w:t>
            </w:r>
          </w:p>
          <w:p w:rsidR="00D27BC6" w:rsidRDefault="004D5071">
            <w:pPr>
              <w:numPr>
                <w:ilvl w:val="0"/>
                <w:numId w:val="193"/>
              </w:numPr>
              <w:spacing w:after="0" w:line="259" w:lineRule="auto"/>
              <w:ind w:right="0" w:hanging="170"/>
              <w:jc w:val="left"/>
            </w:pPr>
            <w:r>
              <w:t>Травма/ панкреатэктомия</w:t>
            </w:r>
          </w:p>
          <w:p w:rsidR="00D27BC6" w:rsidRDefault="004D5071">
            <w:pPr>
              <w:numPr>
                <w:ilvl w:val="0"/>
                <w:numId w:val="193"/>
              </w:numPr>
              <w:spacing w:after="0" w:line="259" w:lineRule="auto"/>
              <w:ind w:right="0" w:hanging="170"/>
              <w:jc w:val="left"/>
            </w:pPr>
            <w:r>
              <w:t>Опухоли</w:t>
            </w:r>
          </w:p>
          <w:p w:rsidR="00D27BC6" w:rsidRDefault="004D5071">
            <w:pPr>
              <w:numPr>
                <w:ilvl w:val="0"/>
                <w:numId w:val="193"/>
              </w:numPr>
              <w:spacing w:after="0" w:line="259" w:lineRule="auto"/>
              <w:ind w:right="0" w:hanging="170"/>
              <w:jc w:val="left"/>
            </w:pPr>
            <w:r>
              <w:t>Муковисцидоз</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194"/>
              </w:numPr>
              <w:spacing w:after="0" w:line="259" w:lineRule="auto"/>
              <w:ind w:right="638" w:firstLine="0"/>
              <w:jc w:val="left"/>
            </w:pPr>
            <w:r>
              <w:t>Гемохроматоз</w:t>
            </w:r>
          </w:p>
          <w:p w:rsidR="00D27BC6" w:rsidRDefault="004D5071">
            <w:pPr>
              <w:numPr>
                <w:ilvl w:val="0"/>
                <w:numId w:val="194"/>
              </w:numPr>
              <w:spacing w:after="0" w:line="259" w:lineRule="auto"/>
              <w:ind w:right="638" w:firstLine="0"/>
              <w:jc w:val="left"/>
            </w:pPr>
            <w:r>
              <w:t>Фиброкалькулезная панкреатопатия – Другие</w:t>
            </w:r>
          </w:p>
        </w:tc>
      </w:tr>
      <w:tr w:rsidR="00D27BC6">
        <w:trPr>
          <w:trHeight w:val="297"/>
        </w:trPr>
        <w:tc>
          <w:tcPr>
            <w:tcW w:w="10195"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 Эндокринопатии</w:t>
            </w:r>
          </w:p>
        </w:tc>
      </w:tr>
      <w:tr w:rsidR="00D27BC6">
        <w:trPr>
          <w:trHeight w:val="957"/>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195"/>
              </w:numPr>
              <w:spacing w:after="0" w:line="259" w:lineRule="auto"/>
              <w:ind w:right="0" w:hanging="170"/>
              <w:jc w:val="left"/>
            </w:pPr>
            <w:r>
              <w:t>Акромегалия</w:t>
            </w:r>
          </w:p>
          <w:p w:rsidR="00D27BC6" w:rsidRDefault="004D5071">
            <w:pPr>
              <w:numPr>
                <w:ilvl w:val="0"/>
                <w:numId w:val="195"/>
              </w:numPr>
              <w:spacing w:after="0" w:line="259" w:lineRule="auto"/>
              <w:ind w:right="0" w:hanging="170"/>
              <w:jc w:val="left"/>
            </w:pPr>
            <w:r>
              <w:t>Синдром Кушинга</w:t>
            </w:r>
          </w:p>
          <w:p w:rsidR="00D27BC6" w:rsidRDefault="004D5071">
            <w:pPr>
              <w:numPr>
                <w:ilvl w:val="0"/>
                <w:numId w:val="195"/>
              </w:numPr>
              <w:spacing w:after="0" w:line="259" w:lineRule="auto"/>
              <w:ind w:right="0" w:hanging="170"/>
              <w:jc w:val="left"/>
            </w:pPr>
            <w:r>
              <w:t>Глюкагонома</w:t>
            </w:r>
          </w:p>
          <w:p w:rsidR="00D27BC6" w:rsidRDefault="004D5071">
            <w:pPr>
              <w:numPr>
                <w:ilvl w:val="0"/>
                <w:numId w:val="195"/>
              </w:numPr>
              <w:spacing w:after="0" w:line="259" w:lineRule="auto"/>
              <w:ind w:right="0" w:hanging="170"/>
              <w:jc w:val="left"/>
            </w:pPr>
            <w:r>
              <w:t>Феохромоцитома</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196"/>
              </w:numPr>
              <w:spacing w:after="0" w:line="259" w:lineRule="auto"/>
              <w:ind w:right="0" w:hanging="170"/>
              <w:jc w:val="left"/>
            </w:pPr>
            <w:r>
              <w:t>Гипертиреоз</w:t>
            </w:r>
          </w:p>
          <w:p w:rsidR="00D27BC6" w:rsidRDefault="004D5071">
            <w:pPr>
              <w:numPr>
                <w:ilvl w:val="0"/>
                <w:numId w:val="196"/>
              </w:numPr>
              <w:spacing w:after="0" w:line="259" w:lineRule="auto"/>
              <w:ind w:right="0" w:hanging="170"/>
              <w:jc w:val="left"/>
            </w:pPr>
            <w:r>
              <w:t>Соматостатинома</w:t>
            </w:r>
          </w:p>
          <w:p w:rsidR="00D27BC6" w:rsidRDefault="004D5071">
            <w:pPr>
              <w:numPr>
                <w:ilvl w:val="0"/>
                <w:numId w:val="196"/>
              </w:numPr>
              <w:spacing w:after="0" w:line="259" w:lineRule="auto"/>
              <w:ind w:right="0" w:hanging="170"/>
              <w:jc w:val="left"/>
            </w:pPr>
            <w:r>
              <w:t>Альдостерома</w:t>
            </w:r>
          </w:p>
          <w:p w:rsidR="00D27BC6" w:rsidRDefault="004D5071">
            <w:pPr>
              <w:numPr>
                <w:ilvl w:val="0"/>
                <w:numId w:val="196"/>
              </w:numPr>
              <w:spacing w:after="0" w:line="259" w:lineRule="auto"/>
              <w:ind w:right="0" w:hanging="170"/>
              <w:jc w:val="left"/>
            </w:pPr>
            <w:r>
              <w:t>Другие</w:t>
            </w:r>
          </w:p>
        </w:tc>
      </w:tr>
      <w:tr w:rsidR="00D27BC6">
        <w:trPr>
          <w:trHeight w:val="297"/>
        </w:trPr>
        <w:tc>
          <w:tcPr>
            <w:tcW w:w="10195"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 xml:space="preserve">• </w:t>
            </w:r>
            <w:r>
              <w:rPr>
                <w:b/>
              </w:rPr>
              <w:t>СД, индуцированный лекарственными препаратами или химическими веществами</w:t>
            </w:r>
          </w:p>
        </w:tc>
      </w:tr>
      <w:tr w:rsidR="00D27BC6">
        <w:trPr>
          <w:trHeight w:val="1617"/>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197"/>
              </w:numPr>
              <w:spacing w:after="0" w:line="259" w:lineRule="auto"/>
              <w:ind w:right="0" w:firstLine="0"/>
              <w:jc w:val="left"/>
            </w:pPr>
            <w:r>
              <w:t>Никотиновая кислота</w:t>
            </w:r>
          </w:p>
          <w:p w:rsidR="00D27BC6" w:rsidRDefault="004D5071">
            <w:pPr>
              <w:numPr>
                <w:ilvl w:val="0"/>
                <w:numId w:val="197"/>
              </w:numPr>
              <w:spacing w:after="0" w:line="259" w:lineRule="auto"/>
              <w:ind w:right="0" w:firstLine="0"/>
              <w:jc w:val="left"/>
            </w:pPr>
            <w:r>
              <w:t>Глюкокортикоиды</w:t>
            </w:r>
          </w:p>
          <w:p w:rsidR="00D27BC6" w:rsidRDefault="004D5071">
            <w:pPr>
              <w:numPr>
                <w:ilvl w:val="0"/>
                <w:numId w:val="197"/>
              </w:numPr>
              <w:spacing w:after="0" w:line="259" w:lineRule="auto"/>
              <w:ind w:right="0" w:firstLine="0"/>
              <w:jc w:val="left"/>
            </w:pPr>
            <w:r>
              <w:t>Тиреоидные гормоны</w:t>
            </w:r>
          </w:p>
          <w:p w:rsidR="00D27BC6" w:rsidRDefault="004D5071">
            <w:pPr>
              <w:numPr>
                <w:ilvl w:val="0"/>
                <w:numId w:val="197"/>
              </w:numPr>
              <w:spacing w:after="0" w:line="216" w:lineRule="auto"/>
              <w:ind w:right="0" w:firstLine="0"/>
              <w:jc w:val="left"/>
            </w:pPr>
            <w:r>
              <w:t>α-адреномиметики – β-адреномиметики</w:t>
            </w:r>
          </w:p>
          <w:p w:rsidR="00D27BC6" w:rsidRDefault="004D5071">
            <w:pPr>
              <w:numPr>
                <w:ilvl w:val="0"/>
                <w:numId w:val="197"/>
              </w:numPr>
              <w:spacing w:after="0" w:line="259" w:lineRule="auto"/>
              <w:ind w:right="0" w:firstLine="0"/>
              <w:jc w:val="left"/>
            </w:pPr>
            <w:r>
              <w:t>β-адреноблокаторы</w:t>
            </w:r>
          </w:p>
          <w:p w:rsidR="00D27BC6" w:rsidRDefault="004D5071">
            <w:pPr>
              <w:numPr>
                <w:ilvl w:val="0"/>
                <w:numId w:val="197"/>
              </w:numPr>
              <w:spacing w:after="0" w:line="259" w:lineRule="auto"/>
              <w:ind w:right="0" w:firstLine="0"/>
              <w:jc w:val="left"/>
            </w:pPr>
            <w:r>
              <w:t>Тиазиды</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198"/>
              </w:numPr>
              <w:spacing w:after="0" w:line="259" w:lineRule="auto"/>
              <w:ind w:right="0" w:hanging="170"/>
              <w:jc w:val="left"/>
            </w:pPr>
            <w:r>
              <w:t>Диазоксид</w:t>
            </w:r>
          </w:p>
          <w:p w:rsidR="00D27BC6" w:rsidRDefault="004D5071">
            <w:pPr>
              <w:numPr>
                <w:ilvl w:val="0"/>
                <w:numId w:val="198"/>
              </w:numPr>
              <w:spacing w:after="0" w:line="259" w:lineRule="auto"/>
              <w:ind w:right="0" w:hanging="170"/>
              <w:jc w:val="left"/>
            </w:pPr>
            <w:r>
              <w:t>Дилантин</w:t>
            </w:r>
          </w:p>
          <w:p w:rsidR="00D27BC6" w:rsidRDefault="004D5071">
            <w:pPr>
              <w:numPr>
                <w:ilvl w:val="0"/>
                <w:numId w:val="198"/>
              </w:numPr>
              <w:spacing w:after="0" w:line="259" w:lineRule="auto"/>
              <w:ind w:right="0" w:hanging="170"/>
              <w:jc w:val="left"/>
            </w:pPr>
            <w:r>
              <w:t>Пентамидин</w:t>
            </w:r>
          </w:p>
          <w:p w:rsidR="00D27BC6" w:rsidRDefault="004D5071">
            <w:pPr>
              <w:numPr>
                <w:ilvl w:val="0"/>
                <w:numId w:val="198"/>
              </w:numPr>
              <w:spacing w:after="0" w:line="259" w:lineRule="auto"/>
              <w:ind w:right="0" w:hanging="170"/>
              <w:jc w:val="left"/>
            </w:pPr>
            <w:r>
              <w:t>Вакор</w:t>
            </w:r>
          </w:p>
          <w:p w:rsidR="00D27BC6" w:rsidRDefault="004D5071">
            <w:pPr>
              <w:numPr>
                <w:ilvl w:val="0"/>
                <w:numId w:val="198"/>
              </w:numPr>
              <w:spacing w:after="0" w:line="259" w:lineRule="auto"/>
              <w:ind w:right="0" w:hanging="170"/>
              <w:jc w:val="left"/>
            </w:pPr>
            <w:r>
              <w:t>α-интерферон</w:t>
            </w:r>
          </w:p>
          <w:p w:rsidR="00D27BC6" w:rsidRDefault="004D5071">
            <w:pPr>
              <w:numPr>
                <w:ilvl w:val="0"/>
                <w:numId w:val="198"/>
              </w:numPr>
              <w:spacing w:after="0" w:line="259" w:lineRule="auto"/>
              <w:ind w:right="0" w:hanging="170"/>
              <w:jc w:val="left"/>
            </w:pPr>
            <w:r>
              <w:t>Другие (в т.ч. лечение ВИЧ, посттрансплантационный СД)</w:t>
            </w:r>
          </w:p>
        </w:tc>
      </w:tr>
      <w:tr w:rsidR="00D27BC6">
        <w:trPr>
          <w:trHeight w:val="320"/>
        </w:trPr>
        <w:tc>
          <w:tcPr>
            <w:tcW w:w="10195"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1" w:right="0" w:firstLine="0"/>
              <w:jc w:val="left"/>
            </w:pPr>
            <w:r>
              <w:rPr>
                <w:b/>
              </w:rPr>
              <w:t>• Инфекции:</w:t>
            </w:r>
          </w:p>
        </w:tc>
      </w:tr>
      <w:tr w:rsidR="00D27BC6">
        <w:trPr>
          <w:trHeight w:val="517"/>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199"/>
              </w:numPr>
              <w:spacing w:after="0" w:line="259" w:lineRule="auto"/>
              <w:ind w:right="0" w:hanging="170"/>
              <w:jc w:val="left"/>
            </w:pPr>
            <w:r>
              <w:t>Врожденная краснуха</w:t>
            </w:r>
          </w:p>
          <w:p w:rsidR="00D27BC6" w:rsidRDefault="004D5071">
            <w:pPr>
              <w:numPr>
                <w:ilvl w:val="0"/>
                <w:numId w:val="199"/>
              </w:numPr>
              <w:spacing w:after="0" w:line="259" w:lineRule="auto"/>
              <w:ind w:right="0" w:hanging="170"/>
              <w:jc w:val="left"/>
            </w:pPr>
            <w:r>
              <w:t>Цитомегаловирус</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1" w:right="0" w:firstLine="0"/>
              <w:jc w:val="left"/>
            </w:pPr>
            <w:r>
              <w:t>– Другие</w:t>
            </w:r>
          </w:p>
        </w:tc>
      </w:tr>
      <w:tr w:rsidR="00D27BC6">
        <w:trPr>
          <w:trHeight w:val="297"/>
        </w:trPr>
        <w:tc>
          <w:tcPr>
            <w:tcW w:w="10195"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 Необычные формы иммунологически опосредованного СД</w:t>
            </w:r>
          </w:p>
        </w:tc>
      </w:tr>
      <w:tr w:rsidR="00D27BC6">
        <w:trPr>
          <w:trHeight w:val="737"/>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00"/>
              </w:numPr>
              <w:spacing w:after="0" w:line="259" w:lineRule="auto"/>
              <w:ind w:right="0" w:hanging="170"/>
              <w:jc w:val="left"/>
            </w:pPr>
            <w:r>
              <w:t>Антитела к инсулину</w:t>
            </w:r>
          </w:p>
          <w:p w:rsidR="00D27BC6" w:rsidRDefault="004D5071">
            <w:pPr>
              <w:numPr>
                <w:ilvl w:val="0"/>
                <w:numId w:val="200"/>
              </w:numPr>
              <w:spacing w:after="0" w:line="259" w:lineRule="auto"/>
              <w:ind w:right="0" w:hanging="170"/>
              <w:jc w:val="left"/>
            </w:pPr>
            <w:r>
              <w:t>Антитела к рецепторам инсулина</w:t>
            </w:r>
          </w:p>
          <w:p w:rsidR="00D27BC6" w:rsidRDefault="004D5071">
            <w:pPr>
              <w:numPr>
                <w:ilvl w:val="0"/>
                <w:numId w:val="200"/>
              </w:numPr>
              <w:spacing w:after="0" w:line="259" w:lineRule="auto"/>
              <w:ind w:right="0" w:hanging="170"/>
              <w:jc w:val="left"/>
            </w:pPr>
            <w:r>
              <w:t>«Stiff-man» –синдром (синдром «ригидного человека»)</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01"/>
              </w:numPr>
              <w:spacing w:after="0" w:line="259" w:lineRule="auto"/>
              <w:ind w:right="0" w:hanging="170"/>
              <w:jc w:val="left"/>
            </w:pPr>
            <w:r>
              <w:t>Аутоиммунный полигландулярный синдром I и II типа</w:t>
            </w:r>
          </w:p>
          <w:p w:rsidR="00D27BC6" w:rsidRDefault="004D5071">
            <w:pPr>
              <w:numPr>
                <w:ilvl w:val="0"/>
                <w:numId w:val="201"/>
              </w:numPr>
              <w:spacing w:after="0" w:line="259" w:lineRule="auto"/>
              <w:ind w:right="0" w:hanging="170"/>
              <w:jc w:val="left"/>
            </w:pPr>
            <w:r>
              <w:t>IPEX-синдром</w:t>
            </w:r>
          </w:p>
          <w:p w:rsidR="00D27BC6" w:rsidRDefault="004D5071">
            <w:pPr>
              <w:numPr>
                <w:ilvl w:val="0"/>
                <w:numId w:val="201"/>
              </w:numPr>
              <w:spacing w:after="0" w:line="259" w:lineRule="auto"/>
              <w:ind w:right="0" w:hanging="170"/>
              <w:jc w:val="left"/>
            </w:pPr>
            <w:r>
              <w:t>Другие</w:t>
            </w:r>
          </w:p>
        </w:tc>
      </w:tr>
      <w:tr w:rsidR="00D27BC6">
        <w:trPr>
          <w:trHeight w:val="297"/>
        </w:trPr>
        <w:tc>
          <w:tcPr>
            <w:tcW w:w="10195"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 Другие генетические синдромы, иногда сочетающиеся с СД</w:t>
            </w:r>
          </w:p>
        </w:tc>
      </w:tr>
      <w:tr w:rsidR="00D27BC6">
        <w:trPr>
          <w:trHeight w:val="1397"/>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02"/>
              </w:numPr>
              <w:spacing w:after="0" w:line="259" w:lineRule="auto"/>
              <w:ind w:right="0" w:hanging="170"/>
              <w:jc w:val="left"/>
            </w:pPr>
            <w:r>
              <w:t xml:space="preserve">Синдром Дауна </w:t>
            </w:r>
          </w:p>
          <w:p w:rsidR="00D27BC6" w:rsidRDefault="004D5071">
            <w:pPr>
              <w:numPr>
                <w:ilvl w:val="0"/>
                <w:numId w:val="202"/>
              </w:numPr>
              <w:spacing w:after="0" w:line="259" w:lineRule="auto"/>
              <w:ind w:right="0" w:hanging="170"/>
              <w:jc w:val="left"/>
            </w:pPr>
            <w:r>
              <w:t>Атаксия Фридрейха</w:t>
            </w:r>
          </w:p>
          <w:p w:rsidR="00D27BC6" w:rsidRDefault="004D5071">
            <w:pPr>
              <w:numPr>
                <w:ilvl w:val="0"/>
                <w:numId w:val="202"/>
              </w:numPr>
              <w:spacing w:after="0" w:line="259" w:lineRule="auto"/>
              <w:ind w:right="0" w:hanging="170"/>
              <w:jc w:val="left"/>
            </w:pPr>
            <w:r>
              <w:t>Хорея Гентингтона</w:t>
            </w:r>
          </w:p>
          <w:p w:rsidR="00D27BC6" w:rsidRDefault="004D5071">
            <w:pPr>
              <w:numPr>
                <w:ilvl w:val="0"/>
                <w:numId w:val="202"/>
              </w:numPr>
              <w:spacing w:after="0" w:line="259" w:lineRule="auto"/>
              <w:ind w:right="0" w:hanging="170"/>
              <w:jc w:val="left"/>
            </w:pPr>
            <w:r>
              <w:t>Синдром Клайнфельтера</w:t>
            </w:r>
          </w:p>
          <w:p w:rsidR="00D27BC6" w:rsidRDefault="004D5071">
            <w:pPr>
              <w:numPr>
                <w:ilvl w:val="0"/>
                <w:numId w:val="202"/>
              </w:numPr>
              <w:spacing w:after="0" w:line="259" w:lineRule="auto"/>
              <w:ind w:right="0" w:hanging="170"/>
              <w:jc w:val="left"/>
            </w:pPr>
            <w:r>
              <w:t>Синдром Лоренса-Муна-Бидля</w:t>
            </w:r>
          </w:p>
          <w:p w:rsidR="00D27BC6" w:rsidRDefault="004D5071">
            <w:pPr>
              <w:numPr>
                <w:ilvl w:val="0"/>
                <w:numId w:val="202"/>
              </w:numPr>
              <w:spacing w:after="0" w:line="259" w:lineRule="auto"/>
              <w:ind w:right="0" w:hanging="170"/>
              <w:jc w:val="left"/>
            </w:pPr>
            <w:r>
              <w:t>Миотоническая дистрофия</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03"/>
              </w:numPr>
              <w:spacing w:after="0" w:line="259" w:lineRule="auto"/>
              <w:ind w:right="0" w:hanging="170"/>
              <w:jc w:val="left"/>
            </w:pPr>
            <w:r>
              <w:t>Порфирия</w:t>
            </w:r>
          </w:p>
          <w:p w:rsidR="00D27BC6" w:rsidRDefault="004D5071">
            <w:pPr>
              <w:numPr>
                <w:ilvl w:val="0"/>
                <w:numId w:val="203"/>
              </w:numPr>
              <w:spacing w:after="0" w:line="259" w:lineRule="auto"/>
              <w:ind w:right="0" w:hanging="170"/>
              <w:jc w:val="left"/>
            </w:pPr>
            <w:r>
              <w:t>Синдром Прадера-Вилли</w:t>
            </w:r>
          </w:p>
          <w:p w:rsidR="00D27BC6" w:rsidRDefault="004D5071">
            <w:pPr>
              <w:numPr>
                <w:ilvl w:val="0"/>
                <w:numId w:val="203"/>
              </w:numPr>
              <w:spacing w:after="0" w:line="259" w:lineRule="auto"/>
              <w:ind w:right="0" w:hanging="170"/>
              <w:jc w:val="left"/>
            </w:pPr>
            <w:r>
              <w:t>Синдром Тернера</w:t>
            </w:r>
          </w:p>
          <w:p w:rsidR="00D27BC6" w:rsidRDefault="004D5071">
            <w:pPr>
              <w:numPr>
                <w:ilvl w:val="0"/>
                <w:numId w:val="203"/>
              </w:numPr>
              <w:spacing w:after="0" w:line="259" w:lineRule="auto"/>
              <w:ind w:right="0" w:hanging="170"/>
              <w:jc w:val="left"/>
            </w:pPr>
            <w:r>
              <w:t>Синдром Вольфрама</w:t>
            </w:r>
          </w:p>
          <w:p w:rsidR="00D27BC6" w:rsidRDefault="004D5071">
            <w:pPr>
              <w:numPr>
                <w:ilvl w:val="0"/>
                <w:numId w:val="203"/>
              </w:numPr>
              <w:spacing w:after="0" w:line="259" w:lineRule="auto"/>
              <w:ind w:right="0" w:hanging="170"/>
              <w:jc w:val="left"/>
            </w:pPr>
            <w:r>
              <w:t>Другие</w:t>
            </w:r>
          </w:p>
        </w:tc>
      </w:tr>
    </w:tbl>
    <w:p w:rsidR="00D27BC6" w:rsidRDefault="004D5071">
      <w:pPr>
        <w:numPr>
          <w:ilvl w:val="0"/>
          <w:numId w:val="4"/>
        </w:numPr>
        <w:spacing w:after="368"/>
        <w:ind w:right="0" w:hanging="100"/>
      </w:pPr>
      <w:r>
        <w:rPr>
          <w:sz w:val="16"/>
        </w:rPr>
        <w:t>Диагноз неонатального СД обычно ставится в возрасте до 6 мес.</w:t>
      </w:r>
    </w:p>
    <w:p w:rsidR="00D27BC6" w:rsidRDefault="004D5071">
      <w:pPr>
        <w:pStyle w:val="Heading1"/>
        <w:spacing w:after="113"/>
        <w:ind w:left="313" w:right="309"/>
      </w:pPr>
      <w:r>
        <w:t>2. ДИАГНОСТИКА САХАРНОГО ДИАБЕТА</w:t>
      </w:r>
    </w:p>
    <w:p w:rsidR="00D27BC6" w:rsidRDefault="004D5071">
      <w:pPr>
        <w:spacing w:after="12"/>
        <w:ind w:left="290" w:right="286"/>
        <w:jc w:val="center"/>
      </w:pPr>
      <w:r>
        <w:rPr>
          <w:b/>
        </w:rPr>
        <w:t>2.1. ДИАГНОСТИЧЕСКИЕ КРИТЕРИИ СД И ДРУГИХ НАРУШЕНИЙ ГЛИКЕМИИ (ВОЗ, 1999–2013)</w:t>
      </w:r>
    </w:p>
    <w:tbl>
      <w:tblPr>
        <w:tblStyle w:val="TableGrid"/>
        <w:tblW w:w="10185" w:type="dxa"/>
        <w:tblInd w:w="9" w:type="dxa"/>
        <w:tblCellMar>
          <w:top w:w="0" w:type="dxa"/>
          <w:left w:w="0" w:type="dxa"/>
          <w:bottom w:w="0" w:type="dxa"/>
          <w:right w:w="0" w:type="dxa"/>
        </w:tblCellMar>
        <w:tblLook w:val="04A0" w:firstRow="1" w:lastRow="0" w:firstColumn="1" w:lastColumn="0" w:noHBand="0" w:noVBand="1"/>
      </w:tblPr>
      <w:tblGrid>
        <w:gridCol w:w="5092"/>
        <w:gridCol w:w="5092"/>
      </w:tblGrid>
      <w:tr w:rsidR="00D27BC6">
        <w:trPr>
          <w:trHeight w:val="280"/>
        </w:trPr>
        <w:tc>
          <w:tcPr>
            <w:tcW w:w="5092"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Время определения</w:t>
            </w:r>
          </w:p>
        </w:tc>
        <w:tc>
          <w:tcPr>
            <w:tcW w:w="509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Концентрация глюкозы, ммоль/л</w:t>
            </w:r>
            <w:r>
              <w:rPr>
                <w:b/>
                <w:sz w:val="18"/>
                <w:vertAlign w:val="superscript"/>
              </w:rPr>
              <w:t>1</w:t>
            </w:r>
          </w:p>
        </w:tc>
      </w:tr>
      <w:tr w:rsidR="00D27BC6">
        <w:trPr>
          <w:trHeight w:val="28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509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Венозная плазма</w:t>
            </w:r>
            <w:r>
              <w:rPr>
                <w:b/>
                <w:sz w:val="18"/>
                <w:vertAlign w:val="superscript"/>
              </w:rPr>
              <w:t>2</w:t>
            </w:r>
          </w:p>
        </w:tc>
      </w:tr>
      <w:tr w:rsidR="00D27BC6">
        <w:trPr>
          <w:trHeight w:val="280"/>
        </w:trPr>
        <w:tc>
          <w:tcPr>
            <w:tcW w:w="10185" w:type="dxa"/>
            <w:gridSpan w:val="2"/>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0" w:firstLine="0"/>
              <w:jc w:val="center"/>
            </w:pPr>
            <w:r>
              <w:rPr>
                <w:b/>
              </w:rPr>
              <w:t>НОРМА</w:t>
            </w:r>
          </w:p>
        </w:tc>
      </w:tr>
      <w:tr w:rsidR="00D27BC6">
        <w:trPr>
          <w:trHeight w:val="280"/>
        </w:trPr>
        <w:tc>
          <w:tcPr>
            <w:tcW w:w="5092" w:type="dxa"/>
            <w:vMerge w:val="restart"/>
            <w:tcBorders>
              <w:top w:val="single" w:sz="6" w:space="0" w:color="000000"/>
              <w:left w:val="single" w:sz="6" w:space="0" w:color="000000"/>
              <w:bottom w:val="single" w:sz="6" w:space="0" w:color="000000"/>
              <w:right w:val="single" w:sz="6" w:space="0" w:color="000000"/>
            </w:tcBorders>
          </w:tcPr>
          <w:p w:rsidR="00D27BC6" w:rsidRDefault="004D5071">
            <w:pPr>
              <w:spacing w:after="17" w:line="259" w:lineRule="auto"/>
              <w:ind w:left="57" w:right="0" w:firstLine="0"/>
              <w:jc w:val="left"/>
            </w:pPr>
            <w:r>
              <w:t>Натощак и</w:t>
            </w:r>
          </w:p>
          <w:p w:rsidR="00D27BC6" w:rsidRDefault="004D5071">
            <w:pPr>
              <w:spacing w:after="0" w:line="259" w:lineRule="auto"/>
              <w:ind w:left="57" w:right="0" w:firstLine="0"/>
              <w:jc w:val="left"/>
            </w:pPr>
            <w:r>
              <w:t>Через 2 часа после ПГТТ</w:t>
            </w: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&lt; 6,1</w:t>
            </w:r>
          </w:p>
        </w:tc>
      </w:tr>
      <w:tr w:rsidR="00D27BC6">
        <w:trPr>
          <w:trHeight w:val="28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&lt; 7,8</w:t>
            </w:r>
          </w:p>
        </w:tc>
      </w:tr>
      <w:tr w:rsidR="00D27BC6">
        <w:trPr>
          <w:trHeight w:val="280"/>
        </w:trPr>
        <w:tc>
          <w:tcPr>
            <w:tcW w:w="10185" w:type="dxa"/>
            <w:gridSpan w:val="2"/>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0" w:firstLine="0"/>
              <w:jc w:val="center"/>
            </w:pPr>
            <w:r>
              <w:rPr>
                <w:b/>
              </w:rPr>
              <w:t>Сахарный диабет</w:t>
            </w:r>
            <w:r>
              <w:rPr>
                <w:b/>
                <w:sz w:val="18"/>
                <w:vertAlign w:val="superscript"/>
              </w:rPr>
              <w:t>3</w:t>
            </w:r>
          </w:p>
        </w:tc>
      </w:tr>
      <w:tr w:rsidR="00D27BC6">
        <w:trPr>
          <w:trHeight w:val="880"/>
        </w:trPr>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36" w:line="259" w:lineRule="auto"/>
              <w:ind w:left="57" w:right="0" w:firstLine="0"/>
              <w:jc w:val="left"/>
            </w:pPr>
            <w:r>
              <w:t>Натощак или</w:t>
            </w:r>
          </w:p>
          <w:p w:rsidR="00D27BC6" w:rsidRDefault="004D5071">
            <w:pPr>
              <w:spacing w:after="3" w:line="259" w:lineRule="auto"/>
              <w:ind w:left="57" w:right="0" w:firstLine="0"/>
              <w:jc w:val="left"/>
            </w:pPr>
            <w:r>
              <w:t>Через 2 часа после ПГТТ или</w:t>
            </w:r>
          </w:p>
          <w:p w:rsidR="00D27BC6" w:rsidRDefault="004D5071">
            <w:pPr>
              <w:spacing w:after="0" w:line="259" w:lineRule="auto"/>
              <w:ind w:left="57" w:right="0" w:firstLine="0"/>
              <w:jc w:val="left"/>
            </w:pPr>
            <w:r>
              <w:t>Случайное определение</w:t>
            </w:r>
            <w:r>
              <w:rPr>
                <w:sz w:val="18"/>
                <w:vertAlign w:val="superscript"/>
              </w:rPr>
              <w:t>4</w:t>
            </w: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7" w:right="-7" w:firstLine="0"/>
              <w:jc w:val="left"/>
            </w:pPr>
            <w:r>
              <w:rPr>
                <w:noProof/>
              </w:rPr>
              <w:drawing>
                <wp:inline distT="0" distB="0" distL="0" distR="0">
                  <wp:extent cx="3246120" cy="487680"/>
                  <wp:effectExtent l="0" t="0" r="0" b="0"/>
                  <wp:docPr id="358166" name="Picture 358166"/>
                  <wp:cNvGraphicFramePr/>
                  <a:graphic xmlns:a="http://schemas.openxmlformats.org/drawingml/2006/main">
                    <a:graphicData uri="http://schemas.openxmlformats.org/drawingml/2006/picture">
                      <pic:pic xmlns:pic="http://schemas.openxmlformats.org/drawingml/2006/picture">
                        <pic:nvPicPr>
                          <pic:cNvPr id="358166" name="Picture 358166"/>
                          <pic:cNvPicPr/>
                        </pic:nvPicPr>
                        <pic:blipFill>
                          <a:blip r:embed="rId69"/>
                          <a:stretch>
                            <a:fillRect/>
                          </a:stretch>
                        </pic:blipFill>
                        <pic:spPr>
                          <a:xfrm>
                            <a:off x="0" y="0"/>
                            <a:ext cx="3246120" cy="487680"/>
                          </a:xfrm>
                          <a:prstGeom prst="rect">
                            <a:avLst/>
                          </a:prstGeom>
                        </pic:spPr>
                      </pic:pic>
                    </a:graphicData>
                  </a:graphic>
                </wp:inline>
              </w:drawing>
            </w:r>
          </w:p>
        </w:tc>
      </w:tr>
      <w:tr w:rsidR="00D27BC6">
        <w:trPr>
          <w:trHeight w:val="280"/>
        </w:trPr>
        <w:tc>
          <w:tcPr>
            <w:tcW w:w="10185" w:type="dxa"/>
            <w:gridSpan w:val="2"/>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0" w:firstLine="0"/>
              <w:jc w:val="center"/>
            </w:pPr>
            <w:r>
              <w:rPr>
                <w:b/>
              </w:rPr>
              <w:t>Нарушенная толерантность к глюкозе</w:t>
            </w:r>
          </w:p>
        </w:tc>
      </w:tr>
      <w:tr w:rsidR="00D27BC6">
        <w:trPr>
          <w:trHeight w:val="280"/>
        </w:trPr>
        <w:tc>
          <w:tcPr>
            <w:tcW w:w="5092" w:type="dxa"/>
            <w:vMerge w:val="restart"/>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1751" w:firstLine="0"/>
              <w:jc w:val="left"/>
            </w:pPr>
            <w:r>
              <w:t>Натощак (если определяется) и Через 2 часа после ПГТТ</w:t>
            </w: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&lt; 7,0</w:t>
            </w:r>
          </w:p>
        </w:tc>
      </w:tr>
      <w:tr w:rsidR="00D27BC6">
        <w:trPr>
          <w:trHeight w:val="28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 7,8 &lt; 11,1</w:t>
            </w:r>
          </w:p>
        </w:tc>
      </w:tr>
      <w:tr w:rsidR="00D27BC6">
        <w:trPr>
          <w:trHeight w:val="320"/>
        </w:trPr>
        <w:tc>
          <w:tcPr>
            <w:tcW w:w="10185" w:type="dxa"/>
            <w:gridSpan w:val="2"/>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0" w:firstLine="0"/>
              <w:jc w:val="center"/>
            </w:pPr>
            <w:r>
              <w:rPr>
                <w:b/>
              </w:rPr>
              <w:t>Нарушенная гликемия натощак</w:t>
            </w:r>
          </w:p>
        </w:tc>
      </w:tr>
      <w:tr w:rsidR="00D27BC6">
        <w:trPr>
          <w:trHeight w:val="640"/>
        </w:trPr>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56" w:line="259" w:lineRule="auto"/>
              <w:ind w:left="57" w:right="0" w:firstLine="0"/>
              <w:jc w:val="left"/>
            </w:pPr>
            <w:r>
              <w:t>Натощак и</w:t>
            </w:r>
          </w:p>
          <w:p w:rsidR="00D27BC6" w:rsidRDefault="004D5071">
            <w:pPr>
              <w:spacing w:after="0" w:line="259" w:lineRule="auto"/>
              <w:ind w:left="57" w:right="0" w:firstLine="0"/>
              <w:jc w:val="left"/>
            </w:pPr>
            <w:r>
              <w:t>Через 2 часа после ПГТТ (если определяется)</w:t>
            </w: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7" w:right="-7" w:firstLine="0"/>
              <w:jc w:val="left"/>
            </w:pPr>
            <w:r>
              <w:rPr>
                <w:noProof/>
              </w:rPr>
              <w:drawing>
                <wp:inline distT="0" distB="0" distL="0" distR="0">
                  <wp:extent cx="3246120" cy="310896"/>
                  <wp:effectExtent l="0" t="0" r="0" b="0"/>
                  <wp:docPr id="358167" name="Picture 358167"/>
                  <wp:cNvGraphicFramePr/>
                  <a:graphic xmlns:a="http://schemas.openxmlformats.org/drawingml/2006/main">
                    <a:graphicData uri="http://schemas.openxmlformats.org/drawingml/2006/picture">
                      <pic:pic xmlns:pic="http://schemas.openxmlformats.org/drawingml/2006/picture">
                        <pic:nvPicPr>
                          <pic:cNvPr id="358167" name="Picture 358167"/>
                          <pic:cNvPicPr/>
                        </pic:nvPicPr>
                        <pic:blipFill>
                          <a:blip r:embed="rId70"/>
                          <a:stretch>
                            <a:fillRect/>
                          </a:stretch>
                        </pic:blipFill>
                        <pic:spPr>
                          <a:xfrm>
                            <a:off x="0" y="0"/>
                            <a:ext cx="3246120" cy="310896"/>
                          </a:xfrm>
                          <a:prstGeom prst="rect">
                            <a:avLst/>
                          </a:prstGeom>
                        </pic:spPr>
                      </pic:pic>
                    </a:graphicData>
                  </a:graphic>
                </wp:inline>
              </w:drawing>
            </w:r>
          </w:p>
        </w:tc>
      </w:tr>
      <w:tr w:rsidR="00D27BC6">
        <w:trPr>
          <w:trHeight w:val="280"/>
        </w:trPr>
        <w:tc>
          <w:tcPr>
            <w:tcW w:w="10185" w:type="dxa"/>
            <w:gridSpan w:val="2"/>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1" w:right="0" w:firstLine="0"/>
              <w:jc w:val="center"/>
            </w:pPr>
            <w:r>
              <w:rPr>
                <w:b/>
              </w:rPr>
              <w:t>Норма у беременных</w:t>
            </w:r>
          </w:p>
        </w:tc>
      </w:tr>
      <w:tr w:rsidR="00D27BC6">
        <w:trPr>
          <w:trHeight w:val="280"/>
        </w:trPr>
        <w:tc>
          <w:tcPr>
            <w:tcW w:w="5092" w:type="dxa"/>
            <w:vMerge w:val="restart"/>
            <w:tcBorders>
              <w:top w:val="single" w:sz="6" w:space="0" w:color="000000"/>
              <w:left w:val="single" w:sz="6" w:space="0" w:color="000000"/>
              <w:bottom w:val="single" w:sz="6" w:space="0" w:color="000000"/>
              <w:right w:val="single" w:sz="6" w:space="0" w:color="000000"/>
            </w:tcBorders>
          </w:tcPr>
          <w:p w:rsidR="00D27BC6" w:rsidRDefault="004D5071">
            <w:pPr>
              <w:spacing w:after="17" w:line="259" w:lineRule="auto"/>
              <w:ind w:left="57" w:right="0" w:firstLine="0"/>
              <w:jc w:val="left"/>
            </w:pPr>
            <w:r>
              <w:t>Натощак и</w:t>
            </w:r>
          </w:p>
          <w:p w:rsidR="00D27BC6" w:rsidRDefault="004D5071">
            <w:pPr>
              <w:spacing w:after="17" w:line="259" w:lineRule="auto"/>
              <w:ind w:left="57" w:right="0" w:firstLine="0"/>
              <w:jc w:val="left"/>
            </w:pPr>
            <w:r>
              <w:t>Через 1 час после ПГТТ и</w:t>
            </w:r>
          </w:p>
          <w:p w:rsidR="00D27BC6" w:rsidRDefault="004D5071">
            <w:pPr>
              <w:spacing w:after="0" w:line="259" w:lineRule="auto"/>
              <w:ind w:left="57" w:right="0" w:firstLine="0"/>
              <w:jc w:val="left"/>
            </w:pPr>
            <w:r>
              <w:t>Через 2 часа после ПГТТ</w:t>
            </w: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center"/>
            </w:pPr>
            <w:r>
              <w:t>&lt; 5,1</w:t>
            </w:r>
          </w:p>
        </w:tc>
      </w:tr>
      <w:tr w:rsidR="00D27BC6">
        <w:trPr>
          <w:trHeight w:val="28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center"/>
            </w:pPr>
            <w:r>
              <w:t>&lt; 10,0</w:t>
            </w:r>
          </w:p>
        </w:tc>
      </w:tr>
      <w:tr w:rsidR="00D27BC6">
        <w:trPr>
          <w:trHeight w:val="28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center"/>
            </w:pPr>
            <w:r>
              <w:t>&lt; 8,5</w:t>
            </w:r>
          </w:p>
        </w:tc>
      </w:tr>
      <w:tr w:rsidR="00D27BC6">
        <w:trPr>
          <w:trHeight w:val="292"/>
        </w:trPr>
        <w:tc>
          <w:tcPr>
            <w:tcW w:w="10185" w:type="dxa"/>
            <w:gridSpan w:val="2"/>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1" w:right="0" w:firstLine="0"/>
              <w:jc w:val="center"/>
            </w:pPr>
            <w:r>
              <w:rPr>
                <w:b/>
              </w:rPr>
              <w:t>Гестационный сахарный диабет</w:t>
            </w:r>
          </w:p>
        </w:tc>
      </w:tr>
      <w:tr w:rsidR="00D27BC6">
        <w:trPr>
          <w:trHeight w:val="280"/>
        </w:trPr>
        <w:tc>
          <w:tcPr>
            <w:tcW w:w="5092" w:type="dxa"/>
            <w:vMerge w:val="restart"/>
            <w:tcBorders>
              <w:top w:val="single" w:sz="6" w:space="0" w:color="000000"/>
              <w:left w:val="single" w:sz="6" w:space="0" w:color="000000"/>
              <w:bottom w:val="single" w:sz="6" w:space="0" w:color="000000"/>
              <w:right w:val="single" w:sz="6" w:space="0" w:color="000000"/>
            </w:tcBorders>
          </w:tcPr>
          <w:p w:rsidR="00D27BC6" w:rsidRDefault="004D5071">
            <w:pPr>
              <w:spacing w:after="17" w:line="259" w:lineRule="auto"/>
              <w:ind w:left="57" w:right="0" w:firstLine="0"/>
              <w:jc w:val="left"/>
            </w:pPr>
            <w:r>
              <w:t>Натощак или</w:t>
            </w:r>
          </w:p>
          <w:p w:rsidR="00D27BC6" w:rsidRDefault="004D5071">
            <w:pPr>
              <w:spacing w:after="17" w:line="259" w:lineRule="auto"/>
              <w:ind w:left="57" w:right="0" w:firstLine="0"/>
              <w:jc w:val="left"/>
            </w:pPr>
            <w:r>
              <w:t>Через 1 час после ПГТТ или</w:t>
            </w:r>
          </w:p>
          <w:p w:rsidR="00D27BC6" w:rsidRDefault="004D5071">
            <w:pPr>
              <w:spacing w:after="0" w:line="259" w:lineRule="auto"/>
              <w:ind w:left="57" w:right="0" w:firstLine="0"/>
              <w:jc w:val="left"/>
            </w:pPr>
            <w:r>
              <w:t>Через 2 часа после ПГТТ</w:t>
            </w: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center"/>
            </w:pPr>
            <w:r>
              <w:t>≥ 5,1 &lt; 7,0</w:t>
            </w:r>
          </w:p>
        </w:tc>
      </w:tr>
      <w:tr w:rsidR="00D27BC6">
        <w:trPr>
          <w:trHeight w:val="561"/>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7" w:right="-7" w:firstLine="0"/>
              <w:jc w:val="left"/>
            </w:pPr>
            <w:r>
              <w:rPr>
                <w:noProof/>
              </w:rPr>
              <w:drawing>
                <wp:inline distT="0" distB="0" distL="0" distR="0">
                  <wp:extent cx="3246120" cy="283464"/>
                  <wp:effectExtent l="0" t="0" r="0" b="0"/>
                  <wp:docPr id="358168" name="Picture 358168"/>
                  <wp:cNvGraphicFramePr/>
                  <a:graphic xmlns:a="http://schemas.openxmlformats.org/drawingml/2006/main">
                    <a:graphicData uri="http://schemas.openxmlformats.org/drawingml/2006/picture">
                      <pic:pic xmlns:pic="http://schemas.openxmlformats.org/drawingml/2006/picture">
                        <pic:nvPicPr>
                          <pic:cNvPr id="358168" name="Picture 358168"/>
                          <pic:cNvPicPr/>
                        </pic:nvPicPr>
                        <pic:blipFill>
                          <a:blip r:embed="rId71"/>
                          <a:stretch>
                            <a:fillRect/>
                          </a:stretch>
                        </pic:blipFill>
                        <pic:spPr>
                          <a:xfrm>
                            <a:off x="0" y="0"/>
                            <a:ext cx="3246120" cy="283464"/>
                          </a:xfrm>
                          <a:prstGeom prst="rect">
                            <a:avLst/>
                          </a:prstGeom>
                        </pic:spPr>
                      </pic:pic>
                    </a:graphicData>
                  </a:graphic>
                </wp:inline>
              </w:drawing>
            </w:r>
          </w:p>
        </w:tc>
      </w:tr>
    </w:tbl>
    <w:p w:rsidR="00D27BC6" w:rsidRDefault="004D5071">
      <w:pPr>
        <w:numPr>
          <w:ilvl w:val="0"/>
          <w:numId w:val="5"/>
        </w:numPr>
        <w:spacing w:after="4"/>
        <w:ind w:right="0" w:hanging="67"/>
      </w:pPr>
      <w:r>
        <w:rPr>
          <w:sz w:val="16"/>
        </w:rPr>
        <w:t>Диагностика проводится на основании лабораторных определений уровня гликемии.</w:t>
      </w:r>
    </w:p>
    <w:p w:rsidR="00D27BC6" w:rsidRDefault="004D5071">
      <w:pPr>
        <w:numPr>
          <w:ilvl w:val="0"/>
          <w:numId w:val="5"/>
        </w:numPr>
        <w:spacing w:after="4"/>
        <w:ind w:right="0" w:hanging="67"/>
      </w:pPr>
      <w:r>
        <w:rPr>
          <w:sz w:val="16"/>
        </w:rPr>
        <w:t>Возможно использование сыворотки.</w:t>
      </w:r>
    </w:p>
    <w:p w:rsidR="00D27BC6" w:rsidRDefault="004D5071">
      <w:pPr>
        <w:numPr>
          <w:ilvl w:val="0"/>
          <w:numId w:val="5"/>
        </w:numPr>
        <w:spacing w:after="4"/>
        <w:ind w:right="0" w:hanging="67"/>
      </w:pPr>
      <w:r>
        <w:rPr>
          <w:sz w:val="16"/>
        </w:rPr>
        <w:t>Диагноз СД всегда следует подтверждать повторным определением гликемии в последующие дни, за исключением случаев несомненной гипергликемии с ост</w:t>
      </w:r>
      <w:r>
        <w:rPr>
          <w:sz w:val="16"/>
        </w:rPr>
        <w:t>рой метаболической декомпенсацией или с очевидными симптомами.</w:t>
      </w:r>
    </w:p>
    <w:p w:rsidR="00D27BC6" w:rsidRDefault="004D5071">
      <w:pPr>
        <w:spacing w:after="4"/>
        <w:ind w:left="-3" w:right="0"/>
      </w:pPr>
      <w:r>
        <w:rPr>
          <w:sz w:val="16"/>
        </w:rPr>
        <w:t>Диагноз гестационного СД может быть поставлен на основании однократного определения гликемии.</w:t>
      </w:r>
    </w:p>
    <w:p w:rsidR="00D27BC6" w:rsidRDefault="004D5071">
      <w:pPr>
        <w:numPr>
          <w:ilvl w:val="0"/>
          <w:numId w:val="5"/>
        </w:numPr>
        <w:spacing w:after="128"/>
        <w:ind w:right="0" w:hanging="67"/>
      </w:pPr>
      <w:r>
        <w:rPr>
          <w:sz w:val="16"/>
        </w:rPr>
        <w:t>При наличии классических симптомов гипергликемии.</w:t>
      </w:r>
    </w:p>
    <w:p w:rsidR="00D27BC6" w:rsidRDefault="004D5071">
      <w:pPr>
        <w:ind w:left="295" w:right="0"/>
      </w:pPr>
      <w:r>
        <w:rPr>
          <w:b/>
        </w:rPr>
        <w:t xml:space="preserve">Перевод глюкозы крови из ммоль/л в мг/дл: </w:t>
      </w:r>
    </w:p>
    <w:p w:rsidR="00D27BC6" w:rsidRDefault="004D5071">
      <w:pPr>
        <w:ind w:left="295" w:right="0"/>
      </w:pPr>
      <w:r>
        <w:t>ммоль/л × 18,02 = мг/дл</w:t>
      </w:r>
    </w:p>
    <w:p w:rsidR="00D27BC6" w:rsidRDefault="004D5071">
      <w:pPr>
        <w:ind w:left="295" w:right="0"/>
      </w:pPr>
      <w:r>
        <w:rPr>
          <w:b/>
        </w:rPr>
        <w:t xml:space="preserve">Натощак </w:t>
      </w:r>
      <w:r>
        <w:t>– означает уровень глюкозы крови утром после предварительного голодания в течение не менее 8 ча-</w:t>
      </w:r>
    </w:p>
    <w:p w:rsidR="00D27BC6" w:rsidRDefault="004D5071">
      <w:pPr>
        <w:ind w:left="-1" w:right="0"/>
      </w:pPr>
      <w:r>
        <w:t>сов и не более 14 часов.</w:t>
      </w:r>
    </w:p>
    <w:p w:rsidR="00D27BC6" w:rsidRDefault="004D5071">
      <w:pPr>
        <w:ind w:left="295" w:right="0"/>
      </w:pPr>
      <w:r>
        <w:rPr>
          <w:b/>
        </w:rPr>
        <w:t>Случайное</w:t>
      </w:r>
      <w:r>
        <w:t xml:space="preserve"> – означает уровень глюкозы крови в любое время суток вне зависимости от времени приема пищи.</w:t>
      </w:r>
    </w:p>
    <w:p w:rsidR="00D27BC6" w:rsidRDefault="004D5071">
      <w:pPr>
        <w:ind w:left="295" w:right="0"/>
      </w:pPr>
      <w:r>
        <w:rPr>
          <w:b/>
        </w:rPr>
        <w:t>ПГТТ</w:t>
      </w:r>
      <w:r>
        <w:t xml:space="preserve"> – пероральный глюкозотолерантный тест. Проводится в случае сомнительных значений гликемии для уточ-</w:t>
      </w:r>
    </w:p>
    <w:p w:rsidR="00D27BC6" w:rsidRDefault="004D5071">
      <w:pPr>
        <w:ind w:left="-1" w:right="0"/>
      </w:pPr>
      <w:r>
        <w:t>нения диагноза.</w:t>
      </w:r>
    </w:p>
    <w:p w:rsidR="00D27BC6" w:rsidRDefault="004D5071">
      <w:pPr>
        <w:ind w:left="281" w:right="51"/>
        <w:jc w:val="left"/>
      </w:pPr>
      <w:r>
        <w:rPr>
          <w:b/>
        </w:rPr>
        <w:t>Правила проведения ПГТТ:</w:t>
      </w:r>
    </w:p>
    <w:p w:rsidR="00D27BC6" w:rsidRDefault="004D5071">
      <w:pPr>
        <w:ind w:left="-11" w:right="0" w:firstLine="283"/>
      </w:pPr>
      <w:r>
        <w:t>ПГТТ следует проводить утром на фоне не менее чем 3-дневного неограниченного питания (более 150 г углеводов в</w:t>
      </w:r>
      <w:r>
        <w:t xml:space="preserve"> сутки) и обычной физической активности. Тесту должно предшествовать ночное голодание в течение 8–14 часов (можно пить воду). Последний вечерний прием пищи должен содержать 30–50 г углеводов. После забора крови натощак испытуемый должен не более чем за 5 м</w:t>
      </w:r>
      <w:r>
        <w:t>ин выпить 75 г безводной глюкозы или 82,5 г моногидрата глюкозы, растворенных в 250–300 мл воды. Для детей нагрузка составляет 1,75 г безводной глюкозы (или 1,925 г моногидрата глюкозы) на кг массы тела, но не более 75 г (82,5 г). В процессе теста не разре</w:t>
      </w:r>
      <w:r>
        <w:t>шается курение. Через 2 часа осуществляется повторный забор крови.</w:t>
      </w:r>
    </w:p>
    <w:p w:rsidR="00D27BC6" w:rsidRDefault="004D5071">
      <w:pPr>
        <w:ind w:left="-11" w:right="0" w:firstLine="283"/>
      </w:pPr>
      <w:r>
        <w:t>Для предотвращения гликолиза и ошибочных результатов определение концентрации глюкозы проводится сразу после взятия крови, или кровь должна быть центрифугирована сразу после взятия, или хра</w:t>
      </w:r>
      <w:r>
        <w:t xml:space="preserve">ниться при температуре 0–4°С, или быть взята в пробирку с консервантом (флуорид натрия). </w:t>
      </w:r>
      <w:r>
        <w:rPr>
          <w:b/>
        </w:rPr>
        <w:t>ПГТТ не проводится:</w:t>
      </w:r>
    </w:p>
    <w:p w:rsidR="00D27BC6" w:rsidRDefault="004D5071">
      <w:pPr>
        <w:numPr>
          <w:ilvl w:val="0"/>
          <w:numId w:val="6"/>
        </w:numPr>
        <w:ind w:right="0" w:hanging="283"/>
      </w:pPr>
      <w:r>
        <w:t>на фоне острого заболевания</w:t>
      </w:r>
    </w:p>
    <w:p w:rsidR="00D27BC6" w:rsidRDefault="004D5071">
      <w:pPr>
        <w:numPr>
          <w:ilvl w:val="0"/>
          <w:numId w:val="6"/>
        </w:numPr>
        <w:ind w:right="0" w:hanging="283"/>
      </w:pPr>
      <w:r>
        <w:t xml:space="preserve">на фоне кратковременного приема препаратов, повышающих уровень гликемии (глюкокортикоиды, тиреоидные гормоны, тиазиды, </w:t>
      </w:r>
      <w:r>
        <w:t>бета-адреноблокаторы и др.)</w:t>
      </w:r>
    </w:p>
    <w:p w:rsidR="00D27BC6" w:rsidRDefault="004D5071">
      <w:pPr>
        <w:ind w:left="281" w:right="51"/>
        <w:jc w:val="left"/>
      </w:pPr>
      <w:r>
        <w:rPr>
          <w:b/>
        </w:rPr>
        <w:t>Транзиторная гипергликемия</w:t>
      </w:r>
    </w:p>
    <w:p w:rsidR="00D27BC6" w:rsidRDefault="004D5071">
      <w:pPr>
        <w:spacing w:after="230"/>
        <w:ind w:left="-11" w:right="0" w:firstLine="284"/>
      </w:pPr>
      <w:r>
        <w:t>Гипергликемия, выявленная на фоне острой инфекции, травмы, стресса, инфаркта миокарда, острого нарушения мозгового кровообращения, обширных оперативных вмешательств, может быть транзиторной (стрессинду</w:t>
      </w:r>
      <w:r>
        <w:t xml:space="preserve">цированной), обычно спонтанно нормализуется после исчезновения вызвавшего ее фактора и не должна сама по себе относиться к диагнозу СД. Через 4–12 недель после устранения возможной причины транзиторной гипергликемии у лиц с уровнем глюкозы венозной плазмы </w:t>
      </w:r>
      <w:r>
        <w:t>натощак &lt; 7,0 ммоль/л проводится ПГТТ и/или определение гликированного гемоглобина (HbA1c) для реклассификации степени нарушения углеводного обмена.</w:t>
      </w:r>
    </w:p>
    <w:p w:rsidR="00D27BC6" w:rsidRDefault="004D5071">
      <w:pPr>
        <w:spacing w:after="226"/>
        <w:ind w:left="290" w:right="286"/>
        <w:jc w:val="center"/>
      </w:pPr>
      <w:r>
        <w:rPr>
          <w:b/>
        </w:rPr>
        <w:t>2.2. НbA1с КАК ДИАГНОСТИЧЕСКИЙ КРИТЕРИЙ СД</w:t>
      </w:r>
    </w:p>
    <w:p w:rsidR="00D27BC6" w:rsidRDefault="004D5071">
      <w:pPr>
        <w:ind w:left="295" w:right="0"/>
      </w:pPr>
      <w:r>
        <w:t>В 2011 г. ВОЗ одобрила возможность использования HbA1c для диагн</w:t>
      </w:r>
      <w:r>
        <w:t>остики СД.</w:t>
      </w:r>
    </w:p>
    <w:p w:rsidR="00D27BC6" w:rsidRDefault="004D5071">
      <w:pPr>
        <w:ind w:left="295" w:right="0"/>
      </w:pPr>
      <w:r>
        <w:rPr>
          <w:b/>
        </w:rPr>
        <w:t>В качестве диагностического критерия СД выбран уровень HbA1c ≥6,5% (≥48 ммоль/моль).</w:t>
      </w:r>
    </w:p>
    <w:p w:rsidR="00D27BC6" w:rsidRDefault="004D5071">
      <w:pPr>
        <w:ind w:left="-11" w:right="0" w:firstLine="283"/>
      </w:pPr>
      <w:r>
        <w:t>Исследование должно быть выполнено с использованием метода определения HbA1c, сертифицированного в соответствии с National Glycohemoglobin Standardization Program (NGSP) или International Federation of Clinical Chemists (IFCC) и стандартизованного в соотве</w:t>
      </w:r>
      <w:r>
        <w:t xml:space="preserve">тствии с референсными значениями, принятыми в Diabetes Control and Complications Trial (DCCT). </w:t>
      </w:r>
    </w:p>
    <w:p w:rsidR="00D27BC6" w:rsidRDefault="004D5071">
      <w:pPr>
        <w:ind w:left="-13" w:right="0" w:firstLine="283"/>
      </w:pPr>
      <w:r>
        <w:rPr>
          <w:b/>
          <w:i/>
        </w:rPr>
        <w:t>Нормальным считается уровень HbA1c ≤6,0% (≤42 ммоль/моль). Согласно рекомендациям ВОЗ, уровень HbA1c &gt;6,0 и &lt;6,5% (&gt;42 и &lt;48 ммоль/моль) сам по себе не позволяет ставить какие-либо диагнозы, но предполагает наличие риска диабета и проведение дополнительных</w:t>
      </w:r>
      <w:r>
        <w:rPr>
          <w:b/>
          <w:i/>
        </w:rPr>
        <w:t xml:space="preserve"> исследований для исключения/подтверждения диагноза СД.</w:t>
      </w:r>
    </w:p>
    <w:p w:rsidR="00D27BC6" w:rsidRDefault="004D5071">
      <w:pPr>
        <w:ind w:left="295" w:right="0"/>
      </w:pPr>
      <w:r>
        <w:rPr>
          <w:b/>
          <w:i/>
        </w:rPr>
        <w:t>Перевод HbA1c из % в ммоль/моль:</w:t>
      </w:r>
    </w:p>
    <w:p w:rsidR="00D27BC6" w:rsidRDefault="004D5071">
      <w:pPr>
        <w:ind w:left="295" w:right="0"/>
      </w:pPr>
      <w:r>
        <w:t>(HbA1c % × 10,93) – 23,5 = HbA1c ммоль/моль.</w:t>
      </w:r>
    </w:p>
    <w:p w:rsidR="00D27BC6" w:rsidRDefault="004D5071">
      <w:pPr>
        <w:ind w:left="295" w:right="0"/>
      </w:pPr>
      <w:r>
        <w:rPr>
          <w:b/>
          <w:i/>
        </w:rPr>
        <w:t>Перевод HbA1c из ммоль/моль в %:</w:t>
      </w:r>
    </w:p>
    <w:p w:rsidR="00D27BC6" w:rsidRDefault="004D5071">
      <w:pPr>
        <w:ind w:left="295" w:right="0"/>
      </w:pPr>
      <w:r>
        <w:t>(0,09148 × HbA1c ммоль/моль) + 2,152 = HbA1c %.</w:t>
      </w:r>
    </w:p>
    <w:p w:rsidR="00D27BC6" w:rsidRDefault="004D5071">
      <w:pPr>
        <w:ind w:left="-11" w:right="0" w:firstLine="283"/>
      </w:pPr>
      <w:r>
        <w:t>В случае отсутствия симптомов острой мета</w:t>
      </w:r>
      <w:r>
        <w:t>болической декомпенсации диагноз должен быть поставлен на основании двух цифр, находящихся в диабетическом диапазоне, например, дважды определенный HbA1c или однократное определение HbA1c + однократное определение уровня глюкозы крови.</w:t>
      </w:r>
    </w:p>
    <w:p w:rsidR="00D27BC6" w:rsidRDefault="004D5071">
      <w:pPr>
        <w:ind w:left="-11" w:right="0" w:firstLine="283"/>
      </w:pPr>
      <w:r>
        <w:t>HbA1c ≥ 6,5% может п</w:t>
      </w:r>
      <w:r>
        <w:t>омочь дифференцировать пациентов с ранее недиагностированным СД от пациентов с транзиторной стрессовой гипергликемией.</w:t>
      </w:r>
    </w:p>
    <w:p w:rsidR="00D27BC6" w:rsidRDefault="004D5071">
      <w:pPr>
        <w:ind w:left="281" w:right="51"/>
        <w:jc w:val="left"/>
      </w:pPr>
      <w:r>
        <w:rPr>
          <w:b/>
        </w:rPr>
        <w:t>Ограничения в использовании HbA1c:</w:t>
      </w:r>
    </w:p>
    <w:p w:rsidR="00D27BC6" w:rsidRDefault="004D5071">
      <w:pPr>
        <w:numPr>
          <w:ilvl w:val="0"/>
          <w:numId w:val="7"/>
        </w:numPr>
        <w:ind w:right="0" w:hanging="283"/>
      </w:pPr>
      <w:r>
        <w:t>При стремительном развитии СД, например, в некоторых случаях СД 1 типа у детей, уровень HbA1c может не</w:t>
      </w:r>
      <w:r>
        <w:t xml:space="preserve"> быть значимо повышенным, несмотря на наличие классических симптомов СД.</w:t>
      </w:r>
    </w:p>
    <w:p w:rsidR="00D27BC6" w:rsidRDefault="004D5071">
      <w:pPr>
        <w:numPr>
          <w:ilvl w:val="0"/>
          <w:numId w:val="7"/>
        </w:numPr>
        <w:ind w:right="0" w:hanging="283"/>
      </w:pPr>
      <w:r>
        <w:t>Лабораторная и индивидуальная вариабельность, в связи с чем решения об изменении терапии должны проводиться с учетом других данных оценки гликемического контроля.</w:t>
      </w:r>
    </w:p>
    <w:p w:rsidR="00D27BC6" w:rsidRDefault="004D5071">
      <w:pPr>
        <w:numPr>
          <w:ilvl w:val="0"/>
          <w:numId w:val="7"/>
        </w:numPr>
        <w:ind w:right="0" w:hanging="283"/>
      </w:pPr>
      <w:r>
        <w:t>Негликемические факт</w:t>
      </w:r>
      <w:r>
        <w:t>оры, искажающие уровень HbA1c.</w:t>
      </w:r>
    </w:p>
    <w:p w:rsidR="00D27BC6" w:rsidRDefault="004D5071">
      <w:pPr>
        <w:ind w:left="-11" w:right="0" w:firstLine="284"/>
      </w:pPr>
      <w:r>
        <w:rPr>
          <w:b/>
          <w:i/>
        </w:rPr>
        <w:t>Повышают уровень HbA1c:</w:t>
      </w:r>
      <w:r>
        <w:rPr>
          <w:b/>
        </w:rPr>
        <w:t xml:space="preserve"> </w:t>
      </w:r>
      <w:r>
        <w:t>анемии (дефицит железа, витамина В12, фолиевой кислоты), хроническое употребление алкоголя, употребление салицилатов, опиоидов, спленэктомия, выраженная гипербилирубинемия.</w:t>
      </w:r>
    </w:p>
    <w:p w:rsidR="00D27BC6" w:rsidRDefault="004D5071">
      <w:pPr>
        <w:ind w:left="-11" w:right="0" w:firstLine="283"/>
      </w:pPr>
      <w:r>
        <w:rPr>
          <w:b/>
          <w:i/>
        </w:rPr>
        <w:t>Понижают уровень HbA1c:</w:t>
      </w:r>
      <w:r>
        <w:rPr>
          <w:b/>
        </w:rPr>
        <w:t xml:space="preserve"> </w:t>
      </w:r>
      <w:r>
        <w:t>бере</w:t>
      </w:r>
      <w:r>
        <w:t>менность (II и III триместры), гемолитические анемии, назначение препаратов железа, витамина В12, эритропоэтинов, прием витамина Е, С и других антиоксидантов в больших дозах, антиретровирусная терапия, лечение рибавирином и интерфероном-α, острая кровопоте</w:t>
      </w:r>
      <w:r>
        <w:t>ря, переливание крови или эритроцитарной массы, ретикулоцитоз, спленомегалия, ревматоидный артрит, хронические заболевания печени, выраженная гипертриглицеридемия.</w:t>
      </w:r>
    </w:p>
    <w:p w:rsidR="00D27BC6" w:rsidRDefault="004D5071">
      <w:pPr>
        <w:ind w:left="-11" w:right="0" w:firstLine="283"/>
      </w:pPr>
      <w:r>
        <w:rPr>
          <w:b/>
          <w:i/>
        </w:rPr>
        <w:t>Повышают или понижают уровень HbA1c:</w:t>
      </w:r>
      <w:r>
        <w:rPr>
          <w:b/>
        </w:rPr>
        <w:t xml:space="preserve"> </w:t>
      </w:r>
      <w:r>
        <w:t>гемоглобинопатии, терминальная почечная недостаточность</w:t>
      </w:r>
      <w:r>
        <w:t>, генетические факторы, фетальный гемоглобин, метгемоглобин.</w:t>
      </w:r>
    </w:p>
    <w:p w:rsidR="00D27BC6" w:rsidRDefault="004D5071">
      <w:pPr>
        <w:ind w:left="-11" w:right="0" w:firstLine="283"/>
      </w:pPr>
      <w:r>
        <w:t>В этом случае возможно определение уровня фруктозамина, который оценивает уровень глюкозы плазмы за 3 недели, но его диагностические и целевые значения пока не разработаны.</w:t>
      </w:r>
    </w:p>
    <w:p w:rsidR="00D27BC6" w:rsidRDefault="004D5071">
      <w:pPr>
        <w:numPr>
          <w:ilvl w:val="1"/>
          <w:numId w:val="8"/>
        </w:numPr>
        <w:spacing w:after="226"/>
        <w:ind w:right="286" w:hanging="368"/>
        <w:jc w:val="center"/>
      </w:pPr>
      <w:r>
        <w:rPr>
          <w:b/>
        </w:rPr>
        <w:t>КРИТЕРИИ РЕМИССИИ САХА</w:t>
      </w:r>
      <w:r>
        <w:rPr>
          <w:b/>
        </w:rPr>
        <w:t>РНОГО ДИАБЕТА 2 ТИПА</w:t>
      </w:r>
    </w:p>
    <w:p w:rsidR="00D27BC6" w:rsidRDefault="004D5071">
      <w:pPr>
        <w:ind w:left="-11" w:right="0" w:firstLine="283"/>
      </w:pPr>
      <w:r>
        <w:t xml:space="preserve">В ряде случаев (обычно при значимом снижении массы тела на фоне немедикаментозных методов, лекарственного или хирургического лечения) у пациентов с СД 2 типа возможно достичь ремиссии сахарного диабета. </w:t>
      </w:r>
    </w:p>
    <w:p w:rsidR="00D27BC6" w:rsidRDefault="004D5071">
      <w:pPr>
        <w:spacing w:after="216" w:line="259" w:lineRule="auto"/>
        <w:ind w:left="248" w:right="-9"/>
        <w:jc w:val="right"/>
      </w:pPr>
      <w:r>
        <w:rPr>
          <w:b/>
        </w:rPr>
        <w:t>Для постановки</w:t>
      </w:r>
      <w:r>
        <w:t xml:space="preserve"> диагноза «Сахарный диабет 2 типа, ремиссия» требуется соблюдение условий: </w:t>
      </w:r>
      <w:r>
        <w:rPr>
          <w:i/>
          <w:u w:val="single" w:color="000000"/>
        </w:rPr>
        <w:t>отмена сахарос-</w:t>
      </w:r>
    </w:p>
    <w:p w:rsidR="00D27BC6" w:rsidRDefault="004D5071">
      <w:pPr>
        <w:ind w:left="-1" w:right="0"/>
      </w:pPr>
      <w:r>
        <w:rPr>
          <w:noProof/>
        </w:rPr>
        <w:drawing>
          <wp:anchor distT="0" distB="0" distL="114300" distR="114300" simplePos="0" relativeHeight="251659264" behindDoc="0" locked="0" layoutInCell="1" allowOverlap="0">
            <wp:simplePos x="0" y="0"/>
            <wp:positionH relativeFrom="column">
              <wp:posOffset>1208</wp:posOffset>
            </wp:positionH>
            <wp:positionV relativeFrom="paragraph">
              <wp:posOffset>-152526</wp:posOffset>
            </wp:positionV>
            <wp:extent cx="6477001" cy="734568"/>
            <wp:effectExtent l="0" t="0" r="0" b="0"/>
            <wp:wrapSquare wrapText="bothSides"/>
            <wp:docPr id="358169" name="Picture 358169"/>
            <wp:cNvGraphicFramePr/>
            <a:graphic xmlns:a="http://schemas.openxmlformats.org/drawingml/2006/main">
              <a:graphicData uri="http://schemas.openxmlformats.org/drawingml/2006/picture">
                <pic:pic xmlns:pic="http://schemas.openxmlformats.org/drawingml/2006/picture">
                  <pic:nvPicPr>
                    <pic:cNvPr id="358169" name="Picture 358169"/>
                    <pic:cNvPicPr/>
                  </pic:nvPicPr>
                  <pic:blipFill>
                    <a:blip r:embed="rId72"/>
                    <a:stretch>
                      <a:fillRect/>
                    </a:stretch>
                  </pic:blipFill>
                  <pic:spPr>
                    <a:xfrm>
                      <a:off x="0" y="0"/>
                      <a:ext cx="6477001" cy="734568"/>
                    </a:xfrm>
                    <a:prstGeom prst="rect">
                      <a:avLst/>
                    </a:prstGeom>
                  </pic:spPr>
                </pic:pic>
              </a:graphicData>
            </a:graphic>
          </wp:anchor>
        </w:drawing>
      </w:r>
      <w:r>
        <w:t xml:space="preserve">1) </w:t>
      </w:r>
    </w:p>
    <w:p w:rsidR="00D27BC6" w:rsidRDefault="004D5071">
      <w:pPr>
        <w:spacing w:after="466"/>
        <w:ind w:left="-1" w:right="0"/>
      </w:pPr>
      <w:r>
        <w:t xml:space="preserve">2) </w:t>
      </w:r>
    </w:p>
    <w:p w:rsidR="00D27BC6" w:rsidRDefault="004D5071">
      <w:pPr>
        <w:spacing w:after="226"/>
        <w:ind w:left="-1" w:right="0"/>
      </w:pPr>
      <w:r>
        <w:t xml:space="preserve">СД 2 типа. </w:t>
      </w:r>
    </w:p>
    <w:p w:rsidR="00D27BC6" w:rsidRDefault="004D5071">
      <w:pPr>
        <w:numPr>
          <w:ilvl w:val="1"/>
          <w:numId w:val="8"/>
        </w:numPr>
        <w:spacing w:after="226"/>
        <w:ind w:right="286" w:hanging="368"/>
        <w:jc w:val="center"/>
      </w:pPr>
      <w:r>
        <w:rPr>
          <w:b/>
        </w:rPr>
        <w:t>ДИФФЕРЕНЦИАЛЬНАЯ ДИАГНОСТИКА</w:t>
      </w:r>
    </w:p>
    <w:p w:rsidR="00D27BC6" w:rsidRDefault="004D5071">
      <w:pPr>
        <w:spacing w:after="322"/>
        <w:ind w:left="-11" w:right="0" w:firstLine="283"/>
      </w:pPr>
      <w:r>
        <w:t>Для дифференциальной диагностики СД 1 типа, СД 2 типа, моногенных форм СД может быть проведено определение базально</w:t>
      </w:r>
      <w:r>
        <w:t>го и стимулированного уровня С-пептида, аутоантител к инсулину (IAA), глутаматдекарбоксилазе (GAD), тирозинфосфатазе (IA-2 и IA-2β), поверхностным антигенам (ICA), транспортеру цинка (ZnT-8), а также выполнено молекулярно-генетическое исследование.</w:t>
      </w:r>
    </w:p>
    <w:p w:rsidR="00D27BC6" w:rsidRDefault="004D5071">
      <w:pPr>
        <w:pStyle w:val="Heading1"/>
        <w:spacing w:after="324"/>
        <w:ind w:left="313" w:right="309"/>
      </w:pPr>
      <w:r>
        <w:t>3. ТЕРА</w:t>
      </w:r>
      <w:r>
        <w:t>ПЕВТИЧЕСКИЕ ЦЕЛИ ПРИ САХАРНОМ ДИАБЕТЕ 1 И 2 ТИПА</w:t>
      </w:r>
    </w:p>
    <w:p w:rsidR="00D27BC6" w:rsidRDefault="004D5071">
      <w:pPr>
        <w:spacing w:after="226"/>
        <w:ind w:left="290" w:right="286"/>
        <w:jc w:val="center"/>
      </w:pPr>
      <w:r>
        <w:rPr>
          <w:b/>
        </w:rPr>
        <w:t>3.1. ПОКАЗАТЕЛИ КОНТРОЛЯ УГЛЕВОДНОГО ОБМЕНА (ИНДИВИДУАЛЬНЫЕ ЦЕЛИ ЛЕЧЕНИЯ)</w:t>
      </w:r>
    </w:p>
    <w:p w:rsidR="00D27BC6" w:rsidRDefault="004D5071">
      <w:pPr>
        <w:spacing w:after="274"/>
        <w:ind w:left="-11" w:right="0" w:firstLine="283"/>
      </w:pPr>
      <w:r>
        <w:t>Выбор индивидуальных целей лечения зависит от возраста пациента, ожидаемой продолжительности жизни, функциональной зависимости (см. р</w:t>
      </w:r>
      <w:r>
        <w:t>аздел 21), наличия атеросклеротических сердечно-сосудистых заболеваний (АССЗ) и риска тяжелой гипогликемии.</w:t>
      </w:r>
    </w:p>
    <w:p w:rsidR="00D27BC6" w:rsidRDefault="004D5071">
      <w:pPr>
        <w:pBdr>
          <w:top w:val="single" w:sz="8" w:space="0" w:color="000000"/>
          <w:left w:val="single" w:sz="8" w:space="0" w:color="000000"/>
          <w:bottom w:val="single" w:sz="8" w:space="0" w:color="000000"/>
          <w:right w:val="single" w:sz="8" w:space="0" w:color="000000"/>
        </w:pBdr>
        <w:spacing w:after="364" w:line="259" w:lineRule="auto"/>
        <w:ind w:left="16" w:right="0" w:firstLine="0"/>
        <w:jc w:val="center"/>
      </w:pPr>
      <w:r>
        <w:rPr>
          <w:b/>
          <w:i/>
        </w:rPr>
        <w:t>Для большинства взрослых пациентов с СД адекватным является целевой уровень HbA1c менее 7.0%.</w:t>
      </w:r>
    </w:p>
    <w:p w:rsidR="00D27BC6" w:rsidRDefault="004D5071">
      <w:pPr>
        <w:pStyle w:val="Heading2"/>
        <w:spacing w:after="195"/>
        <w:ind w:left="-3"/>
      </w:pPr>
      <w:r>
        <w:t>Алгоритм индивидуализированного выбора целей терапии по HbA1c</w:t>
      </w:r>
      <w:r>
        <w:rPr>
          <w:sz w:val="18"/>
          <w:vertAlign w:val="superscript"/>
        </w:rPr>
        <w:footnoteReference w:id="1"/>
      </w:r>
      <w:r>
        <w:rPr>
          <w:sz w:val="18"/>
          <w:vertAlign w:val="superscript"/>
        </w:rPr>
        <w:t xml:space="preserve">, </w:t>
      </w:r>
      <w:r>
        <w:rPr>
          <w:sz w:val="18"/>
          <w:vertAlign w:val="superscript"/>
        </w:rPr>
        <w:footnoteReference w:id="2"/>
      </w:r>
    </w:p>
    <w:p w:rsidR="00D27BC6" w:rsidRDefault="004D5071">
      <w:pPr>
        <w:spacing w:after="62" w:line="259" w:lineRule="auto"/>
        <w:ind w:left="10" w:right="835"/>
        <w:jc w:val="right"/>
      </w:pPr>
      <w:r>
        <w:rPr>
          <w:b/>
        </w:rPr>
        <w:t>Пожилой возраст / Старческий возраст</w:t>
      </w:r>
    </w:p>
    <w:p w:rsidR="00D27BC6" w:rsidRDefault="004D5071">
      <w:pPr>
        <w:tabs>
          <w:tab w:val="center" w:pos="2016"/>
          <w:tab w:val="center" w:pos="8211"/>
        </w:tabs>
        <w:ind w:left="0" w:right="0" w:firstLine="0"/>
        <w:jc w:val="left"/>
      </w:pPr>
      <w:r>
        <w:rPr>
          <w:sz w:val="22"/>
        </w:rPr>
        <w:tab/>
      </w:r>
      <w:r>
        <w:rPr>
          <w:b/>
        </w:rPr>
        <w:t>Категории</w:t>
      </w:r>
      <w:r>
        <w:rPr>
          <w:b/>
        </w:rPr>
        <w:tab/>
        <w:t>Функционально зависимые</w:t>
      </w:r>
    </w:p>
    <w:p w:rsidR="00D27BC6" w:rsidRDefault="004D5071">
      <w:pPr>
        <w:tabs>
          <w:tab w:val="center" w:pos="2007"/>
          <w:tab w:val="center" w:pos="4204"/>
        </w:tabs>
        <w:spacing w:after="106"/>
        <w:ind w:left="0" w:right="0" w:firstLine="0"/>
        <w:jc w:val="left"/>
      </w:pPr>
      <w:r>
        <w:rPr>
          <w:sz w:val="22"/>
        </w:rPr>
        <w:tab/>
      </w:r>
      <w:r>
        <w:rPr>
          <w:b/>
        </w:rPr>
        <w:t>пациентов</w:t>
      </w:r>
      <w:r>
        <w:rPr>
          <w:b/>
        </w:rPr>
        <w:tab/>
        <w:t xml:space="preserve">Средний </w:t>
      </w:r>
    </w:p>
    <w:p w:rsidR="00D27BC6" w:rsidRDefault="004D5071">
      <w:pPr>
        <w:spacing w:after="179" w:line="322" w:lineRule="auto"/>
        <w:ind w:left="2741" w:right="820" w:hanging="62"/>
      </w:pPr>
      <w:r>
        <w:rPr>
          <w:b/>
        </w:rPr>
        <w:t xml:space="preserve">Молодой возраст / Функцио- </w:t>
      </w:r>
      <w:r>
        <w:rPr>
          <w:b/>
          <w:sz w:val="31"/>
          <w:vertAlign w:val="superscript"/>
        </w:rPr>
        <w:t xml:space="preserve">старческой Без </w:t>
      </w:r>
      <w:r>
        <w:rPr>
          <w:b/>
        </w:rPr>
        <w:t xml:space="preserve">Старческая возраст Пожилой нально </w:t>
      </w:r>
    </w:p>
    <w:p w:rsidR="00D27BC6" w:rsidRDefault="004D5071">
      <w:pPr>
        <w:spacing w:line="497" w:lineRule="auto"/>
        <w:ind w:left="-3" w:right="0"/>
      </w:pPr>
      <w:r>
        <w:rPr>
          <w:noProof/>
          <w:sz w:val="22"/>
        </w:rPr>
        <mc:AlternateContent>
          <mc:Choice Requires="wpg">
            <w:drawing>
              <wp:anchor distT="0" distB="0" distL="114300" distR="114300" simplePos="0" relativeHeight="251660288" behindDoc="1" locked="0" layoutInCell="1" allowOverlap="1">
                <wp:simplePos x="0" y="0"/>
                <wp:positionH relativeFrom="column">
                  <wp:posOffset>1208</wp:posOffset>
                </wp:positionH>
                <wp:positionV relativeFrom="paragraph">
                  <wp:posOffset>-751848</wp:posOffset>
                </wp:positionV>
                <wp:extent cx="6488999" cy="2743556"/>
                <wp:effectExtent l="0" t="0" r="0" b="0"/>
                <wp:wrapNone/>
                <wp:docPr id="255600" name="Group 255600"/>
                <wp:cNvGraphicFramePr/>
                <a:graphic xmlns:a="http://schemas.openxmlformats.org/drawingml/2006/main">
                  <a:graphicData uri="http://schemas.microsoft.com/office/word/2010/wordprocessingGroup">
                    <wpg:wgp>
                      <wpg:cNvGrpSpPr/>
                      <wpg:grpSpPr>
                        <a:xfrm>
                          <a:off x="0" y="0"/>
                          <a:ext cx="6488999" cy="2743556"/>
                          <a:chOff x="0" y="0"/>
                          <a:chExt cx="6488999" cy="2743556"/>
                        </a:xfrm>
                      </wpg:grpSpPr>
                      <wps:wsp>
                        <wps:cNvPr id="2017" name="Shape 2017"/>
                        <wps:cNvSpPr/>
                        <wps:spPr>
                          <a:xfrm>
                            <a:off x="4500" y="0"/>
                            <a:ext cx="6479997" cy="1181151"/>
                          </a:xfrm>
                          <a:custGeom>
                            <a:avLst/>
                            <a:gdLst/>
                            <a:ahLst/>
                            <a:cxnLst/>
                            <a:rect l="0" t="0" r="0" b="0"/>
                            <a:pathLst>
                              <a:path w="6479997" h="1181151">
                                <a:moveTo>
                                  <a:pt x="0" y="0"/>
                                </a:moveTo>
                                <a:lnTo>
                                  <a:pt x="1619999" y="0"/>
                                </a:lnTo>
                                <a:lnTo>
                                  <a:pt x="2315998" y="0"/>
                                </a:lnTo>
                                <a:lnTo>
                                  <a:pt x="3011996" y="0"/>
                                </a:lnTo>
                                <a:lnTo>
                                  <a:pt x="6479997" y="0"/>
                                </a:lnTo>
                                <a:lnTo>
                                  <a:pt x="6479997" y="203251"/>
                                </a:lnTo>
                                <a:lnTo>
                                  <a:pt x="6479997" y="406502"/>
                                </a:lnTo>
                                <a:lnTo>
                                  <a:pt x="6479997" y="1181151"/>
                                </a:lnTo>
                                <a:lnTo>
                                  <a:pt x="5544008" y="1181151"/>
                                </a:lnTo>
                                <a:lnTo>
                                  <a:pt x="5543995" y="1181151"/>
                                </a:lnTo>
                                <a:lnTo>
                                  <a:pt x="4716006" y="1181151"/>
                                </a:lnTo>
                                <a:lnTo>
                                  <a:pt x="4716006" y="406502"/>
                                </a:lnTo>
                                <a:lnTo>
                                  <a:pt x="4715993" y="406502"/>
                                </a:lnTo>
                                <a:lnTo>
                                  <a:pt x="4715993" y="1181151"/>
                                </a:lnTo>
                                <a:lnTo>
                                  <a:pt x="3935997" y="1181151"/>
                                </a:lnTo>
                                <a:lnTo>
                                  <a:pt x="3935997" y="406502"/>
                                </a:lnTo>
                                <a:lnTo>
                                  <a:pt x="3935997" y="203251"/>
                                </a:lnTo>
                                <a:lnTo>
                                  <a:pt x="3935997" y="203251"/>
                                </a:lnTo>
                                <a:lnTo>
                                  <a:pt x="3935997" y="1181151"/>
                                </a:lnTo>
                                <a:lnTo>
                                  <a:pt x="3011996" y="1181151"/>
                                </a:lnTo>
                                <a:lnTo>
                                  <a:pt x="2315998" y="1181151"/>
                                </a:lnTo>
                                <a:lnTo>
                                  <a:pt x="1619999" y="1181151"/>
                                </a:lnTo>
                                <a:lnTo>
                                  <a:pt x="0" y="1181151"/>
                                </a:lnTo>
                                <a:lnTo>
                                  <a:pt x="0" y="0"/>
                                </a:lnTo>
                                <a:close/>
                              </a:path>
                            </a:pathLst>
                          </a:custGeom>
                          <a:ln w="0" cap="flat">
                            <a:miter lim="127000"/>
                          </a:ln>
                        </wps:spPr>
                        <wps:style>
                          <a:lnRef idx="0">
                            <a:srgbClr val="000000">
                              <a:alpha val="0"/>
                            </a:srgbClr>
                          </a:lnRef>
                          <a:fillRef idx="1">
                            <a:srgbClr val="DADAD9"/>
                          </a:fillRef>
                          <a:effectRef idx="0">
                            <a:scrgbClr r="0" g="0" b="0"/>
                          </a:effectRef>
                          <a:fontRef idx="none"/>
                        </wps:style>
                        <wps:bodyPr/>
                      </wps:wsp>
                      <wps:wsp>
                        <wps:cNvPr id="2018" name="Shape 2018"/>
                        <wps:cNvSpPr/>
                        <wps:spPr>
                          <a:xfrm>
                            <a:off x="4500" y="1181151"/>
                            <a:ext cx="1619999" cy="1359154"/>
                          </a:xfrm>
                          <a:custGeom>
                            <a:avLst/>
                            <a:gdLst/>
                            <a:ahLst/>
                            <a:cxnLst/>
                            <a:rect l="0" t="0" r="0" b="0"/>
                            <a:pathLst>
                              <a:path w="1619999" h="1359154">
                                <a:moveTo>
                                  <a:pt x="0" y="0"/>
                                </a:moveTo>
                                <a:lnTo>
                                  <a:pt x="1619999" y="0"/>
                                </a:lnTo>
                                <a:lnTo>
                                  <a:pt x="1619999" y="679577"/>
                                </a:lnTo>
                                <a:lnTo>
                                  <a:pt x="1619999" y="1359154"/>
                                </a:lnTo>
                                <a:lnTo>
                                  <a:pt x="0" y="1359154"/>
                                </a:lnTo>
                                <a:lnTo>
                                  <a:pt x="0" y="679577"/>
                                </a:lnTo>
                                <a:lnTo>
                                  <a:pt x="0" y="0"/>
                                </a:lnTo>
                                <a:close/>
                              </a:path>
                            </a:pathLst>
                          </a:custGeom>
                          <a:ln w="0" cap="flat">
                            <a:miter lim="127000"/>
                          </a:ln>
                        </wps:spPr>
                        <wps:style>
                          <a:lnRef idx="0">
                            <a:srgbClr val="000000">
                              <a:alpha val="0"/>
                            </a:srgbClr>
                          </a:lnRef>
                          <a:fillRef idx="1">
                            <a:srgbClr val="DADAD9"/>
                          </a:fillRef>
                          <a:effectRef idx="0">
                            <a:scrgbClr r="0" g="0" b="0"/>
                          </a:effectRef>
                          <a:fontRef idx="none"/>
                        </wps:style>
                        <wps:bodyPr/>
                      </wps:wsp>
                      <wps:wsp>
                        <wps:cNvPr id="377634" name="Shape 377634"/>
                        <wps:cNvSpPr/>
                        <wps:spPr>
                          <a:xfrm>
                            <a:off x="1624499" y="1181151"/>
                            <a:ext cx="695998" cy="679577"/>
                          </a:xfrm>
                          <a:custGeom>
                            <a:avLst/>
                            <a:gdLst/>
                            <a:ahLst/>
                            <a:cxnLst/>
                            <a:rect l="0" t="0" r="0" b="0"/>
                            <a:pathLst>
                              <a:path w="695998" h="679577">
                                <a:moveTo>
                                  <a:pt x="0" y="0"/>
                                </a:moveTo>
                                <a:lnTo>
                                  <a:pt x="695998" y="0"/>
                                </a:lnTo>
                                <a:lnTo>
                                  <a:pt x="695998" y="679577"/>
                                </a:lnTo>
                                <a:lnTo>
                                  <a:pt x="0" y="679577"/>
                                </a:lnTo>
                                <a:lnTo>
                                  <a:pt x="0" y="0"/>
                                </a:lnTo>
                              </a:path>
                            </a:pathLst>
                          </a:custGeom>
                          <a:ln w="0" cap="flat">
                            <a:miter lim="127000"/>
                          </a:ln>
                        </wps:spPr>
                        <wps:style>
                          <a:lnRef idx="0">
                            <a:srgbClr val="000000">
                              <a:alpha val="0"/>
                            </a:srgbClr>
                          </a:lnRef>
                          <a:fillRef idx="1">
                            <a:srgbClr val="FFF59B"/>
                          </a:fillRef>
                          <a:effectRef idx="0">
                            <a:scrgbClr r="0" g="0" b="0"/>
                          </a:effectRef>
                          <a:fontRef idx="none"/>
                        </wps:style>
                        <wps:bodyPr/>
                      </wps:wsp>
                      <wps:wsp>
                        <wps:cNvPr id="377635" name="Shape 377635"/>
                        <wps:cNvSpPr/>
                        <wps:spPr>
                          <a:xfrm>
                            <a:off x="1624499" y="1860728"/>
                            <a:ext cx="695998" cy="679577"/>
                          </a:xfrm>
                          <a:custGeom>
                            <a:avLst/>
                            <a:gdLst/>
                            <a:ahLst/>
                            <a:cxnLst/>
                            <a:rect l="0" t="0" r="0" b="0"/>
                            <a:pathLst>
                              <a:path w="695998" h="679577">
                                <a:moveTo>
                                  <a:pt x="0" y="0"/>
                                </a:moveTo>
                                <a:lnTo>
                                  <a:pt x="695998" y="0"/>
                                </a:lnTo>
                                <a:lnTo>
                                  <a:pt x="695998" y="679577"/>
                                </a:lnTo>
                                <a:lnTo>
                                  <a:pt x="0" y="679577"/>
                                </a:lnTo>
                                <a:lnTo>
                                  <a:pt x="0" y="0"/>
                                </a:lnTo>
                              </a:path>
                            </a:pathLst>
                          </a:custGeom>
                          <a:ln w="0" cap="flat">
                            <a:miter lim="127000"/>
                          </a:ln>
                        </wps:spPr>
                        <wps:style>
                          <a:lnRef idx="0">
                            <a:srgbClr val="000000">
                              <a:alpha val="0"/>
                            </a:srgbClr>
                          </a:lnRef>
                          <a:fillRef idx="1">
                            <a:srgbClr val="FFED00"/>
                          </a:fillRef>
                          <a:effectRef idx="0">
                            <a:scrgbClr r="0" g="0" b="0"/>
                          </a:effectRef>
                          <a:fontRef idx="none"/>
                        </wps:style>
                        <wps:bodyPr/>
                      </wps:wsp>
                      <wps:wsp>
                        <wps:cNvPr id="377636" name="Shape 377636"/>
                        <wps:cNvSpPr/>
                        <wps:spPr>
                          <a:xfrm>
                            <a:off x="2320497" y="1181151"/>
                            <a:ext cx="695998" cy="679577"/>
                          </a:xfrm>
                          <a:custGeom>
                            <a:avLst/>
                            <a:gdLst/>
                            <a:ahLst/>
                            <a:cxnLst/>
                            <a:rect l="0" t="0" r="0" b="0"/>
                            <a:pathLst>
                              <a:path w="695998" h="679577">
                                <a:moveTo>
                                  <a:pt x="0" y="0"/>
                                </a:moveTo>
                                <a:lnTo>
                                  <a:pt x="695998" y="0"/>
                                </a:lnTo>
                                <a:lnTo>
                                  <a:pt x="695998" y="679577"/>
                                </a:lnTo>
                                <a:lnTo>
                                  <a:pt x="0" y="679577"/>
                                </a:lnTo>
                                <a:lnTo>
                                  <a:pt x="0" y="0"/>
                                </a:lnTo>
                              </a:path>
                            </a:pathLst>
                          </a:custGeom>
                          <a:ln w="0" cap="flat">
                            <a:miter lim="127000"/>
                          </a:ln>
                        </wps:spPr>
                        <wps:style>
                          <a:lnRef idx="0">
                            <a:srgbClr val="000000">
                              <a:alpha val="0"/>
                            </a:srgbClr>
                          </a:lnRef>
                          <a:fillRef idx="1">
                            <a:srgbClr val="FFED00"/>
                          </a:fillRef>
                          <a:effectRef idx="0">
                            <a:scrgbClr r="0" g="0" b="0"/>
                          </a:effectRef>
                          <a:fontRef idx="none"/>
                        </wps:style>
                        <wps:bodyPr/>
                      </wps:wsp>
                      <wps:wsp>
                        <wps:cNvPr id="377637" name="Shape 377637"/>
                        <wps:cNvSpPr/>
                        <wps:spPr>
                          <a:xfrm>
                            <a:off x="3016495" y="1181151"/>
                            <a:ext cx="924001" cy="679577"/>
                          </a:xfrm>
                          <a:custGeom>
                            <a:avLst/>
                            <a:gdLst/>
                            <a:ahLst/>
                            <a:cxnLst/>
                            <a:rect l="0" t="0" r="0" b="0"/>
                            <a:pathLst>
                              <a:path w="924001" h="679577">
                                <a:moveTo>
                                  <a:pt x="0" y="0"/>
                                </a:moveTo>
                                <a:lnTo>
                                  <a:pt x="924001" y="0"/>
                                </a:lnTo>
                                <a:lnTo>
                                  <a:pt x="924001" y="679577"/>
                                </a:lnTo>
                                <a:lnTo>
                                  <a:pt x="0" y="679577"/>
                                </a:lnTo>
                                <a:lnTo>
                                  <a:pt x="0" y="0"/>
                                </a:lnTo>
                              </a:path>
                            </a:pathLst>
                          </a:custGeom>
                          <a:ln w="0" cap="flat">
                            <a:miter lim="127000"/>
                          </a:ln>
                        </wps:spPr>
                        <wps:style>
                          <a:lnRef idx="0">
                            <a:srgbClr val="000000">
                              <a:alpha val="0"/>
                            </a:srgbClr>
                          </a:lnRef>
                          <a:fillRef idx="1">
                            <a:srgbClr val="F8C998"/>
                          </a:fillRef>
                          <a:effectRef idx="0">
                            <a:scrgbClr r="0" g="0" b="0"/>
                          </a:effectRef>
                          <a:fontRef idx="none"/>
                        </wps:style>
                        <wps:bodyPr/>
                      </wps:wsp>
                      <wps:wsp>
                        <wps:cNvPr id="377638" name="Shape 377638"/>
                        <wps:cNvSpPr/>
                        <wps:spPr>
                          <a:xfrm>
                            <a:off x="3940497" y="1181151"/>
                            <a:ext cx="779996" cy="1359154"/>
                          </a:xfrm>
                          <a:custGeom>
                            <a:avLst/>
                            <a:gdLst/>
                            <a:ahLst/>
                            <a:cxnLst/>
                            <a:rect l="0" t="0" r="0" b="0"/>
                            <a:pathLst>
                              <a:path w="779996" h="1359154">
                                <a:moveTo>
                                  <a:pt x="0" y="0"/>
                                </a:moveTo>
                                <a:lnTo>
                                  <a:pt x="779996" y="0"/>
                                </a:lnTo>
                                <a:lnTo>
                                  <a:pt x="779996" y="1359154"/>
                                </a:lnTo>
                                <a:lnTo>
                                  <a:pt x="0" y="1359154"/>
                                </a:lnTo>
                                <a:lnTo>
                                  <a:pt x="0" y="0"/>
                                </a:lnTo>
                              </a:path>
                            </a:pathLst>
                          </a:custGeom>
                          <a:ln w="0" cap="flat">
                            <a:miter lim="127000"/>
                          </a:ln>
                        </wps:spPr>
                        <wps:style>
                          <a:lnRef idx="0">
                            <a:srgbClr val="000000">
                              <a:alpha val="0"/>
                            </a:srgbClr>
                          </a:lnRef>
                          <a:fillRef idx="1">
                            <a:srgbClr val="ECB681"/>
                          </a:fillRef>
                          <a:effectRef idx="0">
                            <a:scrgbClr r="0" g="0" b="0"/>
                          </a:effectRef>
                          <a:fontRef idx="none"/>
                        </wps:style>
                        <wps:bodyPr/>
                      </wps:wsp>
                      <wps:wsp>
                        <wps:cNvPr id="377639" name="Shape 377639"/>
                        <wps:cNvSpPr/>
                        <wps:spPr>
                          <a:xfrm>
                            <a:off x="4720505" y="1181151"/>
                            <a:ext cx="828002" cy="1359154"/>
                          </a:xfrm>
                          <a:custGeom>
                            <a:avLst/>
                            <a:gdLst/>
                            <a:ahLst/>
                            <a:cxnLst/>
                            <a:rect l="0" t="0" r="0" b="0"/>
                            <a:pathLst>
                              <a:path w="828002" h="1359154">
                                <a:moveTo>
                                  <a:pt x="0" y="0"/>
                                </a:moveTo>
                                <a:lnTo>
                                  <a:pt x="828002" y="0"/>
                                </a:lnTo>
                                <a:lnTo>
                                  <a:pt x="828002" y="1359154"/>
                                </a:lnTo>
                                <a:lnTo>
                                  <a:pt x="0" y="1359154"/>
                                </a:lnTo>
                                <a:lnTo>
                                  <a:pt x="0" y="0"/>
                                </a:lnTo>
                              </a:path>
                            </a:pathLst>
                          </a:custGeom>
                          <a:ln w="0" cap="flat">
                            <a:miter lim="127000"/>
                          </a:ln>
                        </wps:spPr>
                        <wps:style>
                          <a:lnRef idx="0">
                            <a:srgbClr val="000000">
                              <a:alpha val="0"/>
                            </a:srgbClr>
                          </a:lnRef>
                          <a:fillRef idx="1">
                            <a:srgbClr val="E8A662"/>
                          </a:fillRef>
                          <a:effectRef idx="0">
                            <a:scrgbClr r="0" g="0" b="0"/>
                          </a:effectRef>
                          <a:fontRef idx="none"/>
                        </wps:style>
                        <wps:bodyPr/>
                      </wps:wsp>
                      <wps:wsp>
                        <wps:cNvPr id="377640" name="Shape 377640"/>
                        <wps:cNvSpPr/>
                        <wps:spPr>
                          <a:xfrm>
                            <a:off x="5548494" y="1181151"/>
                            <a:ext cx="936003" cy="1359154"/>
                          </a:xfrm>
                          <a:custGeom>
                            <a:avLst/>
                            <a:gdLst/>
                            <a:ahLst/>
                            <a:cxnLst/>
                            <a:rect l="0" t="0" r="0" b="0"/>
                            <a:pathLst>
                              <a:path w="936003" h="1359154">
                                <a:moveTo>
                                  <a:pt x="0" y="0"/>
                                </a:moveTo>
                                <a:lnTo>
                                  <a:pt x="936003" y="0"/>
                                </a:lnTo>
                                <a:lnTo>
                                  <a:pt x="936003" y="1359154"/>
                                </a:lnTo>
                                <a:lnTo>
                                  <a:pt x="0" y="1359154"/>
                                </a:lnTo>
                                <a:lnTo>
                                  <a:pt x="0" y="0"/>
                                </a:lnTo>
                              </a:path>
                            </a:pathLst>
                          </a:custGeom>
                          <a:ln w="0" cap="flat">
                            <a:miter lim="127000"/>
                          </a:ln>
                        </wps:spPr>
                        <wps:style>
                          <a:lnRef idx="0">
                            <a:srgbClr val="000000">
                              <a:alpha val="0"/>
                            </a:srgbClr>
                          </a:lnRef>
                          <a:fillRef idx="1">
                            <a:srgbClr val="E59547"/>
                          </a:fillRef>
                          <a:effectRef idx="0">
                            <a:scrgbClr r="0" g="0" b="0"/>
                          </a:effectRef>
                          <a:fontRef idx="none"/>
                        </wps:style>
                        <wps:bodyPr/>
                      </wps:wsp>
                      <wps:wsp>
                        <wps:cNvPr id="377641" name="Shape 377641"/>
                        <wps:cNvSpPr/>
                        <wps:spPr>
                          <a:xfrm>
                            <a:off x="2320497" y="1860728"/>
                            <a:ext cx="695998" cy="679577"/>
                          </a:xfrm>
                          <a:custGeom>
                            <a:avLst/>
                            <a:gdLst/>
                            <a:ahLst/>
                            <a:cxnLst/>
                            <a:rect l="0" t="0" r="0" b="0"/>
                            <a:pathLst>
                              <a:path w="695998" h="679577">
                                <a:moveTo>
                                  <a:pt x="0" y="0"/>
                                </a:moveTo>
                                <a:lnTo>
                                  <a:pt x="695998" y="0"/>
                                </a:lnTo>
                                <a:lnTo>
                                  <a:pt x="695998" y="679577"/>
                                </a:lnTo>
                                <a:lnTo>
                                  <a:pt x="0" y="679577"/>
                                </a:lnTo>
                                <a:lnTo>
                                  <a:pt x="0" y="0"/>
                                </a:lnTo>
                              </a:path>
                            </a:pathLst>
                          </a:custGeom>
                          <a:ln w="0" cap="flat">
                            <a:miter lim="127000"/>
                          </a:ln>
                        </wps:spPr>
                        <wps:style>
                          <a:lnRef idx="0">
                            <a:srgbClr val="000000">
                              <a:alpha val="0"/>
                            </a:srgbClr>
                          </a:lnRef>
                          <a:fillRef idx="1">
                            <a:srgbClr val="F8C899"/>
                          </a:fillRef>
                          <a:effectRef idx="0">
                            <a:scrgbClr r="0" g="0" b="0"/>
                          </a:effectRef>
                          <a:fontRef idx="none"/>
                        </wps:style>
                        <wps:bodyPr/>
                      </wps:wsp>
                      <wps:wsp>
                        <wps:cNvPr id="377642" name="Shape 377642"/>
                        <wps:cNvSpPr/>
                        <wps:spPr>
                          <a:xfrm>
                            <a:off x="3016495" y="1860728"/>
                            <a:ext cx="924001" cy="679577"/>
                          </a:xfrm>
                          <a:custGeom>
                            <a:avLst/>
                            <a:gdLst/>
                            <a:ahLst/>
                            <a:cxnLst/>
                            <a:rect l="0" t="0" r="0" b="0"/>
                            <a:pathLst>
                              <a:path w="924001" h="679577">
                                <a:moveTo>
                                  <a:pt x="0" y="0"/>
                                </a:moveTo>
                                <a:lnTo>
                                  <a:pt x="924001" y="0"/>
                                </a:lnTo>
                                <a:lnTo>
                                  <a:pt x="924001" y="679577"/>
                                </a:lnTo>
                                <a:lnTo>
                                  <a:pt x="0" y="679577"/>
                                </a:lnTo>
                                <a:lnTo>
                                  <a:pt x="0" y="0"/>
                                </a:lnTo>
                              </a:path>
                            </a:pathLst>
                          </a:custGeom>
                          <a:ln w="0" cap="flat">
                            <a:miter lim="127000"/>
                          </a:ln>
                        </wps:spPr>
                        <wps:style>
                          <a:lnRef idx="0">
                            <a:srgbClr val="000000">
                              <a:alpha val="0"/>
                            </a:srgbClr>
                          </a:lnRef>
                          <a:fillRef idx="1">
                            <a:srgbClr val="ECB681"/>
                          </a:fillRef>
                          <a:effectRef idx="0">
                            <a:scrgbClr r="0" g="0" b="0"/>
                          </a:effectRef>
                          <a:fontRef idx="none"/>
                        </wps:style>
                        <wps:bodyPr/>
                      </wps:wsp>
                      <wps:wsp>
                        <wps:cNvPr id="377643" name="Shape 377643"/>
                        <wps:cNvSpPr/>
                        <wps:spPr>
                          <a:xfrm>
                            <a:off x="4500" y="2540305"/>
                            <a:ext cx="6479997" cy="203250"/>
                          </a:xfrm>
                          <a:custGeom>
                            <a:avLst/>
                            <a:gdLst/>
                            <a:ahLst/>
                            <a:cxnLst/>
                            <a:rect l="0" t="0" r="0" b="0"/>
                            <a:pathLst>
                              <a:path w="6479997" h="203250">
                                <a:moveTo>
                                  <a:pt x="0" y="0"/>
                                </a:moveTo>
                                <a:lnTo>
                                  <a:pt x="6479997" y="0"/>
                                </a:lnTo>
                                <a:lnTo>
                                  <a:pt x="6479997" y="203250"/>
                                </a:lnTo>
                                <a:lnTo>
                                  <a:pt x="0" y="203250"/>
                                </a:lnTo>
                                <a:lnTo>
                                  <a:pt x="0" y="0"/>
                                </a:lnTo>
                              </a:path>
                            </a:pathLst>
                          </a:custGeom>
                          <a:ln w="0" cap="flat">
                            <a:miter lim="127000"/>
                          </a:ln>
                        </wps:spPr>
                        <wps:style>
                          <a:lnRef idx="0">
                            <a:srgbClr val="000000">
                              <a:alpha val="0"/>
                            </a:srgbClr>
                          </a:lnRef>
                          <a:fillRef idx="1">
                            <a:srgbClr val="ECECEC"/>
                          </a:fillRef>
                          <a:effectRef idx="0">
                            <a:scrgbClr r="0" g="0" b="0"/>
                          </a:effectRef>
                          <a:fontRef idx="none"/>
                        </wps:style>
                        <wps:bodyPr/>
                      </wps:wsp>
                      <wps:wsp>
                        <wps:cNvPr id="2029" name="Shape 2029"/>
                        <wps:cNvSpPr/>
                        <wps:spPr>
                          <a:xfrm>
                            <a:off x="0" y="2"/>
                            <a:ext cx="1624495" cy="0"/>
                          </a:xfrm>
                          <a:custGeom>
                            <a:avLst/>
                            <a:gdLst/>
                            <a:ahLst/>
                            <a:cxnLst/>
                            <a:rect l="0" t="0" r="0" b="0"/>
                            <a:pathLst>
                              <a:path w="1624495">
                                <a:moveTo>
                                  <a:pt x="0" y="0"/>
                                </a:moveTo>
                                <a:lnTo>
                                  <a:pt x="1624495"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30" name="Shape 2030"/>
                        <wps:cNvSpPr/>
                        <wps:spPr>
                          <a:xfrm>
                            <a:off x="4501" y="4497"/>
                            <a:ext cx="0" cy="198755"/>
                          </a:xfrm>
                          <a:custGeom>
                            <a:avLst/>
                            <a:gdLst/>
                            <a:ahLst/>
                            <a:cxnLst/>
                            <a:rect l="0" t="0" r="0" b="0"/>
                            <a:pathLst>
                              <a:path h="198755">
                                <a:moveTo>
                                  <a:pt x="0" y="19875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31" name="Shape 2031"/>
                        <wps:cNvSpPr/>
                        <wps:spPr>
                          <a:xfrm>
                            <a:off x="1624500" y="2"/>
                            <a:ext cx="695998" cy="0"/>
                          </a:xfrm>
                          <a:custGeom>
                            <a:avLst/>
                            <a:gdLst/>
                            <a:ahLst/>
                            <a:cxnLst/>
                            <a:rect l="0" t="0" r="0" b="0"/>
                            <a:pathLst>
                              <a:path w="695998">
                                <a:moveTo>
                                  <a:pt x="0" y="0"/>
                                </a:moveTo>
                                <a:lnTo>
                                  <a:pt x="695998"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32" name="Shape 2032"/>
                        <wps:cNvSpPr/>
                        <wps:spPr>
                          <a:xfrm>
                            <a:off x="1624500" y="4497"/>
                            <a:ext cx="0" cy="198755"/>
                          </a:xfrm>
                          <a:custGeom>
                            <a:avLst/>
                            <a:gdLst/>
                            <a:ahLst/>
                            <a:cxnLst/>
                            <a:rect l="0" t="0" r="0" b="0"/>
                            <a:pathLst>
                              <a:path h="198755">
                                <a:moveTo>
                                  <a:pt x="0" y="19875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33" name="Shape 2033"/>
                        <wps:cNvSpPr/>
                        <wps:spPr>
                          <a:xfrm>
                            <a:off x="2320501" y="2"/>
                            <a:ext cx="695998" cy="0"/>
                          </a:xfrm>
                          <a:custGeom>
                            <a:avLst/>
                            <a:gdLst/>
                            <a:ahLst/>
                            <a:cxnLst/>
                            <a:rect l="0" t="0" r="0" b="0"/>
                            <a:pathLst>
                              <a:path w="695998">
                                <a:moveTo>
                                  <a:pt x="0" y="0"/>
                                </a:moveTo>
                                <a:lnTo>
                                  <a:pt x="695998"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34" name="Shape 2034"/>
                        <wps:cNvSpPr/>
                        <wps:spPr>
                          <a:xfrm>
                            <a:off x="2320501" y="4497"/>
                            <a:ext cx="0" cy="198755"/>
                          </a:xfrm>
                          <a:custGeom>
                            <a:avLst/>
                            <a:gdLst/>
                            <a:ahLst/>
                            <a:cxnLst/>
                            <a:rect l="0" t="0" r="0" b="0"/>
                            <a:pathLst>
                              <a:path h="198755">
                                <a:moveTo>
                                  <a:pt x="0" y="19875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35" name="Shape 2035"/>
                        <wps:cNvSpPr/>
                        <wps:spPr>
                          <a:xfrm>
                            <a:off x="4501" y="203251"/>
                            <a:ext cx="0" cy="203251"/>
                          </a:xfrm>
                          <a:custGeom>
                            <a:avLst/>
                            <a:gdLst/>
                            <a:ahLst/>
                            <a:cxnLst/>
                            <a:rect l="0" t="0" r="0" b="0"/>
                            <a:pathLst>
                              <a:path h="203251">
                                <a:moveTo>
                                  <a:pt x="0" y="203251"/>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36" name="Shape 2036"/>
                        <wps:cNvSpPr/>
                        <wps:spPr>
                          <a:xfrm>
                            <a:off x="1624500" y="203251"/>
                            <a:ext cx="0" cy="203251"/>
                          </a:xfrm>
                          <a:custGeom>
                            <a:avLst/>
                            <a:gdLst/>
                            <a:ahLst/>
                            <a:cxnLst/>
                            <a:rect l="0" t="0" r="0" b="0"/>
                            <a:pathLst>
                              <a:path h="203251">
                                <a:moveTo>
                                  <a:pt x="0" y="203251"/>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37" name="Shape 2037"/>
                        <wps:cNvSpPr/>
                        <wps:spPr>
                          <a:xfrm>
                            <a:off x="2320501" y="203251"/>
                            <a:ext cx="0" cy="203251"/>
                          </a:xfrm>
                          <a:custGeom>
                            <a:avLst/>
                            <a:gdLst/>
                            <a:ahLst/>
                            <a:cxnLst/>
                            <a:rect l="0" t="0" r="0" b="0"/>
                            <a:pathLst>
                              <a:path h="203251">
                                <a:moveTo>
                                  <a:pt x="0" y="203251"/>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38" name="Shape 2038"/>
                        <wps:cNvSpPr/>
                        <wps:spPr>
                          <a:xfrm>
                            <a:off x="4501" y="406498"/>
                            <a:ext cx="0" cy="770153"/>
                          </a:xfrm>
                          <a:custGeom>
                            <a:avLst/>
                            <a:gdLst/>
                            <a:ahLst/>
                            <a:cxnLst/>
                            <a:rect l="0" t="0" r="0" b="0"/>
                            <a:pathLst>
                              <a:path h="770153">
                                <a:moveTo>
                                  <a:pt x="0" y="77015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39" name="Shape 2039"/>
                        <wps:cNvSpPr/>
                        <wps:spPr>
                          <a:xfrm>
                            <a:off x="1624500" y="406498"/>
                            <a:ext cx="0" cy="770153"/>
                          </a:xfrm>
                          <a:custGeom>
                            <a:avLst/>
                            <a:gdLst/>
                            <a:ahLst/>
                            <a:cxnLst/>
                            <a:rect l="0" t="0" r="0" b="0"/>
                            <a:pathLst>
                              <a:path h="770153">
                                <a:moveTo>
                                  <a:pt x="0" y="77015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40" name="Shape 2040"/>
                        <wps:cNvSpPr/>
                        <wps:spPr>
                          <a:xfrm>
                            <a:off x="2320501" y="406498"/>
                            <a:ext cx="0" cy="770153"/>
                          </a:xfrm>
                          <a:custGeom>
                            <a:avLst/>
                            <a:gdLst/>
                            <a:ahLst/>
                            <a:cxnLst/>
                            <a:rect l="0" t="0" r="0" b="0"/>
                            <a:pathLst>
                              <a:path h="770153">
                                <a:moveTo>
                                  <a:pt x="0" y="77015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41" name="Shape 2041"/>
                        <wps:cNvSpPr/>
                        <wps:spPr>
                          <a:xfrm>
                            <a:off x="3016500" y="2"/>
                            <a:ext cx="924001" cy="0"/>
                          </a:xfrm>
                          <a:custGeom>
                            <a:avLst/>
                            <a:gdLst/>
                            <a:ahLst/>
                            <a:cxnLst/>
                            <a:rect l="0" t="0" r="0" b="0"/>
                            <a:pathLst>
                              <a:path w="924001">
                                <a:moveTo>
                                  <a:pt x="0" y="0"/>
                                </a:moveTo>
                                <a:lnTo>
                                  <a:pt x="924001"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42" name="Shape 2042"/>
                        <wps:cNvSpPr/>
                        <wps:spPr>
                          <a:xfrm>
                            <a:off x="3016500" y="4506"/>
                            <a:ext cx="0" cy="194247"/>
                          </a:xfrm>
                          <a:custGeom>
                            <a:avLst/>
                            <a:gdLst/>
                            <a:ahLst/>
                            <a:cxnLst/>
                            <a:rect l="0" t="0" r="0" b="0"/>
                            <a:pathLst>
                              <a:path h="194247">
                                <a:moveTo>
                                  <a:pt x="0" y="19424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43" name="Shape 2043"/>
                        <wps:cNvSpPr/>
                        <wps:spPr>
                          <a:xfrm>
                            <a:off x="3940500" y="2"/>
                            <a:ext cx="779996" cy="0"/>
                          </a:xfrm>
                          <a:custGeom>
                            <a:avLst/>
                            <a:gdLst/>
                            <a:ahLst/>
                            <a:cxnLst/>
                            <a:rect l="0" t="0" r="0" b="0"/>
                            <a:pathLst>
                              <a:path w="779996">
                                <a:moveTo>
                                  <a:pt x="0" y="0"/>
                                </a:moveTo>
                                <a:lnTo>
                                  <a:pt x="779996"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44" name="Shape 2044"/>
                        <wps:cNvSpPr/>
                        <wps:spPr>
                          <a:xfrm>
                            <a:off x="4720500" y="2"/>
                            <a:ext cx="828002" cy="0"/>
                          </a:xfrm>
                          <a:custGeom>
                            <a:avLst/>
                            <a:gdLst/>
                            <a:ahLst/>
                            <a:cxnLst/>
                            <a:rect l="0" t="0" r="0" b="0"/>
                            <a:pathLst>
                              <a:path w="828002">
                                <a:moveTo>
                                  <a:pt x="0" y="0"/>
                                </a:moveTo>
                                <a:lnTo>
                                  <a:pt x="828002"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45" name="Shape 2045"/>
                        <wps:cNvSpPr/>
                        <wps:spPr>
                          <a:xfrm>
                            <a:off x="5548500" y="2"/>
                            <a:ext cx="940498" cy="0"/>
                          </a:xfrm>
                          <a:custGeom>
                            <a:avLst/>
                            <a:gdLst/>
                            <a:ahLst/>
                            <a:cxnLst/>
                            <a:rect l="0" t="0" r="0" b="0"/>
                            <a:pathLst>
                              <a:path w="940498">
                                <a:moveTo>
                                  <a:pt x="0" y="0"/>
                                </a:moveTo>
                                <a:lnTo>
                                  <a:pt x="940498"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46" name="Shape 2046"/>
                        <wps:cNvSpPr/>
                        <wps:spPr>
                          <a:xfrm>
                            <a:off x="6484500" y="4506"/>
                            <a:ext cx="0" cy="194247"/>
                          </a:xfrm>
                          <a:custGeom>
                            <a:avLst/>
                            <a:gdLst/>
                            <a:ahLst/>
                            <a:cxnLst/>
                            <a:rect l="0" t="0" r="0" b="0"/>
                            <a:pathLst>
                              <a:path h="194247">
                                <a:moveTo>
                                  <a:pt x="0" y="19424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47" name="Shape 2047"/>
                        <wps:cNvSpPr/>
                        <wps:spPr>
                          <a:xfrm>
                            <a:off x="3012001" y="203252"/>
                            <a:ext cx="928497" cy="0"/>
                          </a:xfrm>
                          <a:custGeom>
                            <a:avLst/>
                            <a:gdLst/>
                            <a:ahLst/>
                            <a:cxnLst/>
                            <a:rect l="0" t="0" r="0" b="0"/>
                            <a:pathLst>
                              <a:path w="928497">
                                <a:moveTo>
                                  <a:pt x="0" y="0"/>
                                </a:moveTo>
                                <a:lnTo>
                                  <a:pt x="928497"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48" name="Shape 2048"/>
                        <wps:cNvSpPr/>
                        <wps:spPr>
                          <a:xfrm>
                            <a:off x="3016500" y="207747"/>
                            <a:ext cx="0" cy="198755"/>
                          </a:xfrm>
                          <a:custGeom>
                            <a:avLst/>
                            <a:gdLst/>
                            <a:ahLst/>
                            <a:cxnLst/>
                            <a:rect l="0" t="0" r="0" b="0"/>
                            <a:pathLst>
                              <a:path h="198755">
                                <a:moveTo>
                                  <a:pt x="0" y="19875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49" name="Shape 2049"/>
                        <wps:cNvSpPr/>
                        <wps:spPr>
                          <a:xfrm>
                            <a:off x="3016500" y="406498"/>
                            <a:ext cx="0" cy="770153"/>
                          </a:xfrm>
                          <a:custGeom>
                            <a:avLst/>
                            <a:gdLst/>
                            <a:ahLst/>
                            <a:cxnLst/>
                            <a:rect l="0" t="0" r="0" b="0"/>
                            <a:pathLst>
                              <a:path h="770153">
                                <a:moveTo>
                                  <a:pt x="0" y="77015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50" name="Shape 2050"/>
                        <wps:cNvSpPr/>
                        <wps:spPr>
                          <a:xfrm>
                            <a:off x="3940500" y="203252"/>
                            <a:ext cx="779996" cy="0"/>
                          </a:xfrm>
                          <a:custGeom>
                            <a:avLst/>
                            <a:gdLst/>
                            <a:ahLst/>
                            <a:cxnLst/>
                            <a:rect l="0" t="0" r="0" b="0"/>
                            <a:pathLst>
                              <a:path w="779996">
                                <a:moveTo>
                                  <a:pt x="0" y="0"/>
                                </a:moveTo>
                                <a:lnTo>
                                  <a:pt x="779996"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51" name="Shape 2051"/>
                        <wps:cNvSpPr/>
                        <wps:spPr>
                          <a:xfrm>
                            <a:off x="3940500" y="207755"/>
                            <a:ext cx="0" cy="194247"/>
                          </a:xfrm>
                          <a:custGeom>
                            <a:avLst/>
                            <a:gdLst/>
                            <a:ahLst/>
                            <a:cxnLst/>
                            <a:rect l="0" t="0" r="0" b="0"/>
                            <a:pathLst>
                              <a:path h="194247">
                                <a:moveTo>
                                  <a:pt x="0" y="19424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52" name="Shape 2052"/>
                        <wps:cNvSpPr/>
                        <wps:spPr>
                          <a:xfrm>
                            <a:off x="4720500" y="203252"/>
                            <a:ext cx="828002" cy="0"/>
                          </a:xfrm>
                          <a:custGeom>
                            <a:avLst/>
                            <a:gdLst/>
                            <a:ahLst/>
                            <a:cxnLst/>
                            <a:rect l="0" t="0" r="0" b="0"/>
                            <a:pathLst>
                              <a:path w="828002">
                                <a:moveTo>
                                  <a:pt x="0" y="0"/>
                                </a:moveTo>
                                <a:lnTo>
                                  <a:pt x="828002"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53" name="Shape 2053"/>
                        <wps:cNvSpPr/>
                        <wps:spPr>
                          <a:xfrm>
                            <a:off x="5548500" y="203252"/>
                            <a:ext cx="940498" cy="0"/>
                          </a:xfrm>
                          <a:custGeom>
                            <a:avLst/>
                            <a:gdLst/>
                            <a:ahLst/>
                            <a:cxnLst/>
                            <a:rect l="0" t="0" r="0" b="0"/>
                            <a:pathLst>
                              <a:path w="940498">
                                <a:moveTo>
                                  <a:pt x="0" y="0"/>
                                </a:moveTo>
                                <a:lnTo>
                                  <a:pt x="940498"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54" name="Shape 2054"/>
                        <wps:cNvSpPr/>
                        <wps:spPr>
                          <a:xfrm>
                            <a:off x="6484500" y="207755"/>
                            <a:ext cx="0" cy="194247"/>
                          </a:xfrm>
                          <a:custGeom>
                            <a:avLst/>
                            <a:gdLst/>
                            <a:ahLst/>
                            <a:cxnLst/>
                            <a:rect l="0" t="0" r="0" b="0"/>
                            <a:pathLst>
                              <a:path h="194247">
                                <a:moveTo>
                                  <a:pt x="0" y="19424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55" name="Shape 2055"/>
                        <wps:cNvSpPr/>
                        <wps:spPr>
                          <a:xfrm>
                            <a:off x="3936001" y="406502"/>
                            <a:ext cx="784504" cy="0"/>
                          </a:xfrm>
                          <a:custGeom>
                            <a:avLst/>
                            <a:gdLst/>
                            <a:ahLst/>
                            <a:cxnLst/>
                            <a:rect l="0" t="0" r="0" b="0"/>
                            <a:pathLst>
                              <a:path w="784504">
                                <a:moveTo>
                                  <a:pt x="0" y="0"/>
                                </a:moveTo>
                                <a:lnTo>
                                  <a:pt x="784504"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56" name="Shape 2056"/>
                        <wps:cNvSpPr/>
                        <wps:spPr>
                          <a:xfrm>
                            <a:off x="3940500" y="411007"/>
                            <a:ext cx="0" cy="765645"/>
                          </a:xfrm>
                          <a:custGeom>
                            <a:avLst/>
                            <a:gdLst/>
                            <a:ahLst/>
                            <a:cxnLst/>
                            <a:rect l="0" t="0" r="0" b="0"/>
                            <a:pathLst>
                              <a:path h="765645">
                                <a:moveTo>
                                  <a:pt x="0" y="76564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57" name="Shape 2057"/>
                        <wps:cNvSpPr/>
                        <wps:spPr>
                          <a:xfrm>
                            <a:off x="4720500" y="406502"/>
                            <a:ext cx="828002" cy="0"/>
                          </a:xfrm>
                          <a:custGeom>
                            <a:avLst/>
                            <a:gdLst/>
                            <a:ahLst/>
                            <a:cxnLst/>
                            <a:rect l="0" t="0" r="0" b="0"/>
                            <a:pathLst>
                              <a:path w="828002">
                                <a:moveTo>
                                  <a:pt x="0" y="0"/>
                                </a:moveTo>
                                <a:lnTo>
                                  <a:pt x="828002"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58" name="Shape 2058"/>
                        <wps:cNvSpPr/>
                        <wps:spPr>
                          <a:xfrm>
                            <a:off x="4720500" y="411007"/>
                            <a:ext cx="0" cy="765645"/>
                          </a:xfrm>
                          <a:custGeom>
                            <a:avLst/>
                            <a:gdLst/>
                            <a:ahLst/>
                            <a:cxnLst/>
                            <a:rect l="0" t="0" r="0" b="0"/>
                            <a:pathLst>
                              <a:path h="765645">
                                <a:moveTo>
                                  <a:pt x="0" y="76564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59" name="Shape 2059"/>
                        <wps:cNvSpPr/>
                        <wps:spPr>
                          <a:xfrm>
                            <a:off x="5548500" y="406502"/>
                            <a:ext cx="940498" cy="0"/>
                          </a:xfrm>
                          <a:custGeom>
                            <a:avLst/>
                            <a:gdLst/>
                            <a:ahLst/>
                            <a:cxnLst/>
                            <a:rect l="0" t="0" r="0" b="0"/>
                            <a:pathLst>
                              <a:path w="940498">
                                <a:moveTo>
                                  <a:pt x="0" y="0"/>
                                </a:moveTo>
                                <a:lnTo>
                                  <a:pt x="940498"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60" name="Shape 2060"/>
                        <wps:cNvSpPr/>
                        <wps:spPr>
                          <a:xfrm>
                            <a:off x="5548500" y="411007"/>
                            <a:ext cx="0" cy="765645"/>
                          </a:xfrm>
                          <a:custGeom>
                            <a:avLst/>
                            <a:gdLst/>
                            <a:ahLst/>
                            <a:cxnLst/>
                            <a:rect l="0" t="0" r="0" b="0"/>
                            <a:pathLst>
                              <a:path h="765645">
                                <a:moveTo>
                                  <a:pt x="0" y="76564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61" name="Shape 2061"/>
                        <wps:cNvSpPr/>
                        <wps:spPr>
                          <a:xfrm>
                            <a:off x="6484500" y="411007"/>
                            <a:ext cx="0" cy="765645"/>
                          </a:xfrm>
                          <a:custGeom>
                            <a:avLst/>
                            <a:gdLst/>
                            <a:ahLst/>
                            <a:cxnLst/>
                            <a:rect l="0" t="0" r="0" b="0"/>
                            <a:pathLst>
                              <a:path h="765645">
                                <a:moveTo>
                                  <a:pt x="0" y="76564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62" name="Shape 2062"/>
                        <wps:cNvSpPr/>
                        <wps:spPr>
                          <a:xfrm>
                            <a:off x="0" y="1181152"/>
                            <a:ext cx="1624495" cy="0"/>
                          </a:xfrm>
                          <a:custGeom>
                            <a:avLst/>
                            <a:gdLst/>
                            <a:ahLst/>
                            <a:cxnLst/>
                            <a:rect l="0" t="0" r="0" b="0"/>
                            <a:pathLst>
                              <a:path w="1624495">
                                <a:moveTo>
                                  <a:pt x="0" y="0"/>
                                </a:moveTo>
                                <a:lnTo>
                                  <a:pt x="1624495"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63" name="Shape 2063"/>
                        <wps:cNvSpPr/>
                        <wps:spPr>
                          <a:xfrm>
                            <a:off x="4501" y="1185654"/>
                            <a:ext cx="0" cy="670573"/>
                          </a:xfrm>
                          <a:custGeom>
                            <a:avLst/>
                            <a:gdLst/>
                            <a:ahLst/>
                            <a:cxnLst/>
                            <a:rect l="0" t="0" r="0" b="0"/>
                            <a:pathLst>
                              <a:path h="670573">
                                <a:moveTo>
                                  <a:pt x="0" y="67057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64" name="Shape 2064"/>
                        <wps:cNvSpPr/>
                        <wps:spPr>
                          <a:xfrm>
                            <a:off x="1624500" y="1181152"/>
                            <a:ext cx="695998" cy="0"/>
                          </a:xfrm>
                          <a:custGeom>
                            <a:avLst/>
                            <a:gdLst/>
                            <a:ahLst/>
                            <a:cxnLst/>
                            <a:rect l="0" t="0" r="0" b="0"/>
                            <a:pathLst>
                              <a:path w="695998">
                                <a:moveTo>
                                  <a:pt x="0" y="0"/>
                                </a:moveTo>
                                <a:lnTo>
                                  <a:pt x="695998"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65" name="Shape 2065"/>
                        <wps:cNvSpPr/>
                        <wps:spPr>
                          <a:xfrm>
                            <a:off x="1624500" y="1185654"/>
                            <a:ext cx="0" cy="670573"/>
                          </a:xfrm>
                          <a:custGeom>
                            <a:avLst/>
                            <a:gdLst/>
                            <a:ahLst/>
                            <a:cxnLst/>
                            <a:rect l="0" t="0" r="0" b="0"/>
                            <a:pathLst>
                              <a:path h="670573">
                                <a:moveTo>
                                  <a:pt x="0" y="67057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66" name="Shape 2066"/>
                        <wps:cNvSpPr/>
                        <wps:spPr>
                          <a:xfrm>
                            <a:off x="2320501" y="1181152"/>
                            <a:ext cx="695998" cy="0"/>
                          </a:xfrm>
                          <a:custGeom>
                            <a:avLst/>
                            <a:gdLst/>
                            <a:ahLst/>
                            <a:cxnLst/>
                            <a:rect l="0" t="0" r="0" b="0"/>
                            <a:pathLst>
                              <a:path w="695998">
                                <a:moveTo>
                                  <a:pt x="0" y="0"/>
                                </a:moveTo>
                                <a:lnTo>
                                  <a:pt x="695998"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67" name="Shape 2067"/>
                        <wps:cNvSpPr/>
                        <wps:spPr>
                          <a:xfrm>
                            <a:off x="2320501" y="1185654"/>
                            <a:ext cx="0" cy="670573"/>
                          </a:xfrm>
                          <a:custGeom>
                            <a:avLst/>
                            <a:gdLst/>
                            <a:ahLst/>
                            <a:cxnLst/>
                            <a:rect l="0" t="0" r="0" b="0"/>
                            <a:pathLst>
                              <a:path h="670573">
                                <a:moveTo>
                                  <a:pt x="0" y="67057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68" name="Shape 2068"/>
                        <wps:cNvSpPr/>
                        <wps:spPr>
                          <a:xfrm>
                            <a:off x="3016500" y="1181152"/>
                            <a:ext cx="924001" cy="0"/>
                          </a:xfrm>
                          <a:custGeom>
                            <a:avLst/>
                            <a:gdLst/>
                            <a:ahLst/>
                            <a:cxnLst/>
                            <a:rect l="0" t="0" r="0" b="0"/>
                            <a:pathLst>
                              <a:path w="924001">
                                <a:moveTo>
                                  <a:pt x="0" y="0"/>
                                </a:moveTo>
                                <a:lnTo>
                                  <a:pt x="924001"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69" name="Shape 2069"/>
                        <wps:cNvSpPr/>
                        <wps:spPr>
                          <a:xfrm>
                            <a:off x="3016500" y="1185654"/>
                            <a:ext cx="0" cy="670573"/>
                          </a:xfrm>
                          <a:custGeom>
                            <a:avLst/>
                            <a:gdLst/>
                            <a:ahLst/>
                            <a:cxnLst/>
                            <a:rect l="0" t="0" r="0" b="0"/>
                            <a:pathLst>
                              <a:path h="670573">
                                <a:moveTo>
                                  <a:pt x="0" y="67057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70" name="Shape 2070"/>
                        <wps:cNvSpPr/>
                        <wps:spPr>
                          <a:xfrm>
                            <a:off x="3940500" y="1181152"/>
                            <a:ext cx="779996" cy="0"/>
                          </a:xfrm>
                          <a:custGeom>
                            <a:avLst/>
                            <a:gdLst/>
                            <a:ahLst/>
                            <a:cxnLst/>
                            <a:rect l="0" t="0" r="0" b="0"/>
                            <a:pathLst>
                              <a:path w="779996">
                                <a:moveTo>
                                  <a:pt x="0" y="0"/>
                                </a:moveTo>
                                <a:lnTo>
                                  <a:pt x="779996"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71" name="Shape 2071"/>
                        <wps:cNvSpPr/>
                        <wps:spPr>
                          <a:xfrm>
                            <a:off x="3940500" y="1185654"/>
                            <a:ext cx="0" cy="670573"/>
                          </a:xfrm>
                          <a:custGeom>
                            <a:avLst/>
                            <a:gdLst/>
                            <a:ahLst/>
                            <a:cxnLst/>
                            <a:rect l="0" t="0" r="0" b="0"/>
                            <a:pathLst>
                              <a:path h="670573">
                                <a:moveTo>
                                  <a:pt x="0" y="67057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72" name="Shape 2072"/>
                        <wps:cNvSpPr/>
                        <wps:spPr>
                          <a:xfrm>
                            <a:off x="4720500" y="1181152"/>
                            <a:ext cx="828002" cy="0"/>
                          </a:xfrm>
                          <a:custGeom>
                            <a:avLst/>
                            <a:gdLst/>
                            <a:ahLst/>
                            <a:cxnLst/>
                            <a:rect l="0" t="0" r="0" b="0"/>
                            <a:pathLst>
                              <a:path w="828002">
                                <a:moveTo>
                                  <a:pt x="0" y="0"/>
                                </a:moveTo>
                                <a:lnTo>
                                  <a:pt x="828002"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73" name="Shape 2073"/>
                        <wps:cNvSpPr/>
                        <wps:spPr>
                          <a:xfrm>
                            <a:off x="4720500" y="1185658"/>
                            <a:ext cx="0" cy="675069"/>
                          </a:xfrm>
                          <a:custGeom>
                            <a:avLst/>
                            <a:gdLst/>
                            <a:ahLst/>
                            <a:cxnLst/>
                            <a:rect l="0" t="0" r="0" b="0"/>
                            <a:pathLst>
                              <a:path h="675069">
                                <a:moveTo>
                                  <a:pt x="0" y="675069"/>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74" name="Shape 2074"/>
                        <wps:cNvSpPr/>
                        <wps:spPr>
                          <a:xfrm>
                            <a:off x="5548500" y="1181152"/>
                            <a:ext cx="940498" cy="0"/>
                          </a:xfrm>
                          <a:custGeom>
                            <a:avLst/>
                            <a:gdLst/>
                            <a:ahLst/>
                            <a:cxnLst/>
                            <a:rect l="0" t="0" r="0" b="0"/>
                            <a:pathLst>
                              <a:path w="940498">
                                <a:moveTo>
                                  <a:pt x="0" y="0"/>
                                </a:moveTo>
                                <a:lnTo>
                                  <a:pt x="940498"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75" name="Shape 2075"/>
                        <wps:cNvSpPr/>
                        <wps:spPr>
                          <a:xfrm>
                            <a:off x="5548500" y="1185658"/>
                            <a:ext cx="0" cy="675069"/>
                          </a:xfrm>
                          <a:custGeom>
                            <a:avLst/>
                            <a:gdLst/>
                            <a:ahLst/>
                            <a:cxnLst/>
                            <a:rect l="0" t="0" r="0" b="0"/>
                            <a:pathLst>
                              <a:path h="675069">
                                <a:moveTo>
                                  <a:pt x="0" y="675069"/>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76" name="Shape 2076"/>
                        <wps:cNvSpPr/>
                        <wps:spPr>
                          <a:xfrm>
                            <a:off x="6484500" y="1185658"/>
                            <a:ext cx="0" cy="675069"/>
                          </a:xfrm>
                          <a:custGeom>
                            <a:avLst/>
                            <a:gdLst/>
                            <a:ahLst/>
                            <a:cxnLst/>
                            <a:rect l="0" t="0" r="0" b="0"/>
                            <a:pathLst>
                              <a:path h="675069">
                                <a:moveTo>
                                  <a:pt x="0" y="675069"/>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77" name="Shape 2077"/>
                        <wps:cNvSpPr/>
                        <wps:spPr>
                          <a:xfrm>
                            <a:off x="4720500" y="1860720"/>
                            <a:ext cx="0" cy="675081"/>
                          </a:xfrm>
                          <a:custGeom>
                            <a:avLst/>
                            <a:gdLst/>
                            <a:ahLst/>
                            <a:cxnLst/>
                            <a:rect l="0" t="0" r="0" b="0"/>
                            <a:pathLst>
                              <a:path h="675081">
                                <a:moveTo>
                                  <a:pt x="0" y="675081"/>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78" name="Shape 2078"/>
                        <wps:cNvSpPr/>
                        <wps:spPr>
                          <a:xfrm>
                            <a:off x="5548500" y="1860720"/>
                            <a:ext cx="0" cy="675081"/>
                          </a:xfrm>
                          <a:custGeom>
                            <a:avLst/>
                            <a:gdLst/>
                            <a:ahLst/>
                            <a:cxnLst/>
                            <a:rect l="0" t="0" r="0" b="0"/>
                            <a:pathLst>
                              <a:path h="675081">
                                <a:moveTo>
                                  <a:pt x="0" y="675081"/>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79" name="Shape 2079"/>
                        <wps:cNvSpPr/>
                        <wps:spPr>
                          <a:xfrm>
                            <a:off x="6484500" y="1860720"/>
                            <a:ext cx="0" cy="675081"/>
                          </a:xfrm>
                          <a:custGeom>
                            <a:avLst/>
                            <a:gdLst/>
                            <a:ahLst/>
                            <a:cxnLst/>
                            <a:rect l="0" t="0" r="0" b="0"/>
                            <a:pathLst>
                              <a:path h="675081">
                                <a:moveTo>
                                  <a:pt x="0" y="675081"/>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0" name="Shape 2080"/>
                        <wps:cNvSpPr/>
                        <wps:spPr>
                          <a:xfrm>
                            <a:off x="0" y="1860726"/>
                            <a:ext cx="1624495" cy="0"/>
                          </a:xfrm>
                          <a:custGeom>
                            <a:avLst/>
                            <a:gdLst/>
                            <a:ahLst/>
                            <a:cxnLst/>
                            <a:rect l="0" t="0" r="0" b="0"/>
                            <a:pathLst>
                              <a:path w="1624495">
                                <a:moveTo>
                                  <a:pt x="0" y="0"/>
                                </a:moveTo>
                                <a:lnTo>
                                  <a:pt x="1624495"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1" name="Shape 2081"/>
                        <wps:cNvSpPr/>
                        <wps:spPr>
                          <a:xfrm>
                            <a:off x="4501" y="1865228"/>
                            <a:ext cx="0" cy="670573"/>
                          </a:xfrm>
                          <a:custGeom>
                            <a:avLst/>
                            <a:gdLst/>
                            <a:ahLst/>
                            <a:cxnLst/>
                            <a:rect l="0" t="0" r="0" b="0"/>
                            <a:pathLst>
                              <a:path h="670573">
                                <a:moveTo>
                                  <a:pt x="0" y="67057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2" name="Shape 2082"/>
                        <wps:cNvSpPr/>
                        <wps:spPr>
                          <a:xfrm>
                            <a:off x="1624500" y="1860726"/>
                            <a:ext cx="695998" cy="0"/>
                          </a:xfrm>
                          <a:custGeom>
                            <a:avLst/>
                            <a:gdLst/>
                            <a:ahLst/>
                            <a:cxnLst/>
                            <a:rect l="0" t="0" r="0" b="0"/>
                            <a:pathLst>
                              <a:path w="695998">
                                <a:moveTo>
                                  <a:pt x="0" y="0"/>
                                </a:moveTo>
                                <a:lnTo>
                                  <a:pt x="695998"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3" name="Shape 2083"/>
                        <wps:cNvSpPr/>
                        <wps:spPr>
                          <a:xfrm>
                            <a:off x="1624500" y="1865228"/>
                            <a:ext cx="0" cy="670573"/>
                          </a:xfrm>
                          <a:custGeom>
                            <a:avLst/>
                            <a:gdLst/>
                            <a:ahLst/>
                            <a:cxnLst/>
                            <a:rect l="0" t="0" r="0" b="0"/>
                            <a:pathLst>
                              <a:path h="670573">
                                <a:moveTo>
                                  <a:pt x="0" y="67057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4" name="Shape 2084"/>
                        <wps:cNvSpPr/>
                        <wps:spPr>
                          <a:xfrm>
                            <a:off x="2320501" y="1860726"/>
                            <a:ext cx="695998" cy="0"/>
                          </a:xfrm>
                          <a:custGeom>
                            <a:avLst/>
                            <a:gdLst/>
                            <a:ahLst/>
                            <a:cxnLst/>
                            <a:rect l="0" t="0" r="0" b="0"/>
                            <a:pathLst>
                              <a:path w="695998">
                                <a:moveTo>
                                  <a:pt x="0" y="0"/>
                                </a:moveTo>
                                <a:lnTo>
                                  <a:pt x="695998"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5" name="Shape 2085"/>
                        <wps:cNvSpPr/>
                        <wps:spPr>
                          <a:xfrm>
                            <a:off x="2320501" y="1865228"/>
                            <a:ext cx="0" cy="670573"/>
                          </a:xfrm>
                          <a:custGeom>
                            <a:avLst/>
                            <a:gdLst/>
                            <a:ahLst/>
                            <a:cxnLst/>
                            <a:rect l="0" t="0" r="0" b="0"/>
                            <a:pathLst>
                              <a:path h="670573">
                                <a:moveTo>
                                  <a:pt x="0" y="67057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6" name="Shape 2086"/>
                        <wps:cNvSpPr/>
                        <wps:spPr>
                          <a:xfrm>
                            <a:off x="3016500" y="1860726"/>
                            <a:ext cx="928497" cy="0"/>
                          </a:xfrm>
                          <a:custGeom>
                            <a:avLst/>
                            <a:gdLst/>
                            <a:ahLst/>
                            <a:cxnLst/>
                            <a:rect l="0" t="0" r="0" b="0"/>
                            <a:pathLst>
                              <a:path w="928497">
                                <a:moveTo>
                                  <a:pt x="0" y="0"/>
                                </a:moveTo>
                                <a:lnTo>
                                  <a:pt x="928497"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7" name="Shape 2087"/>
                        <wps:cNvSpPr/>
                        <wps:spPr>
                          <a:xfrm>
                            <a:off x="3016500" y="1865228"/>
                            <a:ext cx="0" cy="670573"/>
                          </a:xfrm>
                          <a:custGeom>
                            <a:avLst/>
                            <a:gdLst/>
                            <a:ahLst/>
                            <a:cxnLst/>
                            <a:rect l="0" t="0" r="0" b="0"/>
                            <a:pathLst>
                              <a:path h="670573">
                                <a:moveTo>
                                  <a:pt x="0" y="67057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8" name="Shape 2088"/>
                        <wps:cNvSpPr/>
                        <wps:spPr>
                          <a:xfrm>
                            <a:off x="3940500" y="1865228"/>
                            <a:ext cx="0" cy="670573"/>
                          </a:xfrm>
                          <a:custGeom>
                            <a:avLst/>
                            <a:gdLst/>
                            <a:ahLst/>
                            <a:cxnLst/>
                            <a:rect l="0" t="0" r="0" b="0"/>
                            <a:pathLst>
                              <a:path h="670573">
                                <a:moveTo>
                                  <a:pt x="0" y="67057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9" name="Shape 2089"/>
                        <wps:cNvSpPr/>
                        <wps:spPr>
                          <a:xfrm>
                            <a:off x="0" y="2540302"/>
                            <a:ext cx="1624495" cy="0"/>
                          </a:xfrm>
                          <a:custGeom>
                            <a:avLst/>
                            <a:gdLst/>
                            <a:ahLst/>
                            <a:cxnLst/>
                            <a:rect l="0" t="0" r="0" b="0"/>
                            <a:pathLst>
                              <a:path w="1624495">
                                <a:moveTo>
                                  <a:pt x="0" y="0"/>
                                </a:moveTo>
                                <a:lnTo>
                                  <a:pt x="1624495"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90" name="Shape 2090"/>
                        <wps:cNvSpPr/>
                        <wps:spPr>
                          <a:xfrm>
                            <a:off x="4501" y="2544806"/>
                            <a:ext cx="0" cy="194246"/>
                          </a:xfrm>
                          <a:custGeom>
                            <a:avLst/>
                            <a:gdLst/>
                            <a:ahLst/>
                            <a:cxnLst/>
                            <a:rect l="0" t="0" r="0" b="0"/>
                            <a:pathLst>
                              <a:path h="194246">
                                <a:moveTo>
                                  <a:pt x="0" y="194246"/>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91" name="Shape 2091"/>
                        <wps:cNvSpPr/>
                        <wps:spPr>
                          <a:xfrm>
                            <a:off x="1624500" y="2540302"/>
                            <a:ext cx="695998" cy="0"/>
                          </a:xfrm>
                          <a:custGeom>
                            <a:avLst/>
                            <a:gdLst/>
                            <a:ahLst/>
                            <a:cxnLst/>
                            <a:rect l="0" t="0" r="0" b="0"/>
                            <a:pathLst>
                              <a:path w="695998">
                                <a:moveTo>
                                  <a:pt x="0" y="0"/>
                                </a:moveTo>
                                <a:lnTo>
                                  <a:pt x="695998"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92" name="Shape 2092"/>
                        <wps:cNvSpPr/>
                        <wps:spPr>
                          <a:xfrm>
                            <a:off x="2320501" y="2540302"/>
                            <a:ext cx="695998" cy="0"/>
                          </a:xfrm>
                          <a:custGeom>
                            <a:avLst/>
                            <a:gdLst/>
                            <a:ahLst/>
                            <a:cxnLst/>
                            <a:rect l="0" t="0" r="0" b="0"/>
                            <a:pathLst>
                              <a:path w="695998">
                                <a:moveTo>
                                  <a:pt x="0" y="0"/>
                                </a:moveTo>
                                <a:lnTo>
                                  <a:pt x="695998"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93" name="Shape 2093"/>
                        <wps:cNvSpPr/>
                        <wps:spPr>
                          <a:xfrm>
                            <a:off x="3016500" y="2540302"/>
                            <a:ext cx="924001" cy="0"/>
                          </a:xfrm>
                          <a:custGeom>
                            <a:avLst/>
                            <a:gdLst/>
                            <a:ahLst/>
                            <a:cxnLst/>
                            <a:rect l="0" t="0" r="0" b="0"/>
                            <a:pathLst>
                              <a:path w="924001">
                                <a:moveTo>
                                  <a:pt x="0" y="0"/>
                                </a:moveTo>
                                <a:lnTo>
                                  <a:pt x="924001"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94" name="Shape 2094"/>
                        <wps:cNvSpPr/>
                        <wps:spPr>
                          <a:xfrm>
                            <a:off x="3940500" y="2540302"/>
                            <a:ext cx="779996" cy="0"/>
                          </a:xfrm>
                          <a:custGeom>
                            <a:avLst/>
                            <a:gdLst/>
                            <a:ahLst/>
                            <a:cxnLst/>
                            <a:rect l="0" t="0" r="0" b="0"/>
                            <a:pathLst>
                              <a:path w="779996">
                                <a:moveTo>
                                  <a:pt x="0" y="0"/>
                                </a:moveTo>
                                <a:lnTo>
                                  <a:pt x="779996"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95" name="Shape 2095"/>
                        <wps:cNvSpPr/>
                        <wps:spPr>
                          <a:xfrm>
                            <a:off x="4720500" y="2540302"/>
                            <a:ext cx="828002" cy="0"/>
                          </a:xfrm>
                          <a:custGeom>
                            <a:avLst/>
                            <a:gdLst/>
                            <a:ahLst/>
                            <a:cxnLst/>
                            <a:rect l="0" t="0" r="0" b="0"/>
                            <a:pathLst>
                              <a:path w="828002">
                                <a:moveTo>
                                  <a:pt x="0" y="0"/>
                                </a:moveTo>
                                <a:lnTo>
                                  <a:pt x="828002"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96" name="Shape 2096"/>
                        <wps:cNvSpPr/>
                        <wps:spPr>
                          <a:xfrm>
                            <a:off x="5548500" y="2540302"/>
                            <a:ext cx="940498" cy="0"/>
                          </a:xfrm>
                          <a:custGeom>
                            <a:avLst/>
                            <a:gdLst/>
                            <a:ahLst/>
                            <a:cxnLst/>
                            <a:rect l="0" t="0" r="0" b="0"/>
                            <a:pathLst>
                              <a:path w="940498">
                                <a:moveTo>
                                  <a:pt x="0" y="0"/>
                                </a:moveTo>
                                <a:lnTo>
                                  <a:pt x="940498"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97" name="Shape 2097"/>
                        <wps:cNvSpPr/>
                        <wps:spPr>
                          <a:xfrm>
                            <a:off x="6484500" y="2544806"/>
                            <a:ext cx="0" cy="194246"/>
                          </a:xfrm>
                          <a:custGeom>
                            <a:avLst/>
                            <a:gdLst/>
                            <a:ahLst/>
                            <a:cxnLst/>
                            <a:rect l="0" t="0" r="0" b="0"/>
                            <a:pathLst>
                              <a:path h="194246">
                                <a:moveTo>
                                  <a:pt x="0" y="194246"/>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98" name="Shape 2098"/>
                        <wps:cNvSpPr/>
                        <wps:spPr>
                          <a:xfrm>
                            <a:off x="0" y="2743552"/>
                            <a:ext cx="1624495" cy="0"/>
                          </a:xfrm>
                          <a:custGeom>
                            <a:avLst/>
                            <a:gdLst/>
                            <a:ahLst/>
                            <a:cxnLst/>
                            <a:rect l="0" t="0" r="0" b="0"/>
                            <a:pathLst>
                              <a:path w="1624495">
                                <a:moveTo>
                                  <a:pt x="0" y="0"/>
                                </a:moveTo>
                                <a:lnTo>
                                  <a:pt x="1624495"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99" name="Shape 2099"/>
                        <wps:cNvSpPr/>
                        <wps:spPr>
                          <a:xfrm>
                            <a:off x="1624500" y="2743552"/>
                            <a:ext cx="695998" cy="0"/>
                          </a:xfrm>
                          <a:custGeom>
                            <a:avLst/>
                            <a:gdLst/>
                            <a:ahLst/>
                            <a:cxnLst/>
                            <a:rect l="0" t="0" r="0" b="0"/>
                            <a:pathLst>
                              <a:path w="695998">
                                <a:moveTo>
                                  <a:pt x="0" y="0"/>
                                </a:moveTo>
                                <a:lnTo>
                                  <a:pt x="695998"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100" name="Shape 2100"/>
                        <wps:cNvSpPr/>
                        <wps:spPr>
                          <a:xfrm>
                            <a:off x="2320501" y="2743552"/>
                            <a:ext cx="695998" cy="0"/>
                          </a:xfrm>
                          <a:custGeom>
                            <a:avLst/>
                            <a:gdLst/>
                            <a:ahLst/>
                            <a:cxnLst/>
                            <a:rect l="0" t="0" r="0" b="0"/>
                            <a:pathLst>
                              <a:path w="695998">
                                <a:moveTo>
                                  <a:pt x="0" y="0"/>
                                </a:moveTo>
                                <a:lnTo>
                                  <a:pt x="695998"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101" name="Shape 2101"/>
                        <wps:cNvSpPr/>
                        <wps:spPr>
                          <a:xfrm>
                            <a:off x="3016500" y="2743552"/>
                            <a:ext cx="924001" cy="0"/>
                          </a:xfrm>
                          <a:custGeom>
                            <a:avLst/>
                            <a:gdLst/>
                            <a:ahLst/>
                            <a:cxnLst/>
                            <a:rect l="0" t="0" r="0" b="0"/>
                            <a:pathLst>
                              <a:path w="924001">
                                <a:moveTo>
                                  <a:pt x="0" y="0"/>
                                </a:moveTo>
                                <a:lnTo>
                                  <a:pt x="924001"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102" name="Shape 2102"/>
                        <wps:cNvSpPr/>
                        <wps:spPr>
                          <a:xfrm>
                            <a:off x="3940500" y="2743552"/>
                            <a:ext cx="779996" cy="0"/>
                          </a:xfrm>
                          <a:custGeom>
                            <a:avLst/>
                            <a:gdLst/>
                            <a:ahLst/>
                            <a:cxnLst/>
                            <a:rect l="0" t="0" r="0" b="0"/>
                            <a:pathLst>
                              <a:path w="779996">
                                <a:moveTo>
                                  <a:pt x="0" y="0"/>
                                </a:moveTo>
                                <a:lnTo>
                                  <a:pt x="779996"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103" name="Shape 2103"/>
                        <wps:cNvSpPr/>
                        <wps:spPr>
                          <a:xfrm>
                            <a:off x="4720500" y="2743552"/>
                            <a:ext cx="828002" cy="0"/>
                          </a:xfrm>
                          <a:custGeom>
                            <a:avLst/>
                            <a:gdLst/>
                            <a:ahLst/>
                            <a:cxnLst/>
                            <a:rect l="0" t="0" r="0" b="0"/>
                            <a:pathLst>
                              <a:path w="828002">
                                <a:moveTo>
                                  <a:pt x="0" y="0"/>
                                </a:moveTo>
                                <a:lnTo>
                                  <a:pt x="828002"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104" name="Shape 2104"/>
                        <wps:cNvSpPr/>
                        <wps:spPr>
                          <a:xfrm>
                            <a:off x="5548500" y="2743552"/>
                            <a:ext cx="940498" cy="0"/>
                          </a:xfrm>
                          <a:custGeom>
                            <a:avLst/>
                            <a:gdLst/>
                            <a:ahLst/>
                            <a:cxnLst/>
                            <a:rect l="0" t="0" r="0" b="0"/>
                            <a:pathLst>
                              <a:path w="940498">
                                <a:moveTo>
                                  <a:pt x="0" y="0"/>
                                </a:moveTo>
                                <a:lnTo>
                                  <a:pt x="940498"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105" name="Shape 2105"/>
                        <wps:cNvSpPr/>
                        <wps:spPr>
                          <a:xfrm>
                            <a:off x="9001" y="4501"/>
                            <a:ext cx="1610995" cy="1172146"/>
                          </a:xfrm>
                          <a:custGeom>
                            <a:avLst/>
                            <a:gdLst/>
                            <a:ahLst/>
                            <a:cxnLst/>
                            <a:rect l="0" t="0" r="0" b="0"/>
                            <a:pathLst>
                              <a:path w="1610995" h="1172146">
                                <a:moveTo>
                                  <a:pt x="0" y="0"/>
                                </a:moveTo>
                                <a:lnTo>
                                  <a:pt x="1610995" y="1172146"/>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255600" style="width:510.945pt;height:216.028pt;position:absolute;z-index:-2147483564;mso-position-horizontal-relative:text;mso-position-horizontal:absolute;margin-left:0.0951385pt;mso-position-vertical-relative:text;margin-top:-59.2007pt;" coordsize="64889,27435">
                <v:shape id="Shape 2017" style="position:absolute;width:64799;height:11811;left:45;top:0;" coordsize="6479997,1181151" path="m0,0l1619999,0l2315998,0l3011996,0l6479997,0l6479997,203251l6479997,406502l6479997,1181151l5544008,1181151l5543995,1181151l4716006,1181151l4716006,406502l4715993,406502l4715993,1181151l3935997,1181151l3935997,406502l3935997,203251l3935997,203251l3935997,1181151l3011996,1181151l2315998,1181151l1619999,1181151l0,1181151l0,0x">
                  <v:stroke weight="0pt" endcap="flat" joinstyle="miter" miterlimit="10" on="false" color="#000000" opacity="0"/>
                  <v:fill on="true" color="#dadad9"/>
                </v:shape>
                <v:shape id="Shape 2018" style="position:absolute;width:16199;height:13591;left:45;top:11811;" coordsize="1619999,1359154" path="m0,0l1619999,0l1619999,679577l1619999,1359154l0,1359154l0,679577l0,0x">
                  <v:stroke weight="0pt" endcap="flat" joinstyle="miter" miterlimit="10" on="false" color="#000000" opacity="0"/>
                  <v:fill on="true" color="#dadad9"/>
                </v:shape>
                <v:shape id="Shape 377644" style="position:absolute;width:6959;height:6795;left:16244;top:11811;" coordsize="695998,679577" path="m0,0l695998,0l695998,679577l0,679577l0,0">
                  <v:stroke weight="0pt" endcap="flat" joinstyle="miter" miterlimit="10" on="false" color="#000000" opacity="0"/>
                  <v:fill on="true" color="#fff59b"/>
                </v:shape>
                <v:shape id="Shape 377645" style="position:absolute;width:6959;height:6795;left:16244;top:18607;" coordsize="695998,679577" path="m0,0l695998,0l695998,679577l0,679577l0,0">
                  <v:stroke weight="0pt" endcap="flat" joinstyle="miter" miterlimit="10" on="false" color="#000000" opacity="0"/>
                  <v:fill on="true" color="#ffed00"/>
                </v:shape>
                <v:shape id="Shape 377646" style="position:absolute;width:6959;height:6795;left:23204;top:11811;" coordsize="695998,679577" path="m0,0l695998,0l695998,679577l0,679577l0,0">
                  <v:stroke weight="0pt" endcap="flat" joinstyle="miter" miterlimit="10" on="false" color="#000000" opacity="0"/>
                  <v:fill on="true" color="#ffed00"/>
                </v:shape>
                <v:shape id="Shape 377647" style="position:absolute;width:9240;height:6795;left:30164;top:11811;" coordsize="924001,679577" path="m0,0l924001,0l924001,679577l0,679577l0,0">
                  <v:stroke weight="0pt" endcap="flat" joinstyle="miter" miterlimit="10" on="false" color="#000000" opacity="0"/>
                  <v:fill on="true" color="#f8c998"/>
                </v:shape>
                <v:shape id="Shape 377648" style="position:absolute;width:7799;height:13591;left:39404;top:11811;" coordsize="779996,1359154" path="m0,0l779996,0l779996,1359154l0,1359154l0,0">
                  <v:stroke weight="0pt" endcap="flat" joinstyle="miter" miterlimit="10" on="false" color="#000000" opacity="0"/>
                  <v:fill on="true" color="#ecb681"/>
                </v:shape>
                <v:shape id="Shape 377649" style="position:absolute;width:8280;height:13591;left:47205;top:11811;" coordsize="828002,1359154" path="m0,0l828002,0l828002,1359154l0,1359154l0,0">
                  <v:stroke weight="0pt" endcap="flat" joinstyle="miter" miterlimit="10" on="false" color="#000000" opacity="0"/>
                  <v:fill on="true" color="#e8a662"/>
                </v:shape>
                <v:shape id="Shape 377650" style="position:absolute;width:9360;height:13591;left:55484;top:11811;" coordsize="936003,1359154" path="m0,0l936003,0l936003,1359154l0,1359154l0,0">
                  <v:stroke weight="0pt" endcap="flat" joinstyle="miter" miterlimit="10" on="false" color="#000000" opacity="0"/>
                  <v:fill on="true" color="#e59547"/>
                </v:shape>
                <v:shape id="Shape 377651" style="position:absolute;width:6959;height:6795;left:23204;top:18607;" coordsize="695998,679577" path="m0,0l695998,0l695998,679577l0,679577l0,0">
                  <v:stroke weight="0pt" endcap="flat" joinstyle="miter" miterlimit="10" on="false" color="#000000" opacity="0"/>
                  <v:fill on="true" color="#f8c899"/>
                </v:shape>
                <v:shape id="Shape 377652" style="position:absolute;width:9240;height:6795;left:30164;top:18607;" coordsize="924001,679577" path="m0,0l924001,0l924001,679577l0,679577l0,0">
                  <v:stroke weight="0pt" endcap="flat" joinstyle="miter" miterlimit="10" on="false" color="#000000" opacity="0"/>
                  <v:fill on="true" color="#ecb681"/>
                </v:shape>
                <v:shape id="Shape 377653" style="position:absolute;width:64799;height:2032;left:45;top:25403;" coordsize="6479997,203250" path="m0,0l6479997,0l6479997,203250l0,203250l0,0">
                  <v:stroke weight="0pt" endcap="flat" joinstyle="miter" miterlimit="10" on="false" color="#000000" opacity="0"/>
                  <v:fill on="true" color="#ececec"/>
                </v:shape>
                <v:shape id="Shape 2029" style="position:absolute;width:16244;height:0;left:0;top:0;" coordsize="1624495,0" path="m0,0l1624495,0">
                  <v:stroke weight="0.709pt" endcap="flat" joinstyle="miter" miterlimit="10" on="true" color="#000000"/>
                  <v:fill on="false" color="#000000" opacity="0"/>
                </v:shape>
                <v:shape id="Shape 2030" style="position:absolute;width:0;height:1987;left:45;top:44;" coordsize="0,198755" path="m0,198755l0,0">
                  <v:stroke weight="0.709pt" endcap="flat" joinstyle="miter" miterlimit="10" on="true" color="#000000"/>
                  <v:fill on="false" color="#000000" opacity="0"/>
                </v:shape>
                <v:shape id="Shape 2031" style="position:absolute;width:6959;height:0;left:16245;top:0;" coordsize="695998,0" path="m0,0l695998,0">
                  <v:stroke weight="0.709pt" endcap="flat" joinstyle="miter" miterlimit="10" on="true" color="#000000"/>
                  <v:fill on="false" color="#000000" opacity="0"/>
                </v:shape>
                <v:shape id="Shape 2032" style="position:absolute;width:0;height:1987;left:16245;top:44;" coordsize="0,198755" path="m0,198755l0,0">
                  <v:stroke weight="0.709pt" endcap="flat" joinstyle="miter" miterlimit="10" on="true" color="#000000"/>
                  <v:fill on="false" color="#000000" opacity="0"/>
                </v:shape>
                <v:shape id="Shape 2033" style="position:absolute;width:6959;height:0;left:23205;top:0;" coordsize="695998,0" path="m0,0l695998,0">
                  <v:stroke weight="0.709pt" endcap="flat" joinstyle="miter" miterlimit="10" on="true" color="#000000"/>
                  <v:fill on="false" color="#000000" opacity="0"/>
                </v:shape>
                <v:shape id="Shape 2034" style="position:absolute;width:0;height:1987;left:23205;top:44;" coordsize="0,198755" path="m0,198755l0,0">
                  <v:stroke weight="0.709pt" endcap="flat" joinstyle="miter" miterlimit="10" on="true" color="#000000"/>
                  <v:fill on="false" color="#000000" opacity="0"/>
                </v:shape>
                <v:shape id="Shape 2035" style="position:absolute;width:0;height:2032;left:45;top:2032;" coordsize="0,203251" path="m0,203251l0,0">
                  <v:stroke weight="0.709pt" endcap="flat" joinstyle="miter" miterlimit="10" on="true" color="#000000"/>
                  <v:fill on="false" color="#000000" opacity="0"/>
                </v:shape>
                <v:shape id="Shape 2036" style="position:absolute;width:0;height:2032;left:16245;top:2032;" coordsize="0,203251" path="m0,203251l0,0">
                  <v:stroke weight="0.709pt" endcap="flat" joinstyle="miter" miterlimit="10" on="true" color="#000000"/>
                  <v:fill on="false" color="#000000" opacity="0"/>
                </v:shape>
                <v:shape id="Shape 2037" style="position:absolute;width:0;height:2032;left:23205;top:2032;" coordsize="0,203251" path="m0,203251l0,0">
                  <v:stroke weight="0.709pt" endcap="flat" joinstyle="miter" miterlimit="10" on="true" color="#000000"/>
                  <v:fill on="false" color="#000000" opacity="0"/>
                </v:shape>
                <v:shape id="Shape 2038" style="position:absolute;width:0;height:7701;left:45;top:4064;" coordsize="0,770153" path="m0,770153l0,0">
                  <v:stroke weight="0.709pt" endcap="flat" joinstyle="miter" miterlimit="10" on="true" color="#000000"/>
                  <v:fill on="false" color="#000000" opacity="0"/>
                </v:shape>
                <v:shape id="Shape 2039" style="position:absolute;width:0;height:7701;left:16245;top:4064;" coordsize="0,770153" path="m0,770153l0,0">
                  <v:stroke weight="0.709pt" endcap="flat" joinstyle="miter" miterlimit="10" on="true" color="#000000"/>
                  <v:fill on="false" color="#000000" opacity="0"/>
                </v:shape>
                <v:shape id="Shape 2040" style="position:absolute;width:0;height:7701;left:23205;top:4064;" coordsize="0,770153" path="m0,770153l0,0">
                  <v:stroke weight="0.709pt" endcap="flat" joinstyle="miter" miterlimit="10" on="true" color="#000000"/>
                  <v:fill on="false" color="#000000" opacity="0"/>
                </v:shape>
                <v:shape id="Shape 2041" style="position:absolute;width:9240;height:0;left:30165;top:0;" coordsize="924001,0" path="m0,0l924001,0">
                  <v:stroke weight="0.709pt" endcap="flat" joinstyle="miter" miterlimit="10" on="true" color="#000000"/>
                  <v:fill on="false" color="#000000" opacity="0"/>
                </v:shape>
                <v:shape id="Shape 2042" style="position:absolute;width:0;height:1942;left:30165;top:45;" coordsize="0,194247" path="m0,194247l0,0">
                  <v:stroke weight="0.709pt" endcap="flat" joinstyle="miter" miterlimit="10" on="true" color="#000000"/>
                  <v:fill on="false" color="#000000" opacity="0"/>
                </v:shape>
                <v:shape id="Shape 2043" style="position:absolute;width:7799;height:0;left:39405;top:0;" coordsize="779996,0" path="m0,0l779996,0">
                  <v:stroke weight="0.709pt" endcap="flat" joinstyle="miter" miterlimit="10" on="true" color="#000000"/>
                  <v:fill on="false" color="#000000" opacity="0"/>
                </v:shape>
                <v:shape id="Shape 2044" style="position:absolute;width:8280;height:0;left:47205;top:0;" coordsize="828002,0" path="m0,0l828002,0">
                  <v:stroke weight="0.709pt" endcap="flat" joinstyle="miter" miterlimit="10" on="true" color="#000000"/>
                  <v:fill on="false" color="#000000" opacity="0"/>
                </v:shape>
                <v:shape id="Shape 2045" style="position:absolute;width:9404;height:0;left:55485;top:0;" coordsize="940498,0" path="m0,0l940498,0">
                  <v:stroke weight="0.709pt" endcap="flat" joinstyle="miter" miterlimit="10" on="true" color="#000000"/>
                  <v:fill on="false" color="#000000" opacity="0"/>
                </v:shape>
                <v:shape id="Shape 2046" style="position:absolute;width:0;height:1942;left:64845;top:45;" coordsize="0,194247" path="m0,194247l0,0">
                  <v:stroke weight="0.709pt" endcap="flat" joinstyle="miter" miterlimit="10" on="true" color="#000000"/>
                  <v:fill on="false" color="#000000" opacity="0"/>
                </v:shape>
                <v:shape id="Shape 2047" style="position:absolute;width:9284;height:0;left:30120;top:2032;" coordsize="928497,0" path="m0,0l928497,0">
                  <v:stroke weight="0.709pt" endcap="flat" joinstyle="miter" miterlimit="10" on="true" color="#000000"/>
                  <v:fill on="false" color="#000000" opacity="0"/>
                </v:shape>
                <v:shape id="Shape 2048" style="position:absolute;width:0;height:1987;left:30165;top:2077;" coordsize="0,198755" path="m0,198755l0,0">
                  <v:stroke weight="0.709pt" endcap="flat" joinstyle="miter" miterlimit="10" on="true" color="#000000"/>
                  <v:fill on="false" color="#000000" opacity="0"/>
                </v:shape>
                <v:shape id="Shape 2049" style="position:absolute;width:0;height:7701;left:30165;top:4064;" coordsize="0,770153" path="m0,770153l0,0">
                  <v:stroke weight="0.709pt" endcap="flat" joinstyle="miter" miterlimit="10" on="true" color="#000000"/>
                  <v:fill on="false" color="#000000" opacity="0"/>
                </v:shape>
                <v:shape id="Shape 2050" style="position:absolute;width:7799;height:0;left:39405;top:2032;" coordsize="779996,0" path="m0,0l779996,0">
                  <v:stroke weight="0.709pt" endcap="flat" joinstyle="miter" miterlimit="10" on="true" color="#000000"/>
                  <v:fill on="false" color="#000000" opacity="0"/>
                </v:shape>
                <v:shape id="Shape 2051" style="position:absolute;width:0;height:1942;left:39405;top:2077;" coordsize="0,194247" path="m0,194247l0,0">
                  <v:stroke weight="0.709pt" endcap="flat" joinstyle="miter" miterlimit="10" on="true" color="#000000"/>
                  <v:fill on="false" color="#000000" opacity="0"/>
                </v:shape>
                <v:shape id="Shape 2052" style="position:absolute;width:8280;height:0;left:47205;top:2032;" coordsize="828002,0" path="m0,0l828002,0">
                  <v:stroke weight="0.709pt" endcap="flat" joinstyle="miter" miterlimit="10" on="true" color="#000000"/>
                  <v:fill on="false" color="#000000" opacity="0"/>
                </v:shape>
                <v:shape id="Shape 2053" style="position:absolute;width:9404;height:0;left:55485;top:2032;" coordsize="940498,0" path="m0,0l940498,0">
                  <v:stroke weight="0.709pt" endcap="flat" joinstyle="miter" miterlimit="10" on="true" color="#000000"/>
                  <v:fill on="false" color="#000000" opacity="0"/>
                </v:shape>
                <v:shape id="Shape 2054" style="position:absolute;width:0;height:1942;left:64845;top:2077;" coordsize="0,194247" path="m0,194247l0,0">
                  <v:stroke weight="0.709pt" endcap="flat" joinstyle="miter" miterlimit="10" on="true" color="#000000"/>
                  <v:fill on="false" color="#000000" opacity="0"/>
                </v:shape>
                <v:shape id="Shape 2055" style="position:absolute;width:7845;height:0;left:39360;top:4065;" coordsize="784504,0" path="m0,0l784504,0">
                  <v:stroke weight="0.709pt" endcap="flat" joinstyle="miter" miterlimit="10" on="true" color="#000000"/>
                  <v:fill on="false" color="#000000" opacity="0"/>
                </v:shape>
                <v:shape id="Shape 2056" style="position:absolute;width:0;height:7656;left:39405;top:4110;" coordsize="0,765645" path="m0,765645l0,0">
                  <v:stroke weight="0.709pt" endcap="flat" joinstyle="miter" miterlimit="10" on="true" color="#000000"/>
                  <v:fill on="false" color="#000000" opacity="0"/>
                </v:shape>
                <v:shape id="Shape 2057" style="position:absolute;width:8280;height:0;left:47205;top:4065;" coordsize="828002,0" path="m0,0l828002,0">
                  <v:stroke weight="0.709pt" endcap="flat" joinstyle="miter" miterlimit="10" on="true" color="#000000"/>
                  <v:fill on="false" color="#000000" opacity="0"/>
                </v:shape>
                <v:shape id="Shape 2058" style="position:absolute;width:0;height:7656;left:47205;top:4110;" coordsize="0,765645" path="m0,765645l0,0">
                  <v:stroke weight="0.709pt" endcap="flat" joinstyle="miter" miterlimit="10" on="true" color="#000000"/>
                  <v:fill on="false" color="#000000" opacity="0"/>
                </v:shape>
                <v:shape id="Shape 2059" style="position:absolute;width:9404;height:0;left:55485;top:4065;" coordsize="940498,0" path="m0,0l940498,0">
                  <v:stroke weight="0.709pt" endcap="flat" joinstyle="miter" miterlimit="10" on="true" color="#000000"/>
                  <v:fill on="false" color="#000000" opacity="0"/>
                </v:shape>
                <v:shape id="Shape 2060" style="position:absolute;width:0;height:7656;left:55485;top:4110;" coordsize="0,765645" path="m0,765645l0,0">
                  <v:stroke weight="0.709pt" endcap="flat" joinstyle="miter" miterlimit="10" on="true" color="#000000"/>
                  <v:fill on="false" color="#000000" opacity="0"/>
                </v:shape>
                <v:shape id="Shape 2061" style="position:absolute;width:0;height:7656;left:64845;top:4110;" coordsize="0,765645" path="m0,765645l0,0">
                  <v:stroke weight="0.709pt" endcap="flat" joinstyle="miter" miterlimit="10" on="true" color="#000000"/>
                  <v:fill on="false" color="#000000" opacity="0"/>
                </v:shape>
                <v:shape id="Shape 2062" style="position:absolute;width:16244;height:0;left:0;top:11811;" coordsize="1624495,0" path="m0,0l1624495,0">
                  <v:stroke weight="0.709pt" endcap="flat" joinstyle="miter" miterlimit="10" on="true" color="#000000"/>
                  <v:fill on="false" color="#000000" opacity="0"/>
                </v:shape>
                <v:shape id="Shape 2063" style="position:absolute;width:0;height:6705;left:45;top:11856;" coordsize="0,670573" path="m0,670573l0,0">
                  <v:stroke weight="0.709pt" endcap="flat" joinstyle="miter" miterlimit="10" on="true" color="#000000"/>
                  <v:fill on="false" color="#000000" opacity="0"/>
                </v:shape>
                <v:shape id="Shape 2064" style="position:absolute;width:6959;height:0;left:16245;top:11811;" coordsize="695998,0" path="m0,0l695998,0">
                  <v:stroke weight="0.709pt" endcap="flat" joinstyle="miter" miterlimit="10" on="true" color="#000000"/>
                  <v:fill on="false" color="#000000" opacity="0"/>
                </v:shape>
                <v:shape id="Shape 2065" style="position:absolute;width:0;height:6705;left:16245;top:11856;" coordsize="0,670573" path="m0,670573l0,0">
                  <v:stroke weight="0.709pt" endcap="flat" joinstyle="miter" miterlimit="10" on="true" color="#000000"/>
                  <v:fill on="false" color="#000000" opacity="0"/>
                </v:shape>
                <v:shape id="Shape 2066" style="position:absolute;width:6959;height:0;left:23205;top:11811;" coordsize="695998,0" path="m0,0l695998,0">
                  <v:stroke weight="0.709pt" endcap="flat" joinstyle="miter" miterlimit="10" on="true" color="#000000"/>
                  <v:fill on="false" color="#000000" opacity="0"/>
                </v:shape>
                <v:shape id="Shape 2067" style="position:absolute;width:0;height:6705;left:23205;top:11856;" coordsize="0,670573" path="m0,670573l0,0">
                  <v:stroke weight="0.709pt" endcap="flat" joinstyle="miter" miterlimit="10" on="true" color="#000000"/>
                  <v:fill on="false" color="#000000" opacity="0"/>
                </v:shape>
                <v:shape id="Shape 2068" style="position:absolute;width:9240;height:0;left:30165;top:11811;" coordsize="924001,0" path="m0,0l924001,0">
                  <v:stroke weight="0.709pt" endcap="flat" joinstyle="miter" miterlimit="10" on="true" color="#000000"/>
                  <v:fill on="false" color="#000000" opacity="0"/>
                </v:shape>
                <v:shape id="Shape 2069" style="position:absolute;width:0;height:6705;left:30165;top:11856;" coordsize="0,670573" path="m0,670573l0,0">
                  <v:stroke weight="0.709pt" endcap="flat" joinstyle="miter" miterlimit="10" on="true" color="#000000"/>
                  <v:fill on="false" color="#000000" opacity="0"/>
                </v:shape>
                <v:shape id="Shape 2070" style="position:absolute;width:7799;height:0;left:39405;top:11811;" coordsize="779996,0" path="m0,0l779996,0">
                  <v:stroke weight="0.709pt" endcap="flat" joinstyle="miter" miterlimit="10" on="true" color="#000000"/>
                  <v:fill on="false" color="#000000" opacity="0"/>
                </v:shape>
                <v:shape id="Shape 2071" style="position:absolute;width:0;height:6705;left:39405;top:11856;" coordsize="0,670573" path="m0,670573l0,0">
                  <v:stroke weight="0.709pt" endcap="flat" joinstyle="miter" miterlimit="10" on="true" color="#000000"/>
                  <v:fill on="false" color="#000000" opacity="0"/>
                </v:shape>
                <v:shape id="Shape 2072" style="position:absolute;width:8280;height:0;left:47205;top:11811;" coordsize="828002,0" path="m0,0l828002,0">
                  <v:stroke weight="0.709pt" endcap="flat" joinstyle="miter" miterlimit="10" on="true" color="#000000"/>
                  <v:fill on="false" color="#000000" opacity="0"/>
                </v:shape>
                <v:shape id="Shape 2073" style="position:absolute;width:0;height:6750;left:47205;top:11856;" coordsize="0,675069" path="m0,675069l0,0">
                  <v:stroke weight="0.709pt" endcap="flat" joinstyle="miter" miterlimit="10" on="true" color="#000000"/>
                  <v:fill on="false" color="#000000" opacity="0"/>
                </v:shape>
                <v:shape id="Shape 2074" style="position:absolute;width:9404;height:0;left:55485;top:11811;" coordsize="940498,0" path="m0,0l940498,0">
                  <v:stroke weight="0.709pt" endcap="flat" joinstyle="miter" miterlimit="10" on="true" color="#000000"/>
                  <v:fill on="false" color="#000000" opacity="0"/>
                </v:shape>
                <v:shape id="Shape 2075" style="position:absolute;width:0;height:6750;left:55485;top:11856;" coordsize="0,675069" path="m0,675069l0,0">
                  <v:stroke weight="0.709pt" endcap="flat" joinstyle="miter" miterlimit="10" on="true" color="#000000"/>
                  <v:fill on="false" color="#000000" opacity="0"/>
                </v:shape>
                <v:shape id="Shape 2076" style="position:absolute;width:0;height:6750;left:64845;top:11856;" coordsize="0,675069" path="m0,675069l0,0">
                  <v:stroke weight="0.709pt" endcap="flat" joinstyle="miter" miterlimit="10" on="true" color="#000000"/>
                  <v:fill on="false" color="#000000" opacity="0"/>
                </v:shape>
                <v:shape id="Shape 2077" style="position:absolute;width:0;height:6750;left:47205;top:18607;" coordsize="0,675081" path="m0,675081l0,0">
                  <v:stroke weight="0.709pt" endcap="flat" joinstyle="miter" miterlimit="10" on="true" color="#000000"/>
                  <v:fill on="false" color="#000000" opacity="0"/>
                </v:shape>
                <v:shape id="Shape 2078" style="position:absolute;width:0;height:6750;left:55485;top:18607;" coordsize="0,675081" path="m0,675081l0,0">
                  <v:stroke weight="0.709pt" endcap="flat" joinstyle="miter" miterlimit="10" on="true" color="#000000"/>
                  <v:fill on="false" color="#000000" opacity="0"/>
                </v:shape>
                <v:shape id="Shape 2079" style="position:absolute;width:0;height:6750;left:64845;top:18607;" coordsize="0,675081" path="m0,675081l0,0">
                  <v:stroke weight="0.709pt" endcap="flat" joinstyle="miter" miterlimit="10" on="true" color="#000000"/>
                  <v:fill on="false" color="#000000" opacity="0"/>
                </v:shape>
                <v:shape id="Shape 2080" style="position:absolute;width:16244;height:0;left:0;top:18607;" coordsize="1624495,0" path="m0,0l1624495,0">
                  <v:stroke weight="0.709pt" endcap="flat" joinstyle="miter" miterlimit="10" on="true" color="#000000"/>
                  <v:fill on="false" color="#000000" opacity="0"/>
                </v:shape>
                <v:shape id="Shape 2081" style="position:absolute;width:0;height:6705;left:45;top:18652;" coordsize="0,670573" path="m0,670573l0,0">
                  <v:stroke weight="0.709pt" endcap="flat" joinstyle="miter" miterlimit="10" on="true" color="#000000"/>
                  <v:fill on="false" color="#000000" opacity="0"/>
                </v:shape>
                <v:shape id="Shape 2082" style="position:absolute;width:6959;height:0;left:16245;top:18607;" coordsize="695998,0" path="m0,0l695998,0">
                  <v:stroke weight="0.709pt" endcap="flat" joinstyle="miter" miterlimit="10" on="true" color="#000000"/>
                  <v:fill on="false" color="#000000" opacity="0"/>
                </v:shape>
                <v:shape id="Shape 2083" style="position:absolute;width:0;height:6705;left:16245;top:18652;" coordsize="0,670573" path="m0,670573l0,0">
                  <v:stroke weight="0.709pt" endcap="flat" joinstyle="miter" miterlimit="10" on="true" color="#000000"/>
                  <v:fill on="false" color="#000000" opacity="0"/>
                </v:shape>
                <v:shape id="Shape 2084" style="position:absolute;width:6959;height:0;left:23205;top:18607;" coordsize="695998,0" path="m0,0l695998,0">
                  <v:stroke weight="0.709pt" endcap="flat" joinstyle="miter" miterlimit="10" on="true" color="#000000"/>
                  <v:fill on="false" color="#000000" opacity="0"/>
                </v:shape>
                <v:shape id="Shape 2085" style="position:absolute;width:0;height:6705;left:23205;top:18652;" coordsize="0,670573" path="m0,670573l0,0">
                  <v:stroke weight="0.709pt" endcap="flat" joinstyle="miter" miterlimit="10" on="true" color="#000000"/>
                  <v:fill on="false" color="#000000" opacity="0"/>
                </v:shape>
                <v:shape id="Shape 2086" style="position:absolute;width:9284;height:0;left:30165;top:18607;" coordsize="928497,0" path="m0,0l928497,0">
                  <v:stroke weight="0.709pt" endcap="flat" joinstyle="miter" miterlimit="10" on="true" color="#000000"/>
                  <v:fill on="false" color="#000000" opacity="0"/>
                </v:shape>
                <v:shape id="Shape 2087" style="position:absolute;width:0;height:6705;left:30165;top:18652;" coordsize="0,670573" path="m0,670573l0,0">
                  <v:stroke weight="0.709pt" endcap="flat" joinstyle="miter" miterlimit="10" on="true" color="#000000"/>
                  <v:fill on="false" color="#000000" opacity="0"/>
                </v:shape>
                <v:shape id="Shape 2088" style="position:absolute;width:0;height:6705;left:39405;top:18652;" coordsize="0,670573" path="m0,670573l0,0">
                  <v:stroke weight="0.709pt" endcap="flat" joinstyle="miter" miterlimit="10" on="true" color="#000000"/>
                  <v:fill on="false" color="#000000" opacity="0"/>
                </v:shape>
                <v:shape id="Shape 2089" style="position:absolute;width:16244;height:0;left:0;top:25403;" coordsize="1624495,0" path="m0,0l1624495,0">
                  <v:stroke weight="0.709pt" endcap="flat" joinstyle="miter" miterlimit="10" on="true" color="#000000"/>
                  <v:fill on="false" color="#000000" opacity="0"/>
                </v:shape>
                <v:shape id="Shape 2090" style="position:absolute;width:0;height:1942;left:45;top:25448;" coordsize="0,194246" path="m0,194246l0,0">
                  <v:stroke weight="0.709pt" endcap="flat" joinstyle="miter" miterlimit="10" on="true" color="#000000"/>
                  <v:fill on="false" color="#000000" opacity="0"/>
                </v:shape>
                <v:shape id="Shape 2091" style="position:absolute;width:6959;height:0;left:16245;top:25403;" coordsize="695998,0" path="m0,0l695998,0">
                  <v:stroke weight="0.709pt" endcap="flat" joinstyle="miter" miterlimit="10" on="true" color="#000000"/>
                  <v:fill on="false" color="#000000" opacity="0"/>
                </v:shape>
                <v:shape id="Shape 2092" style="position:absolute;width:6959;height:0;left:23205;top:25403;" coordsize="695998,0" path="m0,0l695998,0">
                  <v:stroke weight="0.709pt" endcap="flat" joinstyle="miter" miterlimit="10" on="true" color="#000000"/>
                  <v:fill on="false" color="#000000" opacity="0"/>
                </v:shape>
                <v:shape id="Shape 2093" style="position:absolute;width:9240;height:0;left:30165;top:25403;" coordsize="924001,0" path="m0,0l924001,0">
                  <v:stroke weight="0.709pt" endcap="flat" joinstyle="miter" miterlimit="10" on="true" color="#000000"/>
                  <v:fill on="false" color="#000000" opacity="0"/>
                </v:shape>
                <v:shape id="Shape 2094" style="position:absolute;width:7799;height:0;left:39405;top:25403;" coordsize="779996,0" path="m0,0l779996,0">
                  <v:stroke weight="0.709pt" endcap="flat" joinstyle="miter" miterlimit="10" on="true" color="#000000"/>
                  <v:fill on="false" color="#000000" opacity="0"/>
                </v:shape>
                <v:shape id="Shape 2095" style="position:absolute;width:8280;height:0;left:47205;top:25403;" coordsize="828002,0" path="m0,0l828002,0">
                  <v:stroke weight="0.709pt" endcap="flat" joinstyle="miter" miterlimit="10" on="true" color="#000000"/>
                  <v:fill on="false" color="#000000" opacity="0"/>
                </v:shape>
                <v:shape id="Shape 2096" style="position:absolute;width:9404;height:0;left:55485;top:25403;" coordsize="940498,0" path="m0,0l940498,0">
                  <v:stroke weight="0.709pt" endcap="flat" joinstyle="miter" miterlimit="10" on="true" color="#000000"/>
                  <v:fill on="false" color="#000000" opacity="0"/>
                </v:shape>
                <v:shape id="Shape 2097" style="position:absolute;width:0;height:1942;left:64845;top:25448;" coordsize="0,194246" path="m0,194246l0,0">
                  <v:stroke weight="0.709pt" endcap="flat" joinstyle="miter" miterlimit="10" on="true" color="#000000"/>
                  <v:fill on="false" color="#000000" opacity="0"/>
                </v:shape>
                <v:shape id="Shape 2098" style="position:absolute;width:16244;height:0;left:0;top:27435;" coordsize="1624495,0" path="m0,0l1624495,0">
                  <v:stroke weight="0.709pt" endcap="flat" joinstyle="miter" miterlimit="10" on="true" color="#000000"/>
                  <v:fill on="false" color="#000000" opacity="0"/>
                </v:shape>
                <v:shape id="Shape 2099" style="position:absolute;width:6959;height:0;left:16245;top:27435;" coordsize="695998,0" path="m0,0l695998,0">
                  <v:stroke weight="0.709pt" endcap="flat" joinstyle="miter" miterlimit="10" on="true" color="#000000"/>
                  <v:fill on="false" color="#000000" opacity="0"/>
                </v:shape>
                <v:shape id="Shape 2100" style="position:absolute;width:6959;height:0;left:23205;top:27435;" coordsize="695998,0" path="m0,0l695998,0">
                  <v:stroke weight="0.709pt" endcap="flat" joinstyle="miter" miterlimit="10" on="true" color="#000000"/>
                  <v:fill on="false" color="#000000" opacity="0"/>
                </v:shape>
                <v:shape id="Shape 2101" style="position:absolute;width:9240;height:0;left:30165;top:27435;" coordsize="924001,0" path="m0,0l924001,0">
                  <v:stroke weight="0.709pt" endcap="flat" joinstyle="miter" miterlimit="10" on="true" color="#000000"/>
                  <v:fill on="false" color="#000000" opacity="0"/>
                </v:shape>
                <v:shape id="Shape 2102" style="position:absolute;width:7799;height:0;left:39405;top:27435;" coordsize="779996,0" path="m0,0l779996,0">
                  <v:stroke weight="0.709pt" endcap="flat" joinstyle="miter" miterlimit="10" on="true" color="#000000"/>
                  <v:fill on="false" color="#000000" opacity="0"/>
                </v:shape>
                <v:shape id="Shape 2103" style="position:absolute;width:8280;height:0;left:47205;top:27435;" coordsize="828002,0" path="m0,0l828002,0">
                  <v:stroke weight="0.709pt" endcap="flat" joinstyle="miter" miterlimit="10" on="true" color="#000000"/>
                  <v:fill on="false" color="#000000" opacity="0"/>
                </v:shape>
                <v:shape id="Shape 2104" style="position:absolute;width:9404;height:0;left:55485;top:27435;" coordsize="940498,0" path="m0,0l940498,0">
                  <v:stroke weight="0.709pt" endcap="flat" joinstyle="miter" miterlimit="10" on="true" color="#000000"/>
                  <v:fill on="false" color="#000000" opacity="0"/>
                </v:shape>
                <v:shape id="Shape 2105" style="position:absolute;width:16109;height:11721;left:90;top:45;" coordsize="1610995,1172146" path="m0,0l1610995,1172146">
                  <v:stroke weight="0.709pt" endcap="flat" joinstyle="miter" miterlimit="10" on="true" color="#000000"/>
                  <v:fill on="false" color="#000000" opacity="0"/>
                </v:shape>
              </v:group>
            </w:pict>
          </mc:Fallback>
        </mc:AlternateContent>
      </w:r>
      <w:r>
        <w:rPr>
          <w:b/>
        </w:rPr>
        <w:t xml:space="preserve">Клинические  </w:t>
      </w:r>
      <w:r>
        <w:rPr>
          <w:b/>
        </w:rPr>
        <w:tab/>
        <w:t>возраст</w:t>
      </w:r>
      <w:r>
        <w:rPr>
          <w:b/>
          <w:sz w:val="18"/>
          <w:vertAlign w:val="superscript"/>
        </w:rPr>
        <w:t>5</w:t>
      </w:r>
      <w:r>
        <w:rPr>
          <w:b/>
          <w:sz w:val="18"/>
          <w:vertAlign w:val="superscript"/>
        </w:rPr>
        <w:tab/>
      </w:r>
      <w:r>
        <w:rPr>
          <w:b/>
        </w:rPr>
        <w:t>н езависимые</w:t>
      </w:r>
      <w:r>
        <w:rPr>
          <w:b/>
        </w:rPr>
        <w:tab/>
        <w:t>деменции</w:t>
      </w:r>
      <w:r>
        <w:rPr>
          <w:b/>
          <w:sz w:val="31"/>
          <w:vertAlign w:val="superscript"/>
        </w:rPr>
        <w:t xml:space="preserve">астении и/или </w:t>
      </w:r>
      <w:r>
        <w:rPr>
          <w:b/>
          <w:sz w:val="31"/>
          <w:vertAlign w:val="superscript"/>
        </w:rPr>
        <w:tab/>
      </w:r>
      <w:r>
        <w:rPr>
          <w:b/>
        </w:rPr>
        <w:t xml:space="preserve">деменцияастения и/или </w:t>
      </w:r>
      <w:r>
        <w:rPr>
          <w:b/>
        </w:rPr>
        <w:tab/>
        <w:t xml:space="preserve">Завершающий этап жизни характеристики /  </w:t>
      </w:r>
    </w:p>
    <w:p w:rsidR="00D27BC6" w:rsidRDefault="004D5071">
      <w:pPr>
        <w:spacing w:after="66"/>
        <w:ind w:left="-3" w:right="0"/>
      </w:pPr>
      <w:r>
        <w:rPr>
          <w:b/>
        </w:rPr>
        <w:t>риски</w:t>
      </w:r>
    </w:p>
    <w:p w:rsidR="00D27BC6" w:rsidRDefault="004D5071">
      <w:pPr>
        <w:ind w:left="76" w:right="51"/>
        <w:jc w:val="left"/>
      </w:pPr>
      <w:r>
        <w:rPr>
          <w:b/>
        </w:rPr>
        <w:t xml:space="preserve">Нет атеросклеротических </w:t>
      </w:r>
    </w:p>
    <w:p w:rsidR="00D27BC6" w:rsidRDefault="004D5071">
      <w:pPr>
        <w:ind w:left="76" w:right="51"/>
        <w:jc w:val="left"/>
      </w:pPr>
      <w:r>
        <w:rPr>
          <w:b/>
        </w:rPr>
        <w:t xml:space="preserve">сердечно-сосудистых </w:t>
      </w:r>
    </w:p>
    <w:p w:rsidR="00D27BC6" w:rsidRDefault="004D5071">
      <w:pPr>
        <w:tabs>
          <w:tab w:val="center" w:pos="3108"/>
          <w:tab w:val="center" w:pos="4204"/>
          <w:tab w:val="center" w:pos="5480"/>
        </w:tabs>
        <w:spacing w:after="41"/>
        <w:ind w:left="0" w:right="0" w:firstLine="0"/>
        <w:jc w:val="left"/>
      </w:pPr>
      <w:r>
        <w:rPr>
          <w:b/>
        </w:rPr>
        <w:t>заболеваний</w:t>
      </w:r>
      <w:r>
        <w:rPr>
          <w:b/>
          <w:sz w:val="18"/>
          <w:vertAlign w:val="superscript"/>
        </w:rPr>
        <w:footnoteReference w:id="3"/>
      </w:r>
      <w:r>
        <w:rPr>
          <w:b/>
        </w:rPr>
        <w:t xml:space="preserve"> и/или риска </w:t>
      </w:r>
      <w:r>
        <w:rPr>
          <w:b/>
        </w:rPr>
        <w:tab/>
      </w:r>
      <w:r>
        <w:t>&lt; 6,5%</w:t>
      </w:r>
      <w:r>
        <w:tab/>
        <w:t>&lt; 7,0%</w:t>
      </w:r>
      <w:r>
        <w:tab/>
        <w:t>7,5%</w:t>
      </w:r>
    </w:p>
    <w:p w:rsidR="00D27BC6" w:rsidRDefault="004D5071">
      <w:pPr>
        <w:tabs>
          <w:tab w:val="center" w:pos="9477"/>
        </w:tabs>
        <w:spacing w:after="111"/>
        <w:ind w:left="0" w:right="0" w:firstLine="0"/>
        <w:jc w:val="left"/>
      </w:pPr>
      <w:r>
        <w:rPr>
          <w:b/>
        </w:rPr>
        <w:t>тяжелой гипогликемии</w:t>
      </w:r>
      <w:r>
        <w:rPr>
          <w:b/>
          <w:sz w:val="18"/>
          <w:vertAlign w:val="superscript"/>
        </w:rPr>
        <w:footnoteReference w:id="4"/>
      </w:r>
      <w:r>
        <w:rPr>
          <w:b/>
          <w:sz w:val="18"/>
          <w:vertAlign w:val="superscript"/>
        </w:rPr>
        <w:footnoteReference w:id="5"/>
      </w:r>
      <w:r>
        <w:rPr>
          <w:b/>
          <w:sz w:val="18"/>
          <w:vertAlign w:val="superscript"/>
        </w:rPr>
        <w:tab/>
      </w:r>
      <w:r>
        <w:t xml:space="preserve">Избегать </w:t>
      </w:r>
    </w:p>
    <w:p w:rsidR="00D27BC6" w:rsidRDefault="004D5071">
      <w:pPr>
        <w:tabs>
          <w:tab w:val="center" w:pos="6822"/>
          <w:tab w:val="center" w:pos="8088"/>
          <w:tab w:val="right" w:pos="10213"/>
        </w:tabs>
        <w:spacing w:after="0" w:line="259" w:lineRule="auto"/>
        <w:ind w:left="0" w:right="0" w:firstLine="0"/>
        <w:jc w:val="left"/>
      </w:pPr>
      <w:r>
        <w:rPr>
          <w:sz w:val="22"/>
        </w:rPr>
        <w:tab/>
      </w:r>
      <w:r>
        <w:t>&lt; 8,0%</w:t>
      </w:r>
      <w:r>
        <w:tab/>
        <w:t>&lt; 8,5%</w:t>
      </w:r>
      <w:r>
        <w:tab/>
        <w:t xml:space="preserve">гипогликемий </w:t>
      </w:r>
    </w:p>
    <w:p w:rsidR="00D27BC6" w:rsidRDefault="004D5071">
      <w:pPr>
        <w:tabs>
          <w:tab w:val="right" w:pos="10213"/>
        </w:tabs>
        <w:ind w:left="0" w:right="0" w:firstLine="0"/>
        <w:jc w:val="left"/>
      </w:pPr>
      <w:r>
        <w:rPr>
          <w:b/>
        </w:rPr>
        <w:t xml:space="preserve">Есть атеросклеротические </w:t>
      </w:r>
      <w:r>
        <w:rPr>
          <w:b/>
        </w:rPr>
        <w:tab/>
      </w:r>
      <w:r>
        <w:t xml:space="preserve">и симптомов </w:t>
      </w:r>
    </w:p>
    <w:p w:rsidR="00D27BC6" w:rsidRDefault="004D5071">
      <w:pPr>
        <w:spacing w:after="155"/>
        <w:ind w:left="76" w:right="51"/>
        <w:jc w:val="left"/>
      </w:pPr>
      <w:r>
        <w:rPr>
          <w:b/>
        </w:rPr>
        <w:t xml:space="preserve">сердечно-сосудистые </w:t>
      </w:r>
      <w:r>
        <w:rPr>
          <w:b/>
        </w:rPr>
        <w:tab/>
      </w:r>
      <w:r>
        <w:t xml:space="preserve">гипергликемии </w:t>
      </w:r>
      <w:r>
        <w:rPr>
          <w:b/>
        </w:rPr>
        <w:t xml:space="preserve">заболевания и/или риск </w:t>
      </w:r>
      <w:r>
        <w:rPr>
          <w:b/>
        </w:rPr>
        <w:tab/>
      </w:r>
      <w:r>
        <w:t>&lt; 7,0%</w:t>
      </w:r>
      <w:r>
        <w:tab/>
        <w:t>&lt; 7,5%</w:t>
      </w:r>
      <w:r>
        <w:tab/>
        <w:t xml:space="preserve">&lt; 8,0% </w:t>
      </w:r>
      <w:r>
        <w:rPr>
          <w:b/>
        </w:rPr>
        <w:t>тяжелой гипогликемии</w:t>
      </w:r>
    </w:p>
    <w:p w:rsidR="00D27BC6" w:rsidRDefault="004D5071">
      <w:pPr>
        <w:ind w:left="-1" w:right="0"/>
      </w:pPr>
      <w:r>
        <w:t>При низкой ожидаемой продолжительности жизни (&lt; 5 лет) цели лечения могут быть менее стр</w:t>
      </w:r>
      <w:r>
        <w:t>огими</w:t>
      </w:r>
    </w:p>
    <w:p w:rsidR="00D27BC6" w:rsidRDefault="004D5071">
      <w:pPr>
        <w:pStyle w:val="Heading2"/>
        <w:ind w:left="-3" w:right="1857"/>
      </w:pPr>
      <w:r>
        <w:t>Данным целевым уровням HbA1c будут соответствовать следующие целевые значения пре- и постпрандиального уровня глюкозы плазмы</w:t>
      </w:r>
      <w:r>
        <w:rPr>
          <w:sz w:val="18"/>
          <w:vertAlign w:val="superscript"/>
        </w:rPr>
        <w:t>1</w:t>
      </w:r>
    </w:p>
    <w:tbl>
      <w:tblPr>
        <w:tblStyle w:val="TableGrid"/>
        <w:tblW w:w="10195" w:type="dxa"/>
        <w:tblInd w:w="9" w:type="dxa"/>
        <w:tblCellMar>
          <w:top w:w="9" w:type="dxa"/>
          <w:left w:w="61" w:type="dxa"/>
          <w:bottom w:w="0" w:type="dxa"/>
          <w:right w:w="61" w:type="dxa"/>
        </w:tblCellMar>
        <w:tblLook w:val="04A0" w:firstRow="1" w:lastRow="0" w:firstColumn="1" w:lastColumn="0" w:noHBand="0" w:noVBand="1"/>
      </w:tblPr>
      <w:tblGrid>
        <w:gridCol w:w="3398"/>
        <w:gridCol w:w="3398"/>
        <w:gridCol w:w="3398"/>
      </w:tblGrid>
      <w:tr w:rsidR="00D27BC6">
        <w:trPr>
          <w:trHeight w:val="517"/>
        </w:trPr>
        <w:tc>
          <w:tcPr>
            <w:tcW w:w="3398"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HbA1c, %</w:t>
            </w:r>
            <w:r>
              <w:rPr>
                <w:b/>
                <w:sz w:val="18"/>
                <w:vertAlign w:val="superscript"/>
              </w:rPr>
              <w:t>2</w:t>
            </w:r>
          </w:p>
        </w:tc>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Глюкоза плазмы натощак/ перед едой/на ночь/ночью, ммоль/л</w:t>
            </w:r>
          </w:p>
        </w:tc>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411" w:right="411" w:firstLine="0"/>
              <w:jc w:val="center"/>
            </w:pPr>
            <w:r>
              <w:rPr>
                <w:b/>
              </w:rPr>
              <w:t>Глюкоза плазмы через  2 часа после еды, ммоль/л</w:t>
            </w:r>
          </w:p>
        </w:tc>
      </w:tr>
      <w:tr w:rsidR="00D27BC6">
        <w:trPr>
          <w:trHeight w:val="297"/>
        </w:trPr>
        <w:tc>
          <w:tcPr>
            <w:tcW w:w="3398" w:type="dxa"/>
            <w:tcBorders>
              <w:top w:val="single" w:sz="6" w:space="0" w:color="000000"/>
              <w:left w:val="single" w:sz="6" w:space="0" w:color="000000"/>
              <w:bottom w:val="single" w:sz="6" w:space="0" w:color="000000"/>
              <w:right w:val="single" w:sz="6" w:space="0" w:color="000000"/>
            </w:tcBorders>
            <w:shd w:val="clear" w:color="auto" w:fill="FFF59B"/>
          </w:tcPr>
          <w:p w:rsidR="00D27BC6" w:rsidRDefault="004D5071">
            <w:pPr>
              <w:spacing w:after="0" w:line="259" w:lineRule="auto"/>
              <w:ind w:left="0" w:right="0" w:firstLine="0"/>
              <w:jc w:val="center"/>
            </w:pPr>
            <w:r>
              <w:t>&lt; 6,5</w:t>
            </w:r>
          </w:p>
        </w:tc>
        <w:tc>
          <w:tcPr>
            <w:tcW w:w="3398" w:type="dxa"/>
            <w:tcBorders>
              <w:top w:val="single" w:sz="6" w:space="0" w:color="000000"/>
              <w:left w:val="single" w:sz="6" w:space="0" w:color="000000"/>
              <w:bottom w:val="single" w:sz="6" w:space="0" w:color="000000"/>
              <w:right w:val="single" w:sz="6" w:space="0" w:color="000000"/>
            </w:tcBorders>
            <w:shd w:val="clear" w:color="auto" w:fill="FFF59B"/>
          </w:tcPr>
          <w:p w:rsidR="00D27BC6" w:rsidRDefault="004D5071">
            <w:pPr>
              <w:spacing w:after="0" w:line="259" w:lineRule="auto"/>
              <w:ind w:left="0" w:right="0" w:firstLine="0"/>
              <w:jc w:val="center"/>
            </w:pPr>
            <w:r>
              <w:t>&lt; 6,5</w:t>
            </w:r>
          </w:p>
        </w:tc>
        <w:tc>
          <w:tcPr>
            <w:tcW w:w="3398" w:type="dxa"/>
            <w:tcBorders>
              <w:top w:val="single" w:sz="6" w:space="0" w:color="000000"/>
              <w:left w:val="single" w:sz="6" w:space="0" w:color="000000"/>
              <w:bottom w:val="single" w:sz="6" w:space="0" w:color="000000"/>
              <w:right w:val="single" w:sz="6" w:space="0" w:color="000000"/>
            </w:tcBorders>
            <w:shd w:val="clear" w:color="auto" w:fill="FFF59B"/>
          </w:tcPr>
          <w:p w:rsidR="00D27BC6" w:rsidRDefault="004D5071">
            <w:pPr>
              <w:spacing w:after="0" w:line="259" w:lineRule="auto"/>
              <w:ind w:left="0" w:right="0" w:firstLine="0"/>
              <w:jc w:val="center"/>
            </w:pPr>
            <w:r>
              <w:t>&lt; 8,0</w:t>
            </w:r>
          </w:p>
        </w:tc>
      </w:tr>
      <w:tr w:rsidR="00D27BC6">
        <w:trPr>
          <w:trHeight w:val="297"/>
        </w:trPr>
        <w:tc>
          <w:tcPr>
            <w:tcW w:w="3398" w:type="dxa"/>
            <w:tcBorders>
              <w:top w:val="single" w:sz="6" w:space="0" w:color="000000"/>
              <w:left w:val="single" w:sz="6" w:space="0" w:color="000000"/>
              <w:bottom w:val="single" w:sz="6" w:space="0" w:color="000000"/>
              <w:right w:val="single" w:sz="6" w:space="0" w:color="000000"/>
            </w:tcBorders>
            <w:shd w:val="clear" w:color="auto" w:fill="FFED00"/>
          </w:tcPr>
          <w:p w:rsidR="00D27BC6" w:rsidRDefault="004D5071">
            <w:pPr>
              <w:spacing w:after="0" w:line="259" w:lineRule="auto"/>
              <w:ind w:left="0" w:right="0" w:firstLine="0"/>
              <w:jc w:val="center"/>
            </w:pPr>
            <w:r>
              <w:t>&lt; 7,0</w:t>
            </w:r>
          </w:p>
        </w:tc>
        <w:tc>
          <w:tcPr>
            <w:tcW w:w="3398" w:type="dxa"/>
            <w:tcBorders>
              <w:top w:val="single" w:sz="6" w:space="0" w:color="000000"/>
              <w:left w:val="single" w:sz="6" w:space="0" w:color="000000"/>
              <w:bottom w:val="single" w:sz="6" w:space="0" w:color="000000"/>
              <w:right w:val="single" w:sz="6" w:space="0" w:color="000000"/>
            </w:tcBorders>
            <w:shd w:val="clear" w:color="auto" w:fill="FFED00"/>
          </w:tcPr>
          <w:p w:rsidR="00D27BC6" w:rsidRDefault="004D5071">
            <w:pPr>
              <w:spacing w:after="0" w:line="259" w:lineRule="auto"/>
              <w:ind w:left="0" w:right="0" w:firstLine="0"/>
              <w:jc w:val="center"/>
            </w:pPr>
            <w:r>
              <w:t>&lt; 7,0</w:t>
            </w:r>
          </w:p>
        </w:tc>
        <w:tc>
          <w:tcPr>
            <w:tcW w:w="3398" w:type="dxa"/>
            <w:tcBorders>
              <w:top w:val="single" w:sz="6" w:space="0" w:color="000000"/>
              <w:left w:val="single" w:sz="6" w:space="0" w:color="000000"/>
              <w:bottom w:val="single" w:sz="6" w:space="0" w:color="000000"/>
              <w:right w:val="single" w:sz="6" w:space="0" w:color="000000"/>
            </w:tcBorders>
            <w:shd w:val="clear" w:color="auto" w:fill="FFED00"/>
          </w:tcPr>
          <w:p w:rsidR="00D27BC6" w:rsidRDefault="004D5071">
            <w:pPr>
              <w:spacing w:after="0" w:line="259" w:lineRule="auto"/>
              <w:ind w:left="0" w:right="0" w:firstLine="0"/>
              <w:jc w:val="center"/>
            </w:pPr>
            <w:r>
              <w:t>&lt; 9,0</w:t>
            </w:r>
          </w:p>
        </w:tc>
      </w:tr>
      <w:tr w:rsidR="00D27BC6">
        <w:trPr>
          <w:trHeight w:val="297"/>
        </w:trPr>
        <w:tc>
          <w:tcPr>
            <w:tcW w:w="3398" w:type="dxa"/>
            <w:tcBorders>
              <w:top w:val="single" w:sz="6" w:space="0" w:color="000000"/>
              <w:left w:val="single" w:sz="6" w:space="0" w:color="000000"/>
              <w:bottom w:val="single" w:sz="6" w:space="0" w:color="000000"/>
              <w:right w:val="single" w:sz="6" w:space="0" w:color="000000"/>
            </w:tcBorders>
            <w:shd w:val="clear" w:color="auto" w:fill="F8C899"/>
          </w:tcPr>
          <w:p w:rsidR="00D27BC6" w:rsidRDefault="004D5071">
            <w:pPr>
              <w:spacing w:after="0" w:line="259" w:lineRule="auto"/>
              <w:ind w:left="0" w:right="0" w:firstLine="0"/>
              <w:jc w:val="center"/>
            </w:pPr>
            <w:r>
              <w:t>&lt; 7,5</w:t>
            </w:r>
          </w:p>
        </w:tc>
        <w:tc>
          <w:tcPr>
            <w:tcW w:w="3398" w:type="dxa"/>
            <w:tcBorders>
              <w:top w:val="single" w:sz="6" w:space="0" w:color="000000"/>
              <w:left w:val="single" w:sz="6" w:space="0" w:color="000000"/>
              <w:bottom w:val="single" w:sz="6" w:space="0" w:color="000000"/>
              <w:right w:val="single" w:sz="6" w:space="0" w:color="000000"/>
            </w:tcBorders>
            <w:shd w:val="clear" w:color="auto" w:fill="F8C899"/>
          </w:tcPr>
          <w:p w:rsidR="00D27BC6" w:rsidRDefault="004D5071">
            <w:pPr>
              <w:spacing w:after="0" w:line="259" w:lineRule="auto"/>
              <w:ind w:left="0" w:right="0" w:firstLine="0"/>
              <w:jc w:val="center"/>
            </w:pPr>
            <w:r>
              <w:t>&lt; 7,5</w:t>
            </w:r>
          </w:p>
        </w:tc>
        <w:tc>
          <w:tcPr>
            <w:tcW w:w="3398" w:type="dxa"/>
            <w:tcBorders>
              <w:top w:val="single" w:sz="6" w:space="0" w:color="000000"/>
              <w:left w:val="single" w:sz="6" w:space="0" w:color="000000"/>
              <w:bottom w:val="single" w:sz="6" w:space="0" w:color="000000"/>
              <w:right w:val="single" w:sz="6" w:space="0" w:color="000000"/>
            </w:tcBorders>
            <w:shd w:val="clear" w:color="auto" w:fill="F8C899"/>
          </w:tcPr>
          <w:p w:rsidR="00D27BC6" w:rsidRDefault="004D5071">
            <w:pPr>
              <w:spacing w:after="0" w:line="259" w:lineRule="auto"/>
              <w:ind w:left="0" w:right="0" w:firstLine="0"/>
              <w:jc w:val="center"/>
            </w:pPr>
            <w:r>
              <w:t>&lt; 10,0</w:t>
            </w:r>
          </w:p>
        </w:tc>
      </w:tr>
      <w:tr w:rsidR="00D27BC6">
        <w:trPr>
          <w:trHeight w:val="297"/>
        </w:trPr>
        <w:tc>
          <w:tcPr>
            <w:tcW w:w="3398" w:type="dxa"/>
            <w:tcBorders>
              <w:top w:val="single" w:sz="6" w:space="0" w:color="000000"/>
              <w:left w:val="single" w:sz="6" w:space="0" w:color="000000"/>
              <w:bottom w:val="single" w:sz="6" w:space="0" w:color="000000"/>
              <w:right w:val="single" w:sz="6" w:space="0" w:color="000000"/>
            </w:tcBorders>
            <w:shd w:val="clear" w:color="auto" w:fill="ECB681"/>
          </w:tcPr>
          <w:p w:rsidR="00D27BC6" w:rsidRDefault="004D5071">
            <w:pPr>
              <w:spacing w:after="0" w:line="259" w:lineRule="auto"/>
              <w:ind w:left="0" w:right="0" w:firstLine="0"/>
              <w:jc w:val="center"/>
            </w:pPr>
            <w:r>
              <w:t>&lt; 8,0</w:t>
            </w:r>
          </w:p>
        </w:tc>
        <w:tc>
          <w:tcPr>
            <w:tcW w:w="3398" w:type="dxa"/>
            <w:tcBorders>
              <w:top w:val="single" w:sz="6" w:space="0" w:color="000000"/>
              <w:left w:val="single" w:sz="6" w:space="0" w:color="000000"/>
              <w:bottom w:val="single" w:sz="6" w:space="0" w:color="000000"/>
              <w:right w:val="single" w:sz="6" w:space="0" w:color="000000"/>
            </w:tcBorders>
            <w:shd w:val="clear" w:color="auto" w:fill="ECB681"/>
          </w:tcPr>
          <w:p w:rsidR="00D27BC6" w:rsidRDefault="004D5071">
            <w:pPr>
              <w:spacing w:after="0" w:line="259" w:lineRule="auto"/>
              <w:ind w:left="0" w:right="0" w:firstLine="0"/>
              <w:jc w:val="center"/>
            </w:pPr>
            <w:r>
              <w:t>&lt; 8,0</w:t>
            </w:r>
          </w:p>
        </w:tc>
        <w:tc>
          <w:tcPr>
            <w:tcW w:w="3398" w:type="dxa"/>
            <w:tcBorders>
              <w:top w:val="single" w:sz="6" w:space="0" w:color="000000"/>
              <w:left w:val="single" w:sz="6" w:space="0" w:color="000000"/>
              <w:bottom w:val="single" w:sz="6" w:space="0" w:color="000000"/>
              <w:right w:val="single" w:sz="6" w:space="0" w:color="000000"/>
            </w:tcBorders>
            <w:shd w:val="clear" w:color="auto" w:fill="ECB681"/>
          </w:tcPr>
          <w:p w:rsidR="00D27BC6" w:rsidRDefault="004D5071">
            <w:pPr>
              <w:spacing w:after="0" w:line="259" w:lineRule="auto"/>
              <w:ind w:left="0" w:right="0" w:firstLine="0"/>
              <w:jc w:val="center"/>
            </w:pPr>
            <w:r>
              <w:t>&lt; 11,0</w:t>
            </w:r>
          </w:p>
        </w:tc>
      </w:tr>
      <w:tr w:rsidR="00D27BC6">
        <w:trPr>
          <w:trHeight w:val="297"/>
        </w:trPr>
        <w:tc>
          <w:tcPr>
            <w:tcW w:w="3398" w:type="dxa"/>
            <w:tcBorders>
              <w:top w:val="single" w:sz="6" w:space="0" w:color="000000"/>
              <w:left w:val="single" w:sz="6" w:space="0" w:color="000000"/>
              <w:bottom w:val="single" w:sz="6" w:space="0" w:color="000000"/>
              <w:right w:val="single" w:sz="6" w:space="0" w:color="000000"/>
            </w:tcBorders>
            <w:shd w:val="clear" w:color="auto" w:fill="E8A662"/>
          </w:tcPr>
          <w:p w:rsidR="00D27BC6" w:rsidRDefault="004D5071">
            <w:pPr>
              <w:spacing w:after="0" w:line="259" w:lineRule="auto"/>
              <w:ind w:left="0" w:right="0" w:firstLine="0"/>
              <w:jc w:val="center"/>
            </w:pPr>
            <w:r>
              <w:t>&lt; 8,5</w:t>
            </w:r>
          </w:p>
        </w:tc>
        <w:tc>
          <w:tcPr>
            <w:tcW w:w="3398" w:type="dxa"/>
            <w:tcBorders>
              <w:top w:val="single" w:sz="6" w:space="0" w:color="000000"/>
              <w:left w:val="single" w:sz="6" w:space="0" w:color="000000"/>
              <w:bottom w:val="single" w:sz="6" w:space="0" w:color="000000"/>
              <w:right w:val="single" w:sz="6" w:space="0" w:color="000000"/>
            </w:tcBorders>
            <w:shd w:val="clear" w:color="auto" w:fill="E8A662"/>
          </w:tcPr>
          <w:p w:rsidR="00D27BC6" w:rsidRDefault="004D5071">
            <w:pPr>
              <w:spacing w:after="0" w:line="259" w:lineRule="auto"/>
              <w:ind w:left="0" w:right="0" w:firstLine="0"/>
              <w:jc w:val="center"/>
            </w:pPr>
            <w:r>
              <w:t>&lt; 8,5</w:t>
            </w:r>
          </w:p>
        </w:tc>
        <w:tc>
          <w:tcPr>
            <w:tcW w:w="3398" w:type="dxa"/>
            <w:tcBorders>
              <w:top w:val="single" w:sz="6" w:space="0" w:color="000000"/>
              <w:left w:val="single" w:sz="6" w:space="0" w:color="000000"/>
              <w:bottom w:val="single" w:sz="6" w:space="0" w:color="000000"/>
              <w:right w:val="single" w:sz="6" w:space="0" w:color="000000"/>
            </w:tcBorders>
            <w:shd w:val="clear" w:color="auto" w:fill="E8A662"/>
          </w:tcPr>
          <w:p w:rsidR="00D27BC6" w:rsidRDefault="004D5071">
            <w:pPr>
              <w:spacing w:after="0" w:line="259" w:lineRule="auto"/>
              <w:ind w:left="0" w:right="0" w:firstLine="0"/>
              <w:jc w:val="center"/>
            </w:pPr>
            <w:r>
              <w:t>&lt; 12,0</w:t>
            </w:r>
          </w:p>
        </w:tc>
      </w:tr>
    </w:tbl>
    <w:p w:rsidR="00D27BC6" w:rsidRDefault="004D5071">
      <w:pPr>
        <w:numPr>
          <w:ilvl w:val="0"/>
          <w:numId w:val="9"/>
        </w:numPr>
        <w:spacing w:after="4"/>
        <w:ind w:right="0" w:hanging="82"/>
      </w:pPr>
      <w:r>
        <w:rPr>
          <w:sz w:val="16"/>
        </w:rPr>
        <w:t>Данные целевые значения не относятся к детям, подросткам и беременным женщинам.</w:t>
      </w:r>
    </w:p>
    <w:p w:rsidR="00D27BC6" w:rsidRDefault="004D5071">
      <w:pPr>
        <w:numPr>
          <w:ilvl w:val="0"/>
          <w:numId w:val="9"/>
        </w:numPr>
        <w:spacing w:after="348"/>
        <w:ind w:right="0" w:hanging="82"/>
      </w:pPr>
      <w:r>
        <w:rPr>
          <w:sz w:val="16"/>
        </w:rPr>
        <w:t>Нормальный уровень в соответствии со стандартами DCCT: до 6%.</w:t>
      </w:r>
    </w:p>
    <w:p w:rsidR="00D27BC6" w:rsidRDefault="004D5071">
      <w:pPr>
        <w:spacing w:after="0" w:line="259" w:lineRule="auto"/>
        <w:ind w:left="-3" w:right="0"/>
        <w:jc w:val="left"/>
      </w:pPr>
      <w:r>
        <w:rPr>
          <w:b/>
          <w:color w:val="6F6F6E"/>
        </w:rPr>
        <w:t xml:space="preserve">Соответствие HbA1c среднесуточному уровню глюкозы плазмы (ССГП) за последние 3 мес. </w:t>
      </w:r>
    </w:p>
    <w:p w:rsidR="00D27BC6" w:rsidRDefault="004D5071">
      <w:pPr>
        <w:pStyle w:val="Heading2"/>
        <w:ind w:left="-3"/>
      </w:pPr>
      <w:r>
        <w:t>ССГП (ммоль/л) = 1.5944 × HbA1c (%) – 2.594</w:t>
      </w:r>
    </w:p>
    <w:tbl>
      <w:tblPr>
        <w:tblStyle w:val="TableGrid"/>
        <w:tblW w:w="10195" w:type="dxa"/>
        <w:tblInd w:w="9" w:type="dxa"/>
        <w:tblCellMar>
          <w:top w:w="9" w:type="dxa"/>
          <w:left w:w="208" w:type="dxa"/>
          <w:bottom w:w="0" w:type="dxa"/>
          <w:right w:w="115" w:type="dxa"/>
        </w:tblCellMar>
        <w:tblLook w:val="04A0" w:firstRow="1" w:lastRow="0" w:firstColumn="1" w:lastColumn="0" w:noHBand="0" w:noVBand="1"/>
      </w:tblPr>
      <w:tblGrid>
        <w:gridCol w:w="1274"/>
        <w:gridCol w:w="1274"/>
        <w:gridCol w:w="1274"/>
        <w:gridCol w:w="1274"/>
        <w:gridCol w:w="1274"/>
        <w:gridCol w:w="1274"/>
        <w:gridCol w:w="1274"/>
        <w:gridCol w:w="1274"/>
      </w:tblGrid>
      <w:tr w:rsidR="00D27BC6">
        <w:trPr>
          <w:trHeight w:val="517"/>
        </w:trPr>
        <w:tc>
          <w:tcPr>
            <w:tcW w:w="1274"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HbA1c, %</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rPr>
                <w:b/>
              </w:rPr>
              <w:t>CCГП, ммоль/л</w:t>
            </w:r>
          </w:p>
        </w:tc>
        <w:tc>
          <w:tcPr>
            <w:tcW w:w="1274"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HbA1c, %</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rPr>
                <w:b/>
              </w:rPr>
              <w:t>CCГП, ммоль/л</w:t>
            </w:r>
          </w:p>
        </w:tc>
        <w:tc>
          <w:tcPr>
            <w:tcW w:w="1274"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HbA1c, %</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rPr>
                <w:b/>
              </w:rPr>
              <w:t>CCГП, ммоль/л</w:t>
            </w:r>
          </w:p>
        </w:tc>
        <w:tc>
          <w:tcPr>
            <w:tcW w:w="1274"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HbA1c, %</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rPr>
                <w:b/>
              </w:rPr>
              <w:t>CCГП, ммоль/л</w:t>
            </w:r>
          </w:p>
        </w:tc>
      </w:tr>
      <w:tr w:rsidR="00D27BC6">
        <w:trPr>
          <w:trHeight w:val="297"/>
        </w:trPr>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3" w:firstLine="0"/>
              <w:jc w:val="center"/>
            </w:pPr>
            <w:r>
              <w:rPr>
                <w:b/>
              </w:rPr>
              <w:t>4</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4" w:firstLine="0"/>
              <w:jc w:val="center"/>
            </w:pPr>
            <w:r>
              <w:rPr>
                <w:b/>
              </w:rPr>
              <w:t>3,8</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4" w:firstLine="0"/>
              <w:jc w:val="center"/>
            </w:pPr>
            <w:r>
              <w:rPr>
                <w:b/>
              </w:rPr>
              <w:t>8</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3" w:firstLine="0"/>
              <w:jc w:val="center"/>
            </w:pPr>
            <w:r>
              <w:rPr>
                <w:b/>
              </w:rPr>
              <w:t>10,2</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4" w:firstLine="0"/>
              <w:jc w:val="center"/>
            </w:pPr>
            <w:r>
              <w:rPr>
                <w:b/>
              </w:rPr>
              <w:t>12</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4" w:firstLine="0"/>
              <w:jc w:val="center"/>
            </w:pPr>
            <w:r>
              <w:rPr>
                <w:b/>
              </w:rPr>
              <w:t>16,5</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4" w:firstLine="0"/>
              <w:jc w:val="center"/>
            </w:pPr>
            <w:r>
              <w:rPr>
                <w:b/>
              </w:rPr>
              <w:t>16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4" w:firstLine="0"/>
              <w:jc w:val="center"/>
            </w:pPr>
            <w:r>
              <w:rPr>
                <w:b/>
              </w:rPr>
              <w:t>22,9</w:t>
            </w:r>
          </w:p>
        </w:tc>
      </w:tr>
      <w:tr w:rsidR="00D27BC6">
        <w:trPr>
          <w:trHeight w:val="297"/>
        </w:trPr>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4" w:firstLine="0"/>
              <w:jc w:val="center"/>
            </w:pPr>
            <w:r>
              <w:t>4,5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4" w:firstLine="0"/>
              <w:jc w:val="center"/>
            </w:pPr>
            <w:r>
              <w:t>4,6</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4" w:firstLine="0"/>
              <w:jc w:val="center"/>
            </w:pPr>
            <w:r>
              <w:t>8,5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4" w:firstLine="0"/>
              <w:jc w:val="center"/>
            </w:pPr>
            <w:r>
              <w:t>11,0</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4" w:firstLine="0"/>
              <w:jc w:val="center"/>
            </w:pPr>
            <w:r>
              <w:t>12,5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3" w:firstLine="0"/>
              <w:jc w:val="center"/>
            </w:pPr>
            <w:r>
              <w:t>17,3</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3" w:firstLine="0"/>
              <w:jc w:val="center"/>
            </w:pPr>
            <w:r>
              <w:t>16,5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3" w:firstLine="0"/>
              <w:jc w:val="center"/>
            </w:pPr>
            <w:r>
              <w:t>23,7</w:t>
            </w:r>
          </w:p>
        </w:tc>
      </w:tr>
      <w:tr w:rsidR="00D27BC6">
        <w:trPr>
          <w:trHeight w:val="297"/>
        </w:trPr>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3" w:firstLine="0"/>
              <w:jc w:val="center"/>
            </w:pPr>
            <w:r>
              <w:t>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3" w:firstLine="0"/>
              <w:jc w:val="center"/>
            </w:pPr>
            <w:r>
              <w:t>5,4</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3" w:firstLine="0"/>
              <w:jc w:val="center"/>
            </w:pPr>
            <w:r>
              <w:t>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3" w:firstLine="0"/>
              <w:jc w:val="center"/>
            </w:pPr>
            <w:r>
              <w:t>11,8</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3" w:firstLine="0"/>
              <w:jc w:val="center"/>
            </w:pPr>
            <w:r>
              <w:t>13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3" w:firstLine="0"/>
              <w:jc w:val="center"/>
            </w:pPr>
            <w:r>
              <w:t>18,1</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3" w:firstLine="0"/>
              <w:jc w:val="center"/>
            </w:pPr>
            <w:r>
              <w:t>17</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2" w:firstLine="0"/>
              <w:jc w:val="center"/>
            </w:pPr>
            <w:r>
              <w:t>24,5</w:t>
            </w:r>
          </w:p>
        </w:tc>
      </w:tr>
      <w:tr w:rsidR="00D27BC6">
        <w:trPr>
          <w:trHeight w:val="297"/>
        </w:trPr>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2" w:firstLine="0"/>
              <w:jc w:val="center"/>
            </w:pPr>
            <w:r>
              <w:t>5,5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2" w:firstLine="0"/>
              <w:jc w:val="center"/>
            </w:pPr>
            <w:r>
              <w:t>6,2</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2" w:firstLine="0"/>
              <w:jc w:val="center"/>
            </w:pPr>
            <w:r>
              <w:t>9,5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2" w:firstLine="0"/>
              <w:jc w:val="center"/>
            </w:pPr>
            <w:r>
              <w:t>12,6</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2" w:firstLine="0"/>
              <w:jc w:val="center"/>
            </w:pPr>
            <w:r>
              <w:t>13,5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2" w:firstLine="0"/>
              <w:jc w:val="center"/>
            </w:pPr>
            <w:r>
              <w:t>18,9</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2" w:firstLine="0"/>
              <w:jc w:val="center"/>
            </w:pPr>
            <w:r>
              <w:t>17,5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2" w:firstLine="0"/>
              <w:jc w:val="center"/>
            </w:pPr>
            <w:r>
              <w:t>25,3</w:t>
            </w:r>
          </w:p>
        </w:tc>
      </w:tr>
      <w:tr w:rsidR="00D27BC6">
        <w:trPr>
          <w:trHeight w:val="297"/>
        </w:trPr>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1" w:firstLine="0"/>
              <w:jc w:val="center"/>
            </w:pPr>
            <w:r>
              <w:t>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1" w:firstLine="0"/>
              <w:jc w:val="center"/>
            </w:pPr>
            <w:r>
              <w:t>7,0</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1" w:firstLine="0"/>
              <w:jc w:val="center"/>
            </w:pPr>
            <w:r>
              <w:t>10</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1" w:firstLine="0"/>
              <w:jc w:val="center"/>
            </w:pPr>
            <w:r>
              <w:t>13,4</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1" w:firstLine="0"/>
              <w:jc w:val="center"/>
            </w:pPr>
            <w:r>
              <w:t>14</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1" w:firstLine="0"/>
              <w:jc w:val="center"/>
            </w:pPr>
            <w:r>
              <w:t>19,7</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1" w:firstLine="0"/>
              <w:jc w:val="center"/>
            </w:pPr>
            <w:r>
              <w:t>18</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1" w:firstLine="0"/>
              <w:jc w:val="center"/>
            </w:pPr>
            <w:r>
              <w:t>26,1</w:t>
            </w:r>
          </w:p>
        </w:tc>
      </w:tr>
      <w:tr w:rsidR="00D27BC6">
        <w:trPr>
          <w:trHeight w:val="297"/>
        </w:trPr>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1" w:firstLine="0"/>
              <w:jc w:val="center"/>
            </w:pPr>
            <w:r>
              <w:t>6,5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0" w:firstLine="0"/>
              <w:jc w:val="center"/>
            </w:pPr>
            <w:r>
              <w:t>7,8</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1" w:firstLine="0"/>
              <w:jc w:val="center"/>
            </w:pPr>
            <w:r>
              <w:t>10,5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0" w:firstLine="0"/>
              <w:jc w:val="center"/>
            </w:pPr>
            <w:r>
              <w:t>14,2</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0" w:firstLine="0"/>
              <w:jc w:val="center"/>
            </w:pPr>
            <w:r>
              <w:t>14,5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0" w:firstLine="0"/>
              <w:jc w:val="center"/>
            </w:pPr>
            <w:r>
              <w:t>20,5</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0" w:firstLine="0"/>
              <w:jc w:val="center"/>
            </w:pPr>
            <w:r>
              <w:t>18,5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0" w:firstLine="0"/>
              <w:jc w:val="center"/>
            </w:pPr>
            <w:r>
              <w:t>26,9</w:t>
            </w:r>
          </w:p>
        </w:tc>
      </w:tr>
      <w:tr w:rsidR="00D27BC6">
        <w:trPr>
          <w:trHeight w:val="297"/>
        </w:trPr>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0" w:firstLine="0"/>
              <w:jc w:val="center"/>
            </w:pPr>
            <w:r>
              <w:t>7</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0" w:firstLine="0"/>
              <w:jc w:val="center"/>
            </w:pPr>
            <w:r>
              <w:t>8,6</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0" w:firstLine="0"/>
              <w:jc w:val="center"/>
            </w:pPr>
            <w:r>
              <w:t>11</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0" w:firstLine="0"/>
              <w:jc w:val="center"/>
            </w:pPr>
            <w:r>
              <w:t>14,9</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0" w:firstLine="0"/>
              <w:jc w:val="center"/>
            </w:pPr>
            <w:r>
              <w:t>15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89" w:firstLine="0"/>
              <w:jc w:val="center"/>
            </w:pPr>
            <w:r>
              <w:t>21,3</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89" w:firstLine="0"/>
              <w:jc w:val="center"/>
            </w:pPr>
            <w:r>
              <w:t>19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89" w:firstLine="0"/>
              <w:jc w:val="center"/>
            </w:pPr>
            <w:r>
              <w:t>27,7</w:t>
            </w:r>
          </w:p>
        </w:tc>
      </w:tr>
      <w:tr w:rsidR="00D27BC6">
        <w:trPr>
          <w:trHeight w:val="297"/>
        </w:trPr>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89" w:firstLine="0"/>
              <w:jc w:val="center"/>
            </w:pPr>
            <w:r>
              <w:t>7,5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89" w:firstLine="0"/>
              <w:jc w:val="center"/>
            </w:pPr>
            <w:r>
              <w:t>9,4</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89" w:firstLine="0"/>
              <w:jc w:val="center"/>
            </w:pPr>
            <w:r>
              <w:t>11,5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89" w:firstLine="0"/>
              <w:jc w:val="center"/>
            </w:pPr>
            <w:r>
              <w:t>15,7</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89" w:firstLine="0"/>
              <w:jc w:val="center"/>
            </w:pPr>
            <w:r>
              <w:t>15,5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89" w:firstLine="0"/>
              <w:jc w:val="center"/>
            </w:pPr>
            <w:r>
              <w:t>22,1</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89" w:firstLine="0"/>
              <w:jc w:val="center"/>
            </w:pPr>
            <w:r>
              <w:t>19,5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88" w:firstLine="0"/>
              <w:jc w:val="center"/>
            </w:pPr>
            <w:r>
              <w:t>28,5</w:t>
            </w:r>
          </w:p>
        </w:tc>
      </w:tr>
    </w:tbl>
    <w:p w:rsidR="00D27BC6" w:rsidRDefault="004D5071">
      <w:pPr>
        <w:spacing w:after="230"/>
        <w:ind w:left="-11" w:right="0" w:firstLine="283"/>
      </w:pPr>
      <w:r>
        <w:t>Для пациентов, осуществляющих самоконтроль с помощью систем непрерывного мониторирования глюкозы (НМГ) в качестве целей гликемического контроля дополнительно используются стандартизированные показатели, включая время в диапазонах глюкозы (время в целевом д</w:t>
      </w:r>
      <w:r>
        <w:t xml:space="preserve">иапазоне, время выше целевого диапазона, время ниже целевого диапазона). </w:t>
      </w:r>
    </w:p>
    <w:p w:rsidR="00D27BC6" w:rsidRDefault="004D5071">
      <w:pPr>
        <w:pStyle w:val="Heading2"/>
        <w:ind w:left="-3"/>
      </w:pPr>
      <w:r>
        <w:t>Стандартизованные показатели непрерывного мониторирования глюкозы и их целевые значения у пациентов с СД</w:t>
      </w:r>
    </w:p>
    <w:tbl>
      <w:tblPr>
        <w:tblStyle w:val="TableGrid"/>
        <w:tblW w:w="10191" w:type="dxa"/>
        <w:tblInd w:w="9" w:type="dxa"/>
        <w:tblCellMar>
          <w:top w:w="9" w:type="dxa"/>
          <w:left w:w="57" w:type="dxa"/>
          <w:bottom w:w="0" w:type="dxa"/>
          <w:right w:w="24" w:type="dxa"/>
        </w:tblCellMar>
        <w:tblLook w:val="04A0" w:firstRow="1" w:lastRow="0" w:firstColumn="1" w:lastColumn="0" w:noHBand="0" w:noVBand="1"/>
      </w:tblPr>
      <w:tblGrid>
        <w:gridCol w:w="4372"/>
        <w:gridCol w:w="2909"/>
        <w:gridCol w:w="2909"/>
      </w:tblGrid>
      <w:tr w:rsidR="00D27BC6">
        <w:trPr>
          <w:trHeight w:val="297"/>
        </w:trPr>
        <w:tc>
          <w:tcPr>
            <w:tcW w:w="4372"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32" w:firstLine="0"/>
              <w:jc w:val="center"/>
            </w:pPr>
            <w:r>
              <w:rPr>
                <w:b/>
              </w:rPr>
              <w:t>Показатель</w:t>
            </w:r>
          </w:p>
        </w:tc>
        <w:tc>
          <w:tcPr>
            <w:tcW w:w="5818"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32" w:firstLine="0"/>
              <w:jc w:val="center"/>
            </w:pPr>
            <w:r>
              <w:rPr>
                <w:b/>
              </w:rPr>
              <w:t>Целевое значение</w:t>
            </w:r>
          </w:p>
        </w:tc>
      </w:tr>
      <w:tr w:rsidR="00D27BC6">
        <w:trPr>
          <w:trHeight w:val="737"/>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90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391" w:right="383" w:firstLine="0"/>
              <w:jc w:val="center"/>
            </w:pPr>
            <w:r>
              <w:rPr>
                <w:b/>
              </w:rPr>
              <w:t>Пациенты молодого и среднего возраста без факторов риска</w:t>
            </w:r>
          </w:p>
        </w:tc>
        <w:tc>
          <w:tcPr>
            <w:tcW w:w="2909"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Пациенты пожилого возраста или с факторами риска</w:t>
            </w:r>
          </w:p>
        </w:tc>
      </w:tr>
      <w:tr w:rsidR="00D27BC6">
        <w:trPr>
          <w:trHeight w:val="297"/>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32" w:firstLine="0"/>
              <w:jc w:val="center"/>
            </w:pPr>
            <w:r>
              <w:rPr>
                <w:b/>
              </w:rPr>
              <w:t>Основные</w:t>
            </w:r>
          </w:p>
        </w:tc>
      </w:tr>
      <w:tr w:rsidR="00D27BC6">
        <w:trPr>
          <w:trHeight w:val="297"/>
        </w:trPr>
        <w:tc>
          <w:tcPr>
            <w:tcW w:w="437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Количество дней ношения устройства НМГ</w:t>
            </w:r>
          </w:p>
        </w:tc>
        <w:tc>
          <w:tcPr>
            <w:tcW w:w="5818"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2" w:firstLine="0"/>
              <w:jc w:val="center"/>
            </w:pPr>
            <w:r>
              <w:t>≥14 дней</w:t>
            </w:r>
          </w:p>
        </w:tc>
      </w:tr>
      <w:tr w:rsidR="00D27BC6">
        <w:trPr>
          <w:trHeight w:val="297"/>
        </w:trPr>
        <w:tc>
          <w:tcPr>
            <w:tcW w:w="437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Доля времени с активным устройством НМГ</w:t>
            </w:r>
          </w:p>
        </w:tc>
        <w:tc>
          <w:tcPr>
            <w:tcW w:w="5818"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2" w:firstLine="0"/>
              <w:jc w:val="center"/>
            </w:pPr>
            <w:r>
              <w:t>≥70%</w:t>
            </w:r>
          </w:p>
        </w:tc>
      </w:tr>
      <w:tr w:rsidR="00D27BC6">
        <w:trPr>
          <w:trHeight w:val="297"/>
        </w:trPr>
        <w:tc>
          <w:tcPr>
            <w:tcW w:w="437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Среднее значение уровня глюкозы</w:t>
            </w:r>
          </w:p>
        </w:tc>
        <w:tc>
          <w:tcPr>
            <w:tcW w:w="5818"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2" w:firstLine="0"/>
              <w:jc w:val="center"/>
            </w:pPr>
            <w:r>
              <w:t>-</w:t>
            </w:r>
          </w:p>
        </w:tc>
      </w:tr>
      <w:tr w:rsidR="00D27BC6">
        <w:trPr>
          <w:trHeight w:val="517"/>
        </w:trPr>
        <w:tc>
          <w:tcPr>
            <w:tcW w:w="437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Время выше целевого диапазона: % измерений (время) в диапазоне &gt;10,0 ммоль/л (Уровень 1)*</w:t>
            </w:r>
          </w:p>
        </w:tc>
        <w:tc>
          <w:tcPr>
            <w:tcW w:w="290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3" w:firstLine="0"/>
              <w:jc w:val="center"/>
            </w:pPr>
            <w:r>
              <w:t>&lt;25% (&lt;6 ч)</w:t>
            </w:r>
          </w:p>
        </w:tc>
        <w:tc>
          <w:tcPr>
            <w:tcW w:w="290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2" w:firstLine="0"/>
              <w:jc w:val="center"/>
            </w:pPr>
            <w:r>
              <w:t>&lt;50% (&lt;12 ч)</w:t>
            </w:r>
          </w:p>
        </w:tc>
      </w:tr>
      <w:tr w:rsidR="00D27BC6">
        <w:trPr>
          <w:trHeight w:val="517"/>
        </w:trPr>
        <w:tc>
          <w:tcPr>
            <w:tcW w:w="4372" w:type="dxa"/>
            <w:tcBorders>
              <w:top w:val="single" w:sz="6" w:space="0" w:color="000000"/>
              <w:left w:val="single" w:sz="6" w:space="0" w:color="000000"/>
              <w:bottom w:val="single" w:sz="6" w:space="0" w:color="000000"/>
              <w:right w:val="single" w:sz="6" w:space="0" w:color="000000"/>
            </w:tcBorders>
            <w:shd w:val="clear" w:color="auto" w:fill="FFED00"/>
          </w:tcPr>
          <w:p w:rsidR="00D27BC6" w:rsidRDefault="004D5071">
            <w:pPr>
              <w:spacing w:after="0" w:line="259" w:lineRule="auto"/>
              <w:ind w:left="0" w:right="0" w:firstLine="0"/>
              <w:jc w:val="left"/>
            </w:pPr>
            <w:r>
              <w:t>Время в целевом диапазоне: % измерений (время) в диапазоне 3,9–10,0 ммоль/л</w:t>
            </w:r>
          </w:p>
        </w:tc>
        <w:tc>
          <w:tcPr>
            <w:tcW w:w="2909" w:type="dxa"/>
            <w:tcBorders>
              <w:top w:val="single" w:sz="6" w:space="0" w:color="000000"/>
              <w:left w:val="single" w:sz="6" w:space="0" w:color="000000"/>
              <w:bottom w:val="single" w:sz="6" w:space="0" w:color="000000"/>
              <w:right w:val="single" w:sz="6" w:space="0" w:color="000000"/>
            </w:tcBorders>
            <w:shd w:val="clear" w:color="auto" w:fill="FFED00"/>
            <w:vAlign w:val="center"/>
          </w:tcPr>
          <w:p w:rsidR="00D27BC6" w:rsidRDefault="004D5071">
            <w:pPr>
              <w:spacing w:after="0" w:line="259" w:lineRule="auto"/>
              <w:ind w:left="0" w:right="33" w:firstLine="0"/>
              <w:jc w:val="center"/>
            </w:pPr>
            <w:r>
              <w:t>&gt;70% (&gt;16 ч 48 мин)</w:t>
            </w:r>
          </w:p>
        </w:tc>
        <w:tc>
          <w:tcPr>
            <w:tcW w:w="2909" w:type="dxa"/>
            <w:tcBorders>
              <w:top w:val="single" w:sz="6" w:space="0" w:color="000000"/>
              <w:left w:val="single" w:sz="6" w:space="0" w:color="000000"/>
              <w:bottom w:val="single" w:sz="6" w:space="0" w:color="000000"/>
              <w:right w:val="single" w:sz="6" w:space="0" w:color="000000"/>
            </w:tcBorders>
            <w:shd w:val="clear" w:color="auto" w:fill="FFED00"/>
            <w:vAlign w:val="center"/>
          </w:tcPr>
          <w:p w:rsidR="00D27BC6" w:rsidRDefault="004D5071">
            <w:pPr>
              <w:spacing w:after="0" w:line="259" w:lineRule="auto"/>
              <w:ind w:left="0" w:right="32" w:firstLine="0"/>
              <w:jc w:val="center"/>
            </w:pPr>
            <w:r>
              <w:t>&gt;50% (&gt;12 ч)</w:t>
            </w:r>
          </w:p>
        </w:tc>
      </w:tr>
      <w:tr w:rsidR="00D27BC6">
        <w:trPr>
          <w:trHeight w:val="526"/>
        </w:trPr>
        <w:tc>
          <w:tcPr>
            <w:tcW w:w="437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Время ниже целевого диапазона: % измерений (время) в диапазоне &lt;3,9 ммоль/л (Уровень 1)**</w:t>
            </w:r>
          </w:p>
        </w:tc>
        <w:tc>
          <w:tcPr>
            <w:tcW w:w="290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2" w:firstLine="0"/>
              <w:jc w:val="center"/>
            </w:pPr>
            <w:r>
              <w:t>&lt;4% (&lt;1 ч)</w:t>
            </w:r>
          </w:p>
        </w:tc>
        <w:tc>
          <w:tcPr>
            <w:tcW w:w="290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2" w:firstLine="0"/>
              <w:jc w:val="center"/>
            </w:pPr>
            <w:r>
              <w:t>&lt;1% (&lt;15 мин)</w:t>
            </w:r>
          </w:p>
        </w:tc>
      </w:tr>
      <w:tr w:rsidR="00D27BC6">
        <w:trPr>
          <w:trHeight w:val="297"/>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32" w:firstLine="0"/>
              <w:jc w:val="center"/>
            </w:pPr>
            <w:r>
              <w:rPr>
                <w:b/>
              </w:rPr>
              <w:t>Дополнительные</w:t>
            </w:r>
          </w:p>
        </w:tc>
      </w:tr>
      <w:tr w:rsidR="00D27BC6">
        <w:trPr>
          <w:trHeight w:val="297"/>
        </w:trPr>
        <w:tc>
          <w:tcPr>
            <w:tcW w:w="437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Индикатор контроля уровня глюкозы</w:t>
            </w:r>
          </w:p>
        </w:tc>
        <w:tc>
          <w:tcPr>
            <w:tcW w:w="5818"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2" w:firstLine="0"/>
              <w:jc w:val="center"/>
            </w:pPr>
            <w:r>
              <w:t>-</w:t>
            </w:r>
          </w:p>
        </w:tc>
      </w:tr>
      <w:tr w:rsidR="00D27BC6">
        <w:trPr>
          <w:trHeight w:val="297"/>
        </w:trPr>
        <w:tc>
          <w:tcPr>
            <w:tcW w:w="437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Коэффициент вариабельности уровня глюкозы</w:t>
            </w:r>
          </w:p>
        </w:tc>
        <w:tc>
          <w:tcPr>
            <w:tcW w:w="5818"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2" w:firstLine="0"/>
              <w:jc w:val="center"/>
            </w:pPr>
            <w:r>
              <w:t>≤ 36%</w:t>
            </w:r>
          </w:p>
        </w:tc>
      </w:tr>
      <w:tr w:rsidR="00D27BC6">
        <w:trPr>
          <w:trHeight w:val="517"/>
        </w:trPr>
        <w:tc>
          <w:tcPr>
            <w:tcW w:w="437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Время выше целевого диапазона: % измерений (время) в диапазоне &gt;13,9 ммоль/л (Уровень 2)</w:t>
            </w:r>
          </w:p>
        </w:tc>
        <w:tc>
          <w:tcPr>
            <w:tcW w:w="290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3" w:firstLine="0"/>
              <w:jc w:val="center"/>
            </w:pPr>
            <w:r>
              <w:t>&lt;5% (&lt;1 ч 12 мин)</w:t>
            </w:r>
          </w:p>
        </w:tc>
        <w:tc>
          <w:tcPr>
            <w:tcW w:w="290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2" w:firstLine="0"/>
              <w:jc w:val="center"/>
            </w:pPr>
            <w:r>
              <w:t>&lt;10% (&lt;2 ч 24 мин)</w:t>
            </w:r>
          </w:p>
        </w:tc>
      </w:tr>
      <w:tr w:rsidR="00D27BC6">
        <w:trPr>
          <w:trHeight w:val="517"/>
        </w:trPr>
        <w:tc>
          <w:tcPr>
            <w:tcW w:w="437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Время ниже целевого диапазона: % измерений (время) в диапазоне &lt;3,0 ммоль/л (Уровень 2)</w:t>
            </w:r>
          </w:p>
        </w:tc>
        <w:tc>
          <w:tcPr>
            <w:tcW w:w="290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3" w:firstLine="0"/>
              <w:jc w:val="center"/>
            </w:pPr>
            <w:r>
              <w:t>&lt;1% (&lt;15 мин)</w:t>
            </w:r>
          </w:p>
        </w:tc>
        <w:tc>
          <w:tcPr>
            <w:tcW w:w="290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2" w:firstLine="0"/>
              <w:jc w:val="center"/>
            </w:pPr>
            <w:r>
              <w:t>-</w:t>
            </w:r>
          </w:p>
        </w:tc>
      </w:tr>
    </w:tbl>
    <w:p w:rsidR="00D27BC6" w:rsidRDefault="004D5071">
      <w:pPr>
        <w:spacing w:after="4"/>
        <w:ind w:left="-3" w:right="7595"/>
      </w:pPr>
      <w:r>
        <w:rPr>
          <w:sz w:val="16"/>
        </w:rPr>
        <w:t>* Включая значения &gt;13,9 ммоль/л, ** Включая значения &lt;3,0 ммоль/л.</w:t>
      </w:r>
    </w:p>
    <w:p w:rsidR="00D27BC6" w:rsidRDefault="004D5071">
      <w:pPr>
        <w:spacing w:after="226"/>
        <w:ind w:left="290" w:right="286"/>
        <w:jc w:val="center"/>
      </w:pPr>
      <w:r>
        <w:rPr>
          <w:b/>
        </w:rPr>
        <w:t>3.2. МЕТОДЫ КОНТРОЛЯ УРОВНЯ ГЛЮКОЗЫ</w:t>
      </w:r>
    </w:p>
    <w:p w:rsidR="00D27BC6" w:rsidRDefault="004D5071">
      <w:pPr>
        <w:ind w:left="-11" w:right="0" w:firstLine="283"/>
      </w:pPr>
      <w:r>
        <w:t>Для самоконтроля уровня глюкозы крови рекомендуется применять глюкометры, предназначенные для индивидуального использования. В настоящее время существуют глюкометры с настройкой индивидуального целевого диапазона гликемии, а также глюкометры с функцией бес</w:t>
      </w:r>
      <w:r>
        <w:t xml:space="preserve">проводной передачи данных об уровне глюкозы крови медицинским специалистам, родственникам или в установленное на смартфон пациента специальное приложение для использования при дистанционном наблюдении. Индивидуальные глюкометры должны соответствовать ГОСТ </w:t>
      </w:r>
      <w:r>
        <w:t>Р ИСО 15197-2015 по аналитической и клинической точности. При уровне глюкозы плазмы &lt;5,6 ммоль/л 95% измерений должны отклоняться от эталонного анализатора не более чем на ± 0,8 ммоль/л, при уровне глюкозы плазмы ≥5,6 ммоль/л 95% измерений должны отклонять</w:t>
      </w:r>
      <w:r>
        <w:t>ся от эталонного анализатора не более чем на ±15%. 99% результатов должны быть в пределах зон А и B консенсусной сетки ошибок Паркс.</w:t>
      </w:r>
    </w:p>
    <w:p w:rsidR="00D27BC6" w:rsidRDefault="004D5071">
      <w:pPr>
        <w:ind w:left="-11" w:right="0" w:firstLine="283"/>
      </w:pPr>
      <w:r>
        <w:t>В условиях лечебно-профилактических учреждений, помимо лабораторных анализаторов, необходимо использовать глюкометры для пр</w:t>
      </w:r>
      <w:r>
        <w:t>офессионального применения (многопользовательские, госпитальные), обладающие более высокой точностью измерений по сравнению с индивидуальными глюкометрами и выдерживающие многократные циклы дезинфекции в соответствии с хорошо валидированными методами, пред</w:t>
      </w:r>
      <w:r>
        <w:t>ставленными производителем. Многопользовательский глюкометр необходимо дезинфицировать после каждого измерения уровня глюкозы крови у каждого пациента средствами, обладающими фунгицидной, антибактериальной и противовирусной активностью и не влияющими на фу</w:t>
      </w:r>
      <w:r>
        <w:t>нкциональные свойства глюкометра.</w:t>
      </w:r>
    </w:p>
    <w:p w:rsidR="00D27BC6" w:rsidRDefault="004D5071">
      <w:pPr>
        <w:spacing w:after="230"/>
        <w:ind w:left="-11" w:right="0" w:firstLine="283"/>
      </w:pPr>
      <w:r>
        <w:t xml:space="preserve">Системы непрерывного мониторирования глюкозы (НМГ) измеряют глюкозу в интерстициальной жидкости непрерывно с частотой 1–5 минут с помощью устанавливаемых подкожно датчиков (сенсоров). Существует разница между отображаемым </w:t>
      </w:r>
      <w:r>
        <w:t>значением интерстициальной и капиллярной глюкозы (в среднем на 8–10 минут, максимально до 20 минут). Таким образом, в случае стабильного уровня глюкозы в крови отображаемые уровни будут близки к уровням капиллярной глюкозы. Однако во время быстрого повышен</w:t>
      </w:r>
      <w:r>
        <w:t xml:space="preserve">ия или понижения уровня глюкозы в крови отображаемое значение, как правило, будет ниже или выше, соответственно. </w:t>
      </w:r>
    </w:p>
    <w:p w:rsidR="00D27BC6" w:rsidRDefault="004D5071">
      <w:pPr>
        <w:ind w:left="281" w:right="51"/>
        <w:jc w:val="left"/>
      </w:pPr>
      <w:r>
        <w:rPr>
          <w:b/>
        </w:rPr>
        <w:t xml:space="preserve">Доступные в настоящее время системы НМГ могут быть разделены на три категории: </w:t>
      </w:r>
    </w:p>
    <w:p w:rsidR="00D27BC6" w:rsidRDefault="004D5071">
      <w:pPr>
        <w:numPr>
          <w:ilvl w:val="0"/>
          <w:numId w:val="10"/>
        </w:numPr>
        <w:ind w:right="0" w:hanging="283"/>
      </w:pPr>
      <w:r>
        <w:t>НМГ в реальном времени отражает текущий уровень глюкозы, тенде</w:t>
      </w:r>
      <w:r>
        <w:t>нции (направления и скорости) изменения глюкозы, график глюкозы за предыдущее время (в том числе вариабельность). Они имеют сигналы тревоги, которые активируются при достижении гликемией пороговых значений, прогнозировании этих значений, а также при достиж</w:t>
      </w:r>
      <w:r>
        <w:t>ении порогового уровня скорости изменения гликемии. Некоторые модели систем НМГ в реальном времени передают данные об уровне глюкозы на смартфон, откуда они могут быть сохранены на сервере в сети Интернет и использованы для удаленного мониторинга.</w:t>
      </w:r>
    </w:p>
    <w:p w:rsidR="00D27BC6" w:rsidRDefault="004D5071">
      <w:pPr>
        <w:numPr>
          <w:ilvl w:val="0"/>
          <w:numId w:val="10"/>
        </w:numPr>
        <w:ind w:right="0" w:hanging="283"/>
      </w:pPr>
      <w:r>
        <w:t>периодич</w:t>
      </w:r>
      <w:r>
        <w:t>ески сканируемое/просматриваемое НМГ или флеш-мониторирование глюкозы (ФМГ) не отображает данные об уровне глюкозы автоматически, а только при приближении на короткое расстояние сканера (ридера) или смартфона с установленным специальным приложением к датчи</w:t>
      </w:r>
      <w:r>
        <w:t xml:space="preserve">ку (сенсору). ФМГ предоставляет информацию о текущем уровне глюкозы, тенденции (направления и скорости) изменения глюкозы, график глюкозы за предыдущее время (в том числе вариабельность). </w:t>
      </w:r>
    </w:p>
    <w:p w:rsidR="00D27BC6" w:rsidRDefault="004D5071">
      <w:pPr>
        <w:numPr>
          <w:ilvl w:val="0"/>
          <w:numId w:val="10"/>
        </w:numPr>
        <w:ind w:right="0" w:hanging="283"/>
      </w:pPr>
      <w:r>
        <w:t>Комбинированный вариант работы НМГ (ФМГ второго поколения): монитор</w:t>
      </w:r>
      <w:r>
        <w:t>ирование в реальном времени с автоматическим отображением данных об уровне глюкозы и обновлением данных на смартфоне пациента с частотой 1 раз в минуту, без необходимости в проведении рутинной глюкометрии пациентами для выполнения калибровок и принятия реш</w:t>
      </w:r>
      <w:r>
        <w:t>ений, например, расчета дозы инсулина, дополненный также ФМГ с возможностью для пациентов осуществлять сканирование датчика в случае потери связи.</w:t>
      </w:r>
    </w:p>
    <w:p w:rsidR="00D27BC6" w:rsidRDefault="004D5071">
      <w:pPr>
        <w:ind w:left="-11" w:right="0" w:firstLine="283"/>
      </w:pPr>
      <w:r>
        <w:t>Некоторые системы НМГ требуют т.н. калибровки, то есть внесения данных об уровне глюкозы в капиллярной крови.</w:t>
      </w:r>
      <w:r>
        <w:t xml:space="preserve"> В то же время некоторые новые системы уже имеют т.н. «заводскую калибровку», когда проведение ручной калибровки (измерение глюкозы глюкометром) не требуется.</w:t>
      </w:r>
    </w:p>
    <w:p w:rsidR="00D27BC6" w:rsidRDefault="004D5071">
      <w:pPr>
        <w:ind w:left="-11" w:right="0" w:firstLine="283"/>
      </w:pPr>
      <w:r>
        <w:t>Также отдельные системы НМГ могут быть рекомендованы для самостоятельного применения, то есть для</w:t>
      </w:r>
      <w:r>
        <w:t xml:space="preserve"> принятия терапевтических решений (например, расчета доз инсулина, при купировании гипогликемии и др.) без необходимости подтверждения с помощью глюкометра. При использовании таких систем потребность в использовании глюкометра меньше по сравнению с система</w:t>
      </w:r>
      <w:r>
        <w:t>ми без таких показаний.</w:t>
      </w:r>
    </w:p>
    <w:p w:rsidR="00D27BC6" w:rsidRDefault="004D5071">
      <w:pPr>
        <w:ind w:left="-11" w:right="0" w:firstLine="283"/>
      </w:pPr>
      <w:r>
        <w:t>В то же время, пациенты, использующие НМГ должны иметь доступ к самоконтролю глюкозы крови для калибровки (при необходимости), при потере связи с НМГ, для принятия решений по лечению – для тех систем, которые не могут быть использов</w:t>
      </w:r>
      <w:r>
        <w:t xml:space="preserve">аны для самостоятельного применения. Необходимая частота проведения самоконтроля гликемии на фоне применения таких систем НМГ должна соответствовать рекомендациям производителя. Таким образом, самоконтроль гликемии </w:t>
      </w:r>
      <w:r>
        <w:rPr>
          <w:b/>
        </w:rPr>
        <w:t>с помощью глюкометра продолжает оставатьс</w:t>
      </w:r>
      <w:r>
        <w:rPr>
          <w:b/>
        </w:rPr>
        <w:t xml:space="preserve">я необходимым при использовании НМГ. </w:t>
      </w:r>
    </w:p>
    <w:p w:rsidR="00D27BC6" w:rsidRDefault="004D5071">
      <w:pPr>
        <w:ind w:left="-11" w:right="0" w:firstLine="283"/>
      </w:pPr>
      <w:r>
        <w:t>С учетом большого объема информации, накапливаемого в процессе использования, и возникающими трудностями в их наглядной интерпретации специалистами, необходимо периодическое считывание данных НМГ и ФМГ с последующим анализом, с использованием специализиров</w:t>
      </w:r>
      <w:r>
        <w:t>анного программного обеспечения (в том числе амбулаторного профиля глюкозы). Могут быть проанализированы различные показатели вариабельности глюкозы, а также время нахождения в целевом, гипогликемическом и гипергликемическом диапазоне.</w:t>
      </w:r>
    </w:p>
    <w:p w:rsidR="00D27BC6" w:rsidRDefault="004D5071">
      <w:pPr>
        <w:spacing w:after="230"/>
        <w:ind w:left="-11" w:right="0" w:firstLine="283"/>
      </w:pPr>
      <w:r>
        <w:t xml:space="preserve">Использование НМГ в </w:t>
      </w:r>
      <w:r>
        <w:t>реальном времени и ФМГ может быть полезным для пациентов с СД любого типа, получающих интенсифицированную инсулинотерапию (многократные инъекции инсулина или инсулиновая помпа), исходно проводящих самоконтроль гликемии с частотой не менее 4 раз в сутки, ос</w:t>
      </w:r>
      <w:r>
        <w:t>обенно детей и подростков, беременных женщин, а также при нарушении распознавания гипогликемии.</w:t>
      </w:r>
    </w:p>
    <w:p w:rsidR="00D27BC6" w:rsidRDefault="004D5071">
      <w:pPr>
        <w:spacing w:after="8" w:line="231" w:lineRule="auto"/>
        <w:ind w:left="-13" w:right="0" w:firstLine="283"/>
        <w:jc w:val="left"/>
      </w:pPr>
      <w:r>
        <w:t>У взрослых пациентов с СД применение НМГ в реальном времени, ФМГ или НМГ с комбинированным вариантом работы целесообразно при желании, возможности и способности</w:t>
      </w:r>
      <w:r>
        <w:t xml:space="preserve"> пациента и/или законного представителя активно его использовать, проводить регулярный самоконтроль гликемии и выполнять рекомендации лечащего врача. Применение НМГ в реальном времени или ФМГ или НМГ с комбинированным вариантом работы может быть рассмотрен</w:t>
      </w:r>
      <w:r>
        <w:t xml:space="preserve">о у пациентов при: </w:t>
      </w:r>
    </w:p>
    <w:p w:rsidR="00D27BC6" w:rsidRDefault="004D5071">
      <w:pPr>
        <w:numPr>
          <w:ilvl w:val="0"/>
          <w:numId w:val="11"/>
        </w:numPr>
        <w:ind w:right="0" w:hanging="283"/>
      </w:pPr>
      <w:r>
        <w:t xml:space="preserve">HbA1с &gt; 7,5% или другого индивидуального целевого показателя; </w:t>
      </w:r>
    </w:p>
    <w:p w:rsidR="00D27BC6" w:rsidRDefault="004D5071">
      <w:pPr>
        <w:numPr>
          <w:ilvl w:val="0"/>
          <w:numId w:val="11"/>
        </w:numPr>
        <w:ind w:right="0" w:hanging="283"/>
      </w:pPr>
      <w:r>
        <w:t>тяжелых гипогликемиях (≥1 раза за последний год);</w:t>
      </w:r>
    </w:p>
    <w:p w:rsidR="00D27BC6" w:rsidRDefault="004D5071">
      <w:pPr>
        <w:numPr>
          <w:ilvl w:val="0"/>
          <w:numId w:val="11"/>
        </w:numPr>
        <w:ind w:right="0" w:hanging="283"/>
      </w:pPr>
      <w:r>
        <w:t>частых эпизодах легкой гипогликемии (≥1 раза в день);</w:t>
      </w:r>
    </w:p>
    <w:p w:rsidR="00D27BC6" w:rsidRDefault="004D5071">
      <w:pPr>
        <w:numPr>
          <w:ilvl w:val="0"/>
          <w:numId w:val="11"/>
        </w:numPr>
        <w:ind w:right="0" w:hanging="283"/>
      </w:pPr>
      <w:r>
        <w:t>при нарушении распознавания гипогликемии;</w:t>
      </w:r>
    </w:p>
    <w:p w:rsidR="00D27BC6" w:rsidRDefault="004D5071">
      <w:pPr>
        <w:numPr>
          <w:ilvl w:val="0"/>
          <w:numId w:val="11"/>
        </w:numPr>
        <w:ind w:right="0" w:hanging="283"/>
      </w:pPr>
      <w:r>
        <w:t>высокой вариабельности глик</w:t>
      </w:r>
      <w:r>
        <w:t>емии независимо от уровня НbА1с;</w:t>
      </w:r>
    </w:p>
    <w:p w:rsidR="00D27BC6" w:rsidRDefault="004D5071">
      <w:pPr>
        <w:numPr>
          <w:ilvl w:val="0"/>
          <w:numId w:val="11"/>
        </w:numPr>
        <w:spacing w:after="226"/>
        <w:ind w:right="0" w:hanging="283"/>
      </w:pPr>
      <w:r>
        <w:t>во время беременности.</w:t>
      </w:r>
    </w:p>
    <w:p w:rsidR="00D27BC6" w:rsidRDefault="004D5071">
      <w:pPr>
        <w:ind w:left="281" w:right="51"/>
        <w:jc w:val="left"/>
      </w:pPr>
      <w:r>
        <w:rPr>
          <w:b/>
        </w:rPr>
        <w:t>У взрослых пациентов с СД применение НМГ нецелесообразно при следующих условиях:</w:t>
      </w:r>
    </w:p>
    <w:p w:rsidR="00D27BC6" w:rsidRDefault="004D5071">
      <w:pPr>
        <w:numPr>
          <w:ilvl w:val="0"/>
          <w:numId w:val="11"/>
        </w:numPr>
        <w:ind w:right="0" w:hanging="283"/>
      </w:pPr>
      <w:r>
        <w:t>отказ пациента или законного представителя от НМГ;</w:t>
      </w:r>
    </w:p>
    <w:p w:rsidR="00D27BC6" w:rsidRDefault="004D5071">
      <w:pPr>
        <w:numPr>
          <w:ilvl w:val="0"/>
          <w:numId w:val="11"/>
        </w:numPr>
        <w:ind w:right="0" w:hanging="283"/>
      </w:pPr>
      <w:r>
        <w:t xml:space="preserve">отсутствие возможности и способности пациента и/или законного представителя активно использовать НМГ, проводить регулярный самоконтроль и выполнять рекомендации лечащего врача; </w:t>
      </w:r>
    </w:p>
    <w:p w:rsidR="00D27BC6" w:rsidRDefault="004D5071">
      <w:pPr>
        <w:numPr>
          <w:ilvl w:val="0"/>
          <w:numId w:val="11"/>
        </w:numPr>
        <w:ind w:right="0" w:hanging="283"/>
      </w:pPr>
      <w:r>
        <w:t>индивидуальная непереносимость НМГ: выраженные кожные реакции или другие нежел</w:t>
      </w:r>
      <w:r>
        <w:t xml:space="preserve">ательные явления, связанные с методом и препятствующие его использованию; </w:t>
      </w:r>
    </w:p>
    <w:p w:rsidR="00D27BC6" w:rsidRDefault="004D5071">
      <w:pPr>
        <w:numPr>
          <w:ilvl w:val="0"/>
          <w:numId w:val="11"/>
        </w:numPr>
        <w:ind w:right="0" w:hanging="283"/>
      </w:pPr>
      <w:r>
        <w:t>недостаточное использование НМГ ( &lt; 60% времени);</w:t>
      </w:r>
    </w:p>
    <w:p w:rsidR="00D27BC6" w:rsidRDefault="004D5071">
      <w:pPr>
        <w:numPr>
          <w:ilvl w:val="0"/>
          <w:numId w:val="11"/>
        </w:numPr>
        <w:ind w:right="0" w:hanging="283"/>
      </w:pPr>
      <w:r>
        <w:t>при отсутствии клинической эффективности в течение 6 месяцев использования НМГ (при отсутствии объективных причин):</w:t>
      </w:r>
    </w:p>
    <w:p w:rsidR="00D27BC6" w:rsidRDefault="004D5071">
      <w:pPr>
        <w:numPr>
          <w:ilvl w:val="2"/>
          <w:numId w:val="13"/>
        </w:numPr>
        <w:ind w:left="568" w:right="0" w:hanging="283"/>
      </w:pPr>
      <w:r>
        <w:t>Если исходный п</w:t>
      </w:r>
      <w:r>
        <w:t>оказатель HbA1c превышает индивидуальный целевой уровень менее чем на 1.0% эффективным считается темп снижения НbA1c ≥ 0,5% (за 6 месяцев наблюдения)</w:t>
      </w:r>
    </w:p>
    <w:p w:rsidR="00D27BC6" w:rsidRDefault="004D5071">
      <w:pPr>
        <w:numPr>
          <w:ilvl w:val="2"/>
          <w:numId w:val="13"/>
        </w:numPr>
        <w:ind w:left="568" w:right="0" w:hanging="283"/>
      </w:pPr>
      <w:r>
        <w:t xml:space="preserve">Если исходный показатель HbA1c превышает индивидуальный целевой уровень на 1.0–2.5% эффективным считается </w:t>
      </w:r>
      <w:r>
        <w:t>темп снижения НbA1c ≥ 1,0% (за 6 месяцев наблюдения)</w:t>
      </w:r>
    </w:p>
    <w:p w:rsidR="00D27BC6" w:rsidRDefault="004D5071">
      <w:pPr>
        <w:numPr>
          <w:ilvl w:val="2"/>
          <w:numId w:val="13"/>
        </w:numPr>
        <w:ind w:left="568" w:right="0" w:hanging="283"/>
      </w:pPr>
      <w:r>
        <w:t>Если исходный показатель HbA1c превышает индивидуальный целевой уровень более чем на 2.5% эффективным считается темп снижения HbA1с ≥ 1,5% (за 6 месяцев наблюдения).</w:t>
      </w:r>
    </w:p>
    <w:p w:rsidR="00D27BC6" w:rsidRDefault="004D5071">
      <w:pPr>
        <w:spacing w:after="230"/>
        <w:ind w:left="-11" w:right="0" w:firstLine="283"/>
      </w:pPr>
      <w:r>
        <w:t>Рекомендуется проведение самоконтроля</w:t>
      </w:r>
      <w:r>
        <w:t xml:space="preserve"> гликемии при помощи индивидуального глюкометра не менее 4 раз в сутки при использовании НМГ в реальном времени или не менее 2 раз в сутки при использовании ФМГ для оценки точности и/или калибровки данных мониторирования и решения вопроса о коррекции лечен</w:t>
      </w:r>
      <w:r>
        <w:t xml:space="preserve">ия. Рост точности измерений в современных системах НМГ в реальном времени и ФМГ позволяет значительно сократить частоту традиционного самоконтроля глюкометром. НМГ в реальном времени и ФМГ могут быть использованы вместо глюкометра для принятия клинических </w:t>
      </w:r>
      <w:r>
        <w:t>решений, за исключением отдельных случаев (гипогликемии, быстрого изменения гликемии или если симптомы не соответствуют показателям системы).</w:t>
      </w:r>
    </w:p>
    <w:p w:rsidR="00D27BC6" w:rsidRDefault="004D5071">
      <w:pPr>
        <w:numPr>
          <w:ilvl w:val="1"/>
          <w:numId w:val="12"/>
        </w:numPr>
        <w:spacing w:after="12"/>
        <w:ind w:right="983" w:hanging="368"/>
        <w:jc w:val="center"/>
      </w:pPr>
      <w:r>
        <w:rPr>
          <w:b/>
        </w:rPr>
        <w:t>ЦЕЛЕВЫЕ УРОВНИ ПОКАЗАТЕЛЕЙ ЛИПИДНОГО ОБМЕНА</w:t>
      </w:r>
    </w:p>
    <w:tbl>
      <w:tblPr>
        <w:tblStyle w:val="TableGrid"/>
        <w:tblW w:w="10191" w:type="dxa"/>
        <w:tblInd w:w="9" w:type="dxa"/>
        <w:tblCellMar>
          <w:top w:w="9" w:type="dxa"/>
          <w:left w:w="57" w:type="dxa"/>
          <w:bottom w:w="0" w:type="dxa"/>
          <w:right w:w="40" w:type="dxa"/>
        </w:tblCellMar>
        <w:tblLook w:val="04A0" w:firstRow="1" w:lastRow="0" w:firstColumn="1" w:lastColumn="0" w:noHBand="0" w:noVBand="1"/>
      </w:tblPr>
      <w:tblGrid>
        <w:gridCol w:w="1127"/>
        <w:gridCol w:w="8022"/>
        <w:gridCol w:w="1042"/>
      </w:tblGrid>
      <w:tr w:rsidR="00D27BC6">
        <w:trPr>
          <w:trHeight w:val="560"/>
        </w:trPr>
        <w:tc>
          <w:tcPr>
            <w:tcW w:w="112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Категория риска</w:t>
            </w:r>
          </w:p>
        </w:tc>
        <w:tc>
          <w:tcPr>
            <w:tcW w:w="8022"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16" w:firstLine="0"/>
              <w:jc w:val="center"/>
            </w:pPr>
            <w:r>
              <w:rPr>
                <w:b/>
              </w:rPr>
              <w:t>Категория пациентов</w:t>
            </w:r>
          </w:p>
        </w:tc>
        <w:tc>
          <w:tcPr>
            <w:tcW w:w="104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ХЛНП, ммоль/л</w:t>
            </w:r>
            <w:r>
              <w:rPr>
                <w:b/>
                <w:sz w:val="18"/>
                <w:vertAlign w:val="superscript"/>
              </w:rPr>
              <w:footnoteReference w:id="6"/>
            </w:r>
          </w:p>
        </w:tc>
      </w:tr>
      <w:tr w:rsidR="00D27BC6">
        <w:trPr>
          <w:trHeight w:val="1040"/>
        </w:trPr>
        <w:tc>
          <w:tcPr>
            <w:tcW w:w="112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Очень высокого риска</w:t>
            </w:r>
          </w:p>
        </w:tc>
        <w:tc>
          <w:tcPr>
            <w:tcW w:w="8022"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04"/>
              </w:numPr>
              <w:spacing w:after="0" w:line="259" w:lineRule="auto"/>
              <w:ind w:right="0" w:hanging="170"/>
              <w:jc w:val="left"/>
            </w:pPr>
            <w:r>
              <w:t>Пациенты с атеросклеротическими сердечно-сосудистыми заболеваниями или</w:t>
            </w:r>
          </w:p>
          <w:p w:rsidR="00D27BC6" w:rsidRDefault="004D5071">
            <w:pPr>
              <w:numPr>
                <w:ilvl w:val="0"/>
                <w:numId w:val="204"/>
              </w:numPr>
              <w:spacing w:after="0" w:line="259" w:lineRule="auto"/>
              <w:ind w:right="0" w:hanging="170"/>
              <w:jc w:val="left"/>
            </w:pPr>
            <w:r>
              <w:t>Пациенты с поражением других органов-мишеней</w:t>
            </w:r>
            <w:r>
              <w:rPr>
                <w:sz w:val="18"/>
                <w:vertAlign w:val="superscript"/>
              </w:rPr>
              <w:footnoteReference w:id="7"/>
            </w:r>
            <w:r>
              <w:t xml:space="preserve"> или</w:t>
            </w:r>
          </w:p>
          <w:p w:rsidR="00D27BC6" w:rsidRDefault="004D5071">
            <w:pPr>
              <w:numPr>
                <w:ilvl w:val="0"/>
                <w:numId w:val="204"/>
              </w:numPr>
              <w:spacing w:after="0" w:line="259" w:lineRule="auto"/>
              <w:ind w:right="0" w:hanging="170"/>
              <w:jc w:val="left"/>
            </w:pPr>
            <w:r>
              <w:t>Пациенты с 3 и более основными факторами сердечно-сосудистого риска</w:t>
            </w:r>
            <w:r>
              <w:rPr>
                <w:sz w:val="18"/>
                <w:vertAlign w:val="superscript"/>
              </w:rPr>
              <w:t>3</w:t>
            </w:r>
            <w:r>
              <w:t xml:space="preserve"> или</w:t>
            </w:r>
          </w:p>
          <w:p w:rsidR="00D27BC6" w:rsidRDefault="004D5071">
            <w:pPr>
              <w:numPr>
                <w:ilvl w:val="0"/>
                <w:numId w:val="204"/>
              </w:numPr>
              <w:spacing w:after="0" w:line="259" w:lineRule="auto"/>
              <w:ind w:right="0" w:hanging="170"/>
              <w:jc w:val="left"/>
            </w:pPr>
            <w:r>
              <w:t>Пациенты с ранним началом СД 1 типа (в возрасте ≤10 лет) с длительностью СД &gt;20 лет</w:t>
            </w:r>
          </w:p>
        </w:tc>
        <w:tc>
          <w:tcPr>
            <w:tcW w:w="104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16" w:firstLine="0"/>
              <w:jc w:val="center"/>
            </w:pPr>
            <w:r>
              <w:t>&lt; 1,4</w:t>
            </w:r>
          </w:p>
        </w:tc>
      </w:tr>
      <w:tr w:rsidR="00D27BC6">
        <w:trPr>
          <w:trHeight w:val="1040"/>
        </w:trPr>
        <w:tc>
          <w:tcPr>
            <w:tcW w:w="112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Высокого риска</w:t>
            </w:r>
          </w:p>
        </w:tc>
        <w:tc>
          <w:tcPr>
            <w:tcW w:w="8022"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05"/>
              </w:numPr>
              <w:spacing w:after="0" w:line="259" w:lineRule="auto"/>
              <w:ind w:right="0" w:hanging="170"/>
              <w:jc w:val="left"/>
            </w:pPr>
            <w:r>
              <w:t>Пациенты без поражения органов-мишеней с длительностью СД ≥10 лет или</w:t>
            </w:r>
          </w:p>
          <w:p w:rsidR="00D27BC6" w:rsidRDefault="004D5071">
            <w:pPr>
              <w:numPr>
                <w:ilvl w:val="0"/>
                <w:numId w:val="205"/>
              </w:numPr>
              <w:spacing w:after="0" w:line="236" w:lineRule="auto"/>
              <w:ind w:right="0" w:hanging="170"/>
              <w:jc w:val="left"/>
            </w:pPr>
            <w:r>
              <w:t>Пациенты без поражения органов-мишеней с 1 или 2 основными факторами сердечнососудистого риска или</w:t>
            </w:r>
          </w:p>
          <w:p w:rsidR="00D27BC6" w:rsidRDefault="004D5071">
            <w:pPr>
              <w:numPr>
                <w:ilvl w:val="0"/>
                <w:numId w:val="205"/>
              </w:numPr>
              <w:spacing w:after="0" w:line="259" w:lineRule="auto"/>
              <w:ind w:right="0" w:hanging="170"/>
              <w:jc w:val="left"/>
            </w:pPr>
            <w:r>
              <w:t>Любые другие пациенты, не соответствующие категориям очень высокого и среднего риска</w:t>
            </w:r>
          </w:p>
        </w:tc>
        <w:tc>
          <w:tcPr>
            <w:tcW w:w="104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16" w:firstLine="0"/>
              <w:jc w:val="center"/>
            </w:pPr>
            <w:r>
              <w:t>&lt; 1,8</w:t>
            </w:r>
          </w:p>
        </w:tc>
      </w:tr>
      <w:tr w:rsidR="00D27BC6">
        <w:trPr>
          <w:trHeight w:val="800"/>
        </w:trPr>
        <w:tc>
          <w:tcPr>
            <w:tcW w:w="112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Среднего риска</w:t>
            </w:r>
          </w:p>
        </w:tc>
        <w:tc>
          <w:tcPr>
            <w:tcW w:w="802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hanging="170"/>
              <w:jc w:val="left"/>
            </w:pPr>
            <w:r>
              <w:t xml:space="preserve">• </w:t>
            </w:r>
            <w:r>
              <w:t>Пациенты молодого возраста (СД 1 типа &lt;35 лет или СД 2 типа &lt;50 лет) с длительностью СД &lt;10 лет без поражения органов-мишеней и без факторов сердечно-сосудистого риска</w:t>
            </w:r>
          </w:p>
        </w:tc>
        <w:tc>
          <w:tcPr>
            <w:tcW w:w="104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16" w:firstLine="0"/>
              <w:jc w:val="center"/>
            </w:pPr>
            <w:r>
              <w:t>&lt; 2,6</w:t>
            </w:r>
          </w:p>
        </w:tc>
      </w:tr>
    </w:tbl>
    <w:p w:rsidR="00D27BC6" w:rsidRDefault="004D5071">
      <w:pPr>
        <w:spacing w:after="4"/>
        <w:ind w:left="-3" w:right="0"/>
      </w:pPr>
      <w:r>
        <w:rPr>
          <w:b/>
          <w:sz w:val="16"/>
        </w:rPr>
        <w:t>Примечание:</w:t>
      </w:r>
      <w:r>
        <w:rPr>
          <w:sz w:val="16"/>
        </w:rPr>
        <w:t xml:space="preserve"> ХЛНП – холестерин липопротеинов низкой плотности.</w:t>
      </w:r>
    </w:p>
    <w:p w:rsidR="00D27BC6" w:rsidRDefault="004D5071">
      <w:pPr>
        <w:spacing w:after="230"/>
        <w:ind w:left="-11" w:right="0" w:firstLine="283"/>
      </w:pPr>
      <w:r>
        <w:t>В 2023 г для оценки сердечно-сосудистого риска у пациентов с СД 2 типа старше 40 лет без АССЗ или без поражения органов-мишеней Европейским обществом кардиологов (ESC) разработана шкала SCORE2-Diabetes (Systematic Coronary Risk Estimation).</w:t>
      </w:r>
    </w:p>
    <w:p w:rsidR="00D27BC6" w:rsidRDefault="004D5071">
      <w:pPr>
        <w:numPr>
          <w:ilvl w:val="1"/>
          <w:numId w:val="12"/>
        </w:numPr>
        <w:spacing w:after="12"/>
        <w:ind w:right="983" w:hanging="368"/>
        <w:jc w:val="center"/>
      </w:pPr>
      <w:r>
        <w:rPr>
          <w:b/>
        </w:rPr>
        <w:t xml:space="preserve">ЦЕЛЕВЫЕ УРОВНИ ПОКАЗАТЕЛЕЙ АРТЕРИАЛЬНОГО ДАВЛЕНИЯ </w:t>
      </w:r>
    </w:p>
    <w:p w:rsidR="00D27BC6" w:rsidRDefault="004D5071">
      <w:pPr>
        <w:spacing w:after="12"/>
        <w:ind w:left="1727" w:right="1680"/>
        <w:jc w:val="center"/>
      </w:pPr>
      <w:r>
        <w:rPr>
          <w:b/>
        </w:rPr>
        <w:t>(при условии хорошей переносимости)</w:t>
      </w:r>
    </w:p>
    <w:tbl>
      <w:tblPr>
        <w:tblStyle w:val="TableGrid"/>
        <w:tblW w:w="10195" w:type="dxa"/>
        <w:tblInd w:w="9" w:type="dxa"/>
        <w:tblCellMar>
          <w:top w:w="9" w:type="dxa"/>
          <w:left w:w="57" w:type="dxa"/>
          <w:bottom w:w="0" w:type="dxa"/>
          <w:right w:w="115" w:type="dxa"/>
        </w:tblCellMar>
        <w:tblLook w:val="04A0" w:firstRow="1" w:lastRow="0" w:firstColumn="1" w:lastColumn="0" w:noHBand="0" w:noVBand="1"/>
      </w:tblPr>
      <w:tblGrid>
        <w:gridCol w:w="3398"/>
        <w:gridCol w:w="3398"/>
        <w:gridCol w:w="3398"/>
      </w:tblGrid>
      <w:tr w:rsidR="00D27BC6">
        <w:trPr>
          <w:trHeight w:val="320"/>
        </w:trPr>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Возраст</w:t>
            </w:r>
          </w:p>
        </w:tc>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Систолическое АД, мм рт.ст.*</w:t>
            </w:r>
          </w:p>
        </w:tc>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Диастолическое АД, мм рт.ст.*</w:t>
            </w:r>
          </w:p>
        </w:tc>
      </w:tr>
      <w:tr w:rsidR="00D27BC6">
        <w:trPr>
          <w:trHeight w:val="320"/>
        </w:trPr>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18–65 лет</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 120 и &lt; 130</w:t>
            </w:r>
          </w:p>
        </w:tc>
        <w:tc>
          <w:tcPr>
            <w:tcW w:w="3398"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 70 и &lt; 80</w:t>
            </w:r>
          </w:p>
        </w:tc>
      </w:tr>
      <w:tr w:rsidR="00D27BC6">
        <w:trPr>
          <w:trHeight w:val="320"/>
        </w:trPr>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&gt; 65 лет</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 130 и &lt; 140</w:t>
            </w: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bl>
    <w:p w:rsidR="00D27BC6" w:rsidRDefault="004D5071">
      <w:pPr>
        <w:spacing w:after="368"/>
        <w:ind w:left="-3" w:right="0"/>
      </w:pPr>
      <w:r>
        <w:rPr>
          <w:sz w:val="16"/>
        </w:rPr>
        <w:t>* Нижняя граница целевых уровней показателей АД относится к лицам на антигипертензивной терапии.</w:t>
      </w:r>
    </w:p>
    <w:p w:rsidR="00D27BC6" w:rsidRDefault="004D5071">
      <w:pPr>
        <w:pStyle w:val="Heading1"/>
        <w:ind w:left="313" w:right="309"/>
      </w:pPr>
      <w:r>
        <w:t>4. ТРЕБОВАНИЯ К ФОРМУЛИРОВКЕ ДИАГНОЗА ПРИ САХАРНОМ ДИАБЕТЕ</w:t>
      </w:r>
    </w:p>
    <w:tbl>
      <w:tblPr>
        <w:tblStyle w:val="TableGrid"/>
        <w:tblW w:w="10195" w:type="dxa"/>
        <w:tblInd w:w="12" w:type="dxa"/>
        <w:tblCellMar>
          <w:top w:w="0" w:type="dxa"/>
          <w:left w:w="0" w:type="dxa"/>
          <w:bottom w:w="0" w:type="dxa"/>
          <w:right w:w="73" w:type="dxa"/>
        </w:tblCellMar>
        <w:tblLook w:val="04A0" w:firstRow="1" w:lastRow="0" w:firstColumn="1" w:lastColumn="0" w:noHBand="0" w:noVBand="1"/>
      </w:tblPr>
      <w:tblGrid>
        <w:gridCol w:w="396"/>
        <w:gridCol w:w="9798"/>
      </w:tblGrid>
      <w:tr w:rsidR="00D27BC6">
        <w:trPr>
          <w:trHeight w:val="815"/>
        </w:trPr>
        <w:tc>
          <w:tcPr>
            <w:tcW w:w="396" w:type="dxa"/>
            <w:tcBorders>
              <w:top w:val="single" w:sz="8" w:space="0" w:color="000000"/>
              <w:left w:val="single" w:sz="8" w:space="0" w:color="000000"/>
              <w:bottom w:val="nil"/>
              <w:right w:val="nil"/>
            </w:tcBorders>
          </w:tcPr>
          <w:p w:rsidR="00D27BC6" w:rsidRDefault="004D5071">
            <w:pPr>
              <w:spacing w:after="0" w:line="259" w:lineRule="auto"/>
              <w:ind w:left="113" w:right="0" w:firstLine="0"/>
              <w:jc w:val="left"/>
            </w:pPr>
            <w:r>
              <w:rPr>
                <w:b/>
              </w:rPr>
              <w:t xml:space="preserve">• </w:t>
            </w:r>
          </w:p>
        </w:tc>
        <w:tc>
          <w:tcPr>
            <w:tcW w:w="9798" w:type="dxa"/>
            <w:tcBorders>
              <w:top w:val="single" w:sz="8" w:space="0" w:color="000000"/>
              <w:left w:val="nil"/>
              <w:bottom w:val="nil"/>
              <w:right w:val="single" w:sz="8" w:space="0" w:color="000000"/>
            </w:tcBorders>
          </w:tcPr>
          <w:p w:rsidR="00D27BC6" w:rsidRDefault="004D5071">
            <w:pPr>
              <w:spacing w:after="0" w:line="236" w:lineRule="auto"/>
              <w:ind w:left="0" w:right="0" w:firstLine="0"/>
              <w:jc w:val="left"/>
            </w:pPr>
            <w:r>
              <w:rPr>
                <w:b/>
              </w:rPr>
              <w:t>Сахарный диабет 1 типа (2 типа) или Сахарный диабет вследствие (указать причину) или Гестационный</w:t>
            </w:r>
            <w:r>
              <w:rPr>
                <w:b/>
              </w:rPr>
              <w:t xml:space="preserve"> сахарный диабет</w:t>
            </w:r>
          </w:p>
          <w:p w:rsidR="00D27BC6" w:rsidRDefault="004D5071">
            <w:pPr>
              <w:spacing w:after="0" w:line="259" w:lineRule="auto"/>
              <w:ind w:left="0" w:right="324" w:firstLine="0"/>
              <w:jc w:val="center"/>
            </w:pPr>
            <w:r>
              <w:t>или</w:t>
            </w:r>
          </w:p>
        </w:tc>
      </w:tr>
      <w:tr w:rsidR="00D27BC6">
        <w:trPr>
          <w:trHeight w:val="244"/>
        </w:trPr>
        <w:tc>
          <w:tcPr>
            <w:tcW w:w="396" w:type="dxa"/>
            <w:tcBorders>
              <w:top w:val="nil"/>
              <w:left w:val="single" w:sz="8" w:space="0" w:color="000000"/>
              <w:bottom w:val="nil"/>
              <w:right w:val="nil"/>
            </w:tcBorders>
          </w:tcPr>
          <w:p w:rsidR="00D27BC6" w:rsidRDefault="004D5071">
            <w:pPr>
              <w:spacing w:after="0" w:line="259" w:lineRule="auto"/>
              <w:ind w:left="113" w:right="0" w:firstLine="0"/>
              <w:jc w:val="left"/>
            </w:pPr>
            <w:r>
              <w:rPr>
                <w:b/>
              </w:rPr>
              <w:t xml:space="preserve">• </w:t>
            </w:r>
          </w:p>
        </w:tc>
        <w:tc>
          <w:tcPr>
            <w:tcW w:w="9798" w:type="dxa"/>
            <w:tcBorders>
              <w:top w:val="nil"/>
              <w:left w:val="nil"/>
              <w:bottom w:val="nil"/>
              <w:right w:val="single" w:sz="8" w:space="0" w:color="000000"/>
            </w:tcBorders>
          </w:tcPr>
          <w:p w:rsidR="00D27BC6" w:rsidRDefault="004D5071">
            <w:pPr>
              <w:spacing w:after="0" w:line="259" w:lineRule="auto"/>
              <w:ind w:left="0" w:right="0" w:firstLine="0"/>
              <w:jc w:val="left"/>
            </w:pPr>
            <w:r>
              <w:rPr>
                <w:b/>
              </w:rPr>
              <w:t>Ремиссия сахарного диабета 2 типа</w:t>
            </w:r>
            <w:r>
              <w:t xml:space="preserve"> (указать вследствие какого вмешательства развилась ремиссия)</w:t>
            </w:r>
          </w:p>
        </w:tc>
      </w:tr>
      <w:tr w:rsidR="00D27BC6">
        <w:trPr>
          <w:trHeight w:val="956"/>
        </w:trPr>
        <w:tc>
          <w:tcPr>
            <w:tcW w:w="396"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98" w:type="dxa"/>
            <w:tcBorders>
              <w:top w:val="nil"/>
              <w:left w:val="nil"/>
              <w:bottom w:val="nil"/>
              <w:right w:val="single" w:sz="8" w:space="0" w:color="000000"/>
            </w:tcBorders>
          </w:tcPr>
          <w:p w:rsidR="00D27BC6" w:rsidRDefault="004D5071">
            <w:pPr>
              <w:spacing w:after="0" w:line="259" w:lineRule="auto"/>
              <w:ind w:left="0" w:right="0" w:firstLine="0"/>
              <w:jc w:val="left"/>
            </w:pPr>
            <w:r>
              <w:t>Диабетические микроангиопатии:</w:t>
            </w:r>
          </w:p>
          <w:p w:rsidR="00D27BC6" w:rsidRDefault="004D5071">
            <w:pPr>
              <w:numPr>
                <w:ilvl w:val="0"/>
                <w:numId w:val="206"/>
              </w:numPr>
              <w:spacing w:after="0" w:line="259" w:lineRule="auto"/>
              <w:ind w:left="283" w:right="0" w:hanging="283"/>
              <w:jc w:val="left"/>
            </w:pPr>
            <w:r>
              <w:t>диабетическая ретинопатия (указать стадию на правом глазу, на левом глазу);</w:t>
            </w:r>
          </w:p>
          <w:p w:rsidR="00D27BC6" w:rsidRDefault="004D5071">
            <w:pPr>
              <w:numPr>
                <w:ilvl w:val="0"/>
                <w:numId w:val="206"/>
              </w:numPr>
              <w:spacing w:after="0" w:line="259" w:lineRule="auto"/>
              <w:ind w:left="283" w:right="0" w:hanging="283"/>
              <w:jc w:val="left"/>
            </w:pPr>
            <w:r>
              <w:t>состояние после лазерной коагуляции сетчатки или оперативного лечения (если проводились) от… года</w:t>
            </w:r>
          </w:p>
          <w:p w:rsidR="00D27BC6" w:rsidRDefault="004D5071">
            <w:pPr>
              <w:numPr>
                <w:ilvl w:val="0"/>
                <w:numId w:val="206"/>
              </w:numPr>
              <w:spacing w:after="0" w:line="259" w:lineRule="auto"/>
              <w:ind w:left="283" w:right="0" w:hanging="283"/>
              <w:jc w:val="left"/>
            </w:pPr>
            <w:r>
              <w:t>диабетическая нефропатия (указать стадию хронической болезни почек и альбуминурии)</w:t>
            </w:r>
          </w:p>
        </w:tc>
      </w:tr>
      <w:tr w:rsidR="00D27BC6">
        <w:trPr>
          <w:trHeight w:val="240"/>
        </w:trPr>
        <w:tc>
          <w:tcPr>
            <w:tcW w:w="396" w:type="dxa"/>
            <w:tcBorders>
              <w:top w:val="nil"/>
              <w:left w:val="single" w:sz="8" w:space="0" w:color="000000"/>
              <w:bottom w:val="nil"/>
              <w:right w:val="nil"/>
            </w:tcBorders>
          </w:tcPr>
          <w:p w:rsidR="00D27BC6" w:rsidRDefault="004D5071">
            <w:pPr>
              <w:spacing w:after="0" w:line="259" w:lineRule="auto"/>
              <w:ind w:left="113" w:right="0" w:firstLine="0"/>
              <w:jc w:val="left"/>
            </w:pPr>
            <w:r>
              <w:rPr>
                <w:b/>
              </w:rPr>
              <w:t xml:space="preserve">• </w:t>
            </w:r>
          </w:p>
        </w:tc>
        <w:tc>
          <w:tcPr>
            <w:tcW w:w="9798" w:type="dxa"/>
            <w:tcBorders>
              <w:top w:val="nil"/>
              <w:left w:val="nil"/>
              <w:bottom w:val="nil"/>
              <w:right w:val="single" w:sz="8" w:space="0" w:color="000000"/>
            </w:tcBorders>
          </w:tcPr>
          <w:p w:rsidR="00D27BC6" w:rsidRDefault="004D5071">
            <w:pPr>
              <w:spacing w:after="0" w:line="259" w:lineRule="auto"/>
              <w:ind w:left="0" w:right="0" w:firstLine="0"/>
              <w:jc w:val="left"/>
            </w:pPr>
            <w:r>
              <w:rPr>
                <w:b/>
              </w:rPr>
              <w:t>Диабетическая нейропатия</w:t>
            </w:r>
            <w:r>
              <w:t xml:space="preserve"> (указать форму)</w:t>
            </w:r>
          </w:p>
        </w:tc>
      </w:tr>
      <w:tr w:rsidR="00D27BC6">
        <w:trPr>
          <w:trHeight w:val="240"/>
        </w:trPr>
        <w:tc>
          <w:tcPr>
            <w:tcW w:w="396" w:type="dxa"/>
            <w:tcBorders>
              <w:top w:val="nil"/>
              <w:left w:val="single" w:sz="8" w:space="0" w:color="000000"/>
              <w:bottom w:val="nil"/>
              <w:right w:val="nil"/>
            </w:tcBorders>
          </w:tcPr>
          <w:p w:rsidR="00D27BC6" w:rsidRDefault="004D5071">
            <w:pPr>
              <w:spacing w:after="0" w:line="259" w:lineRule="auto"/>
              <w:ind w:left="113" w:right="0" w:firstLine="0"/>
              <w:jc w:val="left"/>
            </w:pPr>
            <w:r>
              <w:rPr>
                <w:b/>
              </w:rPr>
              <w:t xml:space="preserve">• </w:t>
            </w:r>
          </w:p>
        </w:tc>
        <w:tc>
          <w:tcPr>
            <w:tcW w:w="9798" w:type="dxa"/>
            <w:tcBorders>
              <w:top w:val="nil"/>
              <w:left w:val="nil"/>
              <w:bottom w:val="nil"/>
              <w:right w:val="single" w:sz="8" w:space="0" w:color="000000"/>
            </w:tcBorders>
          </w:tcPr>
          <w:p w:rsidR="00D27BC6" w:rsidRDefault="004D5071">
            <w:pPr>
              <w:spacing w:after="0" w:line="259" w:lineRule="auto"/>
              <w:ind w:left="0" w:right="0" w:firstLine="0"/>
              <w:jc w:val="left"/>
            </w:pPr>
            <w:r>
              <w:rPr>
                <w:b/>
              </w:rPr>
              <w:t>Синдром диабетической стопы</w:t>
            </w:r>
            <w:r>
              <w:t xml:space="preserve"> (указать форму)</w:t>
            </w:r>
          </w:p>
        </w:tc>
      </w:tr>
      <w:tr w:rsidR="00D27BC6">
        <w:trPr>
          <w:trHeight w:val="240"/>
        </w:trPr>
        <w:tc>
          <w:tcPr>
            <w:tcW w:w="396" w:type="dxa"/>
            <w:tcBorders>
              <w:top w:val="nil"/>
              <w:left w:val="single" w:sz="8" w:space="0" w:color="000000"/>
              <w:bottom w:val="nil"/>
              <w:right w:val="nil"/>
            </w:tcBorders>
          </w:tcPr>
          <w:p w:rsidR="00D27BC6" w:rsidRDefault="004D5071">
            <w:pPr>
              <w:spacing w:after="0" w:line="259" w:lineRule="auto"/>
              <w:ind w:left="113" w:right="0" w:firstLine="0"/>
              <w:jc w:val="left"/>
            </w:pPr>
            <w:r>
              <w:rPr>
                <w:b/>
              </w:rPr>
              <w:t xml:space="preserve">• </w:t>
            </w:r>
          </w:p>
        </w:tc>
        <w:tc>
          <w:tcPr>
            <w:tcW w:w="9798" w:type="dxa"/>
            <w:tcBorders>
              <w:top w:val="nil"/>
              <w:left w:val="nil"/>
              <w:bottom w:val="nil"/>
              <w:right w:val="single" w:sz="8" w:space="0" w:color="000000"/>
            </w:tcBorders>
          </w:tcPr>
          <w:p w:rsidR="00D27BC6" w:rsidRDefault="004D5071">
            <w:pPr>
              <w:spacing w:after="0" w:line="259" w:lineRule="auto"/>
              <w:ind w:left="0" w:right="0" w:firstLine="0"/>
              <w:jc w:val="left"/>
            </w:pPr>
            <w:r>
              <w:rPr>
                <w:b/>
              </w:rPr>
              <w:t>Диабетическая нейроостеоартропатия</w:t>
            </w:r>
            <w:r>
              <w:t xml:space="preserve"> (указать стадию)</w:t>
            </w:r>
          </w:p>
        </w:tc>
      </w:tr>
      <w:tr w:rsidR="00D27BC6">
        <w:trPr>
          <w:trHeight w:val="960"/>
        </w:trPr>
        <w:tc>
          <w:tcPr>
            <w:tcW w:w="396" w:type="dxa"/>
            <w:tcBorders>
              <w:top w:val="nil"/>
              <w:left w:val="single" w:sz="8" w:space="0" w:color="000000"/>
              <w:bottom w:val="nil"/>
              <w:right w:val="nil"/>
            </w:tcBorders>
          </w:tcPr>
          <w:p w:rsidR="00D27BC6" w:rsidRDefault="004D5071">
            <w:pPr>
              <w:spacing w:after="0" w:line="259" w:lineRule="auto"/>
              <w:ind w:left="113" w:right="0" w:firstLine="0"/>
              <w:jc w:val="left"/>
            </w:pPr>
            <w:r>
              <w:rPr>
                <w:b/>
              </w:rPr>
              <w:t xml:space="preserve">• </w:t>
            </w:r>
          </w:p>
        </w:tc>
        <w:tc>
          <w:tcPr>
            <w:tcW w:w="9798" w:type="dxa"/>
            <w:tcBorders>
              <w:top w:val="nil"/>
              <w:left w:val="nil"/>
              <w:bottom w:val="nil"/>
              <w:right w:val="single" w:sz="8" w:space="0" w:color="000000"/>
            </w:tcBorders>
          </w:tcPr>
          <w:p w:rsidR="00D27BC6" w:rsidRDefault="004D5071">
            <w:pPr>
              <w:spacing w:after="0" w:line="259" w:lineRule="auto"/>
              <w:ind w:left="0" w:right="0" w:firstLine="0"/>
              <w:jc w:val="left"/>
            </w:pPr>
            <w:r>
              <w:rPr>
                <w:b/>
              </w:rPr>
              <w:t>Диабетические макроангиопатии:</w:t>
            </w:r>
          </w:p>
          <w:p w:rsidR="00D27BC6" w:rsidRDefault="004D5071">
            <w:pPr>
              <w:numPr>
                <w:ilvl w:val="0"/>
                <w:numId w:val="207"/>
              </w:numPr>
              <w:spacing w:after="0" w:line="259" w:lineRule="auto"/>
              <w:ind w:left="283" w:right="0" w:hanging="283"/>
              <w:jc w:val="left"/>
            </w:pPr>
            <w:r>
              <w:rPr>
                <w:b/>
              </w:rPr>
              <w:t>ИБС</w:t>
            </w:r>
            <w:r>
              <w:t xml:space="preserve"> (указать форму)</w:t>
            </w:r>
          </w:p>
          <w:p w:rsidR="00D27BC6" w:rsidRDefault="004D5071">
            <w:pPr>
              <w:numPr>
                <w:ilvl w:val="0"/>
                <w:numId w:val="207"/>
              </w:numPr>
              <w:spacing w:after="0" w:line="259" w:lineRule="auto"/>
              <w:ind w:left="283" w:right="0" w:hanging="283"/>
              <w:jc w:val="left"/>
            </w:pPr>
            <w:r>
              <w:rPr>
                <w:b/>
              </w:rPr>
              <w:t>Цереброваскулярные заболевания</w:t>
            </w:r>
            <w:r>
              <w:t xml:space="preserve"> (указать какие)</w:t>
            </w:r>
          </w:p>
          <w:p w:rsidR="00D27BC6" w:rsidRDefault="004D5071">
            <w:pPr>
              <w:numPr>
                <w:ilvl w:val="0"/>
                <w:numId w:val="207"/>
              </w:numPr>
              <w:spacing w:after="0" w:line="259" w:lineRule="auto"/>
              <w:ind w:left="283" w:right="0" w:hanging="283"/>
              <w:jc w:val="left"/>
            </w:pPr>
            <w:r>
              <w:rPr>
                <w:b/>
              </w:rPr>
              <w:t>Заболевания артерий нижних конечностей</w:t>
            </w:r>
            <w:r>
              <w:t xml:space="preserve"> (указать критическую ишемию)</w:t>
            </w:r>
          </w:p>
        </w:tc>
      </w:tr>
      <w:tr w:rsidR="00D27BC6">
        <w:trPr>
          <w:trHeight w:val="1507"/>
        </w:trPr>
        <w:tc>
          <w:tcPr>
            <w:tcW w:w="396" w:type="dxa"/>
            <w:tcBorders>
              <w:top w:val="nil"/>
              <w:left w:val="single" w:sz="8" w:space="0" w:color="000000"/>
              <w:bottom w:val="single" w:sz="8" w:space="0" w:color="000000"/>
              <w:right w:val="nil"/>
            </w:tcBorders>
          </w:tcPr>
          <w:p w:rsidR="00D27BC6" w:rsidRDefault="004D5071">
            <w:pPr>
              <w:spacing w:after="0" w:line="259" w:lineRule="auto"/>
              <w:ind w:left="113" w:right="0" w:firstLine="0"/>
              <w:jc w:val="left"/>
            </w:pPr>
            <w:r>
              <w:rPr>
                <w:b/>
              </w:rPr>
              <w:t xml:space="preserve">• </w:t>
            </w:r>
          </w:p>
        </w:tc>
        <w:tc>
          <w:tcPr>
            <w:tcW w:w="9798" w:type="dxa"/>
            <w:tcBorders>
              <w:top w:val="nil"/>
              <w:left w:val="nil"/>
              <w:bottom w:val="single" w:sz="8" w:space="0" w:color="000000"/>
              <w:right w:val="single" w:sz="8" w:space="0" w:color="000000"/>
            </w:tcBorders>
          </w:tcPr>
          <w:p w:rsidR="00D27BC6" w:rsidRDefault="004D5071">
            <w:pPr>
              <w:spacing w:after="0" w:line="259" w:lineRule="auto"/>
              <w:ind w:left="0" w:right="0" w:firstLine="0"/>
              <w:jc w:val="left"/>
            </w:pPr>
            <w:r>
              <w:rPr>
                <w:b/>
              </w:rPr>
              <w:t>Сопутствующие заболевания, в том числе:</w:t>
            </w:r>
          </w:p>
          <w:p w:rsidR="00D27BC6" w:rsidRDefault="004D5071">
            <w:pPr>
              <w:numPr>
                <w:ilvl w:val="0"/>
                <w:numId w:val="208"/>
              </w:numPr>
              <w:spacing w:after="0" w:line="259" w:lineRule="auto"/>
              <w:ind w:right="0" w:hanging="283"/>
              <w:jc w:val="left"/>
            </w:pPr>
            <w:r>
              <w:rPr>
                <w:b/>
              </w:rPr>
              <w:t>Ожирение</w:t>
            </w:r>
            <w:r>
              <w:t xml:space="preserve"> (указать степень)</w:t>
            </w:r>
          </w:p>
          <w:p w:rsidR="00D27BC6" w:rsidRDefault="004D5071">
            <w:pPr>
              <w:numPr>
                <w:ilvl w:val="0"/>
                <w:numId w:val="208"/>
              </w:numPr>
              <w:spacing w:after="0" w:line="259" w:lineRule="auto"/>
              <w:ind w:right="0" w:hanging="283"/>
              <w:jc w:val="left"/>
            </w:pPr>
            <w:r>
              <w:rPr>
                <w:b/>
              </w:rPr>
              <w:t>Артериальная гипертензия</w:t>
            </w:r>
            <w:r>
              <w:t xml:space="preserve"> (указать степень, риск сердечно-сосудистых осложнений)</w:t>
            </w:r>
          </w:p>
          <w:p w:rsidR="00D27BC6" w:rsidRDefault="004D5071">
            <w:pPr>
              <w:numPr>
                <w:ilvl w:val="0"/>
                <w:numId w:val="208"/>
              </w:numPr>
              <w:spacing w:after="0" w:line="259" w:lineRule="auto"/>
              <w:ind w:right="0" w:hanging="283"/>
              <w:jc w:val="left"/>
            </w:pPr>
            <w:r>
              <w:rPr>
                <w:b/>
              </w:rPr>
              <w:t>Дислипидемия</w:t>
            </w:r>
          </w:p>
          <w:p w:rsidR="00D27BC6" w:rsidRDefault="004D5071">
            <w:pPr>
              <w:numPr>
                <w:ilvl w:val="0"/>
                <w:numId w:val="208"/>
              </w:numPr>
              <w:spacing w:after="0" w:line="259" w:lineRule="auto"/>
              <w:ind w:right="0" w:hanging="283"/>
              <w:jc w:val="left"/>
            </w:pPr>
            <w:r>
              <w:rPr>
                <w:b/>
              </w:rPr>
              <w:t>Хроническая сердечная недостаточность</w:t>
            </w:r>
            <w:r>
              <w:t xml:space="preserve"> (указать функциональный класс)</w:t>
            </w:r>
          </w:p>
          <w:p w:rsidR="00D27BC6" w:rsidRDefault="004D5071">
            <w:pPr>
              <w:numPr>
                <w:ilvl w:val="0"/>
                <w:numId w:val="208"/>
              </w:numPr>
              <w:spacing w:after="0" w:line="259" w:lineRule="auto"/>
              <w:ind w:right="0" w:hanging="283"/>
              <w:jc w:val="left"/>
            </w:pPr>
            <w:r>
              <w:rPr>
                <w:b/>
              </w:rPr>
              <w:t>Неалкогольная (метаболически ассоциированная) жировая болезнь печени</w:t>
            </w:r>
            <w:r>
              <w:t xml:space="preserve"> (указать форму)</w:t>
            </w:r>
          </w:p>
        </w:tc>
      </w:tr>
    </w:tbl>
    <w:p w:rsidR="00D27BC6" w:rsidRDefault="004D5071">
      <w:pPr>
        <w:pBdr>
          <w:top w:val="single" w:sz="8" w:space="0" w:color="000000"/>
          <w:left w:val="single" w:sz="8" w:space="0" w:color="000000"/>
          <w:bottom w:val="single" w:sz="8" w:space="0" w:color="000000"/>
          <w:right w:val="single" w:sz="8" w:space="0" w:color="000000"/>
        </w:pBdr>
        <w:spacing w:after="111"/>
        <w:ind w:left="120" w:right="114"/>
      </w:pPr>
      <w:r>
        <w:rPr>
          <w:b/>
        </w:rPr>
        <w:t xml:space="preserve">Важно! </w:t>
      </w:r>
      <w:r>
        <w:t>Понятие тяжести СД в формулировке диагноза исключено. Тяжесть СД определяется наличием осложнений, характеристика которых указана в</w:t>
      </w:r>
      <w:r>
        <w:t xml:space="preserve"> диагнозе.</w:t>
      </w:r>
    </w:p>
    <w:p w:rsidR="00D27BC6" w:rsidRDefault="004D5071">
      <w:pPr>
        <w:pBdr>
          <w:top w:val="single" w:sz="8" w:space="0" w:color="000000"/>
          <w:left w:val="single" w:sz="8" w:space="0" w:color="000000"/>
          <w:bottom w:val="single" w:sz="8" w:space="0" w:color="000000"/>
          <w:right w:val="single" w:sz="8" w:space="0" w:color="000000"/>
        </w:pBdr>
        <w:spacing w:after="104"/>
        <w:ind w:left="120" w:right="114"/>
      </w:pPr>
      <w:r>
        <w:rPr>
          <w:b/>
        </w:rPr>
        <w:t xml:space="preserve">Важно! </w:t>
      </w:r>
      <w:r>
        <w:t>В связи с введением индивидуализированных целей терапии понятия компенсации, субкомпенсации и декомпенсации в формулировке диагноза у пациентов с СД нецелесообразны.</w:t>
      </w:r>
    </w:p>
    <w:p w:rsidR="00D27BC6" w:rsidRDefault="004D5071">
      <w:pPr>
        <w:pBdr>
          <w:top w:val="single" w:sz="8" w:space="0" w:color="000000"/>
          <w:left w:val="single" w:sz="8" w:space="0" w:color="000000"/>
          <w:bottom w:val="single" w:sz="8" w:space="0" w:color="000000"/>
          <w:right w:val="single" w:sz="8" w:space="0" w:color="000000"/>
        </w:pBdr>
        <w:spacing w:after="252"/>
        <w:ind w:left="120" w:right="114"/>
      </w:pPr>
      <w:r>
        <w:t>После полной формулировки диагноза следует указать индивидуальный целевой уровень гликемического контроля (уровень HbA1c, глюкозы плазмы натощак/перед едой/на ночь/ночью и через 2 часа после еды). Для пациентов, проводящих НМГ и ФМГ, следует указать как ми</w:t>
      </w:r>
      <w:r>
        <w:t>нимум рекомендуемое время в целевом диапазоне.</w:t>
      </w:r>
    </w:p>
    <w:p w:rsidR="00D27BC6" w:rsidRDefault="004D5071">
      <w:pPr>
        <w:pStyle w:val="Heading1"/>
        <w:spacing w:after="225"/>
        <w:ind w:left="313" w:right="309"/>
      </w:pPr>
      <w:r>
        <w:t>5. САХАРНЫЙ ДИАБЕТ 1 ТИПА</w:t>
      </w:r>
    </w:p>
    <w:p w:rsidR="00D27BC6" w:rsidRDefault="004D5071">
      <w:pPr>
        <w:pBdr>
          <w:top w:val="single" w:sz="8" w:space="0" w:color="000000"/>
          <w:left w:val="single" w:sz="8" w:space="0" w:color="000000"/>
          <w:bottom w:val="single" w:sz="8" w:space="0" w:color="000000"/>
          <w:right w:val="single" w:sz="8" w:space="0" w:color="000000"/>
        </w:pBdr>
        <w:spacing w:after="366"/>
        <w:ind w:left="120" w:right="114"/>
      </w:pPr>
      <w:r>
        <w:rPr>
          <w:b/>
        </w:rPr>
        <w:t xml:space="preserve">CД 1 типа </w:t>
      </w:r>
      <w:r>
        <w:t>– нарушение углеводного обмена, вызванное деструкцией β-клеток поджелудочной железы, обычно приводящей к абсолютной инсулиновой недостаточности.</w:t>
      </w:r>
    </w:p>
    <w:p w:rsidR="00D27BC6" w:rsidRDefault="004D5071">
      <w:pPr>
        <w:spacing w:after="12"/>
        <w:ind w:left="290" w:right="286"/>
        <w:jc w:val="center"/>
      </w:pPr>
      <w:r>
        <w:rPr>
          <w:b/>
        </w:rPr>
        <w:t>5.1. ЛЕЧЕНИЕ СД 1 ТИПА</w:t>
      </w:r>
    </w:p>
    <w:tbl>
      <w:tblPr>
        <w:tblStyle w:val="TableGrid"/>
        <w:tblW w:w="10195" w:type="dxa"/>
        <w:tblInd w:w="12" w:type="dxa"/>
        <w:tblCellMar>
          <w:top w:w="0" w:type="dxa"/>
          <w:left w:w="0" w:type="dxa"/>
          <w:bottom w:w="0" w:type="dxa"/>
          <w:right w:w="115" w:type="dxa"/>
        </w:tblCellMar>
        <w:tblLook w:val="04A0" w:firstRow="1" w:lastRow="0" w:firstColumn="1" w:lastColumn="0" w:noHBand="0" w:noVBand="1"/>
      </w:tblPr>
      <w:tblGrid>
        <w:gridCol w:w="397"/>
        <w:gridCol w:w="9798"/>
      </w:tblGrid>
      <w:tr w:rsidR="00D27BC6">
        <w:trPr>
          <w:trHeight w:val="256"/>
        </w:trPr>
        <w:tc>
          <w:tcPr>
            <w:tcW w:w="397" w:type="dxa"/>
            <w:tcBorders>
              <w:top w:val="single" w:sz="8" w:space="0" w:color="000000"/>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98" w:type="dxa"/>
            <w:tcBorders>
              <w:top w:val="single" w:sz="8" w:space="0" w:color="000000"/>
              <w:left w:val="nil"/>
              <w:bottom w:val="nil"/>
              <w:right w:val="single" w:sz="8" w:space="0" w:color="000000"/>
            </w:tcBorders>
          </w:tcPr>
          <w:p w:rsidR="00D27BC6" w:rsidRDefault="004D5071">
            <w:pPr>
              <w:spacing w:after="0" w:line="259" w:lineRule="auto"/>
              <w:ind w:left="0" w:right="0" w:firstLine="0"/>
              <w:jc w:val="left"/>
            </w:pPr>
            <w:r>
              <w:t>Инсулинотерапия</w:t>
            </w:r>
          </w:p>
        </w:tc>
      </w:tr>
      <w:tr w:rsidR="00D27BC6">
        <w:trPr>
          <w:trHeight w:val="240"/>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98" w:type="dxa"/>
            <w:tcBorders>
              <w:top w:val="nil"/>
              <w:left w:val="nil"/>
              <w:bottom w:val="nil"/>
              <w:right w:val="single" w:sz="8" w:space="0" w:color="000000"/>
            </w:tcBorders>
          </w:tcPr>
          <w:p w:rsidR="00D27BC6" w:rsidRDefault="004D5071">
            <w:pPr>
              <w:spacing w:after="0" w:line="259" w:lineRule="auto"/>
              <w:ind w:left="0" w:right="0" w:firstLine="0"/>
              <w:jc w:val="left"/>
            </w:pPr>
            <w:r>
              <w:t>Самоконтроль гликемии</w:t>
            </w:r>
          </w:p>
        </w:tc>
      </w:tr>
      <w:tr w:rsidR="00D27BC6">
        <w:trPr>
          <w:trHeight w:val="304"/>
        </w:trPr>
        <w:tc>
          <w:tcPr>
            <w:tcW w:w="397" w:type="dxa"/>
            <w:tcBorders>
              <w:top w:val="nil"/>
              <w:left w:val="single" w:sz="8" w:space="0" w:color="000000"/>
              <w:bottom w:val="single" w:sz="8" w:space="0" w:color="000000"/>
              <w:right w:val="nil"/>
            </w:tcBorders>
          </w:tcPr>
          <w:p w:rsidR="00D27BC6" w:rsidRDefault="004D5071">
            <w:pPr>
              <w:spacing w:after="0" w:line="259" w:lineRule="auto"/>
              <w:ind w:left="113" w:right="0" w:firstLine="0"/>
              <w:jc w:val="left"/>
            </w:pPr>
            <w:r>
              <w:t xml:space="preserve">• </w:t>
            </w:r>
          </w:p>
        </w:tc>
        <w:tc>
          <w:tcPr>
            <w:tcW w:w="9798" w:type="dxa"/>
            <w:tcBorders>
              <w:top w:val="nil"/>
              <w:left w:val="nil"/>
              <w:bottom w:val="single" w:sz="8" w:space="0" w:color="000000"/>
              <w:right w:val="single" w:sz="8" w:space="0" w:color="000000"/>
            </w:tcBorders>
          </w:tcPr>
          <w:p w:rsidR="00D27BC6" w:rsidRDefault="004D5071">
            <w:pPr>
              <w:spacing w:after="0" w:line="259" w:lineRule="auto"/>
              <w:ind w:left="0" w:right="0" w:firstLine="0"/>
              <w:jc w:val="left"/>
            </w:pPr>
            <w:r>
              <w:t>Обучение принципам управления заболеванием</w:t>
            </w:r>
          </w:p>
        </w:tc>
      </w:tr>
    </w:tbl>
    <w:p w:rsidR="00D27BC6" w:rsidRDefault="004D5071">
      <w:pPr>
        <w:ind w:left="295" w:right="0"/>
      </w:pPr>
      <w:r>
        <w:rPr>
          <w:b/>
        </w:rPr>
        <w:t>Заместительная инсулинотерапия является единственным методом лечения СД 1 типа!</w:t>
      </w:r>
    </w:p>
    <w:p w:rsidR="00D27BC6" w:rsidRDefault="004D5071">
      <w:pPr>
        <w:ind w:left="295" w:right="0"/>
      </w:pPr>
      <w:r>
        <w:t>Питание и физическая активность лишь учитываются для коррекции дозы инсулина.</w:t>
      </w:r>
    </w:p>
    <w:p w:rsidR="00D27BC6" w:rsidRDefault="004D5071">
      <w:pPr>
        <w:spacing w:after="242" w:line="261" w:lineRule="auto"/>
        <w:ind w:left="10" w:right="6"/>
        <w:jc w:val="center"/>
      </w:pPr>
      <w:r>
        <w:rPr>
          <w:b/>
          <w:sz w:val="18"/>
        </w:rPr>
        <w:t>5.1.1. ИНСУЛИНОТЕРАПИЯ СД 1 ТИПА</w:t>
      </w:r>
    </w:p>
    <w:p w:rsidR="00D27BC6" w:rsidRDefault="004D5071">
      <w:pPr>
        <w:pStyle w:val="Heading2"/>
        <w:spacing w:after="229" w:line="248" w:lineRule="auto"/>
        <w:ind w:left="162" w:right="156"/>
        <w:jc w:val="center"/>
      </w:pPr>
      <w:r>
        <w:rPr>
          <w:color w:val="1E5D99"/>
        </w:rPr>
        <w:t>Рекомендуемые режимы инсулинотерапии</w:t>
      </w:r>
    </w:p>
    <w:p w:rsidR="00D27BC6" w:rsidRDefault="004D5071">
      <w:pPr>
        <w:ind w:left="-11" w:right="0" w:firstLine="283"/>
      </w:pPr>
      <w:r>
        <w:t xml:space="preserve">В большинстве случаев рекомендуется интенсифицированная (синоним – базис-болюсная) инсулинотерапия в режиме многократных инъекций или непрерывной подкожной инфузии (помпа) с разделением </w:t>
      </w:r>
      <w:r>
        <w:t>инсулина на:</w:t>
      </w:r>
    </w:p>
    <w:p w:rsidR="00D27BC6" w:rsidRDefault="004D5071">
      <w:pPr>
        <w:numPr>
          <w:ilvl w:val="0"/>
          <w:numId w:val="14"/>
        </w:numPr>
        <w:ind w:right="0" w:hanging="283"/>
      </w:pPr>
      <w:r>
        <w:t>фоновый, или базальный (используются препараты средней продолжительности, длительного и сверхдлительного действия, при помповой инсулинотерапии – препараты инсулина ультракороткого действия (ИУКД) и инсулина сверхбыстрого действия (ИСБД)). В с</w:t>
      </w:r>
      <w:r>
        <w:t>реднем составляет 50% от суточной дозы инсулина;</w:t>
      </w:r>
    </w:p>
    <w:p w:rsidR="00D27BC6" w:rsidRDefault="004D5071">
      <w:pPr>
        <w:numPr>
          <w:ilvl w:val="0"/>
          <w:numId w:val="14"/>
        </w:numPr>
        <w:ind w:right="0" w:hanging="283"/>
      </w:pPr>
      <w:r>
        <w:t>пищевой, или прандиальный (используются препараты инсулина короткого действия (ИКД), ИУКД и ИСБД). Следует вычислить углеводной коэффициент – количество единиц инсулина на 1 ХЕ. В среднем составляет 50% от с</w:t>
      </w:r>
      <w:r>
        <w:t>уточной дозы инсулина;</w:t>
      </w:r>
    </w:p>
    <w:p w:rsidR="00D27BC6" w:rsidRDefault="004D5071">
      <w:pPr>
        <w:numPr>
          <w:ilvl w:val="0"/>
          <w:numId w:val="14"/>
        </w:numPr>
        <w:spacing w:after="230"/>
        <w:ind w:right="0" w:hanging="283"/>
      </w:pPr>
      <w:r>
        <w:t>коррекционный – для снижения повышенного уровня гликемии (используются препараты ИКД, ИУКД и ИСБД). Следует вычислить фактор чувствительности к инсулину – на сколько ммоль/л снижает повышенный уровень глюкозы крови 1 ЕД инсулина.</w:t>
      </w:r>
    </w:p>
    <w:p w:rsidR="00D27BC6" w:rsidRDefault="004D5071">
      <w:pPr>
        <w:pStyle w:val="Heading2"/>
        <w:spacing w:after="229" w:line="248" w:lineRule="auto"/>
        <w:ind w:left="162" w:right="156"/>
        <w:jc w:val="center"/>
      </w:pPr>
      <w:r>
        <w:rPr>
          <w:color w:val="1E5D99"/>
        </w:rPr>
        <w:t>Доз</w:t>
      </w:r>
      <w:r>
        <w:rPr>
          <w:color w:val="1E5D99"/>
        </w:rPr>
        <w:t>ы инсулина</w:t>
      </w:r>
    </w:p>
    <w:p w:rsidR="00D27BC6" w:rsidRDefault="004D5071">
      <w:pPr>
        <w:spacing w:after="230"/>
        <w:ind w:left="-11" w:right="0" w:firstLine="283"/>
      </w:pPr>
      <w:r>
        <w:t>Коррекция дозы инсулина должна осуществляться ежедневно с учетом данных самоконтроля гликемии или НМГ в течение суток и количества углеводов в пище и других факторов, влияющих на гликемию, до достижения индивидуальных целевых показателей гликемического кон</w:t>
      </w:r>
      <w:r>
        <w:t>троля. Ограничений в дозе инсулина не существует. При планировании обеспечения пациента инсулином следует использовать условную среднесуточную дозу инсулина, включающую в себя не только базальный и прандиальный инсулины, но и инсулин для коррекции гипергли</w:t>
      </w:r>
      <w:r>
        <w:t>кемии и проверки проходимости инсулиновой иглы.</w:t>
      </w:r>
    </w:p>
    <w:p w:rsidR="00D27BC6" w:rsidRDefault="004D5071">
      <w:pPr>
        <w:pStyle w:val="Heading2"/>
        <w:spacing w:after="10" w:line="248" w:lineRule="auto"/>
        <w:ind w:left="162" w:right="156"/>
        <w:jc w:val="center"/>
      </w:pPr>
      <w:r>
        <w:rPr>
          <w:color w:val="1E5D99"/>
        </w:rPr>
        <w:t xml:space="preserve">Характеристика препаратов инсулина, применяемых при СД 1 типа </w:t>
      </w:r>
    </w:p>
    <w:p w:rsidR="00D27BC6" w:rsidRDefault="004D5071">
      <w:pPr>
        <w:pStyle w:val="Heading3"/>
        <w:spacing w:after="216" w:line="259" w:lineRule="auto"/>
      </w:pPr>
      <w:r>
        <w:rPr>
          <w:b w:val="0"/>
        </w:rPr>
        <w:t>(см. приложение 1)</w:t>
      </w:r>
    </w:p>
    <w:p w:rsidR="00D27BC6" w:rsidRDefault="004D5071">
      <w:pPr>
        <w:ind w:left="-11" w:right="0" w:firstLine="283"/>
      </w:pPr>
      <w:r>
        <w:t>Для пациентов с СД 1 типа препаратами выбора являются аналоги генно-инженерного инсулина человека ультракороткого, сверхбыстро</w:t>
      </w:r>
      <w:r>
        <w:t>го, длительного и сверхдлительного действия.</w:t>
      </w:r>
    </w:p>
    <w:p w:rsidR="00D27BC6" w:rsidRDefault="004D5071">
      <w:pPr>
        <w:ind w:left="-11" w:right="0" w:firstLine="283"/>
      </w:pPr>
      <w:r>
        <w:t>Так как препараты инсулина и аналогов инсулина относятся к биологическим лекарственным средствам, то минимально необходимыми условиями взаимозаменяемости могут быть, но не ограничиваются ими:</w:t>
      </w:r>
    </w:p>
    <w:p w:rsidR="00D27BC6" w:rsidRDefault="004D5071">
      <w:pPr>
        <w:numPr>
          <w:ilvl w:val="0"/>
          <w:numId w:val="15"/>
        </w:numPr>
        <w:ind w:right="0" w:hanging="283"/>
      </w:pPr>
      <w:r>
        <w:t>проведенное ранее с</w:t>
      </w:r>
      <w:r>
        <w:t xml:space="preserve">равнительное изучение физико-химических и биологических свойств препарата; </w:t>
      </w:r>
    </w:p>
    <w:p w:rsidR="00D27BC6" w:rsidRDefault="004D5071">
      <w:pPr>
        <w:numPr>
          <w:ilvl w:val="0"/>
          <w:numId w:val="15"/>
        </w:numPr>
        <w:ind w:right="0" w:hanging="283"/>
      </w:pPr>
      <w:r>
        <w:t>проведенные ранее сравнительные исследования по оценке биосимилярности с оригинальным препаратом, включающие себя в обязательном порядке использование гиперинсулинемического эуглик</w:t>
      </w:r>
      <w:r>
        <w:t xml:space="preserve">емического клэмпметода для оценки фармакокинетики и фармакодинамики; </w:t>
      </w:r>
    </w:p>
    <w:p w:rsidR="00D27BC6" w:rsidRDefault="004D5071">
      <w:pPr>
        <w:numPr>
          <w:ilvl w:val="0"/>
          <w:numId w:val="15"/>
        </w:numPr>
        <w:spacing w:after="230"/>
        <w:ind w:right="0" w:hanging="283"/>
      </w:pPr>
      <w:r>
        <w:t>проведенные ранее клинические исследования по оценке иммуногенности, эффективности и безопасности в сравнении с оригинальным препаратом.</w:t>
      </w:r>
    </w:p>
    <w:p w:rsidR="00D27BC6" w:rsidRDefault="004D5071">
      <w:pPr>
        <w:pStyle w:val="Heading2"/>
        <w:spacing w:after="229" w:line="248" w:lineRule="auto"/>
        <w:ind w:left="162" w:right="156"/>
        <w:jc w:val="center"/>
      </w:pPr>
      <w:r>
        <w:rPr>
          <w:color w:val="1E5D99"/>
        </w:rPr>
        <w:t>Алгоритм замены одних препаратов инсулина на друг</w:t>
      </w:r>
      <w:r>
        <w:rPr>
          <w:color w:val="1E5D99"/>
        </w:rPr>
        <w:t xml:space="preserve">ие </w:t>
      </w:r>
    </w:p>
    <w:p w:rsidR="00D27BC6" w:rsidRDefault="004D5071">
      <w:pPr>
        <w:ind w:left="-11" w:right="0" w:firstLine="283"/>
      </w:pPr>
      <w:r>
        <w:t xml:space="preserve">В реальной клинической практике перевод с одного инсулина на другой происходит достаточно часто. При переводе пациента с одного инсулина на другой необходимо соблюдать следующие требования для наилучшего обеспечения безопасности пациента: </w:t>
      </w:r>
    </w:p>
    <w:p w:rsidR="00D27BC6" w:rsidRDefault="004D5071">
      <w:pPr>
        <w:numPr>
          <w:ilvl w:val="0"/>
          <w:numId w:val="16"/>
        </w:numPr>
        <w:ind w:right="0" w:hanging="283"/>
      </w:pPr>
      <w:r>
        <w:rPr>
          <w:i/>
        </w:rPr>
        <w:t>В случае раз</w:t>
      </w:r>
      <w:r>
        <w:rPr>
          <w:i/>
        </w:rPr>
        <w:t>ных МНН:</w:t>
      </w:r>
    </w:p>
    <w:p w:rsidR="00D27BC6" w:rsidRDefault="004D5071">
      <w:pPr>
        <w:numPr>
          <w:ilvl w:val="1"/>
          <w:numId w:val="16"/>
        </w:numPr>
        <w:spacing w:after="8" w:line="231" w:lineRule="auto"/>
        <w:ind w:left="568" w:right="0" w:hanging="283"/>
      </w:pPr>
      <w:r>
        <w:t xml:space="preserve">Перевод с одного препарата инсулина на другой должен осуществляться строго по медицинским показаниям, только при участии врача, требует более частого самоконтроля уровня глюкозы, обучения пациента и коррекции дозы вновь назначенного инсулина. </w:t>
      </w:r>
    </w:p>
    <w:p w:rsidR="00D27BC6" w:rsidRDefault="004D5071">
      <w:pPr>
        <w:numPr>
          <w:ilvl w:val="1"/>
          <w:numId w:val="16"/>
        </w:numPr>
        <w:ind w:left="568" w:right="0" w:hanging="283"/>
      </w:pPr>
      <w:r>
        <w:t xml:space="preserve">Перевод может быть осуществлен с одного препарата инсулина на другой как в рамках одной группы по АТХклассификации, так и со сменой АТХ-группы (например, перевод с человеческого инсулина на аналог инсулина и наоборот). </w:t>
      </w:r>
    </w:p>
    <w:p w:rsidR="00D27BC6" w:rsidRDefault="004D5071">
      <w:pPr>
        <w:numPr>
          <w:ilvl w:val="0"/>
          <w:numId w:val="16"/>
        </w:numPr>
        <w:ind w:right="0" w:hanging="283"/>
      </w:pPr>
      <w:r>
        <w:rPr>
          <w:i/>
        </w:rPr>
        <w:t xml:space="preserve">В случае одного и того же МНН: </w:t>
      </w:r>
    </w:p>
    <w:p w:rsidR="00D27BC6" w:rsidRDefault="004D5071">
      <w:pPr>
        <w:numPr>
          <w:ilvl w:val="1"/>
          <w:numId w:val="16"/>
        </w:numPr>
        <w:ind w:left="568" w:right="0" w:hanging="283"/>
      </w:pPr>
      <w:r>
        <w:t>Перевод пациентов с одного инсулина на другой с подтвержденной взаимозаменяемостью (т.е. подтвержденной биоэквивалентностью в отношении фармакокинетики, фармакодинамики и безопасности действия), как правило, не требует более частого самоконтроля уровня глю</w:t>
      </w:r>
      <w:r>
        <w:t>козы, обучения пациента и коррекции дозы вновь назначенного инсулина. При подтвержденной биоэквивалентности все показания, противопоказания, нежелательные реакции, применение у особых групп экстраполируются на биосимиляр из инструкции по медицинскому приме</w:t>
      </w:r>
      <w:r>
        <w:t>нению референтного препарата.</w:t>
      </w:r>
    </w:p>
    <w:p w:rsidR="00D27BC6" w:rsidRDefault="004D5071">
      <w:pPr>
        <w:numPr>
          <w:ilvl w:val="1"/>
          <w:numId w:val="16"/>
        </w:numPr>
        <w:ind w:left="568" w:right="0" w:hanging="283"/>
      </w:pPr>
      <w:r>
        <w:t xml:space="preserve">Перевод пациентов с одного инсулина на другой в рамках одного МНН, но с разной фармакокинетикой и фармакодинамикой должен осуществляться по правилам, указанным для препаратов с разными МНН. </w:t>
      </w:r>
    </w:p>
    <w:p w:rsidR="00D27BC6" w:rsidRDefault="004D5071">
      <w:pPr>
        <w:numPr>
          <w:ilvl w:val="0"/>
          <w:numId w:val="16"/>
        </w:numPr>
        <w:ind w:right="0" w:hanging="283"/>
      </w:pPr>
      <w:r>
        <w:rPr>
          <w:i/>
        </w:rPr>
        <w:t>В случае развития нежелательных явл</w:t>
      </w:r>
      <w:r>
        <w:rPr>
          <w:i/>
        </w:rPr>
        <w:t xml:space="preserve">ений как при назначении инсулинотерапии, так и переводе с одного препарата инсулина на другой, к которым относятся ухудшение гликемического контроля, существенное изменение потребности/дозы инсулина, развитие аллергических реакций, обязательно сообщение в </w:t>
      </w:r>
      <w:r>
        <w:rPr>
          <w:i/>
        </w:rPr>
        <w:t>Федеральную службу по надзору в сфере здравоохранения.</w:t>
      </w:r>
    </w:p>
    <w:p w:rsidR="00D27BC6" w:rsidRDefault="004D5071">
      <w:pPr>
        <w:numPr>
          <w:ilvl w:val="0"/>
          <w:numId w:val="16"/>
        </w:numPr>
        <w:spacing w:after="230"/>
        <w:ind w:right="0" w:hanging="283"/>
      </w:pPr>
      <w:r>
        <w:rPr>
          <w:b/>
          <w:i/>
        </w:rPr>
        <w:t>Решение о переводе с одного препарата инсулина на другой принимает врач с учетом актуальной инструкции по применению.</w:t>
      </w:r>
    </w:p>
    <w:p w:rsidR="00D27BC6" w:rsidRDefault="004D5071">
      <w:pPr>
        <w:pStyle w:val="Heading2"/>
        <w:ind w:left="-3"/>
      </w:pPr>
      <w:r>
        <w:t>Рекомендованные устройства для введения инсулина</w:t>
      </w:r>
    </w:p>
    <w:tbl>
      <w:tblPr>
        <w:tblStyle w:val="TableGrid"/>
        <w:tblW w:w="10191" w:type="dxa"/>
        <w:tblInd w:w="9" w:type="dxa"/>
        <w:tblCellMar>
          <w:top w:w="16" w:type="dxa"/>
          <w:left w:w="57" w:type="dxa"/>
          <w:bottom w:w="0" w:type="dxa"/>
          <w:right w:w="113" w:type="dxa"/>
        </w:tblCellMar>
        <w:tblLook w:val="04A0" w:firstRow="1" w:lastRow="0" w:firstColumn="1" w:lastColumn="0" w:noHBand="0" w:noVBand="1"/>
      </w:tblPr>
      <w:tblGrid>
        <w:gridCol w:w="3017"/>
        <w:gridCol w:w="7174"/>
      </w:tblGrid>
      <w:tr w:rsidR="00D27BC6">
        <w:trPr>
          <w:trHeight w:val="857"/>
        </w:trPr>
        <w:tc>
          <w:tcPr>
            <w:tcW w:w="3017"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Инсулиновые шприцы*</w:t>
            </w:r>
          </w:p>
        </w:tc>
        <w:tc>
          <w:tcPr>
            <w:tcW w:w="71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Для инсулина с</w:t>
            </w:r>
            <w:r>
              <w:t xml:space="preserve"> концентрацией 100 ЕД/мл</w:t>
            </w:r>
          </w:p>
        </w:tc>
      </w:tr>
      <w:tr w:rsidR="00D27BC6">
        <w:trPr>
          <w:trHeight w:val="857"/>
        </w:trPr>
        <w:tc>
          <w:tcPr>
            <w:tcW w:w="3017"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Инсулиновые шприц- ручки</w:t>
            </w:r>
          </w:p>
        </w:tc>
        <w:tc>
          <w:tcPr>
            <w:tcW w:w="7174"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09"/>
              </w:numPr>
              <w:spacing w:after="33" w:line="259" w:lineRule="auto"/>
              <w:ind w:right="0" w:hanging="170"/>
              <w:jc w:val="left"/>
            </w:pPr>
            <w:r>
              <w:t>С шагом дозы 1 или 0,5 ЕД</w:t>
            </w:r>
          </w:p>
          <w:p w:rsidR="00D27BC6" w:rsidRDefault="004D5071">
            <w:pPr>
              <w:numPr>
                <w:ilvl w:val="0"/>
                <w:numId w:val="209"/>
              </w:numPr>
              <w:spacing w:after="0" w:line="259" w:lineRule="auto"/>
              <w:ind w:right="0" w:hanging="170"/>
              <w:jc w:val="left"/>
            </w:pPr>
            <w:r>
              <w:t>Готовые к употреблению (предзаполненные инсулином) или со сменными инсулиновыми картриджами</w:t>
            </w:r>
          </w:p>
        </w:tc>
      </w:tr>
      <w:tr w:rsidR="00D27BC6">
        <w:trPr>
          <w:trHeight w:val="857"/>
        </w:trPr>
        <w:tc>
          <w:tcPr>
            <w:tcW w:w="3017"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 xml:space="preserve">Инсулиновые помпы </w:t>
            </w:r>
          </w:p>
          <w:p w:rsidR="00D27BC6" w:rsidRDefault="004D5071">
            <w:pPr>
              <w:spacing w:after="0" w:line="259" w:lineRule="auto"/>
              <w:ind w:left="0" w:right="0" w:firstLine="0"/>
              <w:jc w:val="left"/>
            </w:pPr>
            <w:r>
              <w:rPr>
                <w:b/>
              </w:rPr>
              <w:t>(носимые дозаторы инсулина)</w:t>
            </w:r>
          </w:p>
        </w:tc>
        <w:tc>
          <w:tcPr>
            <w:tcW w:w="71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517" w:firstLine="0"/>
              <w:jc w:val="left"/>
            </w:pPr>
            <w:r>
              <w:t>Устройства для непрерывной подкожной инфузии инсулина, в том числе с возможностью НМГ в реальном времени.</w:t>
            </w:r>
          </w:p>
        </w:tc>
      </w:tr>
    </w:tbl>
    <w:p w:rsidR="00D27BC6" w:rsidRDefault="004D5071">
      <w:pPr>
        <w:spacing w:after="391"/>
        <w:ind w:left="-3" w:right="0"/>
      </w:pPr>
      <w:r>
        <w:t>*</w:t>
      </w:r>
      <w:r>
        <w:rPr>
          <w:sz w:val="16"/>
        </w:rPr>
        <w:t xml:space="preserve"> Концентрация на флаконе инсулина должна совпадать с концентрацией на шприце.</w:t>
      </w:r>
    </w:p>
    <w:p w:rsidR="00D27BC6" w:rsidRDefault="004D5071">
      <w:pPr>
        <w:pBdr>
          <w:top w:val="single" w:sz="8" w:space="0" w:color="000000"/>
          <w:left w:val="single" w:sz="8" w:space="0" w:color="000000"/>
          <w:bottom w:val="single" w:sz="8" w:space="0" w:color="000000"/>
          <w:right w:val="single" w:sz="8" w:space="0" w:color="000000"/>
        </w:pBdr>
        <w:spacing w:after="113" w:line="236" w:lineRule="auto"/>
        <w:ind w:left="120" w:right="104"/>
      </w:pPr>
      <w:r>
        <w:rPr>
          <w:b/>
        </w:rPr>
        <w:t xml:space="preserve">Все пациенты с СД 1 типа, а также беременные женщины, больные с ослабленным зрением и перенесшие ампутацию нижних конечностей, должны быть обеспечены инъекторами инсулина (шприц-ручками)! </w:t>
      </w:r>
    </w:p>
    <w:p w:rsidR="00D27BC6" w:rsidRDefault="004D5071">
      <w:pPr>
        <w:pBdr>
          <w:top w:val="single" w:sz="8" w:space="0" w:color="000000"/>
          <w:left w:val="single" w:sz="8" w:space="0" w:color="000000"/>
          <w:bottom w:val="single" w:sz="8" w:space="0" w:color="000000"/>
          <w:right w:val="single" w:sz="8" w:space="0" w:color="000000"/>
        </w:pBdr>
        <w:spacing w:after="567" w:line="236" w:lineRule="auto"/>
        <w:ind w:left="120" w:right="104"/>
      </w:pPr>
      <w:r>
        <w:rPr>
          <w:b/>
        </w:rPr>
        <w:t>Применение помповой инсулинотерапии может быть рассмотрено у детей,</w:t>
      </w:r>
      <w:r>
        <w:rPr>
          <w:b/>
        </w:rPr>
        <w:t xml:space="preserve"> подростков, беременных женщин, пациентов с неоднократными тяжелыми гипогликемиями, вариабельностью гликемии, феноменом «утренней зари».</w:t>
      </w:r>
    </w:p>
    <w:p w:rsidR="00D27BC6" w:rsidRDefault="004D5071">
      <w:pPr>
        <w:spacing w:after="242" w:line="261" w:lineRule="auto"/>
        <w:ind w:left="10" w:right="6"/>
        <w:jc w:val="center"/>
      </w:pPr>
      <w:r>
        <w:rPr>
          <w:b/>
          <w:sz w:val="18"/>
        </w:rPr>
        <w:t>5.1.2. ПОМПОВАЯ ИНСУЛИНОТЕРАПИЯ</w:t>
      </w:r>
    </w:p>
    <w:p w:rsidR="00D27BC6" w:rsidRDefault="004D5071">
      <w:pPr>
        <w:spacing w:after="230"/>
        <w:ind w:left="-11" w:right="0" w:firstLine="283"/>
      </w:pPr>
      <w:r>
        <w:t xml:space="preserve">Помповая инсулинотерапия или непрерывная (постоянная) подкожная инфузия инсулина (НПИИ) – современный метод инсулинотерапии, позволяющий лучше всего имитировать физиологический профиль инсулинемии. В режиме НПИИ инсулин вводится подкожно, непрерывно путем </w:t>
      </w:r>
      <w:r>
        <w:t>предварительно запрограммированной базальной скорости и введением отдельных болюсов на приемы пищи и в случае гипергликемии.</w:t>
      </w:r>
    </w:p>
    <w:p w:rsidR="00D27BC6" w:rsidRDefault="004D5071">
      <w:pPr>
        <w:ind w:left="281" w:right="51"/>
        <w:jc w:val="left"/>
      </w:pPr>
      <w:r>
        <w:rPr>
          <w:b/>
        </w:rPr>
        <w:t>Преимущества помповой инсулинотерапии:</w:t>
      </w:r>
    </w:p>
    <w:p w:rsidR="00D27BC6" w:rsidRDefault="004D5071">
      <w:pPr>
        <w:numPr>
          <w:ilvl w:val="0"/>
          <w:numId w:val="17"/>
        </w:numPr>
        <w:ind w:right="0" w:hanging="283"/>
      </w:pPr>
      <w:r>
        <w:t>низкая вариабельность действия инсулина;</w:t>
      </w:r>
    </w:p>
    <w:p w:rsidR="00D27BC6" w:rsidRDefault="004D5071">
      <w:pPr>
        <w:numPr>
          <w:ilvl w:val="0"/>
          <w:numId w:val="17"/>
        </w:numPr>
        <w:ind w:right="0" w:hanging="283"/>
      </w:pPr>
      <w:r>
        <w:t>профиль введения инсулина в базальном (фоновом) реж</w:t>
      </w:r>
      <w:r>
        <w:t>име точно соответствует потребности;</w:t>
      </w:r>
    </w:p>
    <w:p w:rsidR="00D27BC6" w:rsidRDefault="004D5071">
      <w:pPr>
        <w:numPr>
          <w:ilvl w:val="0"/>
          <w:numId w:val="17"/>
        </w:numPr>
        <w:ind w:right="0" w:hanging="283"/>
      </w:pPr>
      <w:r>
        <w:t>высокая точность дозирования (до 0,01 ЕД);</w:t>
      </w:r>
    </w:p>
    <w:p w:rsidR="00D27BC6" w:rsidRDefault="004D5071">
      <w:pPr>
        <w:numPr>
          <w:ilvl w:val="0"/>
          <w:numId w:val="17"/>
        </w:numPr>
        <w:ind w:right="0" w:hanging="283"/>
      </w:pPr>
      <w:r>
        <w:t>разные типы болюсов (можно растянуть во времени введение всей дозы или её части);</w:t>
      </w:r>
    </w:p>
    <w:p w:rsidR="00D27BC6" w:rsidRDefault="004D5071">
      <w:pPr>
        <w:numPr>
          <w:ilvl w:val="0"/>
          <w:numId w:val="17"/>
        </w:numPr>
        <w:ind w:right="0" w:hanging="283"/>
      </w:pPr>
      <w:r>
        <w:t>наличие помощника (калькулятора) болюса, который помогает точно рассчитать дозу инсулина;</w:t>
      </w:r>
    </w:p>
    <w:p w:rsidR="00D27BC6" w:rsidRDefault="004D5071">
      <w:pPr>
        <w:numPr>
          <w:ilvl w:val="0"/>
          <w:numId w:val="17"/>
        </w:numPr>
        <w:ind w:right="0" w:hanging="283"/>
      </w:pPr>
      <w:r>
        <w:t>нали</w:t>
      </w:r>
      <w:r>
        <w:t>чие у некоторых моделей пульта управления, совмещенного с глюкометром, который передает информацию об измеренном уровне глюкозы крови в помпу;</w:t>
      </w:r>
    </w:p>
    <w:p w:rsidR="00D27BC6" w:rsidRDefault="004D5071">
      <w:pPr>
        <w:numPr>
          <w:ilvl w:val="0"/>
          <w:numId w:val="17"/>
        </w:numPr>
        <w:ind w:right="0" w:hanging="283"/>
      </w:pPr>
      <w:r>
        <w:t>возможность поставить временную базальную скорость (например, при физической активности);</w:t>
      </w:r>
    </w:p>
    <w:p w:rsidR="00D27BC6" w:rsidRDefault="004D5071">
      <w:pPr>
        <w:numPr>
          <w:ilvl w:val="0"/>
          <w:numId w:val="17"/>
        </w:numPr>
        <w:spacing w:after="226"/>
        <w:ind w:right="0" w:hanging="283"/>
      </w:pPr>
      <w:r>
        <w:t>уменьшение количества и</w:t>
      </w:r>
      <w:r>
        <w:t>нъекций.</w:t>
      </w:r>
    </w:p>
    <w:p w:rsidR="00D27BC6" w:rsidRDefault="004D5071">
      <w:pPr>
        <w:ind w:left="281" w:right="51"/>
        <w:jc w:val="left"/>
      </w:pPr>
      <w:r>
        <w:rPr>
          <w:b/>
        </w:rPr>
        <w:t>Недостатки помповой инсулинотерапии:</w:t>
      </w:r>
    </w:p>
    <w:p w:rsidR="00D27BC6" w:rsidRDefault="004D5071">
      <w:pPr>
        <w:numPr>
          <w:ilvl w:val="0"/>
          <w:numId w:val="17"/>
        </w:numPr>
        <w:ind w:right="0" w:hanging="283"/>
      </w:pPr>
      <w:r>
        <w:t>потенциально высокий риск гипергликемии и кетоацидоза, особенно при подаче малых доз;</w:t>
      </w:r>
    </w:p>
    <w:p w:rsidR="00D27BC6" w:rsidRDefault="004D5071">
      <w:pPr>
        <w:numPr>
          <w:ilvl w:val="0"/>
          <w:numId w:val="17"/>
        </w:numPr>
        <w:ind w:right="0" w:hanging="283"/>
      </w:pPr>
      <w:r>
        <w:t xml:space="preserve">необходимость постоянного ношения внешнего устройства, связанный с этим дискомфорт; • </w:t>
      </w:r>
      <w:r>
        <w:tab/>
        <w:t>возможные неполадки в работе помпы, п</w:t>
      </w:r>
      <w:r>
        <w:t>риводящие к нарушению доставки инсулина в организм;</w:t>
      </w:r>
    </w:p>
    <w:p w:rsidR="00D27BC6" w:rsidRDefault="004D5071">
      <w:pPr>
        <w:numPr>
          <w:ilvl w:val="0"/>
          <w:numId w:val="17"/>
        </w:numPr>
        <w:spacing w:after="229"/>
        <w:ind w:right="0" w:hanging="283"/>
      </w:pPr>
      <w:r>
        <w:t>высокая стоимость.</w:t>
      </w:r>
    </w:p>
    <w:p w:rsidR="00D27BC6" w:rsidRDefault="004D5071">
      <w:pPr>
        <w:ind w:left="281" w:right="51"/>
        <w:jc w:val="left"/>
      </w:pPr>
      <w:r>
        <w:rPr>
          <w:b/>
        </w:rPr>
        <w:t>Применение помповой инсулинотерапии может быть рассмотрено у пациентов в следующих ситуациях:</w:t>
      </w:r>
    </w:p>
    <w:p w:rsidR="00D27BC6" w:rsidRDefault="004D5071">
      <w:pPr>
        <w:numPr>
          <w:ilvl w:val="0"/>
          <w:numId w:val="17"/>
        </w:numPr>
        <w:ind w:right="0" w:hanging="283"/>
      </w:pPr>
      <w:r>
        <w:t>при HbA1c &gt;7,0% или другого индивидуального целевого показателя у обученных пациентов на фо</w:t>
      </w:r>
      <w:r>
        <w:t xml:space="preserve">не инсулинотерапии в режиме многократных инъекций, при адекватной частоте самоконтроля глюкозы и проведении количественной оценки углеводов; </w:t>
      </w:r>
    </w:p>
    <w:p w:rsidR="00D27BC6" w:rsidRDefault="004D5071">
      <w:pPr>
        <w:numPr>
          <w:ilvl w:val="0"/>
          <w:numId w:val="17"/>
        </w:numPr>
        <w:ind w:right="0" w:hanging="283"/>
      </w:pPr>
      <w:r>
        <w:t>при наличии тяжелых гипогликемий (≥1 раза за последний год), в том числе вследствие нарушенного распознавания гипо</w:t>
      </w:r>
      <w:r>
        <w:t>гликемии;</w:t>
      </w:r>
    </w:p>
    <w:p w:rsidR="00D27BC6" w:rsidRDefault="004D5071">
      <w:pPr>
        <w:numPr>
          <w:ilvl w:val="0"/>
          <w:numId w:val="17"/>
        </w:numPr>
        <w:ind w:right="0" w:hanging="283"/>
      </w:pPr>
      <w:r>
        <w:t>при высокой вариабельности гликемии независимо от уровня НbА1с, в том числе частые эпизоды легкой гипогликемии (≥1 раза в день);</w:t>
      </w:r>
    </w:p>
    <w:p w:rsidR="00D27BC6" w:rsidRDefault="004D5071">
      <w:pPr>
        <w:numPr>
          <w:ilvl w:val="0"/>
          <w:numId w:val="17"/>
        </w:numPr>
        <w:ind w:right="0" w:hanging="283"/>
      </w:pPr>
      <w:r>
        <w:t>при наличии выраженного феномена «утренней зари»;</w:t>
      </w:r>
    </w:p>
    <w:p w:rsidR="00D27BC6" w:rsidRDefault="004D5071">
      <w:pPr>
        <w:numPr>
          <w:ilvl w:val="0"/>
          <w:numId w:val="17"/>
        </w:numPr>
        <w:spacing w:after="229"/>
        <w:ind w:right="0" w:hanging="283"/>
      </w:pPr>
      <w:r>
        <w:t>при низкой потребности в инсулине и необходимости введения малых до</w:t>
      </w:r>
      <w:r>
        <w:t>з инсулина.</w:t>
      </w:r>
    </w:p>
    <w:p w:rsidR="00D27BC6" w:rsidRDefault="004D5071">
      <w:pPr>
        <w:ind w:left="281" w:right="51"/>
        <w:jc w:val="left"/>
      </w:pPr>
      <w:r>
        <w:rPr>
          <w:b/>
        </w:rPr>
        <w:t>Проведение помповой инсулинотерапии нецелесообразно в следующих ситуациях:</w:t>
      </w:r>
    </w:p>
    <w:p w:rsidR="00D27BC6" w:rsidRDefault="004D5071">
      <w:pPr>
        <w:numPr>
          <w:ilvl w:val="0"/>
          <w:numId w:val="17"/>
        </w:numPr>
        <w:ind w:right="0" w:hanging="283"/>
      </w:pPr>
      <w:r>
        <w:t>при впервые выявленном СД (менее 6 мес. после манифестации в связи с недостаточными знаниями по СД и опытом проведения инъекций инсулина);</w:t>
      </w:r>
    </w:p>
    <w:p w:rsidR="00D27BC6" w:rsidRDefault="004D5071">
      <w:pPr>
        <w:numPr>
          <w:ilvl w:val="0"/>
          <w:numId w:val="17"/>
        </w:numPr>
        <w:ind w:right="0" w:hanging="283"/>
      </w:pPr>
      <w:r>
        <w:t>при отсутствии желания/возможности/способности пациента проводить процедуры, связанные с контролем СД и инсулиновой помпой, включая: регулярный самоконтроль глюкозы крови, оценку углеводов пищи, введение инсулина, регулярную замену инфузионного набора и др</w:t>
      </w:r>
      <w:r>
        <w:t>.;</w:t>
      </w:r>
    </w:p>
    <w:p w:rsidR="00D27BC6" w:rsidRDefault="004D5071">
      <w:pPr>
        <w:numPr>
          <w:ilvl w:val="0"/>
          <w:numId w:val="17"/>
        </w:numPr>
        <w:ind w:right="0" w:hanging="283"/>
      </w:pPr>
      <w:r>
        <w:t>при недостижении индивидуальных целевых показателей гликемического контроля и/или отсутствии значимого (более 0,5%) снижения уровня HbA1c в течение одного года после инициации помповой инсулинотерапии;</w:t>
      </w:r>
    </w:p>
    <w:p w:rsidR="00D27BC6" w:rsidRDefault="004D5071">
      <w:pPr>
        <w:numPr>
          <w:ilvl w:val="0"/>
          <w:numId w:val="17"/>
        </w:numPr>
        <w:ind w:right="0" w:hanging="283"/>
      </w:pPr>
      <w:r>
        <w:t>при выраженном снижении зрения, затрудняющем распоз</w:t>
      </w:r>
      <w:r>
        <w:t>навание надписей на приборе (в том числе, вследствие диабетической ретинопатии);</w:t>
      </w:r>
    </w:p>
    <w:p w:rsidR="00D27BC6" w:rsidRDefault="004D5071">
      <w:pPr>
        <w:numPr>
          <w:ilvl w:val="0"/>
          <w:numId w:val="17"/>
        </w:numPr>
        <w:ind w:right="0" w:hanging="283"/>
      </w:pPr>
      <w:r>
        <w:t>при выраженном психоэмоциональном стрессе. Обучение принципам работы инсулиновой помпы и проведения НПИИ требует концентрации внимания, что невозможно в условиях психоэмоциона</w:t>
      </w:r>
      <w:r>
        <w:t>льной нестабильности. При выявлении объективных причин для серьезного эмоционального напряжения или стресса у пациента перевод на НПИИ следует отложить;</w:t>
      </w:r>
    </w:p>
    <w:p w:rsidR="00D27BC6" w:rsidRDefault="004D5071">
      <w:pPr>
        <w:numPr>
          <w:ilvl w:val="0"/>
          <w:numId w:val="17"/>
        </w:numPr>
        <w:spacing w:after="230"/>
        <w:ind w:right="0" w:hanging="283"/>
      </w:pPr>
      <w:r>
        <w:t>при остром соматическом заболевании или обострении хронического. Учитывая выраженные изменения потребно</w:t>
      </w:r>
      <w:r>
        <w:t>сти организма в инсулине в этот период, перевод на НПИИ и подбор настроек осуществлять нецелесообразно.</w:t>
      </w:r>
    </w:p>
    <w:p w:rsidR="00D27BC6" w:rsidRDefault="004D5071">
      <w:pPr>
        <w:ind w:left="281" w:right="51"/>
        <w:jc w:val="left"/>
      </w:pPr>
      <w:r>
        <w:rPr>
          <w:b/>
        </w:rPr>
        <w:t xml:space="preserve">Применение помповой инсулинотерапии целесообразно при следующих условиях: </w:t>
      </w:r>
    </w:p>
    <w:p w:rsidR="00D27BC6" w:rsidRDefault="004D5071">
      <w:pPr>
        <w:numPr>
          <w:ilvl w:val="0"/>
          <w:numId w:val="17"/>
        </w:numPr>
        <w:ind w:right="0" w:hanging="283"/>
      </w:pPr>
      <w:r>
        <w:t>желание пациента активно управлять помповой инсулинотерапией;</w:t>
      </w:r>
    </w:p>
    <w:p w:rsidR="00D27BC6" w:rsidRDefault="004D5071">
      <w:pPr>
        <w:numPr>
          <w:ilvl w:val="0"/>
          <w:numId w:val="17"/>
        </w:numPr>
        <w:ind w:right="0" w:hanging="283"/>
      </w:pPr>
      <w:r>
        <w:t>консультация эн</w:t>
      </w:r>
      <w:r>
        <w:t>докринолога перед переводом пациента с СД на НПИИ для обсуждения основных аспектов помповой инсулинотерапии и определения готовности пациента;</w:t>
      </w:r>
    </w:p>
    <w:p w:rsidR="00D27BC6" w:rsidRDefault="004D5071">
      <w:pPr>
        <w:numPr>
          <w:ilvl w:val="0"/>
          <w:numId w:val="17"/>
        </w:numPr>
        <w:ind w:right="0" w:hanging="283"/>
      </w:pPr>
      <w:r>
        <w:t>инициация помповой инсулинотерапии должна проводиться в лечебно-профилактических учреждениях, имеющих в штате нео</w:t>
      </w:r>
      <w:r>
        <w:t>бходимых квалифицированных специалистов, обладающих достаточным опытом и навыками в помповой инсулинотерапии;</w:t>
      </w:r>
    </w:p>
    <w:p w:rsidR="00D27BC6" w:rsidRDefault="004D5071">
      <w:pPr>
        <w:numPr>
          <w:ilvl w:val="0"/>
          <w:numId w:val="17"/>
        </w:numPr>
        <w:ind w:right="0" w:hanging="283"/>
      </w:pPr>
      <w:r>
        <w:t xml:space="preserve">перевод на НПИИ может осуществляться в рамках госпитализации в специализированный эндокринологический стационар, а также в амбулаторных условиях, </w:t>
      </w:r>
      <w:r>
        <w:t>при этом необходимым условием является возможность беспрепятственного контакта пациента с лечащим врачом после инициации помповой инсулинотерапии;</w:t>
      </w:r>
    </w:p>
    <w:p w:rsidR="00D27BC6" w:rsidRDefault="004D5071">
      <w:pPr>
        <w:numPr>
          <w:ilvl w:val="0"/>
          <w:numId w:val="17"/>
        </w:numPr>
        <w:spacing w:after="230"/>
        <w:ind w:right="0" w:hanging="283"/>
      </w:pPr>
      <w:r>
        <w:t xml:space="preserve">обучение техническим особенностям обращения с устройством, функциям и способам программирования инсулинового </w:t>
      </w:r>
      <w:r>
        <w:t>дозатора, правилам смены настроек, отключения/подключения, смены инфузионных систем и ношения устройства должен проводить сертифицированный тренер по помповой инсулинотерапии. При возможности функции тренера может выполнить врач или средний медперсонал. Об</w:t>
      </w:r>
      <w:r>
        <w:t>учение пациента может занять от нескольких часов до нескольких дней в зависимости от индивидуальных особенностей пациента и исходного уровня знаний. В дальнейшем могут потребоваться дополнительные занятия по отдельным вопросам НПИИ. При необходимости возмо</w:t>
      </w:r>
      <w:r>
        <w:t>жно повторное терапевтическое обучение пациентов в группе или индивидуально по структурированной программе в «Школе для пациентов с сахарным диабетом».</w:t>
      </w:r>
    </w:p>
    <w:p w:rsidR="00D27BC6" w:rsidRDefault="004D5071">
      <w:pPr>
        <w:spacing w:after="230"/>
        <w:ind w:left="-11" w:right="0" w:firstLine="283"/>
      </w:pPr>
      <w:r>
        <w:t>Наибольшей эффективностью обладают инсулиновые помпы с функцией НМГ в режиме реального времени. Кроме то</w:t>
      </w:r>
      <w:r>
        <w:t>го, в настоящее время существуют инсулиновые помпы с функцией прекращения (в том числе предиктивного) подачи инсулина в случае гипогликемии, способствующие снижению частоты, продолжительности и выраженности эпизодов гипогликемии.</w:t>
      </w:r>
    </w:p>
    <w:p w:rsidR="00D27BC6" w:rsidRDefault="004D5071">
      <w:pPr>
        <w:spacing w:after="242" w:line="261" w:lineRule="auto"/>
        <w:ind w:left="10" w:right="6"/>
        <w:jc w:val="center"/>
      </w:pPr>
      <w:r>
        <w:rPr>
          <w:b/>
          <w:sz w:val="18"/>
        </w:rPr>
        <w:t xml:space="preserve">5.1.3. ТЕХНИКА ИНЪЕКЦИЙ И </w:t>
      </w:r>
      <w:r>
        <w:rPr>
          <w:b/>
          <w:sz w:val="18"/>
        </w:rPr>
        <w:t>ИНФУЗИИ ИНСУЛИНА</w:t>
      </w:r>
    </w:p>
    <w:p w:rsidR="00D27BC6" w:rsidRDefault="004D5071">
      <w:pPr>
        <w:numPr>
          <w:ilvl w:val="0"/>
          <w:numId w:val="17"/>
        </w:numPr>
        <w:ind w:right="0" w:hanging="283"/>
      </w:pPr>
      <w:r>
        <w:t>ИКД при близком к нормальному уровню гликемии вводится за 20–30 минут до приема пищи. Аналог ИУКД (ИСБД) при близком к нормальному уровню гликемии вводится непосредственно перед приемом пищи, при необходимости можно вводить сразу после при</w:t>
      </w:r>
      <w:r>
        <w:t>ема пищи.</w:t>
      </w:r>
    </w:p>
    <w:p w:rsidR="00D27BC6" w:rsidRDefault="004D5071">
      <w:pPr>
        <w:numPr>
          <w:ilvl w:val="0"/>
          <w:numId w:val="17"/>
        </w:numPr>
        <w:ind w:right="0" w:hanging="283"/>
      </w:pPr>
      <w:r>
        <w:t>При повышенном уровне гликемии перед приемом пищи рекомендуется увеличивать интервал времени от инъекции ИКД (ИУКД, ИСБД) до приема пищи.</w:t>
      </w:r>
    </w:p>
    <w:p w:rsidR="00D27BC6" w:rsidRDefault="004D5071">
      <w:pPr>
        <w:numPr>
          <w:ilvl w:val="0"/>
          <w:numId w:val="17"/>
        </w:numPr>
        <w:ind w:right="0" w:hanging="283"/>
      </w:pPr>
      <w:r>
        <w:t xml:space="preserve">Рекомендуемыми местами п/к инъекций и инфузии являются: </w:t>
      </w:r>
    </w:p>
    <w:p w:rsidR="00D27BC6" w:rsidRDefault="004D5071">
      <w:pPr>
        <w:ind w:left="568" w:right="0" w:hanging="283"/>
      </w:pPr>
      <w:r>
        <w:t>а) Живот в пределах следующих границ: примерно 1 см</w:t>
      </w:r>
      <w:r>
        <w:t xml:space="preserve"> выше лонного сочленения, примерно 1 см ниже нижнего ребра, примерно 1 см в сторону от пупка и латерально до средне-боковой линии. Смещаться латерально по поверхности передней брюшной стенки не рекомендуется у худых пациентов, так как толщина подкожно-жиро</w:t>
      </w:r>
      <w:r>
        <w:t xml:space="preserve">вой клетчатки уменьшается, что повышает риск в/м введения. Также не следует делать инъекции/инфузию в область пупка и средней линии живота, где подкожно-жировая клетчатка тонкая. </w:t>
      </w:r>
    </w:p>
    <w:p w:rsidR="00D27BC6" w:rsidRDefault="004D5071">
      <w:pPr>
        <w:ind w:left="295" w:right="0"/>
      </w:pPr>
      <w:r>
        <w:t xml:space="preserve">б) Передне-наружная часть верхней трети бедер. </w:t>
      </w:r>
    </w:p>
    <w:p w:rsidR="00D27BC6" w:rsidRDefault="004D5071">
      <w:pPr>
        <w:ind w:left="295" w:right="0"/>
      </w:pPr>
      <w:r>
        <w:t>в) Верхне-наружная часть ягодиц и наружная часть поясничной области.</w:t>
      </w:r>
    </w:p>
    <w:p w:rsidR="00D27BC6" w:rsidRDefault="004D5071">
      <w:pPr>
        <w:ind w:left="568" w:right="0" w:hanging="283"/>
      </w:pPr>
      <w:r>
        <w:t>г) Средняя наружная (задняя) треть плеч. Обычно область плеча не рекомендуется для самостоятельных инъекций из-за высокого риска в/м введения препарата (невозможно сформировать складку ко</w:t>
      </w:r>
      <w:r>
        <w:t>жи).</w:t>
      </w:r>
    </w:p>
    <w:p w:rsidR="00D27BC6" w:rsidRDefault="004D5071">
      <w:pPr>
        <w:numPr>
          <w:ilvl w:val="0"/>
          <w:numId w:val="17"/>
        </w:numPr>
        <w:ind w:right="0" w:hanging="283"/>
      </w:pPr>
      <w:r>
        <w:t>Во втором триместре беременности инсулин можно вводить по всей площади живота, но необходимо правильное формирование кожной складки. Боковые области живота могут использоваться для инъекций инсулина без формирования кожной складки. В третьем триместре</w:t>
      </w:r>
      <w:r>
        <w:t xml:space="preserve"> инъекции можно осуществлять только в боковые области живота при условии правильного формирования кожной складки.</w:t>
      </w:r>
    </w:p>
    <w:p w:rsidR="00D27BC6" w:rsidRDefault="004D5071">
      <w:pPr>
        <w:numPr>
          <w:ilvl w:val="0"/>
          <w:numId w:val="17"/>
        </w:numPr>
        <w:ind w:right="0" w:hanging="283"/>
      </w:pPr>
      <w:r>
        <w:t>При выборе мест инъекций следует учитывать тип инсулина. Предпочтительное место введения человеческого ИКД – это живот, так как в этом месте в</w:t>
      </w:r>
      <w:r>
        <w:t>сасывание инсулина самое быстрое). НПХ-инсулины должны вводиться в ягодицу или бедро, так как эти места имеют более медленную скорость всасывания. Готовые смеси человеческого инсулина (ИКД/НПХ-инсулин) должны вводиться в живот с целью повышения скорости вс</w:t>
      </w:r>
      <w:r>
        <w:t>асывания ИКД.</w:t>
      </w:r>
    </w:p>
    <w:p w:rsidR="00D27BC6" w:rsidRDefault="004D5071">
      <w:pPr>
        <w:numPr>
          <w:ilvl w:val="0"/>
          <w:numId w:val="17"/>
        </w:numPr>
        <w:ind w:right="0" w:hanging="283"/>
      </w:pPr>
      <w:r>
        <w:t>Аналоги ИУКД (ИСБД), инсулина длительного и сверхдлительного действия можно вводить во все рекомендуемые места инъекций.</w:t>
      </w:r>
    </w:p>
    <w:p w:rsidR="00D27BC6" w:rsidRDefault="004D5071">
      <w:pPr>
        <w:numPr>
          <w:ilvl w:val="0"/>
          <w:numId w:val="17"/>
        </w:numPr>
        <w:ind w:right="0" w:hanging="283"/>
      </w:pPr>
      <w:r>
        <w:t>Инсулин должен вводиться в здоровую подкожно-жировую клетчатку; следует избегать внутрикожных и внутримышечных (в/м) инъе</w:t>
      </w:r>
      <w:r>
        <w:t>кций, а также шрамов и участков липогипертрофии.</w:t>
      </w:r>
    </w:p>
    <w:p w:rsidR="00D27BC6" w:rsidRDefault="004D5071">
      <w:pPr>
        <w:numPr>
          <w:ilvl w:val="0"/>
          <w:numId w:val="17"/>
        </w:numPr>
        <w:ind w:right="0" w:hanging="283"/>
      </w:pPr>
      <w:r>
        <w:t>В некоторых случаях предпочтительным может быть разделение относительно больших доз инсулина на две инъекции, которые выполняются одна за другой в разные места. Нет универсальной пороговой величины для разде</w:t>
      </w:r>
      <w:r>
        <w:t>ления доз, но, как правило, за нее принимают величину 40–50 ЕД инсулина с концентрацией 100 ЕД/мл.</w:t>
      </w:r>
    </w:p>
    <w:p w:rsidR="00D27BC6" w:rsidRDefault="004D5071">
      <w:pPr>
        <w:numPr>
          <w:ilvl w:val="0"/>
          <w:numId w:val="17"/>
        </w:numPr>
        <w:ind w:right="0" w:hanging="283"/>
      </w:pPr>
      <w:r>
        <w:t xml:space="preserve">Необходимо использовать 4-мм иглы для инсулиновых шприц-ручек / инсулиновые шприцы с 6-мм иглами или самые короткие доступные иглы в целях минимизации риска </w:t>
      </w:r>
      <w:r>
        <w:t>в/м введения. Инъекции инсулина 4-мм иглами для инсулиновых шприц-ручек можно делать под углом 90°, независимо от возраста, пола, ИМТ. Если пациенты используют иглы длиной &gt; 4 мм или шприцы, может понадобиться формирование кожной складки и/или угол наклона</w:t>
      </w:r>
      <w:r>
        <w:t xml:space="preserve"> 45°, чтобы избежать в/м введения.</w:t>
      </w:r>
    </w:p>
    <w:p w:rsidR="00D27BC6" w:rsidRDefault="004D5071">
      <w:pPr>
        <w:numPr>
          <w:ilvl w:val="0"/>
          <w:numId w:val="17"/>
        </w:numPr>
        <w:spacing w:after="8" w:line="231" w:lineRule="auto"/>
        <w:ind w:right="0" w:hanging="283"/>
      </w:pPr>
      <w:r>
        <w:t>На наличие болевых ощущений при инъекциях инсулина могут влиять длина иглы, диаметр, метод обработки, наличие смазки, толщина стенки, технология заточки острия иглы. Пятигранная заточка острия иглы предназначена для умень</w:t>
      </w:r>
      <w:r>
        <w:t>шения сопротивления, возникающего при прохождении иглы через ткани, что позволяет минимизировать болевые ощущения пациента при инъекции.</w:t>
      </w:r>
    </w:p>
    <w:p w:rsidR="00D27BC6" w:rsidRDefault="004D5071">
      <w:pPr>
        <w:numPr>
          <w:ilvl w:val="0"/>
          <w:numId w:val="17"/>
        </w:numPr>
        <w:ind w:right="0" w:hanging="283"/>
      </w:pPr>
      <w:r>
        <w:t>Для уменьшения боли и страха перед инъекциями возможно использование инъекционного порта, который позволяет вводить инс</w:t>
      </w:r>
      <w:r>
        <w:t>улин инсулиновыми шприцами / шприц-ручками (с иглой длиной от 5 до 8 мм) без необходимости прокола кожи во время каждой инъекции. Один порт можно носить до 3 дней.</w:t>
      </w:r>
    </w:p>
    <w:p w:rsidR="00D27BC6" w:rsidRDefault="004D5071">
      <w:pPr>
        <w:numPr>
          <w:ilvl w:val="0"/>
          <w:numId w:val="17"/>
        </w:numPr>
        <w:ind w:right="0" w:hanging="283"/>
      </w:pPr>
      <w:r>
        <w:t>Медицинскому персоналу и людям, осуществляющим уход за пациентами на дому, во избежание пере</w:t>
      </w:r>
      <w:r>
        <w:t>дачи инфекционных заболеваний вследствие случайного прокола при инъекциях инсулина, следует рассмотреть использование безопасных игл для инсулиновых шприц-ручек с двойной автоматической защитной системой. Безопасные иглы также могут быть использованы для с</w:t>
      </w:r>
      <w:r>
        <w:t>амостоятельного применения определенными группами пациентов (страх перед инъекциями, нарушение мелкой моторики, ограничение подвижности суставов верхних конечностей, нарушение зрения).</w:t>
      </w:r>
    </w:p>
    <w:p w:rsidR="00D27BC6" w:rsidRDefault="004D5071">
      <w:pPr>
        <w:numPr>
          <w:ilvl w:val="0"/>
          <w:numId w:val="17"/>
        </w:numPr>
        <w:ind w:right="0" w:hanging="283"/>
      </w:pPr>
      <w:r>
        <w:t>Всегда следует соблюдать правильное чередование мест инъекций, чтобы не</w:t>
      </w:r>
      <w:r>
        <w:t xml:space="preserve"> допустить развития липогипертрофии, приводящей к нарушению всасывания инсулина и вариабельности гликемии. Важно вводить каждую последующую инъекцию на расстоянии минимум 1 см от предыдущей инъекции и использовать все возможные места для инъекций.</w:t>
      </w:r>
    </w:p>
    <w:p w:rsidR="00D27BC6" w:rsidRDefault="004D5071">
      <w:pPr>
        <w:numPr>
          <w:ilvl w:val="0"/>
          <w:numId w:val="17"/>
        </w:numPr>
        <w:ind w:right="0" w:hanging="283"/>
      </w:pPr>
      <w:r>
        <w:t>Оптималь</w:t>
      </w:r>
      <w:r>
        <w:t>ным методом инъекций является однократное использование игл для инсулиновых шприц-ручек и шприцев.</w:t>
      </w:r>
    </w:p>
    <w:p w:rsidR="00D27BC6" w:rsidRDefault="004D5071">
      <w:pPr>
        <w:numPr>
          <w:ilvl w:val="0"/>
          <w:numId w:val="17"/>
        </w:numPr>
        <w:ind w:right="0" w:hanging="283"/>
      </w:pPr>
      <w:r>
        <w:t>Канюлю при проведении помповой инсулинотерапии следует менять каждые 48–72 часа в целях минимизации риска возникновения нежелательных явлений и потенциальног</w:t>
      </w:r>
      <w:r>
        <w:t>о нарушения гликемического контроля. Места установки канюли чередуются по тому же принципу, что и места для обычных инъекций.</w:t>
      </w:r>
    </w:p>
    <w:p w:rsidR="00D27BC6" w:rsidRDefault="004D5071">
      <w:pPr>
        <w:numPr>
          <w:ilvl w:val="0"/>
          <w:numId w:val="17"/>
        </w:numPr>
        <w:ind w:right="0" w:hanging="283"/>
      </w:pPr>
      <w:r>
        <w:t>Во избежание передачи инфекционных заболеваний инсулиновые шприц-ручки, картриджи для инсулиновых шприц-ручек и флаконы инсулина п</w:t>
      </w:r>
      <w:r>
        <w:t>редназначены исключительно для индивидуального использования.</w:t>
      </w:r>
    </w:p>
    <w:p w:rsidR="00D27BC6" w:rsidRDefault="004D5071">
      <w:pPr>
        <w:numPr>
          <w:ilvl w:val="0"/>
          <w:numId w:val="17"/>
        </w:numPr>
        <w:ind w:right="0" w:hanging="283"/>
      </w:pPr>
      <w:r>
        <w:t>Запас инсулина должен храниться при температуре +2-8°. Флаконы с инсулином или шприц-ручки, которые используются для ежедневных инъекций, могут храниться при комнатной температуре (до +30°) в те</w:t>
      </w:r>
      <w:r>
        <w:t>чение 4 недель (инсулин детемир – 6 недель, инсулин деглудек – 8 недель); перед введением инсулин должен иметь комнатную температуру.</w:t>
      </w:r>
    </w:p>
    <w:p w:rsidR="00D27BC6" w:rsidRDefault="004D5071">
      <w:pPr>
        <w:numPr>
          <w:ilvl w:val="0"/>
          <w:numId w:val="17"/>
        </w:numPr>
        <w:spacing w:after="230"/>
        <w:ind w:right="0" w:hanging="283"/>
      </w:pPr>
      <w:r>
        <w:t>НПХ-инсулин и готовые смеси инсулина (ИКД/НПХ-инсулин и ИУКД/протаминированный ИУКД) перед введением следует тщательно пер</w:t>
      </w:r>
      <w:r>
        <w:t>емешать.</w:t>
      </w:r>
    </w:p>
    <w:p w:rsidR="00D27BC6" w:rsidRDefault="004D5071">
      <w:pPr>
        <w:spacing w:after="0" w:line="261" w:lineRule="auto"/>
        <w:ind w:left="10" w:right="6"/>
        <w:jc w:val="center"/>
      </w:pPr>
      <w:r>
        <w:rPr>
          <w:b/>
          <w:sz w:val="18"/>
        </w:rPr>
        <w:t>5.1.4. РЕКОМЕНДАЦИИ ПО ПИТАНИЮ</w:t>
      </w:r>
    </w:p>
    <w:tbl>
      <w:tblPr>
        <w:tblStyle w:val="TableGrid"/>
        <w:tblW w:w="10195" w:type="dxa"/>
        <w:tblInd w:w="12" w:type="dxa"/>
        <w:tblCellMar>
          <w:top w:w="30" w:type="dxa"/>
          <w:left w:w="113" w:type="dxa"/>
          <w:bottom w:w="0" w:type="dxa"/>
          <w:right w:w="61" w:type="dxa"/>
        </w:tblCellMar>
        <w:tblLook w:val="04A0" w:firstRow="1" w:lastRow="0" w:firstColumn="1" w:lastColumn="0" w:noHBand="0" w:noVBand="1"/>
      </w:tblPr>
      <w:tblGrid>
        <w:gridCol w:w="273"/>
        <w:gridCol w:w="9921"/>
      </w:tblGrid>
      <w:tr w:rsidR="00D27BC6">
        <w:trPr>
          <w:trHeight w:val="578"/>
        </w:trPr>
        <w:tc>
          <w:tcPr>
            <w:tcW w:w="273" w:type="dxa"/>
            <w:tcBorders>
              <w:top w:val="single" w:sz="8" w:space="0" w:color="000000"/>
              <w:left w:val="single" w:sz="8" w:space="0" w:color="000000"/>
              <w:bottom w:val="nil"/>
              <w:right w:val="nil"/>
            </w:tcBorders>
          </w:tcPr>
          <w:p w:rsidR="00D27BC6" w:rsidRDefault="004D5071">
            <w:pPr>
              <w:spacing w:after="0" w:line="259" w:lineRule="auto"/>
              <w:ind w:left="0" w:right="42" w:firstLine="0"/>
              <w:jc w:val="center"/>
            </w:pPr>
            <w:r>
              <w:t xml:space="preserve">• </w:t>
            </w:r>
          </w:p>
        </w:tc>
        <w:tc>
          <w:tcPr>
            <w:tcW w:w="9921" w:type="dxa"/>
            <w:tcBorders>
              <w:top w:val="single" w:sz="8" w:space="0" w:color="000000"/>
              <w:left w:val="nil"/>
              <w:bottom w:val="nil"/>
              <w:right w:val="single" w:sz="8" w:space="0" w:color="000000"/>
            </w:tcBorders>
          </w:tcPr>
          <w:p w:rsidR="00D27BC6" w:rsidRDefault="004D5071">
            <w:pPr>
              <w:spacing w:after="0" w:line="259" w:lineRule="auto"/>
              <w:ind w:left="10" w:right="0" w:firstLine="0"/>
            </w:pPr>
            <w:r>
              <w:t>Общее потребление белков, жиров и углеводов при СД 1 типа не должно отличаться от такового у здорового человека.</w:t>
            </w:r>
          </w:p>
        </w:tc>
      </w:tr>
      <w:tr w:rsidR="00D27BC6">
        <w:trPr>
          <w:trHeight w:val="632"/>
        </w:trPr>
        <w:tc>
          <w:tcPr>
            <w:tcW w:w="273" w:type="dxa"/>
            <w:tcBorders>
              <w:top w:val="nil"/>
              <w:left w:val="single" w:sz="8" w:space="0" w:color="000000"/>
              <w:bottom w:val="single" w:sz="8" w:space="0" w:color="000000"/>
              <w:right w:val="nil"/>
            </w:tcBorders>
          </w:tcPr>
          <w:p w:rsidR="00D27BC6" w:rsidRDefault="004D5071">
            <w:pPr>
              <w:spacing w:after="0" w:line="259" w:lineRule="auto"/>
              <w:ind w:left="0" w:right="42" w:firstLine="0"/>
              <w:jc w:val="center"/>
            </w:pPr>
            <w:r>
              <w:t xml:space="preserve">• </w:t>
            </w:r>
          </w:p>
        </w:tc>
        <w:tc>
          <w:tcPr>
            <w:tcW w:w="9921" w:type="dxa"/>
            <w:tcBorders>
              <w:top w:val="nil"/>
              <w:left w:val="nil"/>
              <w:bottom w:val="single" w:sz="8" w:space="0" w:color="000000"/>
              <w:right w:val="single" w:sz="8" w:space="0" w:color="000000"/>
            </w:tcBorders>
          </w:tcPr>
          <w:p w:rsidR="00D27BC6" w:rsidRDefault="004D5071">
            <w:pPr>
              <w:spacing w:after="0" w:line="259" w:lineRule="auto"/>
              <w:ind w:left="10" w:right="0" w:firstLine="0"/>
            </w:pPr>
            <w:r>
              <w:t xml:space="preserve">Необходима </w:t>
            </w:r>
            <w:r>
              <w:rPr>
                <w:b/>
              </w:rPr>
              <w:t>оценка усваиваемых углеводов</w:t>
            </w:r>
            <w:r>
              <w:t xml:space="preserve"> по системе хлебных единиц (ХЕ) для коррекции дозы инсулина перед едой.</w:t>
            </w:r>
          </w:p>
        </w:tc>
      </w:tr>
    </w:tbl>
    <w:p w:rsidR="00D27BC6" w:rsidRDefault="004D5071">
      <w:pPr>
        <w:spacing w:after="226"/>
        <w:ind w:left="295" w:right="0"/>
      </w:pPr>
      <w:r>
        <w:t>Таблица хлебных единиц и ориентировочная суточная потребность – см. приложение 2 и приложение 3.</w:t>
      </w:r>
    </w:p>
    <w:p w:rsidR="00D27BC6" w:rsidRDefault="004D5071">
      <w:pPr>
        <w:spacing w:after="242" w:line="261" w:lineRule="auto"/>
        <w:ind w:left="10" w:right="6"/>
        <w:jc w:val="center"/>
      </w:pPr>
      <w:r>
        <w:rPr>
          <w:b/>
          <w:sz w:val="18"/>
        </w:rPr>
        <w:t>5.1.5. РЕКОМЕНДАЦИИ ПО ФИЗИЧЕСКОЙ АКТИВНОСТИ</w:t>
      </w:r>
    </w:p>
    <w:p w:rsidR="00D27BC6" w:rsidRDefault="004D5071">
      <w:pPr>
        <w:numPr>
          <w:ilvl w:val="0"/>
          <w:numId w:val="17"/>
        </w:numPr>
        <w:ind w:right="0" w:hanging="283"/>
      </w:pPr>
      <w:r>
        <w:t>Физическая активность (ФА) повышает качество жизни, но не является методом сахароснижающей терапии при СД 1 типа.</w:t>
      </w:r>
    </w:p>
    <w:p w:rsidR="00D27BC6" w:rsidRDefault="004D5071">
      <w:pPr>
        <w:numPr>
          <w:ilvl w:val="0"/>
          <w:numId w:val="17"/>
        </w:numPr>
        <w:ind w:right="0" w:hanging="283"/>
      </w:pPr>
      <w:r>
        <w:t>ФА повышает риск гипогликемии во время и после нагрузки, поэтому основная задача – профилактика гипогликемии, связанной с ФА.</w:t>
      </w:r>
    </w:p>
    <w:p w:rsidR="00D27BC6" w:rsidRDefault="004D5071">
      <w:pPr>
        <w:numPr>
          <w:ilvl w:val="0"/>
          <w:numId w:val="17"/>
        </w:numPr>
        <w:ind w:right="0" w:hanging="283"/>
      </w:pPr>
      <w:r>
        <w:t>Риск гипогликеми</w:t>
      </w:r>
      <w:r>
        <w:t>й индивидуален и зависит от исходной гликемии, дозы инсулина, вида, продолжительности и интенсивности ФА, а также степени тренированности пациента. Правила профилактики гипогликемии являются ориентировочными и должны адаптироваться каждым пациентом эмпирич</w:t>
      </w:r>
      <w:r>
        <w:t>ески.</w:t>
      </w:r>
    </w:p>
    <w:p w:rsidR="00D27BC6" w:rsidRDefault="004D5071">
      <w:pPr>
        <w:numPr>
          <w:ilvl w:val="0"/>
          <w:numId w:val="17"/>
        </w:numPr>
        <w:ind w:right="0" w:hanging="283"/>
      </w:pPr>
      <w:r>
        <w:t>Профилактика гипогликемии при кратковременной ФА (не более 2 часов) – дополнительный прием углеводов:</w:t>
      </w:r>
    </w:p>
    <w:p w:rsidR="00D27BC6" w:rsidRDefault="004D5071">
      <w:pPr>
        <w:numPr>
          <w:ilvl w:val="2"/>
          <w:numId w:val="18"/>
        </w:numPr>
        <w:ind w:left="568" w:right="0" w:hanging="283"/>
      </w:pPr>
      <w:r>
        <w:t>измерить гликемию перед и после ФА и решить, нужно ли дополнительно принять 1–2 ХЕ (медленно усваиваемых углеводов) до и после ФА.</w:t>
      </w:r>
    </w:p>
    <w:p w:rsidR="00D27BC6" w:rsidRDefault="004D5071">
      <w:pPr>
        <w:numPr>
          <w:ilvl w:val="2"/>
          <w:numId w:val="18"/>
        </w:numPr>
        <w:ind w:left="568" w:right="0" w:hanging="283"/>
      </w:pPr>
      <w:r>
        <w:t>при исходном уровне глюкозы плазмы (ГП) &gt; 13 ммоль/л или если ФА имеет место в пределах 2 часов после еды, дополнительный прием ХЕ перед ФА не требуется.</w:t>
      </w:r>
    </w:p>
    <w:p w:rsidR="00D27BC6" w:rsidRDefault="004D5071">
      <w:pPr>
        <w:numPr>
          <w:ilvl w:val="2"/>
          <w:numId w:val="18"/>
        </w:numPr>
        <w:ind w:left="568" w:right="0" w:hanging="283"/>
      </w:pPr>
      <w:r>
        <w:t>в отсутствие самоконтроля необходимо принять 1–2 ХЕ до и 1–2 ХЕ после ФА.</w:t>
      </w:r>
    </w:p>
    <w:p w:rsidR="00D27BC6" w:rsidRDefault="004D5071">
      <w:pPr>
        <w:numPr>
          <w:ilvl w:val="0"/>
          <w:numId w:val="17"/>
        </w:numPr>
        <w:ind w:right="0" w:hanging="283"/>
      </w:pPr>
      <w:r>
        <w:t>Профилактика гипогликемии пр</w:t>
      </w:r>
      <w:r>
        <w:t xml:space="preserve">и длительной ФА (более 2 часов) – снижение дозы инсулина, поэтому </w:t>
      </w:r>
      <w:r>
        <w:rPr>
          <w:b/>
        </w:rPr>
        <w:t>длительные нагрузки должны быть запланированными:</w:t>
      </w:r>
    </w:p>
    <w:p w:rsidR="00D27BC6" w:rsidRDefault="004D5071">
      <w:pPr>
        <w:numPr>
          <w:ilvl w:val="2"/>
          <w:numId w:val="19"/>
        </w:numPr>
        <w:ind w:left="568" w:right="0" w:hanging="283"/>
      </w:pPr>
      <w:r>
        <w:t>уменьшить дозу препаратов ИКД (ИУКД, ИСБД) и продленного действия, которые будут действовать во время и после ФА, на 20–50%, или установить соответствующую временную базальную скорость инфузии инсулина при использовании помповой инсулинотерапии;</w:t>
      </w:r>
    </w:p>
    <w:p w:rsidR="00D27BC6" w:rsidRDefault="004D5071">
      <w:pPr>
        <w:numPr>
          <w:ilvl w:val="2"/>
          <w:numId w:val="19"/>
        </w:numPr>
        <w:ind w:left="568" w:right="0" w:hanging="283"/>
      </w:pPr>
      <w:r>
        <w:t xml:space="preserve">при очень </w:t>
      </w:r>
      <w:r>
        <w:t>длительных и/или интенсивных ФА: уменьшить дозу инсулина, который будет действовать ночью после ФА, иногда – на следующее утро, или установить временную базальную скорость инфузии инсулина при использовании помповой инсулинотерапии;</w:t>
      </w:r>
    </w:p>
    <w:p w:rsidR="00D27BC6" w:rsidRDefault="004D5071">
      <w:pPr>
        <w:numPr>
          <w:ilvl w:val="2"/>
          <w:numId w:val="19"/>
        </w:numPr>
        <w:ind w:left="568" w:right="0" w:hanging="283"/>
      </w:pPr>
      <w:r>
        <w:t>во время и после длител</w:t>
      </w:r>
      <w:r>
        <w:t>ьной ФА: дополнительный самоконтроль гликемии каждые 2–3 часа, при необходимости – прием 1–2 ХЕ медленно усваиваемых углеводов (при уровне ГП &lt; 7 ммоль/л) или быстро усваиваемых углеводов (при уровне ГП &lt; 5 ммоль/л).</w:t>
      </w:r>
    </w:p>
    <w:p w:rsidR="00D27BC6" w:rsidRDefault="004D5071">
      <w:pPr>
        <w:numPr>
          <w:ilvl w:val="0"/>
          <w:numId w:val="17"/>
        </w:numPr>
        <w:spacing w:after="343"/>
        <w:ind w:right="0" w:hanging="283"/>
      </w:pPr>
      <w:r>
        <w:t>Во время ФА нужно иметь при себе углево</w:t>
      </w:r>
      <w:r>
        <w:t>ды в большем количестве, чем обычно: не менее 4 ХЕ при кратковременной и до 10 ХЕ при длительной ФА.</w:t>
      </w:r>
    </w:p>
    <w:p w:rsidR="00D27BC6" w:rsidRDefault="004D5071">
      <w:pPr>
        <w:pBdr>
          <w:top w:val="single" w:sz="8" w:space="0" w:color="000000"/>
          <w:left w:val="single" w:sz="8" w:space="0" w:color="000000"/>
          <w:bottom w:val="single" w:sz="8" w:space="0" w:color="000000"/>
          <w:right w:val="single" w:sz="8" w:space="0" w:color="000000"/>
        </w:pBdr>
        <w:spacing w:after="357"/>
        <w:ind w:left="120" w:right="114"/>
      </w:pPr>
      <w:r>
        <w:t xml:space="preserve">Больным СД 1 типа, проводящим самоконтроль гликемии или НМГ и владеющим методами профилактики гипогликемий, можно заниматься любыми видами ФА, в том числе </w:t>
      </w:r>
      <w:r>
        <w:t>спортом, с учетом следующих противопоказаний и мер предосторожности:</w:t>
      </w:r>
    </w:p>
    <w:p w:rsidR="00D27BC6" w:rsidRDefault="004D5071">
      <w:pPr>
        <w:ind w:left="281" w:right="51"/>
        <w:jc w:val="left"/>
      </w:pPr>
      <w:r>
        <w:rPr>
          <w:b/>
        </w:rPr>
        <w:t>Временные противопоказания к ФА:</w:t>
      </w:r>
    </w:p>
    <w:p w:rsidR="00D27BC6" w:rsidRDefault="004D5071">
      <w:pPr>
        <w:numPr>
          <w:ilvl w:val="0"/>
          <w:numId w:val="17"/>
        </w:numPr>
        <w:ind w:right="0" w:hanging="283"/>
      </w:pPr>
      <w:r>
        <w:t>уровень ГП &gt; 13 ммоль/л в сочетании с кетонурией или &gt; 16 ммоль/л, даже без кетонурии (в условиях дефицита инсулина ФА будет усиливать гипергликемию);</w:t>
      </w:r>
    </w:p>
    <w:p w:rsidR="00D27BC6" w:rsidRDefault="004D5071">
      <w:pPr>
        <w:numPr>
          <w:ilvl w:val="0"/>
          <w:numId w:val="17"/>
        </w:numPr>
        <w:spacing w:after="230"/>
        <w:ind w:right="0" w:hanging="283"/>
      </w:pPr>
      <w:r>
        <w:t>гем</w:t>
      </w:r>
      <w:r>
        <w:t>офтальм, отслойка сетчатки, первые полгода после лазерной коагуляции сетчатки или витрэктомии; неконтролируемая артериальная гипертензия; ИБС (по согласованию с кардиологом).</w:t>
      </w:r>
    </w:p>
    <w:p w:rsidR="00D27BC6" w:rsidRDefault="004D5071">
      <w:pPr>
        <w:ind w:left="281" w:right="51"/>
        <w:jc w:val="left"/>
      </w:pPr>
      <w:r>
        <w:rPr>
          <w:b/>
        </w:rPr>
        <w:t>Осторожность и дифференцированный подход к выбору вида ФА при:</w:t>
      </w:r>
    </w:p>
    <w:p w:rsidR="00D27BC6" w:rsidRDefault="004D5071">
      <w:pPr>
        <w:numPr>
          <w:ilvl w:val="0"/>
          <w:numId w:val="17"/>
        </w:numPr>
        <w:ind w:right="0" w:hanging="283"/>
      </w:pPr>
      <w:r>
        <w:t>занятиях видами сп</w:t>
      </w:r>
      <w:r>
        <w:t>орта, при которых трудно купировать гипогликемию (подводное плавание, дельтапланеризм, серфинг и т. д.);</w:t>
      </w:r>
    </w:p>
    <w:p w:rsidR="00D27BC6" w:rsidRDefault="004D5071">
      <w:pPr>
        <w:numPr>
          <w:ilvl w:val="0"/>
          <w:numId w:val="17"/>
        </w:numPr>
        <w:ind w:right="0" w:hanging="283"/>
      </w:pPr>
      <w:r>
        <w:t>нарушении распознавания гипогликемии;</w:t>
      </w:r>
    </w:p>
    <w:p w:rsidR="00D27BC6" w:rsidRDefault="004D5071">
      <w:pPr>
        <w:numPr>
          <w:ilvl w:val="0"/>
          <w:numId w:val="17"/>
        </w:numPr>
        <w:ind w:right="0" w:hanging="283"/>
      </w:pPr>
      <w:r>
        <w:t>дистальной нейропатии с потерей чувствительности и вегетативной нейропатии (ортостатическая гипотензия);</w:t>
      </w:r>
    </w:p>
    <w:p w:rsidR="00D27BC6" w:rsidRDefault="004D5071">
      <w:pPr>
        <w:numPr>
          <w:ilvl w:val="0"/>
          <w:numId w:val="17"/>
        </w:numPr>
        <w:ind w:right="0" w:hanging="283"/>
      </w:pPr>
      <w:r>
        <w:t>нефропат</w:t>
      </w:r>
      <w:r>
        <w:t>ии (возможность повышения АД);</w:t>
      </w:r>
    </w:p>
    <w:p w:rsidR="00D27BC6" w:rsidRDefault="004D5071">
      <w:pPr>
        <w:numPr>
          <w:ilvl w:val="0"/>
          <w:numId w:val="17"/>
        </w:numPr>
        <w:spacing w:after="230"/>
        <w:ind w:right="0" w:hanging="283"/>
      </w:pPr>
      <w:r>
        <w:t>непролиферативной (возможность повышения АД), препролиферативной (противопоказана ФА с резким повышением АД, бокс, ФА высокой интенсивности и продолжительности) и пролиферативной ДР (то же плюс бег, поднятие тяжестей, аэробик</w:t>
      </w:r>
      <w:r>
        <w:t>а; ФА с вероятностью травмы глаза или головы мячом, шайбой и т. д.).</w:t>
      </w:r>
    </w:p>
    <w:p w:rsidR="00D27BC6" w:rsidRDefault="004D5071">
      <w:pPr>
        <w:spacing w:after="12"/>
        <w:ind w:left="290" w:right="286"/>
        <w:jc w:val="center"/>
      </w:pPr>
      <w:r>
        <w:rPr>
          <w:b/>
        </w:rPr>
        <w:t>5.2. МОНИТОРИНГ БОЛЬНЫХ СД 1 ТИПА БЕЗ ОСЛОЖНЕНИЙ</w:t>
      </w:r>
    </w:p>
    <w:tbl>
      <w:tblPr>
        <w:tblStyle w:val="TableGrid"/>
        <w:tblW w:w="10195" w:type="dxa"/>
        <w:tblInd w:w="9" w:type="dxa"/>
        <w:tblCellMar>
          <w:top w:w="9" w:type="dxa"/>
          <w:left w:w="57" w:type="dxa"/>
          <w:bottom w:w="0" w:type="dxa"/>
          <w:right w:w="14" w:type="dxa"/>
        </w:tblCellMar>
        <w:tblLook w:val="04A0" w:firstRow="1" w:lastRow="0" w:firstColumn="1" w:lastColumn="0" w:noHBand="0" w:noVBand="1"/>
      </w:tblPr>
      <w:tblGrid>
        <w:gridCol w:w="5097"/>
        <w:gridCol w:w="5097"/>
      </w:tblGrid>
      <w:tr w:rsidR="00D27BC6">
        <w:trPr>
          <w:trHeight w:val="32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Показатель</w:t>
            </w:r>
          </w:p>
        </w:tc>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Частота обследования</w:t>
            </w:r>
          </w:p>
        </w:tc>
      </w:tr>
      <w:tr w:rsidR="00D27BC6">
        <w:trPr>
          <w:trHeight w:val="56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Самоконтроль гликемии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Не менее 4 раз в сутки (до еды, через 2 часа после еды, на ночь, периодически ночью)* </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Гликированный гемоглобин HbA1c</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1 раз в 3 мес. </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Непрерывное мониторирование глюкозы</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По показаниям</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3" w:firstLine="0"/>
              <w:jc w:val="center"/>
            </w:pPr>
            <w:r>
              <w:rPr>
                <w:b/>
              </w:rPr>
              <w:t>Показатель</w:t>
            </w:r>
          </w:p>
        </w:tc>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3" w:firstLine="0"/>
              <w:jc w:val="center"/>
            </w:pPr>
            <w:r>
              <w:rPr>
                <w:b/>
              </w:rPr>
              <w:t>Частота обследования</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Общий анализ крови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раз в год</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Общий анализ мочи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раз в год</w:t>
            </w:r>
          </w:p>
        </w:tc>
      </w:tr>
      <w:tr w:rsidR="00D27BC6">
        <w:trPr>
          <w:trHeight w:val="56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pPr>
            <w:r>
              <w:t>Микроальбуминурия, соотношение альбумин/креатинин в утренней порции мочи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775" w:firstLine="0"/>
              <w:jc w:val="left"/>
            </w:pPr>
            <w:r>
              <w:t>Не позднее, чем через 5 лет от дебюта СД,  далее не реже 1 раза в год.</w:t>
            </w:r>
          </w:p>
        </w:tc>
      </w:tr>
      <w:tr w:rsidR="00D27BC6">
        <w:trPr>
          <w:trHeight w:val="80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Биохимический анализ крови (белок, общий холестерин, ХЛВП, ХЛНП, триглицериды, билирубин, АСТ, АЛТ, мочевина, креатинин, калий, натрий, расчет СКФ)</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1 раз в год (при отсутствии изменений)</w:t>
            </w:r>
          </w:p>
        </w:tc>
      </w:tr>
      <w:tr w:rsidR="00D27BC6">
        <w:trPr>
          <w:trHeight w:val="80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Контроль АД</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При каждом посещении врача.  </w:t>
            </w:r>
          </w:p>
          <w:p w:rsidR="00D27BC6" w:rsidRDefault="004D5071">
            <w:pPr>
              <w:spacing w:after="0" w:line="259" w:lineRule="auto"/>
              <w:ind w:left="0" w:right="0" w:firstLine="0"/>
              <w:jc w:val="left"/>
            </w:pPr>
            <w:r>
              <w:t>При наличии артериальной г</w:t>
            </w:r>
            <w:r>
              <w:t>ипертензии – самоконтроль 2–3 раза в сутки</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ЭКГ</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раз в год</w:t>
            </w:r>
          </w:p>
        </w:tc>
      </w:tr>
      <w:tr w:rsidR="00D27BC6">
        <w:trPr>
          <w:trHeight w:val="56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Осмотр ног и оценка чувствительности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708" w:firstLine="0"/>
              <w:jc w:val="left"/>
            </w:pPr>
            <w:r>
              <w:t>Не позднее, чем через 5 лет от дебюта СД,  далее не реже 1 раза в год, по показаниям – чаще</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Проверка техники и осмотр мест инъекций инсулина</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Не реже 1 раза в 6 мес. </w:t>
            </w:r>
          </w:p>
        </w:tc>
      </w:tr>
      <w:tr w:rsidR="00D27BC6">
        <w:trPr>
          <w:trHeight w:val="56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Осмотр офтальмологом (офтальмоскопия с широким зрачком)</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708" w:firstLine="0"/>
              <w:jc w:val="left"/>
            </w:pPr>
            <w:r>
              <w:t>Не позднее, чем через 5 лет от дебюта СД,  далее не реже 1 раза в год, по показаниям – чаще</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Консультация невролога</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По показаниям</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Рентгенография органов грудной клетки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раз в год</w:t>
            </w:r>
          </w:p>
        </w:tc>
      </w:tr>
    </w:tbl>
    <w:p w:rsidR="00D27BC6" w:rsidRDefault="004D5071">
      <w:pPr>
        <w:spacing w:after="4"/>
        <w:ind w:left="-3" w:right="0"/>
      </w:pPr>
      <w:r>
        <w:rPr>
          <w:sz w:val="16"/>
        </w:rPr>
        <w:t xml:space="preserve">* Дополнительно перед физическими нагрузками и после них, при подозрении на гипогликемию и после ее лечения, при сопутствующих заболеваниях, если предстоят какие-то действия, потенциально опасные для пациента и окружающих (например, вождение транспортного </w:t>
      </w:r>
      <w:r>
        <w:rPr>
          <w:sz w:val="16"/>
        </w:rPr>
        <w:t xml:space="preserve">средства или управление сложными механизмами). </w:t>
      </w:r>
    </w:p>
    <w:p w:rsidR="00D27BC6" w:rsidRDefault="004D5071">
      <w:pPr>
        <w:spacing w:after="171"/>
        <w:ind w:left="-3" w:right="0"/>
      </w:pPr>
      <w:r>
        <w:rPr>
          <w:b/>
          <w:sz w:val="16"/>
        </w:rPr>
        <w:t xml:space="preserve">Примечание: </w:t>
      </w:r>
      <w:r>
        <w:rPr>
          <w:sz w:val="16"/>
        </w:rPr>
        <w:t>при наличии признаков осложнений СД, присоединении сопутствующих заболеваний, появлении дополнительных факторов риска вопрос о частоте обследований решается индивидуально.</w:t>
      </w:r>
    </w:p>
    <w:p w:rsidR="00D27BC6" w:rsidRDefault="004D5071">
      <w:pPr>
        <w:spacing w:after="226"/>
        <w:ind w:left="290" w:right="286"/>
        <w:jc w:val="center"/>
      </w:pPr>
      <w:r>
        <w:rPr>
          <w:b/>
        </w:rPr>
        <w:t>5.3. ВОПРОСЫ ПРОФИЛАКТИК</w:t>
      </w:r>
      <w:r>
        <w:rPr>
          <w:b/>
        </w:rPr>
        <w:t>И САХАРНОГО ДИАБЕТА 1 ТИПА</w:t>
      </w:r>
    </w:p>
    <w:p w:rsidR="00D27BC6" w:rsidRDefault="004D5071">
      <w:pPr>
        <w:numPr>
          <w:ilvl w:val="0"/>
          <w:numId w:val="20"/>
        </w:numPr>
        <w:ind w:right="0" w:hanging="283"/>
      </w:pPr>
      <w:r>
        <w:t>На настоящий момент лекарственных препаратов для модификации течения болезни или профилактики СД 1 типа в РФ не зарегистрировано.</w:t>
      </w:r>
    </w:p>
    <w:p w:rsidR="00D27BC6" w:rsidRDefault="004D5071">
      <w:pPr>
        <w:numPr>
          <w:ilvl w:val="0"/>
          <w:numId w:val="20"/>
        </w:numPr>
        <w:ind w:right="0" w:hanging="283"/>
      </w:pPr>
      <w:r>
        <w:t>У родственников 1 линии родства пациентов с СД 1 типа (особенно детей) определение аутоантител може</w:t>
      </w:r>
      <w:r>
        <w:t>т быть целесообразно для ранней диагностики СД 1 типа и профилактики манифестации заболевания с диабетическим кетоацидозом (в случае определения ≥ 2 аутоантител полезным будет обращение к врачу).</w:t>
      </w:r>
    </w:p>
    <w:p w:rsidR="00D27BC6" w:rsidRDefault="004D5071">
      <w:pPr>
        <w:numPr>
          <w:ilvl w:val="0"/>
          <w:numId w:val="20"/>
        </w:numPr>
        <w:spacing w:after="322"/>
        <w:ind w:right="0" w:hanging="283"/>
      </w:pPr>
      <w:r>
        <w:t>При наличии ≥ 2 аутоантител (аутоантител к инсулину (IAA), г</w:t>
      </w:r>
      <w:r>
        <w:t>лутаматдекарбоксилазе (GAD), тирозинфосфатазе (IA-2A), поверхностным антигенам (ICA), транспортеру цинка (ZnT-8) для дальнейшей диагностики у бессимптомных пациентов могут быть использованы HbA1c, глюкоза плазмы натощак, ПГТТ.</w:t>
      </w:r>
    </w:p>
    <w:p w:rsidR="00D27BC6" w:rsidRDefault="004D5071">
      <w:pPr>
        <w:pStyle w:val="Heading1"/>
        <w:spacing w:after="168"/>
        <w:ind w:left="313" w:right="309"/>
      </w:pPr>
      <w:r>
        <w:t>6. САХАРНЫЙ ДИАБЕТ 2 ТИПА</w:t>
      </w:r>
    </w:p>
    <w:p w:rsidR="00D27BC6" w:rsidRDefault="004D5071">
      <w:pPr>
        <w:pBdr>
          <w:top w:val="single" w:sz="8" w:space="0" w:color="000000"/>
          <w:left w:val="single" w:sz="8" w:space="0" w:color="000000"/>
          <w:bottom w:val="single" w:sz="8" w:space="0" w:color="000000"/>
          <w:right w:val="single" w:sz="8" w:space="0" w:color="000000"/>
        </w:pBdr>
        <w:spacing w:after="392"/>
        <w:ind w:left="120" w:right="114"/>
      </w:pPr>
      <w:r>
        <w:rPr>
          <w:b/>
        </w:rPr>
        <w:t xml:space="preserve">СД </w:t>
      </w:r>
      <w:r>
        <w:rPr>
          <w:b/>
        </w:rPr>
        <w:t>2 типа</w:t>
      </w:r>
      <w:r>
        <w:t xml:space="preserve"> – нарушение углеводного обмена, вызванное преимущественной инсулинорезистентностью и относительной инсулиновой недостаточностью или преимущественным нарушением секреции инсулина с инсулинорезистентностью или без нее</w:t>
      </w:r>
    </w:p>
    <w:p w:rsidR="00D27BC6" w:rsidRDefault="004D5071">
      <w:pPr>
        <w:spacing w:after="226"/>
        <w:ind w:left="290" w:right="286"/>
        <w:jc w:val="center"/>
      </w:pPr>
      <w:r>
        <w:rPr>
          <w:b/>
        </w:rPr>
        <w:t>6.1. ЛЕЧЕНИЕ СД 2 ТИПА</w:t>
      </w:r>
    </w:p>
    <w:p w:rsidR="00D27BC6" w:rsidRDefault="004D5071">
      <w:pPr>
        <w:numPr>
          <w:ilvl w:val="0"/>
          <w:numId w:val="21"/>
        </w:numPr>
        <w:ind w:right="0" w:hanging="283"/>
      </w:pPr>
      <w:r>
        <w:t>Модификаци</w:t>
      </w:r>
      <w:r>
        <w:t>я образа жизни, в том числе:</w:t>
      </w:r>
    </w:p>
    <w:p w:rsidR="00D27BC6" w:rsidRDefault="004D5071">
      <w:pPr>
        <w:numPr>
          <w:ilvl w:val="1"/>
          <w:numId w:val="21"/>
        </w:numPr>
        <w:ind w:left="568" w:right="0" w:hanging="283"/>
      </w:pPr>
      <w:r>
        <w:t>Снижение массы тела (для большинства лиц с избыточным весом или ожирением необходимо снижение массы тела (не менее чем на 5% за 6мес) для достижения положительных результатов в управлении показателями гликемии, липидов и артери</w:t>
      </w:r>
      <w:r>
        <w:t xml:space="preserve">ального давления); </w:t>
      </w:r>
    </w:p>
    <w:p w:rsidR="00D27BC6" w:rsidRDefault="004D5071">
      <w:pPr>
        <w:numPr>
          <w:ilvl w:val="1"/>
          <w:numId w:val="21"/>
        </w:numPr>
        <w:ind w:left="568" w:right="0" w:hanging="283"/>
      </w:pPr>
      <w:r>
        <w:t>Питание;</w:t>
      </w:r>
    </w:p>
    <w:p w:rsidR="00D27BC6" w:rsidRDefault="004D5071">
      <w:pPr>
        <w:numPr>
          <w:ilvl w:val="1"/>
          <w:numId w:val="21"/>
        </w:numPr>
        <w:ind w:left="568" w:right="0" w:hanging="283"/>
      </w:pPr>
      <w:r>
        <w:t>Физическая активность;</w:t>
      </w:r>
    </w:p>
    <w:p w:rsidR="00D27BC6" w:rsidRDefault="004D5071">
      <w:pPr>
        <w:numPr>
          <w:ilvl w:val="1"/>
          <w:numId w:val="21"/>
        </w:numPr>
        <w:ind w:left="568" w:right="0" w:hanging="283"/>
      </w:pPr>
      <w:r>
        <w:t xml:space="preserve">Нормализация режима и длительности сна; </w:t>
      </w:r>
      <w:r>
        <w:rPr>
          <w:rFonts w:ascii="Wingdings" w:eastAsia="Wingdings" w:hAnsi="Wingdings" w:cs="Wingdings"/>
        </w:rPr>
        <w:t></w:t>
      </w:r>
      <w:r>
        <w:t xml:space="preserve"> </w:t>
      </w:r>
      <w:r>
        <w:tab/>
        <w:t>Отказ от курения.</w:t>
      </w:r>
    </w:p>
    <w:p w:rsidR="00D27BC6" w:rsidRDefault="004D5071">
      <w:pPr>
        <w:numPr>
          <w:ilvl w:val="0"/>
          <w:numId w:val="21"/>
        </w:numPr>
        <w:ind w:right="0" w:hanging="283"/>
      </w:pPr>
      <w:r>
        <w:t>Сахароснижающие препараты</w:t>
      </w:r>
    </w:p>
    <w:p w:rsidR="00D27BC6" w:rsidRDefault="004D5071">
      <w:pPr>
        <w:numPr>
          <w:ilvl w:val="0"/>
          <w:numId w:val="21"/>
        </w:numPr>
        <w:ind w:right="0" w:hanging="283"/>
      </w:pPr>
      <w:r>
        <w:t>Самоконтроль гликемии</w:t>
      </w:r>
    </w:p>
    <w:p w:rsidR="00D27BC6" w:rsidRDefault="004D5071">
      <w:pPr>
        <w:numPr>
          <w:ilvl w:val="0"/>
          <w:numId w:val="21"/>
        </w:numPr>
        <w:ind w:right="0" w:hanging="283"/>
      </w:pPr>
      <w:r>
        <w:t>Обучение принципам управления заболеванием</w:t>
      </w:r>
    </w:p>
    <w:p w:rsidR="00D27BC6" w:rsidRDefault="004D5071">
      <w:pPr>
        <w:numPr>
          <w:ilvl w:val="0"/>
          <w:numId w:val="21"/>
        </w:numPr>
        <w:ind w:right="0" w:hanging="283"/>
      </w:pPr>
      <w:r>
        <w:t>Хирургическое лечение (метаболическая хирургия) при морбидном ожирении (см. раздел 25).</w:t>
      </w:r>
    </w:p>
    <w:p w:rsidR="00D27BC6" w:rsidRDefault="004D5071">
      <w:pPr>
        <w:spacing w:after="242" w:line="261" w:lineRule="auto"/>
        <w:ind w:left="10" w:right="6"/>
        <w:jc w:val="center"/>
      </w:pPr>
      <w:r>
        <w:rPr>
          <w:b/>
          <w:sz w:val="18"/>
        </w:rPr>
        <w:t>6.1.1. РЕКОМЕНДАЦИИ ПО ПИТАНИЮ</w:t>
      </w:r>
    </w:p>
    <w:p w:rsidR="00D27BC6" w:rsidRDefault="004D5071">
      <w:pPr>
        <w:numPr>
          <w:ilvl w:val="0"/>
          <w:numId w:val="22"/>
        </w:numPr>
        <w:ind w:right="0" w:hanging="283"/>
      </w:pPr>
      <w:r>
        <w:t>Питание должно быть частью терапевтического плана и способствовать достижению метаболических целей при любом варианте медикаментозной сах</w:t>
      </w:r>
      <w:r>
        <w:t>ароснижающей терапии. В то же время, поскольку питание является важной составляющей образа жизни и оказывает сильное влияние на качество жизни, при формировании рекомендаций по питанию должны учитываться персональные предпочтения.</w:t>
      </w:r>
    </w:p>
    <w:p w:rsidR="00D27BC6" w:rsidRDefault="004D5071">
      <w:pPr>
        <w:ind w:left="295" w:right="0"/>
      </w:pPr>
      <w:r>
        <w:t>В целом речь идет не о же</w:t>
      </w:r>
      <w:r>
        <w:t>стких диетических ограничениях, которые трудно реализовать на долгосрочной основе, а о постепенном формировании стиля рационального питания, отвечающего актуальным терапевтическим целям.</w:t>
      </w:r>
    </w:p>
    <w:p w:rsidR="00D27BC6" w:rsidRDefault="004D5071">
      <w:pPr>
        <w:numPr>
          <w:ilvl w:val="0"/>
          <w:numId w:val="22"/>
        </w:numPr>
        <w:ind w:right="0" w:hanging="283"/>
      </w:pPr>
      <w:r>
        <w:t>Всем пациентам с избыточной массой тела/ожирением рекомендуется огран</w:t>
      </w:r>
      <w:r>
        <w:t>ичение калорийности рациона с целью умеренного снижения массы тела. Это обеспечивает положительный эффект в отношении гликемического контроля, липидов и артериального давления, особенно в ранний период заболевания. Достижение снижения массы тела наиболее э</w:t>
      </w:r>
      <w:r>
        <w:t>ффективно при одновременном применении физических нагрузок и обучающих программ. 3. Резкие, нефизиологические ограничения в питании и голодание противопоказаны.</w:t>
      </w:r>
    </w:p>
    <w:p w:rsidR="00D27BC6" w:rsidRDefault="004D5071">
      <w:pPr>
        <w:numPr>
          <w:ilvl w:val="0"/>
          <w:numId w:val="23"/>
        </w:numPr>
        <w:ind w:right="0" w:hanging="283"/>
      </w:pPr>
      <w:r>
        <w:t>Идеального процентного соотношения калорий из белков, жиров и углеводов для всех пациентов с СД</w:t>
      </w:r>
      <w:r>
        <w:t xml:space="preserve"> не существует. Рекомендации формируются на основе анализа актуального образца питания и метаболических целей.</w:t>
      </w:r>
    </w:p>
    <w:p w:rsidR="00D27BC6" w:rsidRDefault="004D5071">
      <w:pPr>
        <w:numPr>
          <w:ilvl w:val="0"/>
          <w:numId w:val="23"/>
        </w:numPr>
        <w:ind w:right="0" w:hanging="283"/>
      </w:pPr>
      <w:r>
        <w:t>Как правило, полезным для снижения массы тела может быть максимальное ограничение жиров (прежде всего животного происхождения) и сахаров; умеренн</w:t>
      </w:r>
      <w:r>
        <w:t>ое (в размере половины привычной порции) – продуктов, состоящих преимущественно из сложных углеводов (крахмалов) и белков; неограниченное потребление – продуктов с минимальной калорийностью (в основном богатых водой и клетчаткой овощей) – см. приложение 4.</w:t>
      </w:r>
    </w:p>
    <w:p w:rsidR="00D27BC6" w:rsidRDefault="004D5071">
      <w:pPr>
        <w:numPr>
          <w:ilvl w:val="0"/>
          <w:numId w:val="23"/>
        </w:numPr>
        <w:ind w:right="0" w:hanging="283"/>
      </w:pPr>
      <w:r>
        <w:t>Учет потребления углеводов важен для достижения хорошего гликемического контроля. Если пациент с СД 2 типа получает ИКД (ИУКД, ИСБД), оптимальным подходом является обучение подсчету углеводов по системе «хлебных единиц». В других случаях может быть достат</w:t>
      </w:r>
      <w:r>
        <w:t>очно практически ориентированной оценки.</w:t>
      </w:r>
    </w:p>
    <w:p w:rsidR="00D27BC6" w:rsidRDefault="004D5071">
      <w:pPr>
        <w:numPr>
          <w:ilvl w:val="0"/>
          <w:numId w:val="23"/>
        </w:numPr>
        <w:ind w:right="0" w:hanging="283"/>
      </w:pPr>
      <w:r>
        <w:t>С точки зрения общего здоровья, следует рекомендовать потребление углеводов в составе овощей, цельнозерновых, молочных продуктов, в противовес другим источникам углеводов, содержащим дополнительно насыщенные жиры ил</w:t>
      </w:r>
      <w:r>
        <w:t>и трансжиры, сахара или натрий. Важно также включать в рацион продукты, богатые моно- и полиненасыщенными жирными кислотами (рыба, растительные масла).</w:t>
      </w:r>
    </w:p>
    <w:p w:rsidR="00D27BC6" w:rsidRDefault="004D5071">
      <w:pPr>
        <w:numPr>
          <w:ilvl w:val="0"/>
          <w:numId w:val="23"/>
        </w:numPr>
        <w:ind w:right="0" w:hanging="283"/>
      </w:pPr>
      <w:r>
        <w:t>Не доказана польза от употребления в виде препаратов витаминов (в отсутствие признаков авитаминоза), ант</w:t>
      </w:r>
      <w:r>
        <w:t xml:space="preserve">иоксидантов, микроэлементов, а также каких-либо пищевых добавок растительного происхождения при СД. </w:t>
      </w:r>
    </w:p>
    <w:p w:rsidR="00D27BC6" w:rsidRDefault="004D5071">
      <w:pPr>
        <w:numPr>
          <w:ilvl w:val="0"/>
          <w:numId w:val="23"/>
        </w:numPr>
        <w:ind w:right="0" w:hanging="283"/>
      </w:pPr>
      <w:r>
        <w:t>При выявлении дефицита/недостаточности витамина D необходимо проводить коррекцию: проводится по принципам для общей популяции.</w:t>
      </w:r>
    </w:p>
    <w:p w:rsidR="00D27BC6" w:rsidRDefault="004D5071">
      <w:pPr>
        <w:numPr>
          <w:ilvl w:val="0"/>
          <w:numId w:val="23"/>
        </w:numPr>
        <w:ind w:right="0" w:hanging="283"/>
      </w:pPr>
      <w:r>
        <w:t>Допустимо умеренное потребле</w:t>
      </w:r>
      <w:r>
        <w:t>ние некалорийных сахарозаменителей.</w:t>
      </w:r>
    </w:p>
    <w:p w:rsidR="00D27BC6" w:rsidRDefault="004D5071">
      <w:pPr>
        <w:numPr>
          <w:ilvl w:val="0"/>
          <w:numId w:val="23"/>
        </w:numPr>
        <w:spacing w:after="230"/>
        <w:ind w:right="0" w:hanging="283"/>
      </w:pPr>
      <w:r>
        <w:t>Употребление алкогольных напитков возможно в количестве не более 1 условной единицы для женщин и 2 условных единиц для мужчин в сутки (но не ежедневно) при отсутствии панкреатита, выраженной нейропатии, гипертриглицеридемии, алкогольной зависимости. Одна у</w:t>
      </w:r>
      <w:r>
        <w:t>словная единица соответствует 15 г этанола, или примерно 40 г крепких напитков, или 140 г вина, или 300 г пива. Употребление алкоголя увеличивает риск гипогликемии, в том числе отсроченной, у тех пациентов, которые получают секретагоги и инсулин. Необходим</w:t>
      </w:r>
      <w:r>
        <w:t>о обучение и постоянный контроль знаний о профилактике гипогликемий.</w:t>
      </w:r>
    </w:p>
    <w:p w:rsidR="00D27BC6" w:rsidRDefault="004D5071">
      <w:pPr>
        <w:spacing w:after="242" w:line="261" w:lineRule="auto"/>
        <w:ind w:left="10" w:right="6"/>
        <w:jc w:val="center"/>
      </w:pPr>
      <w:r>
        <w:rPr>
          <w:b/>
          <w:sz w:val="18"/>
        </w:rPr>
        <w:t>6.1.2. РЕКОМЕНДАЦИИ ПО ФИЗИЧЕСКОЙ АКТИВНОСТИ</w:t>
      </w:r>
    </w:p>
    <w:p w:rsidR="00D27BC6" w:rsidRDefault="004D5071">
      <w:pPr>
        <w:numPr>
          <w:ilvl w:val="0"/>
          <w:numId w:val="24"/>
        </w:numPr>
        <w:ind w:right="0" w:hanging="283"/>
      </w:pPr>
      <w:r>
        <w:t>Регулярная ФА при СД 2 типа способствует достижению целевых уровней гликемического контроля, помогает снизить и поддержать массу тела, уменьши</w:t>
      </w:r>
      <w:r>
        <w:t>ть инсулинорезистентность и степень абдоминального ожирения, способствует улучшению дислипидемии, повышению сердечно-сосудистой тренированности.</w:t>
      </w:r>
    </w:p>
    <w:p w:rsidR="00D27BC6" w:rsidRDefault="004D5071">
      <w:pPr>
        <w:numPr>
          <w:ilvl w:val="0"/>
          <w:numId w:val="24"/>
        </w:numPr>
        <w:ind w:right="0" w:hanging="283"/>
      </w:pPr>
      <w:r>
        <w:t>ФА подбирается индивидуально, с учетом возраста больного, осложнений СД, сопутствующих заболеваний, а также пер</w:t>
      </w:r>
      <w:r>
        <w:t>еносимости.</w:t>
      </w:r>
    </w:p>
    <w:p w:rsidR="00D27BC6" w:rsidRDefault="004D5071">
      <w:pPr>
        <w:numPr>
          <w:ilvl w:val="0"/>
          <w:numId w:val="24"/>
        </w:numPr>
        <w:ind w:right="0" w:hanging="283"/>
      </w:pPr>
      <w:r>
        <w:t>Рекомендуются аэробные физические упражнения продолжительностью 30–60 минут, предпочтительно ежедневно, но не менее 3 раз в неделю. Суммарная продолжительность – не менее 150 минут в неделю.</w:t>
      </w:r>
    </w:p>
    <w:p w:rsidR="00D27BC6" w:rsidRDefault="004D5071">
      <w:pPr>
        <w:numPr>
          <w:ilvl w:val="0"/>
          <w:numId w:val="24"/>
        </w:numPr>
        <w:spacing w:after="26"/>
        <w:ind w:right="0" w:hanging="283"/>
      </w:pPr>
      <w:r>
        <w:t>Противопоказания и меры предосторожности – в целом такие же, как для ФА при СД 1 типа (см. раздел 5.1.5), и определяются наличием осложнений СД и сопутствующих заболеваний.</w:t>
      </w:r>
    </w:p>
    <w:tbl>
      <w:tblPr>
        <w:tblStyle w:val="TableGrid"/>
        <w:tblW w:w="10195" w:type="dxa"/>
        <w:tblInd w:w="12" w:type="dxa"/>
        <w:tblCellMar>
          <w:top w:w="56" w:type="dxa"/>
          <w:left w:w="113" w:type="dxa"/>
          <w:bottom w:w="57" w:type="dxa"/>
          <w:right w:w="61" w:type="dxa"/>
        </w:tblCellMar>
        <w:tblLook w:val="04A0" w:firstRow="1" w:lastRow="0" w:firstColumn="1" w:lastColumn="0" w:noHBand="0" w:noVBand="1"/>
      </w:tblPr>
      <w:tblGrid>
        <w:gridCol w:w="273"/>
        <w:gridCol w:w="9921"/>
      </w:tblGrid>
      <w:tr w:rsidR="00D27BC6">
        <w:trPr>
          <w:trHeight w:val="476"/>
        </w:trPr>
        <w:tc>
          <w:tcPr>
            <w:tcW w:w="273" w:type="dxa"/>
            <w:tcBorders>
              <w:top w:val="single" w:sz="8" w:space="0" w:color="000000"/>
              <w:left w:val="single" w:sz="8" w:space="0" w:color="000000"/>
              <w:bottom w:val="nil"/>
              <w:right w:val="nil"/>
            </w:tcBorders>
            <w:vAlign w:val="bottom"/>
          </w:tcPr>
          <w:p w:rsidR="00D27BC6" w:rsidRDefault="004D5071">
            <w:pPr>
              <w:spacing w:after="0" w:line="259" w:lineRule="auto"/>
              <w:ind w:left="0" w:right="42" w:firstLine="0"/>
              <w:jc w:val="center"/>
            </w:pPr>
            <w:r>
              <w:t xml:space="preserve">• </w:t>
            </w:r>
          </w:p>
        </w:tc>
        <w:tc>
          <w:tcPr>
            <w:tcW w:w="9921" w:type="dxa"/>
            <w:tcBorders>
              <w:top w:val="single" w:sz="8" w:space="0" w:color="000000"/>
              <w:left w:val="nil"/>
              <w:bottom w:val="nil"/>
              <w:right w:val="single" w:sz="8" w:space="0" w:color="000000"/>
            </w:tcBorders>
            <w:vAlign w:val="bottom"/>
          </w:tcPr>
          <w:p w:rsidR="00D27BC6" w:rsidRDefault="004D5071">
            <w:pPr>
              <w:spacing w:after="0" w:line="259" w:lineRule="auto"/>
              <w:ind w:left="10" w:right="0" w:firstLine="0"/>
              <w:jc w:val="left"/>
            </w:pPr>
            <w:r>
              <w:t>Дополнительные факторы, ограничивающие ФА при СД 2 типа: ИБС, болезни органов ды</w:t>
            </w:r>
            <w:r>
              <w:t>хания, суставов и др.</w:t>
            </w:r>
          </w:p>
        </w:tc>
      </w:tr>
      <w:tr w:rsidR="00D27BC6">
        <w:trPr>
          <w:trHeight w:val="593"/>
        </w:trPr>
        <w:tc>
          <w:tcPr>
            <w:tcW w:w="273" w:type="dxa"/>
            <w:tcBorders>
              <w:top w:val="nil"/>
              <w:left w:val="single" w:sz="8" w:space="0" w:color="000000"/>
              <w:bottom w:val="nil"/>
              <w:right w:val="nil"/>
            </w:tcBorders>
          </w:tcPr>
          <w:p w:rsidR="00D27BC6" w:rsidRDefault="004D5071">
            <w:pPr>
              <w:spacing w:after="0" w:line="259" w:lineRule="auto"/>
              <w:ind w:left="0" w:right="42" w:firstLine="0"/>
              <w:jc w:val="center"/>
            </w:pPr>
            <w:r>
              <w:t xml:space="preserve">• </w:t>
            </w:r>
          </w:p>
        </w:tc>
        <w:tc>
          <w:tcPr>
            <w:tcW w:w="9921" w:type="dxa"/>
            <w:tcBorders>
              <w:top w:val="nil"/>
              <w:left w:val="nil"/>
              <w:bottom w:val="nil"/>
              <w:right w:val="single" w:sz="8" w:space="0" w:color="000000"/>
            </w:tcBorders>
          </w:tcPr>
          <w:p w:rsidR="00D27BC6" w:rsidRDefault="004D5071">
            <w:pPr>
              <w:spacing w:after="0" w:line="259" w:lineRule="auto"/>
              <w:ind w:left="10" w:right="0" w:firstLine="0"/>
            </w:pPr>
            <w:r>
              <w:t>Риск ИБС требует обязательного проведения ЭКГ (по показаниям – нагрузочных проб и т. д.) перед началом программы ФА.</w:t>
            </w:r>
          </w:p>
        </w:tc>
      </w:tr>
      <w:tr w:rsidR="00D27BC6">
        <w:trPr>
          <w:trHeight w:val="764"/>
        </w:trPr>
        <w:tc>
          <w:tcPr>
            <w:tcW w:w="273" w:type="dxa"/>
            <w:tcBorders>
              <w:top w:val="nil"/>
              <w:left w:val="single" w:sz="8" w:space="0" w:color="000000"/>
              <w:bottom w:val="single" w:sz="8" w:space="0" w:color="000000"/>
              <w:right w:val="nil"/>
            </w:tcBorders>
          </w:tcPr>
          <w:p w:rsidR="00D27BC6" w:rsidRDefault="004D5071">
            <w:pPr>
              <w:spacing w:after="0" w:line="259" w:lineRule="auto"/>
              <w:ind w:left="0" w:right="42" w:firstLine="0"/>
              <w:jc w:val="center"/>
            </w:pPr>
            <w:r>
              <w:t xml:space="preserve">• </w:t>
            </w:r>
          </w:p>
        </w:tc>
        <w:tc>
          <w:tcPr>
            <w:tcW w:w="9921" w:type="dxa"/>
            <w:tcBorders>
              <w:top w:val="nil"/>
              <w:left w:val="nil"/>
              <w:bottom w:val="single" w:sz="8" w:space="0" w:color="000000"/>
              <w:right w:val="single" w:sz="8" w:space="0" w:color="000000"/>
            </w:tcBorders>
          </w:tcPr>
          <w:p w:rsidR="00D27BC6" w:rsidRDefault="004D5071">
            <w:pPr>
              <w:spacing w:after="0" w:line="259" w:lineRule="auto"/>
              <w:ind w:left="10" w:right="0" w:firstLine="0"/>
            </w:pPr>
            <w:r>
              <w:t>У больных СД 2 типа, получающих инсулин или пероральные сахароснижающие препараты (ПССП), стимулирующие секрецию инсулина (и крайне редко – другие сахароснижающие средства), ФА может вызвать гипогликемию.</w:t>
            </w:r>
          </w:p>
        </w:tc>
      </w:tr>
    </w:tbl>
    <w:p w:rsidR="00D27BC6" w:rsidRDefault="004D5071">
      <w:pPr>
        <w:spacing w:after="243" w:line="259" w:lineRule="auto"/>
        <w:ind w:left="0" w:right="3550" w:firstLine="0"/>
        <w:jc w:val="right"/>
      </w:pPr>
      <w:r>
        <w:rPr>
          <w:b/>
          <w:sz w:val="18"/>
        </w:rPr>
        <w:t>6.1.3. МЕДИКАМЕНТОЗНАЯ ТЕРАПИЯ</w:t>
      </w:r>
    </w:p>
    <w:p w:rsidR="00D27BC6" w:rsidRDefault="004D5071">
      <w:pPr>
        <w:pStyle w:val="Heading2"/>
        <w:ind w:left="-3"/>
      </w:pPr>
      <w:r>
        <w:t>Группы сахароснижающих препаратов и механизм их действия</w:t>
      </w:r>
    </w:p>
    <w:tbl>
      <w:tblPr>
        <w:tblStyle w:val="TableGrid"/>
        <w:tblW w:w="10191" w:type="dxa"/>
        <w:tblInd w:w="9" w:type="dxa"/>
        <w:tblCellMar>
          <w:top w:w="9" w:type="dxa"/>
          <w:left w:w="55" w:type="dxa"/>
          <w:bottom w:w="0" w:type="dxa"/>
          <w:right w:w="115" w:type="dxa"/>
        </w:tblCellMar>
        <w:tblLook w:val="04A0" w:firstRow="1" w:lastRow="0" w:firstColumn="1" w:lastColumn="0" w:noHBand="0" w:noVBand="1"/>
      </w:tblPr>
      <w:tblGrid>
        <w:gridCol w:w="5095"/>
        <w:gridCol w:w="5095"/>
      </w:tblGrid>
      <w:tr w:rsidR="00D27BC6">
        <w:trPr>
          <w:trHeight w:val="297"/>
        </w:trPr>
        <w:tc>
          <w:tcPr>
            <w:tcW w:w="509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60" w:right="0" w:firstLine="0"/>
              <w:jc w:val="center"/>
            </w:pPr>
            <w:r>
              <w:rPr>
                <w:b/>
              </w:rPr>
              <w:t>Группы препаратов</w:t>
            </w:r>
          </w:p>
        </w:tc>
        <w:tc>
          <w:tcPr>
            <w:tcW w:w="509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60" w:right="0" w:firstLine="0"/>
              <w:jc w:val="center"/>
            </w:pPr>
            <w:r>
              <w:rPr>
                <w:b/>
              </w:rPr>
              <w:t>Механизм действия</w:t>
            </w:r>
          </w:p>
        </w:tc>
      </w:tr>
      <w:tr w:rsidR="00D27BC6">
        <w:trPr>
          <w:trHeight w:val="604"/>
        </w:trPr>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 w:right="0" w:firstLine="0"/>
              <w:jc w:val="left"/>
            </w:pPr>
            <w:r>
              <w:t>Производные сульфонилмочевины (ПСМ)</w:t>
            </w:r>
          </w:p>
        </w:tc>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 w:right="0" w:firstLine="0"/>
              <w:jc w:val="left"/>
            </w:pPr>
            <w:r>
              <w:t>• Стимуляция секреции инсулина</w:t>
            </w:r>
          </w:p>
        </w:tc>
      </w:tr>
      <w:tr w:rsidR="00D27BC6">
        <w:trPr>
          <w:trHeight w:val="604"/>
        </w:trPr>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 w:right="0" w:firstLine="0"/>
              <w:jc w:val="left"/>
            </w:pPr>
            <w:r>
              <w:t>Глиниды (меглитиниды)</w:t>
            </w:r>
          </w:p>
        </w:tc>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 w:right="0" w:firstLine="0"/>
              <w:jc w:val="left"/>
            </w:pPr>
            <w:r>
              <w:t>• Стимуляция секреции инсулина</w:t>
            </w:r>
          </w:p>
        </w:tc>
      </w:tr>
      <w:tr w:rsidR="00D27BC6">
        <w:trPr>
          <w:trHeight w:val="1197"/>
        </w:trPr>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Бигуаниды (метформин)</w:t>
            </w:r>
          </w:p>
        </w:tc>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210"/>
              </w:numPr>
              <w:spacing w:after="90" w:line="259" w:lineRule="auto"/>
              <w:ind w:right="237" w:hanging="170"/>
              <w:jc w:val="left"/>
            </w:pPr>
            <w:r>
              <w:t>Снижение продукции глюкозы печенью</w:t>
            </w:r>
          </w:p>
          <w:p w:rsidR="00D27BC6" w:rsidRDefault="004D5071">
            <w:pPr>
              <w:numPr>
                <w:ilvl w:val="0"/>
                <w:numId w:val="210"/>
              </w:numPr>
              <w:spacing w:after="0" w:line="259" w:lineRule="auto"/>
              <w:ind w:right="237" w:hanging="170"/>
              <w:jc w:val="left"/>
            </w:pPr>
            <w:r>
              <w:t>Снижение инсулинорезистентности мышечной и жировой ткани</w:t>
            </w:r>
          </w:p>
        </w:tc>
      </w:tr>
      <w:tr w:rsidR="00D27BC6">
        <w:trPr>
          <w:trHeight w:val="1550"/>
        </w:trPr>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Тиазолидиндионы (пиоглитазон) (ТЗД)</w:t>
            </w:r>
          </w:p>
        </w:tc>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211"/>
              </w:numPr>
              <w:spacing w:after="113" w:line="236" w:lineRule="auto"/>
              <w:ind w:right="0" w:hanging="170"/>
              <w:jc w:val="left"/>
            </w:pPr>
            <w:r>
              <w:t>Снижение инсулинорезистентности мышечной и жировой ткани</w:t>
            </w:r>
          </w:p>
          <w:p w:rsidR="00D27BC6" w:rsidRDefault="004D5071">
            <w:pPr>
              <w:numPr>
                <w:ilvl w:val="0"/>
                <w:numId w:val="211"/>
              </w:numPr>
              <w:spacing w:after="90" w:line="259" w:lineRule="auto"/>
              <w:ind w:right="0" w:hanging="170"/>
              <w:jc w:val="left"/>
            </w:pPr>
            <w:r>
              <w:t>Снижение продукции глюкозы печенью</w:t>
            </w:r>
          </w:p>
          <w:p w:rsidR="00D27BC6" w:rsidRDefault="004D5071">
            <w:pPr>
              <w:numPr>
                <w:ilvl w:val="0"/>
                <w:numId w:val="211"/>
              </w:numPr>
              <w:spacing w:after="0" w:line="259" w:lineRule="auto"/>
              <w:ind w:right="0" w:hanging="170"/>
              <w:jc w:val="left"/>
            </w:pPr>
            <w:r>
              <w:t>Снижение содержания жира в печени</w:t>
            </w:r>
          </w:p>
        </w:tc>
      </w:tr>
      <w:tr w:rsidR="00D27BC6">
        <w:trPr>
          <w:trHeight w:val="604"/>
        </w:trPr>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Ингибиторы α-глюкозидаз</w:t>
            </w:r>
          </w:p>
        </w:tc>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 Замедление всасывания углеводов в кишечнике</w:t>
            </w:r>
          </w:p>
        </w:tc>
      </w:tr>
      <w:tr w:rsidR="00D27BC6">
        <w:trPr>
          <w:trHeight w:val="2257"/>
        </w:trPr>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Агонисты рецепторов глюкагоноподобного пептида–1 (арГПП-1)</w:t>
            </w:r>
          </w:p>
        </w:tc>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212"/>
              </w:numPr>
              <w:spacing w:after="90" w:line="259" w:lineRule="auto"/>
              <w:ind w:right="0" w:hanging="170"/>
              <w:jc w:val="left"/>
            </w:pPr>
            <w:r>
              <w:t>Глюкозозависимая стимуляция секреции инсулина</w:t>
            </w:r>
          </w:p>
          <w:p w:rsidR="00D27BC6" w:rsidRDefault="004D5071">
            <w:pPr>
              <w:numPr>
                <w:ilvl w:val="0"/>
                <w:numId w:val="212"/>
              </w:numPr>
              <w:spacing w:after="113" w:line="236" w:lineRule="auto"/>
              <w:ind w:right="0" w:hanging="170"/>
              <w:jc w:val="left"/>
            </w:pPr>
            <w:r>
              <w:t>Глюкозозависимое снижение секреции глюкагона и уменьшение продукции глюкозы печенью</w:t>
            </w:r>
          </w:p>
          <w:p w:rsidR="00D27BC6" w:rsidRDefault="004D5071">
            <w:pPr>
              <w:numPr>
                <w:ilvl w:val="0"/>
                <w:numId w:val="212"/>
              </w:numPr>
              <w:spacing w:after="90" w:line="259" w:lineRule="auto"/>
              <w:ind w:right="0" w:hanging="170"/>
              <w:jc w:val="left"/>
            </w:pPr>
            <w:r>
              <w:t>Замедление опорожнения желудка</w:t>
            </w:r>
          </w:p>
          <w:p w:rsidR="00D27BC6" w:rsidRDefault="004D5071">
            <w:pPr>
              <w:numPr>
                <w:ilvl w:val="0"/>
                <w:numId w:val="212"/>
              </w:numPr>
              <w:spacing w:after="90" w:line="259" w:lineRule="auto"/>
              <w:ind w:right="0" w:hanging="170"/>
              <w:jc w:val="left"/>
            </w:pPr>
            <w:r>
              <w:t>Уменьшение потребления пищи</w:t>
            </w:r>
          </w:p>
          <w:p w:rsidR="00D27BC6" w:rsidRDefault="004D5071">
            <w:pPr>
              <w:numPr>
                <w:ilvl w:val="0"/>
                <w:numId w:val="212"/>
              </w:numPr>
              <w:spacing w:after="0" w:line="259" w:lineRule="auto"/>
              <w:ind w:right="0" w:hanging="170"/>
              <w:jc w:val="left"/>
            </w:pPr>
            <w:r>
              <w:t>Снижение массы тела</w:t>
            </w:r>
          </w:p>
        </w:tc>
      </w:tr>
      <w:tr w:rsidR="00D27BC6">
        <w:trPr>
          <w:trHeight w:val="2257"/>
        </w:trPr>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113" w:line="236" w:lineRule="auto"/>
              <w:ind w:left="1" w:right="0" w:firstLine="0"/>
              <w:jc w:val="left"/>
            </w:pPr>
            <w:r>
              <w:t>Двойные агонисты рецепторов глюкозозависимого инсулинотропного полипептида (ГИП) и ГПП-1 (твинкретины):</w:t>
            </w:r>
          </w:p>
          <w:p w:rsidR="00D27BC6" w:rsidRDefault="004D5071">
            <w:pPr>
              <w:spacing w:after="0" w:line="259" w:lineRule="auto"/>
              <w:ind w:left="1" w:right="0" w:firstLine="0"/>
              <w:jc w:val="left"/>
            </w:pPr>
            <w:r>
              <w:t>(тирзепатид)</w:t>
            </w:r>
          </w:p>
        </w:tc>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213"/>
              </w:numPr>
              <w:spacing w:after="90" w:line="259" w:lineRule="auto"/>
              <w:ind w:right="0" w:hanging="170"/>
              <w:jc w:val="left"/>
            </w:pPr>
            <w:r>
              <w:t>Глюкозозависимая стимуляция секреции инсулина</w:t>
            </w:r>
          </w:p>
          <w:p w:rsidR="00D27BC6" w:rsidRDefault="004D5071">
            <w:pPr>
              <w:numPr>
                <w:ilvl w:val="0"/>
                <w:numId w:val="213"/>
              </w:numPr>
              <w:spacing w:after="113" w:line="236" w:lineRule="auto"/>
              <w:ind w:right="0" w:hanging="170"/>
              <w:jc w:val="left"/>
            </w:pPr>
            <w:r>
              <w:t>Глюкозозависимое снижение секреции глюкагона и уменьшение продукции глюкозы печенью</w:t>
            </w:r>
          </w:p>
          <w:p w:rsidR="00D27BC6" w:rsidRDefault="004D5071">
            <w:pPr>
              <w:numPr>
                <w:ilvl w:val="0"/>
                <w:numId w:val="213"/>
              </w:numPr>
              <w:spacing w:after="90" w:line="259" w:lineRule="auto"/>
              <w:ind w:right="0" w:hanging="170"/>
              <w:jc w:val="left"/>
            </w:pPr>
            <w:r>
              <w:t>Замедлени</w:t>
            </w:r>
            <w:r>
              <w:t>е опорожнения желудка</w:t>
            </w:r>
          </w:p>
          <w:p w:rsidR="00D27BC6" w:rsidRDefault="004D5071">
            <w:pPr>
              <w:numPr>
                <w:ilvl w:val="0"/>
                <w:numId w:val="213"/>
              </w:numPr>
              <w:spacing w:after="90" w:line="259" w:lineRule="auto"/>
              <w:ind w:right="0" w:hanging="170"/>
              <w:jc w:val="left"/>
            </w:pPr>
            <w:r>
              <w:t>Уменьшение потребления пищи</w:t>
            </w:r>
          </w:p>
          <w:p w:rsidR="00D27BC6" w:rsidRDefault="004D5071">
            <w:pPr>
              <w:numPr>
                <w:ilvl w:val="0"/>
                <w:numId w:val="213"/>
              </w:numPr>
              <w:spacing w:after="0" w:line="259" w:lineRule="auto"/>
              <w:ind w:right="0" w:hanging="170"/>
              <w:jc w:val="left"/>
            </w:pPr>
            <w:r>
              <w:t>Снижение массы тела</w:t>
            </w:r>
          </w:p>
        </w:tc>
      </w:tr>
      <w:tr w:rsidR="00D27BC6">
        <w:trPr>
          <w:trHeight w:val="2017"/>
        </w:trPr>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Ингибиторы дипептидилпептидазы-4 (глиптины) (иДПП-4)</w:t>
            </w:r>
          </w:p>
        </w:tc>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214"/>
              </w:numPr>
              <w:spacing w:after="90" w:line="259" w:lineRule="auto"/>
              <w:ind w:right="0" w:hanging="170"/>
              <w:jc w:val="left"/>
            </w:pPr>
            <w:r>
              <w:t>Глюкозозависимая стимуляция секреции инсулина</w:t>
            </w:r>
          </w:p>
          <w:p w:rsidR="00D27BC6" w:rsidRDefault="004D5071">
            <w:pPr>
              <w:numPr>
                <w:ilvl w:val="0"/>
                <w:numId w:val="214"/>
              </w:numPr>
              <w:spacing w:after="90" w:line="259" w:lineRule="auto"/>
              <w:ind w:right="0" w:hanging="170"/>
              <w:jc w:val="left"/>
            </w:pPr>
            <w:r>
              <w:t>Глюкозозависимое подавление секреции глюкагона</w:t>
            </w:r>
          </w:p>
          <w:p w:rsidR="00D27BC6" w:rsidRDefault="004D5071">
            <w:pPr>
              <w:numPr>
                <w:ilvl w:val="0"/>
                <w:numId w:val="214"/>
              </w:numPr>
              <w:spacing w:after="90" w:line="259" w:lineRule="auto"/>
              <w:ind w:right="0" w:hanging="170"/>
              <w:jc w:val="left"/>
            </w:pPr>
            <w:r>
              <w:t>Снижение продукции глюкозы печенью</w:t>
            </w:r>
          </w:p>
          <w:p w:rsidR="00D27BC6" w:rsidRDefault="004D5071">
            <w:pPr>
              <w:numPr>
                <w:ilvl w:val="0"/>
                <w:numId w:val="214"/>
              </w:numPr>
              <w:spacing w:after="90" w:line="259" w:lineRule="auto"/>
              <w:ind w:right="0" w:hanging="170"/>
              <w:jc w:val="left"/>
            </w:pPr>
            <w:r>
              <w:t xml:space="preserve">Не влияют на моторику желудка </w:t>
            </w:r>
          </w:p>
          <w:p w:rsidR="00D27BC6" w:rsidRDefault="004D5071">
            <w:pPr>
              <w:numPr>
                <w:ilvl w:val="0"/>
                <w:numId w:val="214"/>
              </w:numPr>
              <w:spacing w:after="0" w:line="259" w:lineRule="auto"/>
              <w:ind w:right="0" w:hanging="170"/>
              <w:jc w:val="left"/>
            </w:pPr>
            <w:r>
              <w:t>Нейтральное действие на массу тела</w:t>
            </w:r>
          </w:p>
        </w:tc>
      </w:tr>
      <w:tr w:rsidR="00D27BC6">
        <w:trPr>
          <w:trHeight w:val="1310"/>
        </w:trPr>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Ингибиторы натрий-глюкозного котранспортера 2 типа (глифлозины) (иНГЛТ-2)</w:t>
            </w:r>
          </w:p>
        </w:tc>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215"/>
              </w:numPr>
              <w:spacing w:after="90" w:line="259" w:lineRule="auto"/>
              <w:ind w:right="0" w:hanging="170"/>
              <w:jc w:val="left"/>
            </w:pPr>
            <w:r>
              <w:t>Снижение реабсорбции глюкозы в почках</w:t>
            </w:r>
          </w:p>
          <w:p w:rsidR="00D27BC6" w:rsidRDefault="004D5071">
            <w:pPr>
              <w:numPr>
                <w:ilvl w:val="0"/>
                <w:numId w:val="215"/>
              </w:numPr>
              <w:spacing w:after="90" w:line="259" w:lineRule="auto"/>
              <w:ind w:right="0" w:hanging="170"/>
              <w:jc w:val="left"/>
            </w:pPr>
            <w:r>
              <w:t>Снижение массы тела</w:t>
            </w:r>
          </w:p>
          <w:p w:rsidR="00D27BC6" w:rsidRDefault="004D5071">
            <w:pPr>
              <w:numPr>
                <w:ilvl w:val="0"/>
                <w:numId w:val="215"/>
              </w:numPr>
              <w:spacing w:after="0" w:line="259" w:lineRule="auto"/>
              <w:ind w:right="0" w:hanging="170"/>
              <w:jc w:val="left"/>
            </w:pPr>
            <w:r>
              <w:t>Инсулиннезависимый механизм действия</w:t>
            </w:r>
          </w:p>
        </w:tc>
      </w:tr>
      <w:tr w:rsidR="00D27BC6">
        <w:trPr>
          <w:trHeight w:val="760"/>
        </w:trPr>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Инсулины</w:t>
            </w:r>
          </w:p>
        </w:tc>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 </w:t>
            </w:r>
            <w:r>
              <w:t>Все механизмы, свойственные эндогенному инсулину</w:t>
            </w:r>
          </w:p>
        </w:tc>
      </w:tr>
    </w:tbl>
    <w:p w:rsidR="00D27BC6" w:rsidRDefault="004D5071">
      <w:pPr>
        <w:pStyle w:val="Heading3"/>
        <w:spacing w:after="10"/>
        <w:ind w:left="162" w:right="156"/>
      </w:pPr>
      <w:r>
        <w:t xml:space="preserve">Характеристика сахароснижающих препаратов  </w:t>
      </w:r>
    </w:p>
    <w:p w:rsidR="00D27BC6" w:rsidRDefault="004D5071">
      <w:pPr>
        <w:spacing w:after="229"/>
        <w:ind w:left="162" w:right="156"/>
        <w:jc w:val="center"/>
      </w:pPr>
      <w:r>
        <w:rPr>
          <w:b/>
          <w:color w:val="1E5D99"/>
        </w:rPr>
        <w:t xml:space="preserve">(международные и торговые наименования, дозы и кратность приема) – </w:t>
      </w:r>
      <w:r>
        <w:rPr>
          <w:color w:val="1E5D99"/>
        </w:rPr>
        <w:t>см. приложение 5.</w:t>
      </w:r>
    </w:p>
    <w:p w:rsidR="00D27BC6" w:rsidRDefault="004D5071">
      <w:pPr>
        <w:ind w:left="281" w:right="51"/>
        <w:jc w:val="left"/>
      </w:pPr>
      <w:r>
        <w:rPr>
          <w:b/>
        </w:rPr>
        <w:t>Общие принципы начала и интенсификации сахароснижающей терапии</w:t>
      </w:r>
    </w:p>
    <w:p w:rsidR="00D27BC6" w:rsidRDefault="004D5071">
      <w:pPr>
        <w:numPr>
          <w:ilvl w:val="0"/>
          <w:numId w:val="25"/>
        </w:numPr>
        <w:ind w:right="0" w:hanging="283"/>
      </w:pPr>
      <w:r>
        <w:t>Индивидуальный подход к каждому пациенту является приоритетным при выборе тактики лечения.</w:t>
      </w:r>
    </w:p>
    <w:p w:rsidR="00D27BC6" w:rsidRDefault="004D5071">
      <w:pPr>
        <w:numPr>
          <w:ilvl w:val="0"/>
          <w:numId w:val="25"/>
        </w:numPr>
        <w:ind w:right="0" w:hanging="283"/>
      </w:pPr>
      <w:r>
        <w:t>Изменение образа жизни (рациональное питание и повышение физической активности) и обучение принципам управления заболеванием являются неотъемлемой частью лечения и д</w:t>
      </w:r>
      <w:r>
        <w:t>олжны проводиться на всем протяжении заболевания (см. разделы 6.1.1, 6.1.2 и 7.1).</w:t>
      </w:r>
    </w:p>
    <w:p w:rsidR="00D27BC6" w:rsidRDefault="004D5071">
      <w:pPr>
        <w:numPr>
          <w:ilvl w:val="0"/>
          <w:numId w:val="25"/>
        </w:numPr>
        <w:ind w:right="0" w:hanging="283"/>
      </w:pPr>
      <w:r>
        <w:t>При инициации терапии и далее на любом этапе лечения необходимо оценивать индивидуальные характеристики пациента и выделять доминирующую клиническую проблему (см. разделы 6.</w:t>
      </w:r>
      <w:r>
        <w:t>1.4 и 6.1.6). Особенно следует учитывать высокий риск АССЗ или наличие АССЗ, хроническую сердечную недостаточность (ХСН), хроническую болезнь почек (ХБП), риск гипогликемий, влияние на массу тела.</w:t>
      </w:r>
    </w:p>
    <w:p w:rsidR="00D27BC6" w:rsidRDefault="004D5071">
      <w:pPr>
        <w:numPr>
          <w:ilvl w:val="0"/>
          <w:numId w:val="25"/>
        </w:numPr>
        <w:ind w:right="0" w:hanging="283"/>
      </w:pPr>
      <w:r>
        <w:t>У пациентов с указаниями на высокий риск АССЗ или наличие А</w:t>
      </w:r>
      <w:r>
        <w:t>ССЗ, ХСН, ХБП включение в схему лечения средств с подтвержденными преимуществами при этих состояниях способно повлиять на твердые конечные точки в жизни пациента с СД 2 типа, такие как смертность от сердечно-сосудистых причин, развитие фатальных и нефаталь</w:t>
      </w:r>
      <w:r>
        <w:t xml:space="preserve">ных инфарктов миокарда, инсультов, течение ХСН и ХБП (то есть является </w:t>
      </w:r>
      <w:r>
        <w:rPr>
          <w:i/>
        </w:rPr>
        <w:t>болезнь-модифицирующим подходом к лечению</w:t>
      </w:r>
      <w:r>
        <w:t xml:space="preserve">). </w:t>
      </w:r>
    </w:p>
    <w:p w:rsidR="00D27BC6" w:rsidRDefault="004D5071">
      <w:pPr>
        <w:numPr>
          <w:ilvl w:val="1"/>
          <w:numId w:val="25"/>
        </w:numPr>
        <w:ind w:right="0" w:hanging="283"/>
      </w:pPr>
      <w:r>
        <w:rPr>
          <w:i/>
        </w:rPr>
        <w:t>Поэтому если у таких пациентов целевые значения гликемического контроля были достигнуты с использованием других средств, то следует рассмотр</w:t>
      </w:r>
      <w:r>
        <w:rPr>
          <w:i/>
        </w:rPr>
        <w:t>еть возможность включения в схему лечения препаратов из групп арГПП-1 или иНГЛТ2 с подтвержденными преимуществами (либо пиоглитазон для снижения риска повторного инсульта), заменив ими иные препараты (см. разделы 6.1.5 и 6.1.6).</w:t>
      </w:r>
    </w:p>
    <w:p w:rsidR="00D27BC6" w:rsidRDefault="004D5071">
      <w:pPr>
        <w:numPr>
          <w:ilvl w:val="0"/>
          <w:numId w:val="25"/>
        </w:numPr>
        <w:ind w:right="0" w:hanging="283"/>
      </w:pPr>
      <w:r>
        <w:t>Тактика медикаментозной тер</w:t>
      </w:r>
      <w:r>
        <w:t>апии определяется с учетом доминирующей клинической проблемы пациента и исходного уровня метаболического контроля (выбор моно- или комбинированной терапии) (см. разделы 6.1.4 и 6.1.6).</w:t>
      </w:r>
    </w:p>
    <w:p w:rsidR="00D27BC6" w:rsidRDefault="004D5071">
      <w:pPr>
        <w:numPr>
          <w:ilvl w:val="0"/>
          <w:numId w:val="25"/>
        </w:numPr>
        <w:ind w:right="0" w:hanging="283"/>
      </w:pPr>
      <w:r>
        <w:t>У большинства пациентов с СД2 метформин может быть использован для иниц</w:t>
      </w:r>
      <w:r>
        <w:t>иации медикаментозной терапии и далее на всем протяжении лечения (и также в составе любой комбинации сахароснижающих средств). Однако с учетом многофакторного патогенеза СД2 и полиморбидности пациентов оправданной может быть комбинированная терапия с момен</w:t>
      </w:r>
      <w:r>
        <w:t xml:space="preserve">та установления диагноза, хотя опыт крупных РКИ в этой области ограничен. </w:t>
      </w:r>
    </w:p>
    <w:p w:rsidR="00D27BC6" w:rsidRDefault="004D5071">
      <w:pPr>
        <w:numPr>
          <w:ilvl w:val="0"/>
          <w:numId w:val="25"/>
        </w:numPr>
        <w:ind w:right="0" w:hanging="283"/>
      </w:pPr>
      <w:r>
        <w:t>У пациентов в дебюте СД 2 типа и при отсутствии АССЗ, ХСН и ХБП ранняя комбинированная терапия может обеспечить дополнительные преимущества по долгосрочному удержанию гликемического</w:t>
      </w:r>
      <w:r>
        <w:t xml:space="preserve"> контроля:</w:t>
      </w:r>
    </w:p>
    <w:p w:rsidR="00D27BC6" w:rsidRDefault="004D5071">
      <w:pPr>
        <w:numPr>
          <w:ilvl w:val="1"/>
          <w:numId w:val="25"/>
        </w:numPr>
        <w:ind w:right="0" w:hanging="283"/>
      </w:pPr>
      <w:r>
        <w:t xml:space="preserve">Стартовая комбинированная терапия метформином и иДПП-4 (на примере вилдаглиптина) имеет преимущества по сохранению инсулин-секреторной функции. </w:t>
      </w:r>
    </w:p>
    <w:p w:rsidR="00D27BC6" w:rsidRDefault="004D5071">
      <w:pPr>
        <w:numPr>
          <w:ilvl w:val="1"/>
          <w:numId w:val="25"/>
        </w:numPr>
        <w:ind w:right="0" w:hanging="283"/>
      </w:pPr>
      <w:r>
        <w:t>С учетом сложности патогенеза заболевания и разнообразия клинического профиля пациентов другие старт</w:t>
      </w:r>
      <w:r>
        <w:t>овые комбинации (включая сочетания арГПП-1, иНГЛТ-2, иДПП-4 и пиоглитазона) могут иметь преимущества, однако соответствующих РКИ не проведено.</w:t>
      </w:r>
    </w:p>
    <w:p w:rsidR="00D27BC6" w:rsidRDefault="004D5071">
      <w:pPr>
        <w:numPr>
          <w:ilvl w:val="0"/>
          <w:numId w:val="25"/>
        </w:numPr>
        <w:ind w:right="0" w:hanging="283"/>
      </w:pPr>
      <w:r>
        <w:rPr>
          <w:b/>
        </w:rPr>
        <w:t>Следует учитывать, что в некоторых клинических ситуациях (наличие АССЗ, высокий риск АССЗ, ХСН, ХБП)</w:t>
      </w:r>
      <w:r>
        <w:t xml:space="preserve"> определенные</w:t>
      </w:r>
      <w:r>
        <w:t xml:space="preserve"> классы сахароснижающих средств (либо отдельные препараты) имеют доказанные преимущества </w:t>
      </w:r>
    </w:p>
    <w:p w:rsidR="00D27BC6" w:rsidRDefault="004D5071">
      <w:pPr>
        <w:ind w:left="295" w:right="0"/>
      </w:pPr>
      <w:r>
        <w:t>(см. раздел 6.1.6):</w:t>
      </w:r>
    </w:p>
    <w:p w:rsidR="00D27BC6" w:rsidRDefault="004D5071">
      <w:pPr>
        <w:numPr>
          <w:ilvl w:val="1"/>
          <w:numId w:val="25"/>
        </w:numPr>
        <w:ind w:right="0" w:hanging="283"/>
      </w:pPr>
      <w:r>
        <w:t>Пациентам c АССЗ рекомендуется использование в составе сахароснижающей терапии арГПП-1 или иНГЛТ-2, обладающих доказанными сердечно-сосудистыми пр</w:t>
      </w:r>
      <w:r>
        <w:t xml:space="preserve">еимуществами, с целью снижения сердечно-сосудистых и почечных рисков. Потенциал снижения сердечно-сосудистого риска для двух групп препаратов оценивается как примерно сопоставимый. </w:t>
      </w:r>
    </w:p>
    <w:p w:rsidR="00D27BC6" w:rsidRDefault="004D5071">
      <w:pPr>
        <w:numPr>
          <w:ilvl w:val="1"/>
          <w:numId w:val="25"/>
        </w:numPr>
        <w:ind w:right="0" w:hanging="283"/>
      </w:pPr>
      <w:r>
        <w:t>Пиоглитазон также потенциально имеет преимущества по снижению риска сердеч</w:t>
      </w:r>
      <w:r>
        <w:t>но-сосудистых событий у лиц с АССЗ (преимущественно в отношении снижения риска повторного инсульта).</w:t>
      </w:r>
    </w:p>
    <w:p w:rsidR="00D27BC6" w:rsidRDefault="004D5071">
      <w:pPr>
        <w:numPr>
          <w:ilvl w:val="1"/>
          <w:numId w:val="25"/>
        </w:numPr>
        <w:ind w:right="0" w:hanging="283"/>
      </w:pPr>
      <w:r>
        <w:t>У пациентов с ХБП рекомендуется использование в составе сахароснижающей терапии иНГЛТ-2 или арГПП-1 (при непереносимости или противопоказаниях к иНГЛТ-2) д</w:t>
      </w:r>
      <w:r>
        <w:t>ля снижения рисков прогрессирования ХБП и сердечно-сосудистых событий.</w:t>
      </w:r>
    </w:p>
    <w:p w:rsidR="00D27BC6" w:rsidRDefault="004D5071">
      <w:pPr>
        <w:numPr>
          <w:ilvl w:val="1"/>
          <w:numId w:val="25"/>
        </w:numPr>
        <w:ind w:right="0" w:hanging="283"/>
      </w:pPr>
      <w:r>
        <w:t>У пациентов с ХСН или с высоким риском развития ХСН рекомендуется использование в составе сахароснижающей терапии иНГЛТ-2.</w:t>
      </w:r>
    </w:p>
    <w:p w:rsidR="00D27BC6" w:rsidRDefault="004D5071">
      <w:pPr>
        <w:numPr>
          <w:ilvl w:val="1"/>
          <w:numId w:val="25"/>
        </w:numPr>
        <w:ind w:right="0" w:hanging="283"/>
      </w:pPr>
      <w:r>
        <w:t>У больных с множественными сердечно-сосудистыми факторами риск</w:t>
      </w:r>
      <w:r>
        <w:t>а (ФР) преимущество имеет назначение иНГЛТ-2 или арГПП-1.</w:t>
      </w:r>
    </w:p>
    <w:p w:rsidR="00D27BC6" w:rsidRDefault="004D5071">
      <w:pPr>
        <w:numPr>
          <w:ilvl w:val="0"/>
          <w:numId w:val="25"/>
        </w:numPr>
        <w:ind w:right="0" w:hanging="283"/>
      </w:pPr>
      <w:r>
        <w:t>У больных с высоким риском гипогликемий рекомендуется рассмотреть в составе сахароснижающей терапии препараты, характеризующиеся низким риском их развития: метформин, иДПП-4, арГПП-1, арГИП/ГПП-1, и</w:t>
      </w:r>
      <w:r>
        <w:t>НГЛТ-2, ТЗД.</w:t>
      </w:r>
    </w:p>
    <w:p w:rsidR="00D27BC6" w:rsidRDefault="004D5071">
      <w:pPr>
        <w:numPr>
          <w:ilvl w:val="0"/>
          <w:numId w:val="25"/>
        </w:numPr>
        <w:ind w:right="0" w:hanging="283"/>
      </w:pPr>
      <w:r>
        <w:t>У больных с ожирением снижения массы тела можно ожидать при применении арГИП/ГПП-1 &gt; арГПП-1&gt; иНГЛТ-2 &gt; метформина (по выраженности эффекта).</w:t>
      </w:r>
    </w:p>
    <w:p w:rsidR="00D27BC6" w:rsidRDefault="004D5071">
      <w:pPr>
        <w:numPr>
          <w:ilvl w:val="0"/>
          <w:numId w:val="25"/>
        </w:numPr>
        <w:ind w:right="0" w:hanging="283"/>
      </w:pPr>
      <w:r>
        <w:t>Пациенты с НАЖБП (МАЖБП) могут получить преимущеста при использовании следующих препаратов: пиоглитаз</w:t>
      </w:r>
      <w:r>
        <w:t>он, арГПП-1, арГИП/ГПП-1, иНГЛТ-2.</w:t>
      </w:r>
    </w:p>
    <w:p w:rsidR="00D27BC6" w:rsidRDefault="004D5071">
      <w:pPr>
        <w:numPr>
          <w:ilvl w:val="0"/>
          <w:numId w:val="25"/>
        </w:numPr>
        <w:ind w:right="0" w:hanging="283"/>
      </w:pPr>
      <w:r>
        <w:t>При использовании комбинаций также следует учитывать рациональность сочетаний препаратов (см. раздел 6.1.5).</w:t>
      </w:r>
    </w:p>
    <w:p w:rsidR="00D27BC6" w:rsidRDefault="004D5071">
      <w:pPr>
        <w:numPr>
          <w:ilvl w:val="0"/>
          <w:numId w:val="25"/>
        </w:numPr>
        <w:ind w:right="0" w:hanging="283"/>
      </w:pPr>
      <w:r>
        <w:t xml:space="preserve">Мониторинг эффективности сахароснижающей терапии по уровню НbА1с осуществляется каждые 3 мес. </w:t>
      </w:r>
    </w:p>
    <w:p w:rsidR="00D27BC6" w:rsidRDefault="004D5071">
      <w:pPr>
        <w:numPr>
          <w:ilvl w:val="0"/>
          <w:numId w:val="25"/>
        </w:numPr>
        <w:ind w:right="0" w:hanging="283"/>
      </w:pPr>
      <w:r>
        <w:t>Изменение (интенс</w:t>
      </w:r>
      <w:r>
        <w:t>ификация) сахароснижающей терапии при ее неэффективности (т.е. при отсутствии достижения индивидуальных целей НbА1с) выполняется не позднее чем через 6 мес. У лиц с низким риском гипогликемий целесообразно не позже, чем через 3 мес.</w:t>
      </w:r>
    </w:p>
    <w:p w:rsidR="00D27BC6" w:rsidRDefault="004D5071">
      <w:pPr>
        <w:pStyle w:val="Heading2"/>
        <w:ind w:left="-3"/>
      </w:pPr>
      <w:r>
        <w:t>Сравнительная эффективность, преимущества и недостатки сахароснижающих препаратов</w:t>
      </w:r>
    </w:p>
    <w:tbl>
      <w:tblPr>
        <w:tblStyle w:val="TableGrid"/>
        <w:tblW w:w="10191" w:type="dxa"/>
        <w:tblInd w:w="9" w:type="dxa"/>
        <w:tblCellMar>
          <w:top w:w="9" w:type="dxa"/>
          <w:left w:w="56" w:type="dxa"/>
          <w:bottom w:w="0" w:type="dxa"/>
          <w:right w:w="38" w:type="dxa"/>
        </w:tblCellMar>
        <w:tblLook w:val="04A0" w:firstRow="1" w:lastRow="0" w:firstColumn="1" w:lastColumn="0" w:noHBand="0" w:noVBand="1"/>
      </w:tblPr>
      <w:tblGrid>
        <w:gridCol w:w="3397"/>
        <w:gridCol w:w="3397"/>
        <w:gridCol w:w="3397"/>
      </w:tblGrid>
      <w:tr w:rsidR="00D27BC6">
        <w:trPr>
          <w:trHeight w:val="320"/>
        </w:trPr>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19" w:firstLine="0"/>
              <w:jc w:val="center"/>
            </w:pPr>
            <w:r>
              <w:rPr>
                <w:b/>
              </w:rPr>
              <w:t>Преимущества</w:t>
            </w:r>
          </w:p>
        </w:tc>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19" w:firstLine="0"/>
              <w:jc w:val="center"/>
            </w:pPr>
            <w:r>
              <w:rPr>
                <w:b/>
              </w:rPr>
              <w:t>Недостатки</w:t>
            </w:r>
          </w:p>
        </w:tc>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19" w:firstLine="0"/>
              <w:jc w:val="center"/>
            </w:pPr>
            <w:r>
              <w:rPr>
                <w:b/>
              </w:rPr>
              <w:t>Примечания</w:t>
            </w:r>
          </w:p>
        </w:tc>
      </w:tr>
      <w:tr w:rsidR="00D27BC6">
        <w:trPr>
          <w:trHeight w:val="433"/>
        </w:trPr>
        <w:tc>
          <w:tcPr>
            <w:tcW w:w="10191"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9" w:firstLine="0"/>
              <w:jc w:val="center"/>
            </w:pPr>
            <w:r>
              <w:rPr>
                <w:b/>
              </w:rPr>
              <w:t>Средства, влияющие на инсулинорезистентность</w:t>
            </w:r>
          </w:p>
        </w:tc>
      </w:tr>
      <w:tr w:rsidR="00D27BC6">
        <w:trPr>
          <w:trHeight w:val="800"/>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19" w:firstLine="0"/>
              <w:jc w:val="center"/>
            </w:pPr>
            <w:r>
              <w:rPr>
                <w:b/>
              </w:rPr>
              <w:t>Бигуаниды</w:t>
            </w:r>
          </w:p>
          <w:p w:rsidR="00D27BC6" w:rsidRDefault="004D5071">
            <w:pPr>
              <w:spacing w:after="0" w:line="259" w:lineRule="auto"/>
              <w:ind w:left="3255" w:right="1351" w:hanging="1083"/>
            </w:pPr>
            <w:r>
              <w:t xml:space="preserve">(Метформин; метформин с пролонгированным высвобождением) </w:t>
            </w:r>
            <w:r>
              <w:rPr>
                <w:i/>
              </w:rPr>
              <w:t>Снижение HbA1c в монотерапии 1,0–2,0%</w:t>
            </w:r>
          </w:p>
        </w:tc>
      </w:tr>
      <w:tr w:rsidR="00D27BC6">
        <w:trPr>
          <w:trHeight w:val="4194"/>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16"/>
              </w:numPr>
              <w:spacing w:after="70" w:line="259" w:lineRule="auto"/>
              <w:ind w:right="0" w:hanging="170"/>
              <w:jc w:val="left"/>
            </w:pPr>
            <w:r>
              <w:t>низкий риск гипогликемии</w:t>
            </w:r>
          </w:p>
          <w:p w:rsidR="00D27BC6" w:rsidRDefault="004D5071">
            <w:pPr>
              <w:numPr>
                <w:ilvl w:val="0"/>
                <w:numId w:val="216"/>
              </w:numPr>
              <w:spacing w:after="70" w:line="259" w:lineRule="auto"/>
              <w:ind w:right="0" w:hanging="170"/>
              <w:jc w:val="left"/>
            </w:pPr>
            <w:r>
              <w:t>не влияет на массу тела;</w:t>
            </w:r>
          </w:p>
          <w:p w:rsidR="00D27BC6" w:rsidRDefault="004D5071">
            <w:pPr>
              <w:numPr>
                <w:ilvl w:val="0"/>
                <w:numId w:val="216"/>
              </w:numPr>
              <w:spacing w:after="70" w:line="259" w:lineRule="auto"/>
              <w:ind w:right="0" w:hanging="170"/>
              <w:jc w:val="left"/>
            </w:pPr>
            <w:r>
              <w:t>улучшает липидный профиль</w:t>
            </w:r>
          </w:p>
          <w:p w:rsidR="00D27BC6" w:rsidRDefault="004D5071">
            <w:pPr>
              <w:numPr>
                <w:ilvl w:val="0"/>
                <w:numId w:val="216"/>
              </w:numPr>
              <w:spacing w:after="113" w:line="216" w:lineRule="auto"/>
              <w:ind w:right="0" w:hanging="170"/>
              <w:jc w:val="left"/>
            </w:pPr>
            <w:r>
              <w:t>доступен в фиксированных комбинациях (с ПСМ, иДПП-4, иНГЛТ-2)</w:t>
            </w:r>
          </w:p>
          <w:p w:rsidR="00D27BC6" w:rsidRDefault="004D5071">
            <w:pPr>
              <w:numPr>
                <w:ilvl w:val="0"/>
                <w:numId w:val="216"/>
              </w:numPr>
              <w:spacing w:after="113" w:line="216" w:lineRule="auto"/>
              <w:ind w:right="0" w:hanging="170"/>
              <w:jc w:val="left"/>
            </w:pPr>
            <w:r>
              <w:t>снижает риск инфаркта миокарда у пациентов с СД 2 типа и ожирением</w:t>
            </w:r>
          </w:p>
          <w:p w:rsidR="00D27BC6" w:rsidRDefault="004D5071">
            <w:pPr>
              <w:numPr>
                <w:ilvl w:val="0"/>
                <w:numId w:val="216"/>
              </w:numPr>
              <w:spacing w:after="113" w:line="216" w:lineRule="auto"/>
              <w:ind w:right="0" w:hanging="170"/>
              <w:jc w:val="left"/>
            </w:pPr>
            <w:r>
              <w:t>снижает риск развития СД 2 типа у лиц с НТГ</w:t>
            </w:r>
          </w:p>
          <w:p w:rsidR="00D27BC6" w:rsidRDefault="004D5071">
            <w:pPr>
              <w:numPr>
                <w:ilvl w:val="0"/>
                <w:numId w:val="216"/>
              </w:numPr>
              <w:spacing w:after="113" w:line="216" w:lineRule="auto"/>
              <w:ind w:right="0" w:hanging="170"/>
              <w:jc w:val="left"/>
            </w:pPr>
            <w:r>
              <w:t>потенциальный кардиопротективный эффект (не доказан в комбинации с ПСМ)</w:t>
            </w:r>
          </w:p>
          <w:p w:rsidR="00D27BC6" w:rsidRDefault="004D5071">
            <w:pPr>
              <w:numPr>
                <w:ilvl w:val="0"/>
                <w:numId w:val="216"/>
              </w:numPr>
              <w:spacing w:after="0" w:line="259" w:lineRule="auto"/>
              <w:ind w:right="0" w:hanging="170"/>
              <w:jc w:val="left"/>
            </w:pPr>
            <w:r>
              <w:t>низкая цена</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17"/>
              </w:numPr>
              <w:spacing w:after="90" w:line="259" w:lineRule="auto"/>
              <w:ind w:right="0" w:hanging="170"/>
              <w:jc w:val="left"/>
            </w:pPr>
            <w:r>
              <w:t>желудочно-кишечный дискомфорт</w:t>
            </w:r>
          </w:p>
          <w:p w:rsidR="00D27BC6" w:rsidRDefault="004D5071">
            <w:pPr>
              <w:numPr>
                <w:ilvl w:val="0"/>
                <w:numId w:val="217"/>
              </w:numPr>
              <w:spacing w:after="0" w:line="259" w:lineRule="auto"/>
              <w:ind w:right="0" w:hanging="170"/>
              <w:jc w:val="left"/>
            </w:pPr>
            <w:r>
              <w:t xml:space="preserve">риск развития лактатацидоза </w:t>
            </w:r>
          </w:p>
          <w:p w:rsidR="00D27BC6" w:rsidRDefault="004D5071">
            <w:pPr>
              <w:spacing w:after="90" w:line="259" w:lineRule="auto"/>
              <w:ind w:left="170" w:right="0" w:firstLine="0"/>
              <w:jc w:val="left"/>
            </w:pPr>
            <w:r>
              <w:t>(редко)</w:t>
            </w:r>
          </w:p>
          <w:p w:rsidR="00D27BC6" w:rsidRDefault="004D5071">
            <w:pPr>
              <w:numPr>
                <w:ilvl w:val="0"/>
                <w:numId w:val="217"/>
              </w:numPr>
              <w:spacing w:after="0" w:line="259" w:lineRule="auto"/>
              <w:ind w:right="0" w:hanging="170"/>
              <w:jc w:val="left"/>
            </w:pPr>
            <w:r>
              <w:t xml:space="preserve">риск развития дефицита витамина В12 (при применении 3–4 года, может маскироваться симптомами нейропатии) </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113" w:line="222" w:lineRule="auto"/>
              <w:ind w:left="0" w:right="98" w:firstLine="0"/>
              <w:jc w:val="left"/>
            </w:pPr>
            <w:r>
              <w:rPr>
                <w:sz w:val="16"/>
              </w:rPr>
              <w:t>Противопоказан при рСКФ &lt; 30 мл/мин /1,73 м</w:t>
            </w:r>
            <w:r>
              <w:rPr>
                <w:sz w:val="14"/>
                <w:vertAlign w:val="superscript"/>
              </w:rPr>
              <w:t>2</w:t>
            </w:r>
            <w:r>
              <w:rPr>
                <w:sz w:val="16"/>
              </w:rPr>
              <w:t xml:space="preserve"> (при рСКФ 30–44 мл/мин/1,73 м</w:t>
            </w:r>
            <w:r>
              <w:rPr>
                <w:sz w:val="14"/>
                <w:vertAlign w:val="superscript"/>
              </w:rPr>
              <w:t>2</w:t>
            </w:r>
            <w:r>
              <w:rPr>
                <w:sz w:val="16"/>
              </w:rPr>
              <w:t xml:space="preserve"> максимальная суточная доза не должна превышать 1000 мг), при печеночной не</w:t>
            </w:r>
            <w:r>
              <w:rPr>
                <w:sz w:val="16"/>
              </w:rPr>
              <w:t xml:space="preserve">достаточности; остром коронарном синдроме; заболеваниях, сопровождающихся тяжелой гипоксией; В12-дефицитной анемии; алкоголизме; ацидозе любого генеза. </w:t>
            </w:r>
          </w:p>
          <w:p w:rsidR="00D27BC6" w:rsidRDefault="004D5071">
            <w:pPr>
              <w:spacing w:after="113" w:line="221" w:lineRule="auto"/>
              <w:ind w:left="0" w:right="0" w:firstLine="0"/>
              <w:jc w:val="left"/>
            </w:pPr>
            <w:r>
              <w:rPr>
                <w:sz w:val="16"/>
              </w:rPr>
              <w:t>При беременности с осторожностью (см. раздел 17)</w:t>
            </w:r>
          </w:p>
          <w:p w:rsidR="00D27BC6" w:rsidRDefault="004D5071">
            <w:pPr>
              <w:spacing w:after="83" w:line="259" w:lineRule="auto"/>
              <w:ind w:left="0" w:right="0" w:firstLine="0"/>
              <w:jc w:val="left"/>
            </w:pPr>
            <w:r>
              <w:rPr>
                <w:sz w:val="16"/>
              </w:rPr>
              <w:t>Разрешен у детей с 10 лет.</w:t>
            </w:r>
          </w:p>
          <w:p w:rsidR="00D27BC6" w:rsidRDefault="004D5071">
            <w:pPr>
              <w:spacing w:after="0" w:line="259" w:lineRule="auto"/>
              <w:ind w:left="0" w:right="372" w:firstLine="0"/>
              <w:jc w:val="left"/>
            </w:pPr>
            <w:r>
              <w:rPr>
                <w:sz w:val="16"/>
              </w:rPr>
              <w:t>Препарат должен быть отменен в течение 2 суток до и после выполнения рентгеноконтрастных процедур, больших оперативных вмешательств.</w:t>
            </w:r>
          </w:p>
        </w:tc>
      </w:tr>
      <w:tr w:rsidR="00D27BC6">
        <w:trPr>
          <w:trHeight w:val="913"/>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19" w:firstLine="0"/>
              <w:jc w:val="center"/>
            </w:pPr>
            <w:r>
              <w:rPr>
                <w:b/>
              </w:rPr>
              <w:t>Тиазолидиндионы</w:t>
            </w:r>
          </w:p>
          <w:p w:rsidR="00D27BC6" w:rsidRDefault="004D5071">
            <w:pPr>
              <w:spacing w:after="0" w:line="259" w:lineRule="auto"/>
              <w:ind w:left="0" w:right="19" w:firstLine="0"/>
              <w:jc w:val="center"/>
            </w:pPr>
            <w:r>
              <w:t>(Пиоглитазон)</w:t>
            </w:r>
          </w:p>
          <w:p w:rsidR="00D27BC6" w:rsidRDefault="004D5071">
            <w:pPr>
              <w:spacing w:after="0" w:line="259" w:lineRule="auto"/>
              <w:ind w:left="0" w:right="18" w:firstLine="0"/>
              <w:jc w:val="center"/>
            </w:pPr>
            <w:r>
              <w:rPr>
                <w:i/>
              </w:rPr>
              <w:t>Снижение HbA1c в монотерапии 0,5–1,4%</w:t>
            </w:r>
          </w:p>
        </w:tc>
      </w:tr>
      <w:tr w:rsidR="00D27BC6">
        <w:trPr>
          <w:trHeight w:val="3597"/>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18"/>
              </w:numPr>
              <w:spacing w:after="57" w:line="236" w:lineRule="auto"/>
              <w:ind w:right="0" w:hanging="170"/>
              <w:jc w:val="left"/>
            </w:pPr>
            <w:r>
              <w:t>снижение риска макрососудистых осложнений (пиоглитазон – снижение риска повторного инсульта)</w:t>
            </w:r>
          </w:p>
          <w:p w:rsidR="00D27BC6" w:rsidRDefault="004D5071">
            <w:pPr>
              <w:numPr>
                <w:ilvl w:val="0"/>
                <w:numId w:val="218"/>
              </w:numPr>
              <w:spacing w:after="33" w:line="259" w:lineRule="auto"/>
              <w:ind w:right="0" w:hanging="170"/>
              <w:jc w:val="left"/>
            </w:pPr>
            <w:r>
              <w:t>низкий риск гипогликемии</w:t>
            </w:r>
          </w:p>
          <w:p w:rsidR="00D27BC6" w:rsidRDefault="004D5071">
            <w:pPr>
              <w:numPr>
                <w:ilvl w:val="0"/>
                <w:numId w:val="218"/>
              </w:numPr>
              <w:spacing w:after="57" w:line="236" w:lineRule="auto"/>
              <w:ind w:right="0" w:hanging="170"/>
              <w:jc w:val="left"/>
            </w:pPr>
            <w:r>
              <w:t>улучшение липидного спектра крови</w:t>
            </w:r>
          </w:p>
          <w:p w:rsidR="00D27BC6" w:rsidRDefault="004D5071">
            <w:pPr>
              <w:numPr>
                <w:ilvl w:val="0"/>
                <w:numId w:val="218"/>
              </w:numPr>
              <w:spacing w:after="57" w:line="236" w:lineRule="auto"/>
              <w:ind w:right="0" w:hanging="170"/>
              <w:jc w:val="left"/>
            </w:pPr>
            <w:r>
              <w:t>уменьшение содержания жира в печени</w:t>
            </w:r>
          </w:p>
          <w:p w:rsidR="00D27BC6" w:rsidRDefault="004D5071">
            <w:pPr>
              <w:numPr>
                <w:ilvl w:val="0"/>
                <w:numId w:val="218"/>
              </w:numPr>
              <w:spacing w:after="57" w:line="236" w:lineRule="auto"/>
              <w:ind w:right="0" w:hanging="170"/>
              <w:jc w:val="left"/>
            </w:pPr>
            <w:r>
              <w:t>потенциальный протективный эффект в отношении β-клеток</w:t>
            </w:r>
          </w:p>
          <w:p w:rsidR="00D27BC6" w:rsidRDefault="004D5071">
            <w:pPr>
              <w:numPr>
                <w:ilvl w:val="0"/>
                <w:numId w:val="218"/>
              </w:numPr>
              <w:spacing w:after="0" w:line="259" w:lineRule="auto"/>
              <w:ind w:right="0" w:hanging="170"/>
              <w:jc w:val="left"/>
            </w:pPr>
            <w:r>
              <w:t xml:space="preserve">снижают риск </w:t>
            </w:r>
            <w:r>
              <w:t>развития СД 2 типа у лиц с НТГ</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19"/>
              </w:numPr>
              <w:spacing w:after="33" w:line="259" w:lineRule="auto"/>
              <w:ind w:right="0" w:hanging="170"/>
              <w:jc w:val="left"/>
            </w:pPr>
            <w:r>
              <w:t>прибавка массы тела</w:t>
            </w:r>
          </w:p>
          <w:p w:rsidR="00D27BC6" w:rsidRDefault="004D5071">
            <w:pPr>
              <w:numPr>
                <w:ilvl w:val="0"/>
                <w:numId w:val="219"/>
              </w:numPr>
              <w:spacing w:after="33" w:line="259" w:lineRule="auto"/>
              <w:ind w:right="0" w:hanging="170"/>
              <w:jc w:val="left"/>
            </w:pPr>
            <w:r>
              <w:t>периферические отеки</w:t>
            </w:r>
          </w:p>
          <w:p w:rsidR="00D27BC6" w:rsidRDefault="004D5071">
            <w:pPr>
              <w:numPr>
                <w:ilvl w:val="0"/>
                <w:numId w:val="219"/>
              </w:numPr>
              <w:spacing w:after="57" w:line="236" w:lineRule="auto"/>
              <w:ind w:right="0" w:hanging="170"/>
              <w:jc w:val="left"/>
            </w:pPr>
            <w:r>
              <w:t>увеличение риска переломов трубчатых костей у женщин</w:t>
            </w:r>
          </w:p>
          <w:p w:rsidR="00D27BC6" w:rsidRDefault="004D5071">
            <w:pPr>
              <w:numPr>
                <w:ilvl w:val="0"/>
                <w:numId w:val="219"/>
              </w:numPr>
              <w:spacing w:after="0" w:line="259" w:lineRule="auto"/>
              <w:ind w:right="0" w:hanging="170"/>
              <w:jc w:val="left"/>
            </w:pPr>
            <w:r>
              <w:t>медленное начало действия</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 w:firstLine="0"/>
              <w:jc w:val="left"/>
            </w:pPr>
            <w:r>
              <w:rPr>
                <w:sz w:val="16"/>
              </w:rPr>
              <w:t>Противопоказаны при заболеваниях печени; отеках любого генеза; хронической сердечной недостаточности любого функционального класса; остром коронарном синдроме; ИБС в сочетании с приемом нитратов; кетоацидозе; при беременности и лактации. Осторожность в ком</w:t>
            </w:r>
            <w:r>
              <w:rPr>
                <w:sz w:val="16"/>
              </w:rPr>
              <w:t>бинации с инсулином.</w:t>
            </w:r>
          </w:p>
        </w:tc>
      </w:tr>
      <w:tr w:rsidR="00D27BC6">
        <w:trPr>
          <w:trHeight w:val="433"/>
        </w:trPr>
        <w:tc>
          <w:tcPr>
            <w:tcW w:w="10191"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9" w:firstLine="0"/>
              <w:jc w:val="center"/>
            </w:pPr>
            <w:r>
              <w:rPr>
                <w:b/>
              </w:rPr>
              <w:t>Средства, стимулирующие секрецию инсулина (секретагоги)</w:t>
            </w:r>
          </w:p>
        </w:tc>
      </w:tr>
      <w:tr w:rsidR="00D27BC6">
        <w:trPr>
          <w:trHeight w:val="1153"/>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19" w:firstLine="0"/>
              <w:jc w:val="center"/>
            </w:pPr>
            <w:r>
              <w:rPr>
                <w:b/>
              </w:rPr>
              <w:t>Производные сульфонилмочевины</w:t>
            </w:r>
          </w:p>
          <w:p w:rsidR="00D27BC6" w:rsidRDefault="004D5071">
            <w:pPr>
              <w:spacing w:after="0" w:line="236" w:lineRule="auto"/>
              <w:ind w:left="141" w:right="118" w:firstLine="0"/>
              <w:jc w:val="center"/>
            </w:pPr>
            <w:r>
              <w:t>(Гликлазид; гликлазид с модифицированным высвобождением (МВ); глимепирид; гликвидон; глипизид; глипизид ретард; глибенкламид)</w:t>
            </w:r>
          </w:p>
          <w:p w:rsidR="00D27BC6" w:rsidRDefault="004D5071">
            <w:pPr>
              <w:spacing w:after="0" w:line="259" w:lineRule="auto"/>
              <w:ind w:left="0" w:right="19" w:firstLine="0"/>
              <w:jc w:val="center"/>
            </w:pPr>
            <w:r>
              <w:rPr>
                <w:i/>
              </w:rPr>
              <w:t>Снижение HbA1c в монотерапии 1,0–2,0%</w:t>
            </w:r>
          </w:p>
        </w:tc>
      </w:tr>
      <w:tr w:rsidR="00D27BC6">
        <w:trPr>
          <w:trHeight w:val="2284"/>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20"/>
              </w:numPr>
              <w:spacing w:after="57" w:line="236" w:lineRule="auto"/>
              <w:ind w:right="0" w:hanging="170"/>
              <w:jc w:val="left"/>
            </w:pPr>
            <w:r>
              <w:t>быстрое достижение сахароснижающего эффекта</w:t>
            </w:r>
          </w:p>
          <w:p w:rsidR="00D27BC6" w:rsidRDefault="004D5071">
            <w:pPr>
              <w:numPr>
                <w:ilvl w:val="0"/>
                <w:numId w:val="220"/>
              </w:numPr>
              <w:spacing w:after="57" w:line="236" w:lineRule="auto"/>
              <w:ind w:right="0" w:hanging="170"/>
              <w:jc w:val="left"/>
            </w:pPr>
            <w:r>
              <w:t>опосредованно снижают риск микрососудистых осложнений</w:t>
            </w:r>
          </w:p>
          <w:p w:rsidR="00D27BC6" w:rsidRDefault="004D5071">
            <w:pPr>
              <w:numPr>
                <w:ilvl w:val="0"/>
                <w:numId w:val="220"/>
              </w:numPr>
              <w:spacing w:after="57" w:line="236" w:lineRule="auto"/>
              <w:ind w:right="0" w:hanging="170"/>
              <w:jc w:val="left"/>
            </w:pPr>
            <w:r>
              <w:t>нефро- и кардиопротекция (гликлазид модифицированного высвобождения)</w:t>
            </w:r>
          </w:p>
          <w:p w:rsidR="00D27BC6" w:rsidRDefault="004D5071">
            <w:pPr>
              <w:numPr>
                <w:ilvl w:val="0"/>
                <w:numId w:val="220"/>
              </w:numPr>
              <w:spacing w:after="0" w:line="259" w:lineRule="auto"/>
              <w:ind w:right="0" w:hanging="170"/>
              <w:jc w:val="left"/>
            </w:pPr>
            <w:r>
              <w:t>низкая цена</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21"/>
              </w:numPr>
              <w:spacing w:after="33" w:line="259" w:lineRule="auto"/>
              <w:ind w:right="0" w:hanging="170"/>
              <w:jc w:val="left"/>
            </w:pPr>
            <w:r>
              <w:t>риск гипогликемии</w:t>
            </w:r>
          </w:p>
          <w:p w:rsidR="00D27BC6" w:rsidRDefault="004D5071">
            <w:pPr>
              <w:numPr>
                <w:ilvl w:val="0"/>
                <w:numId w:val="221"/>
              </w:numPr>
              <w:spacing w:after="33" w:line="259" w:lineRule="auto"/>
              <w:ind w:right="0" w:hanging="170"/>
              <w:jc w:val="left"/>
            </w:pPr>
            <w:r>
              <w:t>быстрое развитие резистентности</w:t>
            </w:r>
          </w:p>
          <w:p w:rsidR="00D27BC6" w:rsidRDefault="004D5071">
            <w:pPr>
              <w:numPr>
                <w:ilvl w:val="0"/>
                <w:numId w:val="221"/>
              </w:numPr>
              <w:spacing w:after="33" w:line="259" w:lineRule="auto"/>
              <w:ind w:right="0" w:hanging="170"/>
              <w:jc w:val="left"/>
            </w:pPr>
            <w:r>
              <w:t>прибавка массы тела</w:t>
            </w:r>
          </w:p>
          <w:p w:rsidR="00D27BC6" w:rsidRDefault="004D5071">
            <w:pPr>
              <w:numPr>
                <w:ilvl w:val="0"/>
                <w:numId w:val="221"/>
              </w:numPr>
              <w:spacing w:after="0" w:line="259" w:lineRule="auto"/>
              <w:ind w:right="0" w:hanging="170"/>
              <w:jc w:val="left"/>
            </w:pPr>
            <w:r>
              <w:t>нет однозначных данных по СС-безопасности, особенно в комбинации с метформином (глимепирид нейтрален в отношении СС-риска)</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113" w:line="236" w:lineRule="auto"/>
              <w:ind w:left="0" w:right="269" w:firstLine="0"/>
              <w:jc w:val="left"/>
            </w:pPr>
            <w:r>
              <w:rPr>
                <w:sz w:val="16"/>
              </w:rPr>
              <w:t>Противопоказаны при почечной (кроме гликлазида, глимепирида и гликвидона) и печен</w:t>
            </w:r>
            <w:r>
              <w:rPr>
                <w:sz w:val="16"/>
              </w:rPr>
              <w:t>очной недостаточности; кетоацидозе; беременности и лактации.</w:t>
            </w:r>
          </w:p>
          <w:p w:rsidR="00D27BC6" w:rsidRDefault="004D5071">
            <w:pPr>
              <w:spacing w:after="0" w:line="259" w:lineRule="auto"/>
              <w:ind w:left="0" w:right="504" w:firstLine="0"/>
              <w:jc w:val="left"/>
            </w:pPr>
            <w:r>
              <w:rPr>
                <w:sz w:val="16"/>
              </w:rPr>
              <w:t>Неоднородны по влиянию на риск гипогликемий и увеличение массы тела: наибольший риск у глибенкламида, значительно меньший у глимепирида и гликлазида модифицированного высвобождения</w:t>
            </w:r>
          </w:p>
        </w:tc>
      </w:tr>
    </w:tbl>
    <w:p w:rsidR="00D27BC6" w:rsidRDefault="00D27BC6">
      <w:pPr>
        <w:spacing w:after="0" w:line="259" w:lineRule="auto"/>
        <w:ind w:left="-848" w:right="13" w:firstLine="0"/>
        <w:jc w:val="left"/>
      </w:pPr>
    </w:p>
    <w:tbl>
      <w:tblPr>
        <w:tblStyle w:val="TableGrid"/>
        <w:tblW w:w="10191" w:type="dxa"/>
        <w:tblInd w:w="9" w:type="dxa"/>
        <w:tblCellMar>
          <w:top w:w="9" w:type="dxa"/>
          <w:left w:w="56" w:type="dxa"/>
          <w:bottom w:w="0" w:type="dxa"/>
          <w:right w:w="34" w:type="dxa"/>
        </w:tblCellMar>
        <w:tblLook w:val="04A0" w:firstRow="1" w:lastRow="0" w:firstColumn="1" w:lastColumn="0" w:noHBand="0" w:noVBand="1"/>
      </w:tblPr>
      <w:tblGrid>
        <w:gridCol w:w="3397"/>
        <w:gridCol w:w="3397"/>
        <w:gridCol w:w="3397"/>
      </w:tblGrid>
      <w:tr w:rsidR="00D27BC6">
        <w:trPr>
          <w:trHeight w:val="320"/>
        </w:trPr>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23" w:firstLine="0"/>
              <w:jc w:val="center"/>
            </w:pPr>
            <w:r>
              <w:rPr>
                <w:b/>
              </w:rPr>
              <w:t>Преимущества</w:t>
            </w:r>
          </w:p>
        </w:tc>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23" w:firstLine="0"/>
              <w:jc w:val="center"/>
            </w:pPr>
            <w:r>
              <w:rPr>
                <w:b/>
              </w:rPr>
              <w:t>Недостатки</w:t>
            </w:r>
          </w:p>
        </w:tc>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23" w:firstLine="0"/>
              <w:jc w:val="center"/>
            </w:pPr>
            <w:r>
              <w:rPr>
                <w:b/>
              </w:rPr>
              <w:t>Примечания</w:t>
            </w:r>
          </w:p>
        </w:tc>
      </w:tr>
      <w:tr w:rsidR="00D27BC6">
        <w:trPr>
          <w:trHeight w:val="1140"/>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vAlign w:val="center"/>
          </w:tcPr>
          <w:p w:rsidR="00D27BC6" w:rsidRDefault="004D5071">
            <w:pPr>
              <w:spacing w:after="0" w:line="259" w:lineRule="auto"/>
              <w:ind w:left="0" w:right="23" w:firstLine="0"/>
              <w:jc w:val="center"/>
            </w:pPr>
            <w:r>
              <w:rPr>
                <w:b/>
              </w:rPr>
              <w:t>Меглитиниды</w:t>
            </w:r>
          </w:p>
          <w:p w:rsidR="00D27BC6" w:rsidRDefault="004D5071">
            <w:pPr>
              <w:spacing w:after="0" w:line="259" w:lineRule="auto"/>
              <w:ind w:left="0" w:right="23" w:firstLine="0"/>
              <w:jc w:val="center"/>
            </w:pPr>
            <w:r>
              <w:t>(Репаглинид; натеглинид)</w:t>
            </w:r>
          </w:p>
          <w:p w:rsidR="00D27BC6" w:rsidRDefault="004D5071">
            <w:pPr>
              <w:spacing w:after="0" w:line="259" w:lineRule="auto"/>
              <w:ind w:left="0" w:right="22" w:firstLine="0"/>
              <w:jc w:val="center"/>
            </w:pPr>
            <w:r>
              <w:rPr>
                <w:i/>
              </w:rPr>
              <w:t>Снижение HbA1c в монотерапии 0,5–1,5%</w:t>
            </w:r>
          </w:p>
        </w:tc>
      </w:tr>
      <w:tr w:rsidR="00D27BC6">
        <w:trPr>
          <w:trHeight w:val="2200"/>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22"/>
              </w:numPr>
              <w:spacing w:after="113" w:line="236" w:lineRule="auto"/>
              <w:ind w:right="0" w:hanging="170"/>
              <w:jc w:val="left"/>
            </w:pPr>
            <w:r>
              <w:t>контроль постпрандиальной гипергликемии</w:t>
            </w:r>
          </w:p>
          <w:p w:rsidR="00D27BC6" w:rsidRDefault="004D5071">
            <w:pPr>
              <w:numPr>
                <w:ilvl w:val="0"/>
                <w:numId w:val="222"/>
              </w:numPr>
              <w:spacing w:after="90" w:line="259" w:lineRule="auto"/>
              <w:ind w:right="0" w:hanging="170"/>
              <w:jc w:val="left"/>
            </w:pPr>
            <w:r>
              <w:t>быстрое начало действия</w:t>
            </w:r>
          </w:p>
          <w:p w:rsidR="00D27BC6" w:rsidRDefault="004D5071">
            <w:pPr>
              <w:numPr>
                <w:ilvl w:val="0"/>
                <w:numId w:val="222"/>
              </w:numPr>
              <w:spacing w:after="0" w:line="259" w:lineRule="auto"/>
              <w:ind w:right="0" w:hanging="170"/>
              <w:jc w:val="left"/>
            </w:pPr>
            <w:r>
              <w:t>могут быть использованы у лиц с нерегулярным режимом питания</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223"/>
              </w:numPr>
              <w:spacing w:after="0" w:line="259" w:lineRule="auto"/>
              <w:ind w:right="0" w:hanging="170"/>
              <w:jc w:val="left"/>
            </w:pPr>
            <w:r>
              <w:t xml:space="preserve">риск гипогликемии </w:t>
            </w:r>
          </w:p>
          <w:p w:rsidR="00D27BC6" w:rsidRDefault="004D5071">
            <w:pPr>
              <w:spacing w:after="90" w:line="259" w:lineRule="auto"/>
              <w:ind w:left="170" w:right="0" w:firstLine="0"/>
              <w:jc w:val="left"/>
            </w:pPr>
            <w:r>
              <w:t>(сравним с ПСМ)</w:t>
            </w:r>
          </w:p>
          <w:p w:rsidR="00D27BC6" w:rsidRDefault="004D5071">
            <w:pPr>
              <w:numPr>
                <w:ilvl w:val="0"/>
                <w:numId w:val="223"/>
              </w:numPr>
              <w:spacing w:after="90" w:line="259" w:lineRule="auto"/>
              <w:ind w:right="0" w:hanging="170"/>
              <w:jc w:val="left"/>
            </w:pPr>
            <w:r>
              <w:t>прибавка массы тела</w:t>
            </w:r>
          </w:p>
          <w:p w:rsidR="00D27BC6" w:rsidRDefault="004D5071">
            <w:pPr>
              <w:numPr>
                <w:ilvl w:val="0"/>
                <w:numId w:val="223"/>
              </w:numPr>
              <w:spacing w:after="113" w:line="236" w:lineRule="auto"/>
              <w:ind w:right="0" w:hanging="170"/>
              <w:jc w:val="left"/>
            </w:pPr>
            <w:r>
              <w:t>применение кратно количеству приемов пищи</w:t>
            </w:r>
          </w:p>
          <w:p w:rsidR="00D27BC6" w:rsidRDefault="004D5071">
            <w:pPr>
              <w:numPr>
                <w:ilvl w:val="0"/>
                <w:numId w:val="223"/>
              </w:numPr>
              <w:spacing w:after="0" w:line="259" w:lineRule="auto"/>
              <w:ind w:right="0" w:hanging="170"/>
              <w:jc w:val="left"/>
            </w:pPr>
            <w:r>
              <w:t>высокая цена</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504" w:firstLine="0"/>
              <w:jc w:val="left"/>
            </w:pPr>
            <w:r>
              <w:rPr>
                <w:sz w:val="16"/>
              </w:rPr>
              <w:t>Противопоказаны при почечной (кроме репаглинида) и печеночной недостаточности; кетоацидозе; беременности и лактации.</w:t>
            </w:r>
          </w:p>
        </w:tc>
      </w:tr>
      <w:tr w:rsidR="00D27BC6">
        <w:trPr>
          <w:trHeight w:val="1140"/>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vAlign w:val="center"/>
          </w:tcPr>
          <w:p w:rsidR="00D27BC6" w:rsidRDefault="004D5071">
            <w:pPr>
              <w:spacing w:after="0" w:line="259" w:lineRule="auto"/>
              <w:ind w:left="0" w:right="23" w:firstLine="0"/>
              <w:jc w:val="center"/>
            </w:pPr>
            <w:r>
              <w:rPr>
                <w:b/>
              </w:rPr>
              <w:t>Ингибиторы ДПП-4</w:t>
            </w:r>
          </w:p>
          <w:p w:rsidR="00D27BC6" w:rsidRDefault="004D5071">
            <w:pPr>
              <w:spacing w:after="0" w:line="259" w:lineRule="auto"/>
              <w:ind w:left="3234" w:right="0" w:hanging="2927"/>
            </w:pPr>
            <w:r>
              <w:t xml:space="preserve">(Ситаглиптин; вилдаглиптин; саксаглиптин; линаглиптин; алоглиптин; гозоглиптин; гемиглиптин; эвоглиптин)  </w:t>
            </w:r>
            <w:r>
              <w:rPr>
                <w:i/>
              </w:rPr>
              <w:t>Снижение HbA1c в монотерапии 0,5–0,9%</w:t>
            </w:r>
          </w:p>
        </w:tc>
      </w:tr>
      <w:tr w:rsidR="00D27BC6">
        <w:trPr>
          <w:trHeight w:val="2856"/>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24"/>
              </w:numPr>
              <w:spacing w:after="90" w:line="259" w:lineRule="auto"/>
              <w:ind w:right="0" w:hanging="170"/>
              <w:jc w:val="left"/>
            </w:pPr>
            <w:r>
              <w:t>низкий риск гипогликемий</w:t>
            </w:r>
          </w:p>
          <w:p w:rsidR="00D27BC6" w:rsidRDefault="004D5071">
            <w:pPr>
              <w:numPr>
                <w:ilvl w:val="0"/>
                <w:numId w:val="224"/>
              </w:numPr>
              <w:spacing w:after="90" w:line="259" w:lineRule="auto"/>
              <w:ind w:right="0" w:hanging="170"/>
              <w:jc w:val="left"/>
            </w:pPr>
            <w:r>
              <w:t>не влияют на массу тела</w:t>
            </w:r>
          </w:p>
          <w:p w:rsidR="00D27BC6" w:rsidRDefault="004D5071">
            <w:pPr>
              <w:numPr>
                <w:ilvl w:val="0"/>
                <w:numId w:val="224"/>
              </w:numPr>
              <w:spacing w:after="113" w:line="236" w:lineRule="auto"/>
              <w:ind w:right="0" w:hanging="170"/>
              <w:jc w:val="left"/>
            </w:pPr>
            <w:r>
              <w:t>доступны в фиксированных комбинациях с метформином</w:t>
            </w:r>
          </w:p>
          <w:p w:rsidR="00D27BC6" w:rsidRDefault="004D5071">
            <w:pPr>
              <w:numPr>
                <w:ilvl w:val="0"/>
                <w:numId w:val="224"/>
              </w:numPr>
              <w:spacing w:after="0" w:line="259" w:lineRule="auto"/>
              <w:ind w:right="0" w:hanging="170"/>
              <w:jc w:val="left"/>
            </w:pPr>
            <w:r>
              <w:t>потенциальн</w:t>
            </w:r>
            <w:r>
              <w:t>ый протективный эффект в отношении β-клеток</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250" w:hanging="170"/>
              <w:jc w:val="left"/>
            </w:pPr>
            <w:r>
              <w:t>• осторожность при панкреатите в анамнезе</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113" w:line="236" w:lineRule="auto"/>
              <w:ind w:left="0" w:right="34" w:firstLine="0"/>
              <w:jc w:val="left"/>
            </w:pPr>
            <w:r>
              <w:rPr>
                <w:sz w:val="16"/>
              </w:rPr>
              <w:t xml:space="preserve">Для большинства препаратов возможно применение на всех стадиях ХБП с соответствующим снижением дозы; применяются без снижения дозы: линаглиптин и гемиглиптин (включая С5), эвоглиптин (включая С4). </w:t>
            </w:r>
          </w:p>
          <w:p w:rsidR="00D27BC6" w:rsidRDefault="004D5071">
            <w:pPr>
              <w:spacing w:after="0" w:line="259" w:lineRule="auto"/>
              <w:ind w:left="0" w:right="0" w:firstLine="0"/>
              <w:jc w:val="left"/>
            </w:pPr>
            <w:r>
              <w:rPr>
                <w:sz w:val="16"/>
              </w:rPr>
              <w:t>С осторожностью при тяжелой печеночной недостаточности (кр</w:t>
            </w:r>
            <w:r>
              <w:rPr>
                <w:sz w:val="16"/>
              </w:rPr>
              <w:t>оме саксаглиптина, линаглиптина), хронической сердечной недостаточности (саксаглиптин противопоказан); противопоказаны при кетоацидозе; беременности и лактации.</w:t>
            </w:r>
          </w:p>
        </w:tc>
      </w:tr>
      <w:tr w:rsidR="00D27BC6">
        <w:trPr>
          <w:trHeight w:val="1140"/>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vAlign w:val="center"/>
          </w:tcPr>
          <w:p w:rsidR="00D27BC6" w:rsidRDefault="004D5071">
            <w:pPr>
              <w:spacing w:after="0" w:line="259" w:lineRule="auto"/>
              <w:ind w:left="0" w:right="23" w:firstLine="0"/>
              <w:jc w:val="center"/>
            </w:pPr>
            <w:r>
              <w:rPr>
                <w:b/>
              </w:rPr>
              <w:t>Агонисты рецепторов ГПП-1</w:t>
            </w:r>
          </w:p>
          <w:p w:rsidR="00D27BC6" w:rsidRDefault="004D5071">
            <w:pPr>
              <w:spacing w:after="0" w:line="259" w:lineRule="auto"/>
              <w:ind w:left="3255" w:right="1491" w:hanging="904"/>
            </w:pPr>
            <w:r>
              <w:t xml:space="preserve">Эксенатид; лираглутид; ликсисенатид; дулаглутид; семаглутид </w:t>
            </w:r>
            <w:r>
              <w:rPr>
                <w:i/>
              </w:rPr>
              <w:t>Снижение HbA1c в монотерапии 0,8–1,8%</w:t>
            </w:r>
          </w:p>
        </w:tc>
      </w:tr>
      <w:tr w:rsidR="00D27BC6">
        <w:trPr>
          <w:trHeight w:val="5529"/>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25"/>
              </w:numPr>
              <w:spacing w:after="90" w:line="259" w:lineRule="auto"/>
              <w:ind w:right="0" w:hanging="170"/>
              <w:jc w:val="left"/>
            </w:pPr>
            <w:r>
              <w:t>низкий риск гипогликемии</w:t>
            </w:r>
          </w:p>
          <w:p w:rsidR="00D27BC6" w:rsidRDefault="004D5071">
            <w:pPr>
              <w:numPr>
                <w:ilvl w:val="0"/>
                <w:numId w:val="225"/>
              </w:numPr>
              <w:spacing w:after="90" w:line="259" w:lineRule="auto"/>
              <w:ind w:right="0" w:hanging="170"/>
              <w:jc w:val="left"/>
            </w:pPr>
            <w:r>
              <w:t>снижение массы тела</w:t>
            </w:r>
          </w:p>
          <w:p w:rsidR="00D27BC6" w:rsidRDefault="004D5071">
            <w:pPr>
              <w:numPr>
                <w:ilvl w:val="0"/>
                <w:numId w:val="225"/>
              </w:numPr>
              <w:spacing w:after="90" w:line="259" w:lineRule="auto"/>
              <w:ind w:right="0" w:hanging="170"/>
              <w:jc w:val="left"/>
            </w:pPr>
            <w:r>
              <w:t>снижение АД</w:t>
            </w:r>
          </w:p>
          <w:p w:rsidR="00D27BC6" w:rsidRDefault="004D5071">
            <w:pPr>
              <w:numPr>
                <w:ilvl w:val="0"/>
                <w:numId w:val="225"/>
              </w:numPr>
              <w:spacing w:after="113" w:line="236" w:lineRule="auto"/>
              <w:ind w:right="0" w:hanging="170"/>
              <w:jc w:val="left"/>
            </w:pPr>
            <w:r>
              <w:t>потенциальный протективный эффект в отношении β-клеток</w:t>
            </w:r>
          </w:p>
          <w:p w:rsidR="00D27BC6" w:rsidRDefault="004D5071">
            <w:pPr>
              <w:numPr>
                <w:ilvl w:val="0"/>
                <w:numId w:val="225"/>
              </w:numPr>
              <w:spacing w:after="113" w:line="236" w:lineRule="auto"/>
              <w:ind w:right="0" w:hanging="170"/>
              <w:jc w:val="left"/>
            </w:pPr>
            <w:r>
              <w:t>доступны в фиксированных комбинациях с базальными инсулинами</w:t>
            </w:r>
          </w:p>
          <w:p w:rsidR="00D27BC6" w:rsidRDefault="004D5071">
            <w:pPr>
              <w:numPr>
                <w:ilvl w:val="0"/>
                <w:numId w:val="225"/>
              </w:numPr>
              <w:spacing w:after="113" w:line="236" w:lineRule="auto"/>
              <w:ind w:right="0" w:hanging="170"/>
              <w:jc w:val="left"/>
            </w:pPr>
            <w:r>
              <w:t>вторичная профилактика у пациентов с АССЗ (л</w:t>
            </w:r>
            <w:r>
              <w:t>ираглутид, семаглутид, дулаглутид)</w:t>
            </w:r>
          </w:p>
          <w:p w:rsidR="00D27BC6" w:rsidRDefault="004D5071">
            <w:pPr>
              <w:numPr>
                <w:ilvl w:val="0"/>
                <w:numId w:val="225"/>
              </w:numPr>
              <w:spacing w:after="113" w:line="236" w:lineRule="auto"/>
              <w:ind w:right="0" w:hanging="170"/>
              <w:jc w:val="left"/>
            </w:pPr>
            <w:r>
              <w:t>первичная профилактика у лиц с указаниями на высокий риск АССЗ (дулаглутид)</w:t>
            </w:r>
          </w:p>
          <w:p w:rsidR="00D27BC6" w:rsidRDefault="004D5071">
            <w:pPr>
              <w:numPr>
                <w:ilvl w:val="0"/>
                <w:numId w:val="225"/>
              </w:numPr>
              <w:spacing w:after="0" w:line="259" w:lineRule="auto"/>
              <w:ind w:right="0" w:hanging="170"/>
              <w:jc w:val="left"/>
            </w:pPr>
            <w:r>
              <w:t>нефропротекция (семаглутид, лираглутид, дулаглутид)</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26"/>
              </w:numPr>
              <w:spacing w:after="90" w:line="259" w:lineRule="auto"/>
              <w:ind w:right="0" w:hanging="170"/>
              <w:jc w:val="left"/>
            </w:pPr>
            <w:r>
              <w:t>желудочно-кишечный дискомфорт</w:t>
            </w:r>
          </w:p>
          <w:p w:rsidR="00D27BC6" w:rsidRDefault="004D5071">
            <w:pPr>
              <w:numPr>
                <w:ilvl w:val="0"/>
                <w:numId w:val="226"/>
              </w:numPr>
              <w:spacing w:after="0" w:line="259" w:lineRule="auto"/>
              <w:ind w:right="0" w:hanging="170"/>
              <w:jc w:val="left"/>
            </w:pPr>
            <w:r>
              <w:t xml:space="preserve">формирование антител </w:t>
            </w:r>
          </w:p>
          <w:p w:rsidR="00D27BC6" w:rsidRDefault="004D5071">
            <w:pPr>
              <w:spacing w:after="90" w:line="259" w:lineRule="auto"/>
              <w:ind w:left="20" w:right="0" w:firstLine="0"/>
              <w:jc w:val="center"/>
            </w:pPr>
            <w:r>
              <w:t>(преимущественно на эксенатиде)</w:t>
            </w:r>
          </w:p>
          <w:p w:rsidR="00D27BC6" w:rsidRDefault="004D5071">
            <w:pPr>
              <w:numPr>
                <w:ilvl w:val="0"/>
                <w:numId w:val="226"/>
              </w:numPr>
              <w:spacing w:after="113" w:line="236" w:lineRule="auto"/>
              <w:ind w:right="0" w:hanging="170"/>
              <w:jc w:val="left"/>
            </w:pPr>
            <w:r>
              <w:t xml:space="preserve">осторожность при панкреатите в анамнезе, ЖКБ </w:t>
            </w:r>
          </w:p>
          <w:p w:rsidR="00D27BC6" w:rsidRDefault="004D5071">
            <w:pPr>
              <w:numPr>
                <w:ilvl w:val="0"/>
                <w:numId w:val="226"/>
              </w:numPr>
              <w:spacing w:after="0" w:line="259" w:lineRule="auto"/>
              <w:ind w:right="0" w:hanging="170"/>
              <w:jc w:val="left"/>
            </w:pPr>
            <w:r>
              <w:t xml:space="preserve">инъекционная форма введения </w:t>
            </w:r>
          </w:p>
          <w:p w:rsidR="00D27BC6" w:rsidRDefault="004D5071">
            <w:pPr>
              <w:spacing w:after="113" w:line="236" w:lineRule="auto"/>
              <w:ind w:left="170" w:right="170" w:firstLine="0"/>
              <w:jc w:val="left"/>
            </w:pPr>
            <w:r>
              <w:t>(некоторые препараты вводятся 1 раз в неделю, семаглутид доступен в пероральной форме)</w:t>
            </w:r>
          </w:p>
          <w:p w:rsidR="00D27BC6" w:rsidRDefault="004D5071">
            <w:pPr>
              <w:numPr>
                <w:ilvl w:val="0"/>
                <w:numId w:val="226"/>
              </w:numPr>
              <w:spacing w:after="0" w:line="259" w:lineRule="auto"/>
              <w:ind w:right="0" w:hanging="170"/>
              <w:jc w:val="left"/>
            </w:pPr>
            <w:r>
              <w:t>высокая цена</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113" w:line="221" w:lineRule="auto"/>
              <w:ind w:left="0" w:right="335" w:firstLine="0"/>
              <w:jc w:val="left"/>
            </w:pPr>
            <w:r>
              <w:rPr>
                <w:sz w:val="16"/>
              </w:rPr>
              <w:t xml:space="preserve">Противопоказаны при медуллярном раке щитовидной железы, включая семейный анамнез; кетоацидозе; беременности и лактации. </w:t>
            </w:r>
          </w:p>
          <w:p w:rsidR="00D27BC6" w:rsidRDefault="004D5071">
            <w:pPr>
              <w:spacing w:after="113" w:line="221" w:lineRule="auto"/>
              <w:ind w:left="0" w:right="68" w:firstLine="0"/>
              <w:jc w:val="left"/>
            </w:pPr>
            <w:r>
              <w:rPr>
                <w:sz w:val="16"/>
              </w:rPr>
              <w:t>Противопоказаны при тяжелой почечной и печеночной недостаточности; кетоацидозе; беременности и лактации.</w:t>
            </w:r>
          </w:p>
          <w:p w:rsidR="00D27BC6" w:rsidRDefault="004D5071">
            <w:pPr>
              <w:spacing w:after="83" w:line="259" w:lineRule="auto"/>
              <w:ind w:left="0" w:right="0" w:firstLine="0"/>
              <w:jc w:val="left"/>
            </w:pPr>
            <w:r>
              <w:rPr>
                <w:sz w:val="16"/>
              </w:rPr>
              <w:t xml:space="preserve">Лираглутид разрешен у детей с </w:t>
            </w:r>
            <w:r>
              <w:rPr>
                <w:sz w:val="16"/>
              </w:rPr>
              <w:t>10 лет.</w:t>
            </w:r>
          </w:p>
          <w:p w:rsidR="00D27BC6" w:rsidRDefault="004D5071">
            <w:pPr>
              <w:spacing w:after="113" w:line="221" w:lineRule="auto"/>
              <w:ind w:left="0" w:right="178" w:firstLine="0"/>
              <w:jc w:val="left"/>
            </w:pPr>
            <w:r>
              <w:rPr>
                <w:sz w:val="16"/>
              </w:rPr>
              <w:t>Замедление опорожнения желудка следует учитывать при планировании эндоскопических исследований, а также информировать анестезиолога при планируемых оперативных вмешательствах (оценивать риск аспирации).</w:t>
            </w:r>
          </w:p>
          <w:p w:rsidR="00D27BC6" w:rsidRDefault="004D5071">
            <w:pPr>
              <w:spacing w:after="0" w:line="259" w:lineRule="auto"/>
              <w:ind w:left="0" w:right="212" w:firstLine="0"/>
              <w:jc w:val="left"/>
            </w:pPr>
            <w:r>
              <w:rPr>
                <w:sz w:val="16"/>
              </w:rPr>
              <w:t>У женщин фертильного возраста учитывать увеличение вероятности наступления беременности (на фоне снижения веса и возможного замедления всасывания оральных контрацептивов при титрации дозы)</w:t>
            </w:r>
          </w:p>
        </w:tc>
      </w:tr>
    </w:tbl>
    <w:p w:rsidR="00D27BC6" w:rsidRDefault="00D27BC6">
      <w:pPr>
        <w:spacing w:after="0" w:line="259" w:lineRule="auto"/>
        <w:ind w:left="-848" w:right="13" w:firstLine="0"/>
        <w:jc w:val="left"/>
      </w:pPr>
    </w:p>
    <w:tbl>
      <w:tblPr>
        <w:tblStyle w:val="TableGrid"/>
        <w:tblW w:w="10191" w:type="dxa"/>
        <w:tblInd w:w="9" w:type="dxa"/>
        <w:tblCellMar>
          <w:top w:w="9" w:type="dxa"/>
          <w:left w:w="57" w:type="dxa"/>
          <w:bottom w:w="0" w:type="dxa"/>
          <w:right w:w="54" w:type="dxa"/>
        </w:tblCellMar>
        <w:tblLook w:val="04A0" w:firstRow="1" w:lastRow="0" w:firstColumn="1" w:lastColumn="0" w:noHBand="0" w:noVBand="1"/>
      </w:tblPr>
      <w:tblGrid>
        <w:gridCol w:w="3397"/>
        <w:gridCol w:w="3397"/>
        <w:gridCol w:w="3397"/>
      </w:tblGrid>
      <w:tr w:rsidR="00D27BC6">
        <w:trPr>
          <w:trHeight w:val="320"/>
        </w:trPr>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2" w:firstLine="0"/>
              <w:jc w:val="center"/>
            </w:pPr>
            <w:r>
              <w:rPr>
                <w:b/>
              </w:rPr>
              <w:t>Преимущества</w:t>
            </w:r>
          </w:p>
        </w:tc>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2" w:firstLine="0"/>
              <w:jc w:val="center"/>
            </w:pPr>
            <w:r>
              <w:rPr>
                <w:b/>
              </w:rPr>
              <w:t>Недостатки</w:t>
            </w:r>
          </w:p>
        </w:tc>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2" w:firstLine="0"/>
              <w:jc w:val="center"/>
            </w:pPr>
            <w:r>
              <w:rPr>
                <w:b/>
              </w:rPr>
              <w:t>Примечания</w:t>
            </w:r>
          </w:p>
        </w:tc>
      </w:tr>
      <w:tr w:rsidR="00D27BC6">
        <w:trPr>
          <w:trHeight w:val="800"/>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2" w:firstLine="0"/>
              <w:jc w:val="center"/>
            </w:pPr>
            <w:r>
              <w:rPr>
                <w:b/>
              </w:rPr>
              <w:t>Двойные агонисты рецепторов ГИП и ГПП-1 (твинкретины):</w:t>
            </w:r>
          </w:p>
          <w:p w:rsidR="00D27BC6" w:rsidRDefault="004D5071">
            <w:pPr>
              <w:spacing w:after="0" w:line="259" w:lineRule="auto"/>
              <w:ind w:left="0" w:right="2" w:firstLine="0"/>
              <w:jc w:val="center"/>
            </w:pPr>
            <w:r>
              <w:t>(Тирзепатид)</w:t>
            </w:r>
          </w:p>
          <w:p w:rsidR="00D27BC6" w:rsidRDefault="004D5071">
            <w:pPr>
              <w:spacing w:after="0" w:line="259" w:lineRule="auto"/>
              <w:ind w:left="0" w:right="2" w:firstLine="0"/>
              <w:jc w:val="center"/>
            </w:pPr>
            <w:r>
              <w:rPr>
                <w:i/>
              </w:rPr>
              <w:t>Снижение HbA1c в монотерапии более 2,0%</w:t>
            </w:r>
          </w:p>
        </w:tc>
      </w:tr>
      <w:tr w:rsidR="00D27BC6">
        <w:trPr>
          <w:trHeight w:val="4117"/>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27"/>
              </w:numPr>
              <w:spacing w:after="0" w:line="292" w:lineRule="auto"/>
              <w:ind w:right="0" w:hanging="170"/>
              <w:jc w:val="left"/>
            </w:pPr>
            <w:r>
              <w:t>низкий риск гипогликемии • снижение массы тела</w:t>
            </w:r>
          </w:p>
          <w:p w:rsidR="00D27BC6" w:rsidRDefault="004D5071">
            <w:pPr>
              <w:numPr>
                <w:ilvl w:val="0"/>
                <w:numId w:val="227"/>
              </w:numPr>
              <w:spacing w:after="33" w:line="259" w:lineRule="auto"/>
              <w:ind w:right="0" w:hanging="170"/>
              <w:jc w:val="left"/>
            </w:pPr>
            <w:r>
              <w:t xml:space="preserve">снижение АД. </w:t>
            </w:r>
          </w:p>
          <w:p w:rsidR="00D27BC6" w:rsidRDefault="004D5071">
            <w:pPr>
              <w:numPr>
                <w:ilvl w:val="0"/>
                <w:numId w:val="227"/>
              </w:numPr>
              <w:spacing w:after="0" w:line="259" w:lineRule="auto"/>
              <w:ind w:right="0" w:hanging="170"/>
              <w:jc w:val="left"/>
            </w:pPr>
            <w:r>
              <w:t>потенциальный протективный эффект в отношении β-клеток</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28"/>
              </w:numPr>
              <w:spacing w:after="33" w:line="259" w:lineRule="auto"/>
              <w:ind w:right="0" w:hanging="170"/>
              <w:jc w:val="left"/>
            </w:pPr>
            <w:r>
              <w:t>желудочно-кишечный дискомфорт</w:t>
            </w:r>
          </w:p>
          <w:p w:rsidR="00D27BC6" w:rsidRDefault="004D5071">
            <w:pPr>
              <w:numPr>
                <w:ilvl w:val="0"/>
                <w:numId w:val="228"/>
              </w:numPr>
              <w:spacing w:after="57" w:line="236" w:lineRule="auto"/>
              <w:ind w:right="0" w:hanging="170"/>
              <w:jc w:val="left"/>
            </w:pPr>
            <w:r>
              <w:t>осторожность при панкреатите в анамнезе, ЖКБ</w:t>
            </w:r>
          </w:p>
          <w:p w:rsidR="00D27BC6" w:rsidRDefault="004D5071">
            <w:pPr>
              <w:numPr>
                <w:ilvl w:val="0"/>
                <w:numId w:val="228"/>
              </w:numPr>
              <w:spacing w:after="0" w:line="259" w:lineRule="auto"/>
              <w:ind w:right="0" w:hanging="170"/>
              <w:jc w:val="left"/>
            </w:pPr>
            <w:r>
              <w:t xml:space="preserve">инъекционная форма введения </w:t>
            </w:r>
          </w:p>
          <w:p w:rsidR="00D27BC6" w:rsidRDefault="004D5071">
            <w:pPr>
              <w:spacing w:after="33" w:line="259" w:lineRule="auto"/>
              <w:ind w:left="170" w:right="0" w:firstLine="0"/>
              <w:jc w:val="left"/>
            </w:pPr>
            <w:r>
              <w:t>(вводится 1 раз в неделю)</w:t>
            </w:r>
          </w:p>
          <w:p w:rsidR="00D27BC6" w:rsidRDefault="004D5071">
            <w:pPr>
              <w:numPr>
                <w:ilvl w:val="0"/>
                <w:numId w:val="228"/>
              </w:numPr>
              <w:spacing w:after="0" w:line="259" w:lineRule="auto"/>
              <w:ind w:right="0" w:hanging="170"/>
              <w:jc w:val="left"/>
            </w:pPr>
            <w:r>
              <w:t>высокая цена</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57" w:line="221" w:lineRule="auto"/>
              <w:ind w:left="0" w:right="472" w:firstLine="0"/>
              <w:jc w:val="left"/>
            </w:pPr>
            <w:r>
              <w:rPr>
                <w:sz w:val="16"/>
              </w:rPr>
              <w:t>В основном противопоказания сходны с арГПП-1.</w:t>
            </w:r>
          </w:p>
          <w:p w:rsidR="00D27BC6" w:rsidRDefault="004D5071">
            <w:pPr>
              <w:spacing w:after="57" w:line="221" w:lineRule="auto"/>
              <w:ind w:left="0" w:right="370" w:firstLine="0"/>
              <w:jc w:val="left"/>
            </w:pPr>
            <w:r>
              <w:rPr>
                <w:sz w:val="16"/>
              </w:rPr>
              <w:t>Противопоказаны при медуллярном раке щитовидной железы, включая семейный анамнез; кетоацидозе; бе</w:t>
            </w:r>
            <w:r>
              <w:rPr>
                <w:sz w:val="16"/>
              </w:rPr>
              <w:t xml:space="preserve">ременности и лактации. </w:t>
            </w:r>
          </w:p>
          <w:p w:rsidR="00D27BC6" w:rsidRDefault="004D5071">
            <w:pPr>
              <w:spacing w:after="0" w:line="259" w:lineRule="auto"/>
              <w:ind w:left="0" w:right="0" w:firstLine="0"/>
              <w:jc w:val="left"/>
            </w:pPr>
            <w:r>
              <w:rPr>
                <w:sz w:val="16"/>
              </w:rPr>
              <w:t xml:space="preserve">Коррекция дозы при почечной </w:t>
            </w:r>
          </w:p>
          <w:p w:rsidR="00D27BC6" w:rsidRDefault="004D5071">
            <w:pPr>
              <w:spacing w:after="57" w:line="221" w:lineRule="auto"/>
              <w:ind w:left="0" w:right="0" w:firstLine="0"/>
              <w:jc w:val="left"/>
            </w:pPr>
            <w:r>
              <w:rPr>
                <w:sz w:val="16"/>
              </w:rPr>
              <w:t>недостаточности не требуется, однако следует соблюдать осторожность, так как опыт использования ограничен.</w:t>
            </w:r>
          </w:p>
          <w:p w:rsidR="00D27BC6" w:rsidRDefault="004D5071">
            <w:pPr>
              <w:spacing w:after="57" w:line="221" w:lineRule="auto"/>
              <w:ind w:left="0" w:right="217" w:firstLine="0"/>
              <w:jc w:val="left"/>
            </w:pPr>
            <w:r>
              <w:rPr>
                <w:sz w:val="16"/>
              </w:rPr>
              <w:t>Замедление опорожнения желудка следует учитывать при планировании эндоскопических исследований, а также информировать анестезиолога при планируемых оперативных вмешательствах (оценивать риск аспирации).</w:t>
            </w:r>
          </w:p>
          <w:p w:rsidR="00D27BC6" w:rsidRDefault="004D5071">
            <w:pPr>
              <w:spacing w:after="0" w:line="259" w:lineRule="auto"/>
              <w:ind w:left="0" w:right="17" w:firstLine="0"/>
              <w:jc w:val="left"/>
            </w:pPr>
            <w:r>
              <w:rPr>
                <w:sz w:val="16"/>
              </w:rPr>
              <w:t>У женщин фертильного возраста учитывать увеличение ве</w:t>
            </w:r>
            <w:r>
              <w:rPr>
                <w:sz w:val="16"/>
              </w:rPr>
              <w:t>роятности наступления беременности (на фоне снижения веса и возможного замедления всасывания оральных контрацептивов при титрации дозы)</w:t>
            </w:r>
          </w:p>
        </w:tc>
      </w:tr>
      <w:tr w:rsidR="00D27BC6">
        <w:trPr>
          <w:trHeight w:val="320"/>
        </w:trPr>
        <w:tc>
          <w:tcPr>
            <w:tcW w:w="10191"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rPr>
                <w:b/>
              </w:rPr>
              <w:t>Средства, ингибирующие реабсорбцию глюкозы в почках</w:t>
            </w:r>
          </w:p>
        </w:tc>
      </w:tr>
      <w:tr w:rsidR="00D27BC6">
        <w:trPr>
          <w:trHeight w:val="800"/>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2" w:firstLine="0"/>
              <w:jc w:val="center"/>
            </w:pPr>
            <w:r>
              <w:rPr>
                <w:b/>
              </w:rPr>
              <w:t>Ингибиторы НГЛТ-2</w:t>
            </w:r>
          </w:p>
          <w:p w:rsidR="00D27BC6" w:rsidRDefault="004D5071">
            <w:pPr>
              <w:spacing w:after="0" w:line="259" w:lineRule="auto"/>
              <w:ind w:left="3255" w:right="515" w:hanging="1860"/>
            </w:pPr>
            <w:r>
              <w:t xml:space="preserve">(Дапаглифлозин; эмпаглифлозин; канаглифлозин; ипраглифлозин; лусеоглифлозин) </w:t>
            </w:r>
            <w:r>
              <w:rPr>
                <w:i/>
              </w:rPr>
              <w:t>Снижение HbA1c в монотерапии 0,8–0,9%</w:t>
            </w:r>
          </w:p>
        </w:tc>
      </w:tr>
      <w:tr w:rsidR="00D27BC6">
        <w:trPr>
          <w:trHeight w:val="5736"/>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29"/>
              </w:numPr>
              <w:spacing w:after="33" w:line="259" w:lineRule="auto"/>
              <w:ind w:right="0" w:hanging="170"/>
              <w:jc w:val="left"/>
            </w:pPr>
            <w:r>
              <w:t>низкий риск гипогликемии</w:t>
            </w:r>
          </w:p>
          <w:p w:rsidR="00D27BC6" w:rsidRDefault="004D5071">
            <w:pPr>
              <w:numPr>
                <w:ilvl w:val="0"/>
                <w:numId w:val="229"/>
              </w:numPr>
              <w:spacing w:after="33" w:line="259" w:lineRule="auto"/>
              <w:ind w:right="0" w:hanging="170"/>
              <w:jc w:val="left"/>
            </w:pPr>
            <w:r>
              <w:t>снижение массы тела</w:t>
            </w:r>
          </w:p>
          <w:p w:rsidR="00D27BC6" w:rsidRDefault="004D5071">
            <w:pPr>
              <w:numPr>
                <w:ilvl w:val="0"/>
                <w:numId w:val="229"/>
              </w:numPr>
              <w:spacing w:after="57" w:line="236" w:lineRule="auto"/>
              <w:ind w:right="0" w:hanging="170"/>
              <w:jc w:val="left"/>
            </w:pPr>
            <w:r>
              <w:t>эффект не зависит от наличия инсулина в крови</w:t>
            </w:r>
          </w:p>
          <w:p w:rsidR="00D27BC6" w:rsidRDefault="004D5071">
            <w:pPr>
              <w:numPr>
                <w:ilvl w:val="0"/>
                <w:numId w:val="229"/>
              </w:numPr>
              <w:spacing w:after="33" w:line="259" w:lineRule="auto"/>
              <w:ind w:right="0" w:hanging="170"/>
              <w:jc w:val="left"/>
            </w:pPr>
            <w:r>
              <w:t>умеренное снижение АД</w:t>
            </w:r>
          </w:p>
          <w:p w:rsidR="00D27BC6" w:rsidRDefault="004D5071">
            <w:pPr>
              <w:numPr>
                <w:ilvl w:val="0"/>
                <w:numId w:val="229"/>
              </w:numPr>
              <w:spacing w:after="57" w:line="236" w:lineRule="auto"/>
              <w:ind w:right="0" w:hanging="170"/>
              <w:jc w:val="left"/>
            </w:pPr>
            <w:r>
              <w:t>значительное снижение риска госпитализаций по поводу ХСН и смерти</w:t>
            </w:r>
          </w:p>
          <w:p w:rsidR="00D27BC6" w:rsidRDefault="004D5071">
            <w:pPr>
              <w:numPr>
                <w:ilvl w:val="0"/>
                <w:numId w:val="229"/>
              </w:numPr>
              <w:spacing w:after="33" w:line="259" w:lineRule="auto"/>
              <w:ind w:right="0" w:hanging="170"/>
              <w:jc w:val="left"/>
            </w:pPr>
            <w:r>
              <w:t>нефропротекция</w:t>
            </w:r>
          </w:p>
          <w:p w:rsidR="00D27BC6" w:rsidRDefault="004D5071">
            <w:pPr>
              <w:numPr>
                <w:ilvl w:val="0"/>
                <w:numId w:val="229"/>
              </w:numPr>
              <w:spacing w:after="57" w:line="236" w:lineRule="auto"/>
              <w:ind w:right="0" w:hanging="170"/>
              <w:jc w:val="left"/>
            </w:pPr>
            <w:r>
              <w:t xml:space="preserve">доступны в фиксированных комбинациях </w:t>
            </w:r>
          </w:p>
          <w:p w:rsidR="00D27BC6" w:rsidRDefault="004D5071">
            <w:pPr>
              <w:numPr>
                <w:ilvl w:val="0"/>
                <w:numId w:val="229"/>
              </w:numPr>
              <w:spacing w:after="57" w:line="236" w:lineRule="auto"/>
              <w:ind w:right="0" w:hanging="170"/>
              <w:jc w:val="left"/>
            </w:pPr>
            <w:r>
              <w:t>вторичная профилактика у пациентов с АССЗ</w:t>
            </w:r>
          </w:p>
          <w:p w:rsidR="00D27BC6" w:rsidRDefault="004D5071">
            <w:pPr>
              <w:numPr>
                <w:ilvl w:val="0"/>
                <w:numId w:val="229"/>
              </w:numPr>
              <w:spacing w:after="0" w:line="259" w:lineRule="auto"/>
              <w:ind w:right="0" w:hanging="170"/>
              <w:jc w:val="left"/>
            </w:pPr>
            <w:r>
              <w:t>обладают дополнительными преимуществами (снижение госпитализации по поводу ХСН или прогрессиров</w:t>
            </w:r>
            <w:r>
              <w:t>ания ХБП) у лиц с высоким риском АССЗ</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30"/>
              </w:numPr>
              <w:spacing w:after="33" w:line="259" w:lineRule="auto"/>
              <w:ind w:right="0" w:hanging="170"/>
              <w:jc w:val="left"/>
            </w:pPr>
            <w:r>
              <w:t>риск урогенитальных инфекций</w:t>
            </w:r>
          </w:p>
          <w:p w:rsidR="00D27BC6" w:rsidRDefault="004D5071">
            <w:pPr>
              <w:numPr>
                <w:ilvl w:val="0"/>
                <w:numId w:val="230"/>
              </w:numPr>
              <w:spacing w:after="33" w:line="259" w:lineRule="auto"/>
              <w:ind w:right="0" w:hanging="170"/>
              <w:jc w:val="left"/>
            </w:pPr>
            <w:r>
              <w:t>риск гиповолемии</w:t>
            </w:r>
          </w:p>
          <w:p w:rsidR="00D27BC6" w:rsidRDefault="004D5071">
            <w:pPr>
              <w:numPr>
                <w:ilvl w:val="0"/>
                <w:numId w:val="230"/>
              </w:numPr>
              <w:spacing w:after="33" w:line="259" w:lineRule="auto"/>
              <w:ind w:right="0" w:hanging="170"/>
              <w:jc w:val="left"/>
            </w:pPr>
            <w:r>
              <w:t>риск кетоацидоза</w:t>
            </w:r>
          </w:p>
          <w:p w:rsidR="00D27BC6" w:rsidRDefault="004D5071">
            <w:pPr>
              <w:numPr>
                <w:ilvl w:val="0"/>
                <w:numId w:val="230"/>
              </w:numPr>
              <w:spacing w:after="57" w:line="236" w:lineRule="auto"/>
              <w:ind w:right="0" w:hanging="170"/>
              <w:jc w:val="left"/>
            </w:pPr>
            <w:r>
              <w:t>риск ампутаций нижних конечностей (с осторожностью)</w:t>
            </w:r>
          </w:p>
          <w:p w:rsidR="00D27BC6" w:rsidRDefault="004D5071">
            <w:pPr>
              <w:numPr>
                <w:ilvl w:val="0"/>
                <w:numId w:val="230"/>
              </w:numPr>
              <w:spacing w:after="33" w:line="259" w:lineRule="auto"/>
              <w:ind w:right="0" w:hanging="170"/>
              <w:jc w:val="left"/>
            </w:pPr>
            <w:r>
              <w:t>риск переломов</w:t>
            </w:r>
          </w:p>
          <w:p w:rsidR="00D27BC6" w:rsidRDefault="004D5071">
            <w:pPr>
              <w:numPr>
                <w:ilvl w:val="0"/>
                <w:numId w:val="230"/>
              </w:numPr>
              <w:spacing w:after="0" w:line="259" w:lineRule="auto"/>
              <w:ind w:right="0" w:hanging="170"/>
              <w:jc w:val="left"/>
            </w:pPr>
            <w:r>
              <w:t>высокая цена</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57" w:line="236" w:lineRule="auto"/>
              <w:ind w:left="0" w:right="0" w:firstLine="0"/>
              <w:jc w:val="left"/>
            </w:pPr>
            <w:r>
              <w:rPr>
                <w:sz w:val="16"/>
              </w:rPr>
              <w:t>Противопоказаны при кетоацидозе, беременности, лактации.</w:t>
            </w:r>
          </w:p>
          <w:p w:rsidR="00D27BC6" w:rsidRDefault="004D5071">
            <w:pPr>
              <w:spacing w:after="46" w:line="236" w:lineRule="auto"/>
              <w:ind w:left="0" w:right="0" w:firstLine="0"/>
              <w:jc w:val="left"/>
            </w:pPr>
            <w:r>
              <w:rPr>
                <w:sz w:val="16"/>
              </w:rPr>
              <w:t>Имеются противопоказания при снижении рСКФ:</w:t>
            </w:r>
          </w:p>
          <w:p w:rsidR="00D27BC6" w:rsidRDefault="004D5071">
            <w:pPr>
              <w:numPr>
                <w:ilvl w:val="0"/>
                <w:numId w:val="231"/>
              </w:numPr>
              <w:spacing w:after="42" w:line="241" w:lineRule="auto"/>
              <w:ind w:right="85" w:hanging="170"/>
              <w:jc w:val="left"/>
            </w:pPr>
            <w:r>
              <w:rPr>
                <w:sz w:val="16"/>
              </w:rPr>
              <w:t>дапаглифлозин &lt;25мл/мин/1,73 м</w:t>
            </w:r>
            <w:r>
              <w:rPr>
                <w:sz w:val="14"/>
                <w:vertAlign w:val="superscript"/>
              </w:rPr>
              <w:t>2</w:t>
            </w:r>
            <w:r>
              <w:rPr>
                <w:sz w:val="16"/>
              </w:rPr>
              <w:t xml:space="preserve"> для инициации (у ранее получавших терапию прием может быть продолжен), на диализе противопоказан;</w:t>
            </w:r>
          </w:p>
          <w:p w:rsidR="00D27BC6" w:rsidRDefault="004D5071">
            <w:pPr>
              <w:numPr>
                <w:ilvl w:val="0"/>
                <w:numId w:val="231"/>
              </w:numPr>
              <w:spacing w:after="32" w:line="241" w:lineRule="auto"/>
              <w:ind w:right="85" w:hanging="170"/>
              <w:jc w:val="left"/>
            </w:pPr>
            <w:r>
              <w:rPr>
                <w:sz w:val="16"/>
              </w:rPr>
              <w:t>эмпаглифлозин &lt;20 мл/мин/1,73 м</w:t>
            </w:r>
            <w:r>
              <w:rPr>
                <w:sz w:val="14"/>
                <w:vertAlign w:val="superscript"/>
              </w:rPr>
              <w:t>2</w:t>
            </w:r>
            <w:r>
              <w:rPr>
                <w:sz w:val="16"/>
              </w:rPr>
              <w:t xml:space="preserve"> для инициации (у ранее получавших терапию прием может быть продолжен), на диализе противопоказан;</w:t>
            </w:r>
          </w:p>
          <w:p w:rsidR="00D27BC6" w:rsidRDefault="004D5071">
            <w:pPr>
              <w:numPr>
                <w:ilvl w:val="0"/>
                <w:numId w:val="231"/>
              </w:numPr>
              <w:spacing w:after="39" w:line="245" w:lineRule="auto"/>
              <w:ind w:right="85" w:hanging="170"/>
              <w:jc w:val="left"/>
            </w:pPr>
            <w:r>
              <w:rPr>
                <w:sz w:val="16"/>
              </w:rPr>
              <w:t>канаглифлозин &lt;30мл/мин/1,73 м</w:t>
            </w:r>
            <w:r>
              <w:rPr>
                <w:sz w:val="14"/>
                <w:vertAlign w:val="superscript"/>
              </w:rPr>
              <w:t xml:space="preserve">2 </w:t>
            </w:r>
            <w:r>
              <w:rPr>
                <w:sz w:val="16"/>
              </w:rPr>
              <w:t>для инициации (у лиц с альбуминурией &gt;300 мг/сут на терапии прием может быть продолжен), на диализе противопоказан;</w:t>
            </w:r>
          </w:p>
          <w:p w:rsidR="00D27BC6" w:rsidRDefault="004D5071">
            <w:pPr>
              <w:numPr>
                <w:ilvl w:val="0"/>
                <w:numId w:val="231"/>
              </w:numPr>
              <w:spacing w:after="10" w:line="308" w:lineRule="auto"/>
              <w:ind w:right="85" w:hanging="170"/>
              <w:jc w:val="left"/>
            </w:pPr>
            <w:r>
              <w:rPr>
                <w:sz w:val="16"/>
              </w:rPr>
              <w:t>ипраглифл</w:t>
            </w:r>
            <w:r>
              <w:rPr>
                <w:sz w:val="16"/>
              </w:rPr>
              <w:t>озин &lt;30мл/мин/1,73 м</w:t>
            </w:r>
            <w:r>
              <w:rPr>
                <w:sz w:val="14"/>
                <w:vertAlign w:val="superscript"/>
              </w:rPr>
              <w:t>2</w:t>
            </w:r>
            <w:r>
              <w:rPr>
                <w:sz w:val="16"/>
              </w:rPr>
              <w:t>; - лусеоглифлозин &lt;30мл/мин/1,73 м</w:t>
            </w:r>
            <w:r>
              <w:rPr>
                <w:sz w:val="14"/>
                <w:vertAlign w:val="superscript"/>
              </w:rPr>
              <w:t>2</w:t>
            </w:r>
            <w:r>
              <w:rPr>
                <w:sz w:val="16"/>
              </w:rPr>
              <w:t>.</w:t>
            </w:r>
          </w:p>
          <w:p w:rsidR="00D27BC6" w:rsidRDefault="004D5071">
            <w:pPr>
              <w:spacing w:after="57" w:line="236" w:lineRule="auto"/>
              <w:ind w:left="0" w:right="412" w:firstLine="0"/>
              <w:jc w:val="left"/>
            </w:pPr>
            <w:r>
              <w:rPr>
                <w:sz w:val="16"/>
              </w:rPr>
              <w:t>Требуется осторожность при назначении в пожилом возрасте (см. инструкцию к применению); при хронических урогенитальных инфекциях; при приеме мочегонных средств.</w:t>
            </w:r>
          </w:p>
          <w:p w:rsidR="00D27BC6" w:rsidRDefault="004D5071">
            <w:pPr>
              <w:spacing w:after="0" w:line="259" w:lineRule="auto"/>
              <w:ind w:left="0" w:right="86" w:firstLine="0"/>
              <w:jc w:val="left"/>
            </w:pPr>
            <w:r>
              <w:rPr>
                <w:sz w:val="16"/>
              </w:rPr>
              <w:t>Должны быть отменены в течение 2 су</w:t>
            </w:r>
            <w:r>
              <w:rPr>
                <w:sz w:val="16"/>
              </w:rPr>
              <w:t>ток до и после выполнения рентгеноконтрастных процедур, больших оперативных вмешательств.</w:t>
            </w:r>
          </w:p>
        </w:tc>
      </w:tr>
      <w:tr w:rsidR="00D27BC6">
        <w:trPr>
          <w:trHeight w:val="800"/>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2" w:firstLine="0"/>
              <w:jc w:val="center"/>
            </w:pPr>
            <w:r>
              <w:rPr>
                <w:b/>
              </w:rPr>
              <w:t>Инсулины</w:t>
            </w:r>
          </w:p>
          <w:p w:rsidR="00D27BC6" w:rsidRDefault="004D5071">
            <w:pPr>
              <w:spacing w:after="0" w:line="259" w:lineRule="auto"/>
              <w:ind w:left="0" w:right="2" w:firstLine="0"/>
              <w:jc w:val="center"/>
            </w:pPr>
            <w:r>
              <w:t>Человеческие инсулины; аналоги</w:t>
            </w:r>
          </w:p>
          <w:p w:rsidR="00D27BC6" w:rsidRDefault="004D5071">
            <w:pPr>
              <w:spacing w:after="0" w:line="259" w:lineRule="auto"/>
              <w:ind w:left="0" w:right="2" w:firstLine="0"/>
              <w:jc w:val="center"/>
            </w:pPr>
            <w:r>
              <w:rPr>
                <w:i/>
              </w:rPr>
              <w:t>Снижение HbA1c в монотерапии 1,5–3,5%</w:t>
            </w:r>
          </w:p>
        </w:tc>
      </w:tr>
      <w:tr w:rsidR="00D27BC6">
        <w:trPr>
          <w:trHeight w:val="1507"/>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32"/>
              </w:numPr>
              <w:spacing w:after="57" w:line="236" w:lineRule="auto"/>
              <w:ind w:right="146" w:hanging="170"/>
              <w:jc w:val="left"/>
            </w:pPr>
            <w:r>
              <w:t>выраженный сахароснижающий эффект</w:t>
            </w:r>
          </w:p>
          <w:p w:rsidR="00D27BC6" w:rsidRDefault="004D5071">
            <w:pPr>
              <w:numPr>
                <w:ilvl w:val="0"/>
                <w:numId w:val="232"/>
              </w:numPr>
              <w:spacing w:after="0" w:line="259" w:lineRule="auto"/>
              <w:ind w:right="146" w:hanging="170"/>
              <w:jc w:val="left"/>
            </w:pPr>
            <w:r>
              <w:t>снижают риск микро- и макрососудистых осложнений</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33"/>
              </w:numPr>
              <w:spacing w:after="33" w:line="259" w:lineRule="auto"/>
              <w:ind w:right="0" w:hanging="170"/>
              <w:jc w:val="left"/>
            </w:pPr>
            <w:r>
              <w:t>высокий риск гипогликемии</w:t>
            </w:r>
          </w:p>
          <w:p w:rsidR="00D27BC6" w:rsidRDefault="004D5071">
            <w:pPr>
              <w:numPr>
                <w:ilvl w:val="0"/>
                <w:numId w:val="233"/>
              </w:numPr>
              <w:spacing w:after="33" w:line="259" w:lineRule="auto"/>
              <w:ind w:right="0" w:hanging="170"/>
              <w:jc w:val="left"/>
            </w:pPr>
            <w:r>
              <w:t>прибавка массы тела</w:t>
            </w:r>
          </w:p>
          <w:p w:rsidR="00D27BC6" w:rsidRDefault="004D5071">
            <w:pPr>
              <w:numPr>
                <w:ilvl w:val="0"/>
                <w:numId w:val="233"/>
              </w:numPr>
              <w:spacing w:after="33" w:line="259" w:lineRule="auto"/>
              <w:ind w:right="0" w:hanging="170"/>
              <w:jc w:val="left"/>
            </w:pPr>
            <w:r>
              <w:t>требуют частого контроля гликемии</w:t>
            </w:r>
          </w:p>
          <w:p w:rsidR="00D27BC6" w:rsidRDefault="004D5071">
            <w:pPr>
              <w:numPr>
                <w:ilvl w:val="0"/>
                <w:numId w:val="233"/>
              </w:numPr>
              <w:spacing w:after="33" w:line="259" w:lineRule="auto"/>
              <w:ind w:right="0" w:hanging="170"/>
              <w:jc w:val="left"/>
            </w:pPr>
            <w:r>
              <w:t>инъекционная форма</w:t>
            </w:r>
          </w:p>
          <w:p w:rsidR="00D27BC6" w:rsidRDefault="004D5071">
            <w:pPr>
              <w:numPr>
                <w:ilvl w:val="0"/>
                <w:numId w:val="233"/>
              </w:numPr>
              <w:spacing w:after="0" w:line="259" w:lineRule="auto"/>
              <w:ind w:right="0" w:hanging="170"/>
              <w:jc w:val="left"/>
            </w:pPr>
            <w:r>
              <w:t>относительно высокая цена</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Нет противопоказаний и ограничений в дозе.</w:t>
            </w:r>
          </w:p>
        </w:tc>
      </w:tr>
    </w:tbl>
    <w:p w:rsidR="00D27BC6" w:rsidRDefault="004D5071">
      <w:pPr>
        <w:spacing w:after="1" w:line="261" w:lineRule="auto"/>
        <w:ind w:left="10" w:right="0"/>
        <w:jc w:val="center"/>
      </w:pPr>
      <w:r>
        <w:rPr>
          <w:b/>
          <w:sz w:val="18"/>
        </w:rPr>
        <w:t>6.1.4. РЕКОМЕНДУЕМЫЙ ТЕМП ИНТЕНСИФИКАЦИИ ЛЕЧЕНИЯ У БОЛЬНЫХ СД 2 ТИПА В ЗАВИСИМОСТИ ОТ УРОВНЯ HBA1C В ДЕБЮТЕ</w:t>
      </w:r>
    </w:p>
    <w:p w:rsidR="00D27BC6" w:rsidRDefault="004D5071">
      <w:pPr>
        <w:spacing w:after="0" w:line="259" w:lineRule="auto"/>
        <w:ind w:left="-5" w:right="-1" w:firstLine="0"/>
        <w:jc w:val="left"/>
      </w:pPr>
      <w:r>
        <w:rPr>
          <w:noProof/>
        </w:rPr>
        <w:drawing>
          <wp:inline distT="0" distB="0" distL="0" distR="0">
            <wp:extent cx="6489192" cy="8028433"/>
            <wp:effectExtent l="0" t="0" r="0" b="0"/>
            <wp:docPr id="358176" name="Picture 358176"/>
            <wp:cNvGraphicFramePr/>
            <a:graphic xmlns:a="http://schemas.openxmlformats.org/drawingml/2006/main">
              <a:graphicData uri="http://schemas.openxmlformats.org/drawingml/2006/picture">
                <pic:pic xmlns:pic="http://schemas.openxmlformats.org/drawingml/2006/picture">
                  <pic:nvPicPr>
                    <pic:cNvPr id="358176" name="Picture 358176"/>
                    <pic:cNvPicPr/>
                  </pic:nvPicPr>
                  <pic:blipFill>
                    <a:blip r:embed="rId73"/>
                    <a:stretch>
                      <a:fillRect/>
                    </a:stretch>
                  </pic:blipFill>
                  <pic:spPr>
                    <a:xfrm>
                      <a:off x="0" y="0"/>
                      <a:ext cx="6489192" cy="8028433"/>
                    </a:xfrm>
                    <a:prstGeom prst="rect">
                      <a:avLst/>
                    </a:prstGeom>
                  </pic:spPr>
                </pic:pic>
              </a:graphicData>
            </a:graphic>
          </wp:inline>
        </w:drawing>
      </w:r>
    </w:p>
    <w:p w:rsidR="00D27BC6" w:rsidRDefault="004D5071">
      <w:pPr>
        <w:spacing w:after="0" w:line="216" w:lineRule="auto"/>
        <w:ind w:left="-10" w:right="0" w:firstLine="0"/>
      </w:pPr>
      <w:r>
        <w:rPr>
          <w:i/>
          <w:sz w:val="16"/>
        </w:rPr>
        <w:t>Индивидуальный подход к больному с определением индивидуального целевого уровня HbA</w:t>
      </w:r>
      <w:r>
        <w:rPr>
          <w:i/>
          <w:sz w:val="14"/>
          <w:vertAlign w:val="subscript"/>
        </w:rPr>
        <w:t>1c</w:t>
      </w:r>
      <w:r>
        <w:rPr>
          <w:i/>
          <w:sz w:val="16"/>
        </w:rPr>
        <w:t xml:space="preserve"> должен являться основой выбора стратегии сахароснижающего ле</w:t>
      </w:r>
      <w:r>
        <w:rPr>
          <w:i/>
          <w:sz w:val="16"/>
        </w:rPr>
        <w:t>чения. Мониторинг эффективности терапии по уровню HbA1c рекомендуется осуществлять каждые 3 мес. Принятие решения об интенсификации не позже, чем через 6 мес (у лиц с низким риском целесообразно не позже, чем через 3 мес). Выбор препаратов в составе комбин</w:t>
      </w:r>
      <w:r>
        <w:rPr>
          <w:i/>
          <w:sz w:val="16"/>
        </w:rPr>
        <w:t>аций или при непереносимости метформина проводится с учетом рекомендаций по персонализированному выбору (см. таблицу в разделе 6.1.6.2 «Персонализация выбора сахароснижающих препаратов в зависимости от доминирующей клинической проблемы пациента»). При испо</w:t>
      </w:r>
      <w:r>
        <w:rPr>
          <w:i/>
          <w:sz w:val="16"/>
        </w:rPr>
        <w:t>льзовании комбинаций следует учитывать рациональность сочетаний препаратов. Значительная часть сахароснижающих препаратов доступна в составе готовых комбинаций. Деинтенсификация и изменение терапии возможны на любом этапе лечения. * См. комментарии к разде</w:t>
      </w:r>
      <w:r>
        <w:rPr>
          <w:i/>
          <w:sz w:val="16"/>
        </w:rPr>
        <w:t>лу 6.1.4.</w:t>
      </w:r>
    </w:p>
    <w:p w:rsidR="00D27BC6" w:rsidRDefault="004D5071">
      <w:pPr>
        <w:pStyle w:val="Heading3"/>
        <w:spacing w:after="230"/>
        <w:ind w:left="-13" w:right="824" w:firstLine="283"/>
        <w:jc w:val="left"/>
      </w:pPr>
      <w:r>
        <w:rPr>
          <w:i/>
          <w:color w:val="000000"/>
          <w:u w:val="single" w:color="000000"/>
        </w:rPr>
        <w:t>Комментарии к разделу 6.1.4 «Рекомендуемый темп интенсификации лечения у больных СД 2 типа в зависимости от уровня HbA1c в дебюте»</w:t>
      </w:r>
    </w:p>
    <w:p w:rsidR="00D27BC6" w:rsidRDefault="004D5071">
      <w:pPr>
        <w:spacing w:after="244" w:line="231" w:lineRule="auto"/>
        <w:ind w:left="-13" w:right="0" w:firstLine="283"/>
        <w:jc w:val="left"/>
      </w:pPr>
      <w:r>
        <w:t>Выбор препаратов и их комбинаций следует проводить с учетом рекомендаций по персонализации выбора сахароснижающих п</w:t>
      </w:r>
      <w:r>
        <w:t>репаратов и рациональности сочетаний (см. разделы 6.1.5, 6.1.6). Деинтенсификация и изменение терапии возможны на любом этапе лечения.</w:t>
      </w:r>
    </w:p>
    <w:p w:rsidR="00D27BC6" w:rsidRDefault="004D5071">
      <w:pPr>
        <w:ind w:left="-11" w:right="0" w:firstLine="283"/>
      </w:pPr>
      <w:r>
        <w:rPr>
          <w:b/>
        </w:rPr>
        <w:t>Если исходный показатель HbA1c находится в целевом диапазоне или превышает индивидуальный целевой уровень менее чем на 1.</w:t>
      </w:r>
      <w:r>
        <w:rPr>
          <w:b/>
        </w:rPr>
        <w:t>0%</w:t>
      </w:r>
      <w:r>
        <w:t xml:space="preserve">, то лечение можно начинать с монотерапии (у большинства пациентов может быть использован метформин). Однако с учетом многофакторного патогенеза СД 2 типа и полиморбидности пациентов оправданной может быть и комбинированная терапия (препаратами с низким </w:t>
      </w:r>
      <w:r>
        <w:t xml:space="preserve">риском гипогликемий), хотя опыт крупных РКИ в этой области ограничен. </w:t>
      </w:r>
    </w:p>
    <w:p w:rsidR="00D27BC6" w:rsidRDefault="004D5071">
      <w:pPr>
        <w:ind w:left="-11" w:right="0" w:firstLine="283"/>
      </w:pPr>
      <w:r>
        <w:t>У пациентов в дебюте СД 2 типа без АССЗ, ХСН и ХБП раннее назначение комбинированной терапии может иметь преимущества в отношении долгосрочного удержания гликемического контроля даже пр</w:t>
      </w:r>
      <w:r>
        <w:t>и незначительном превышении целевого уровня HbA1c (на примере назначения комбинации препарата иДПП-4 с метформином в дебюте заболевания по сравнению с исходной терапией метформином с последующим присоединением иДПП-4 в исследовании VERIFY).</w:t>
      </w:r>
    </w:p>
    <w:p w:rsidR="00D27BC6" w:rsidRDefault="004D5071">
      <w:pPr>
        <w:spacing w:after="227"/>
        <w:ind w:left="295" w:right="0"/>
      </w:pPr>
      <w:r>
        <w:t>Эффективным счи</w:t>
      </w:r>
      <w:r>
        <w:t>тается темп снижения НbA1c ≥ 0,5% за 6 мес. наблюдения.</w:t>
      </w:r>
    </w:p>
    <w:p w:rsidR="00D27BC6" w:rsidRDefault="004D5071">
      <w:pPr>
        <w:ind w:left="295" w:right="0"/>
      </w:pPr>
      <w:r>
        <w:rPr>
          <w:b/>
        </w:rPr>
        <w:t>Если исходный показатель HbA1c превышает индивидуальный целевой уровень на 1.0–2.5%</w:t>
      </w:r>
      <w:r>
        <w:t xml:space="preserve">, то следует </w:t>
      </w:r>
    </w:p>
    <w:p w:rsidR="00D27BC6" w:rsidRDefault="004D5071">
      <w:pPr>
        <w:ind w:left="-1" w:right="0"/>
      </w:pPr>
      <w:r>
        <w:t>рассмотреть в качестве стартовой терапии комбинацию 2-х сахароснижающих препаратов (в некоторых случаях возможно и 3-х).</w:t>
      </w:r>
    </w:p>
    <w:p w:rsidR="00D27BC6" w:rsidRDefault="004D5071">
      <w:pPr>
        <w:ind w:left="295" w:right="0"/>
      </w:pPr>
      <w:r>
        <w:t>Предпочтительны препараты с низким риском гипогликемий.</w:t>
      </w:r>
    </w:p>
    <w:p w:rsidR="00D27BC6" w:rsidRDefault="004D5071">
      <w:pPr>
        <w:spacing w:after="226"/>
        <w:ind w:left="295" w:right="0"/>
      </w:pPr>
      <w:r>
        <w:t>Эффективным считается темп снижения НbA1c ≥ 1,0% за 6 мес. наблюдения.</w:t>
      </w:r>
    </w:p>
    <w:p w:rsidR="00D27BC6" w:rsidRDefault="004D5071">
      <w:pPr>
        <w:ind w:left="-11" w:right="0" w:firstLine="283"/>
      </w:pPr>
      <w:r>
        <w:rPr>
          <w:b/>
        </w:rPr>
        <w:t>Если исходный показатель HbA1c превышает индивидуальный целевой уровень более чем на 2.5%</w:t>
      </w:r>
      <w:r>
        <w:t xml:space="preserve">, то данная ситуация часто характеризуется наличием выраженной глюкозотоксичности, для уменьшения которой необходимо начинать инсулинотерапию (или комбинацию инсулина </w:t>
      </w:r>
      <w:r>
        <w:t xml:space="preserve">с ПССП), в дальнейшем возможна отмена инсулинотерапии. </w:t>
      </w:r>
    </w:p>
    <w:p w:rsidR="00D27BC6" w:rsidRDefault="004D5071">
      <w:pPr>
        <w:ind w:left="-11" w:right="0" w:firstLine="283"/>
      </w:pPr>
      <w:r>
        <w:t>Если в дебюте заболевания исходный уровень HbA1c превышает индивидуальное значение более чем на 2,5%, но при этом отсутствуют выраженные клинические симптомы метаболической декомпенсации (прогрессирую</w:t>
      </w:r>
      <w:r>
        <w:t xml:space="preserve">щая потеря массы тела, жажда, полиурия и др.), можно начать лечение с альтернативного варианта – комбинации 2 или 3 сахароснижающих препаратов, воздействующих на различные механизмы развития гипергликемии (включая инсулин). </w:t>
      </w:r>
    </w:p>
    <w:p w:rsidR="00D27BC6" w:rsidRDefault="004D5071">
      <w:pPr>
        <w:ind w:left="-11" w:right="0" w:firstLine="283"/>
      </w:pPr>
      <w:r>
        <w:t>ПСМ, инсулин и арГПП-1 могут об</w:t>
      </w:r>
      <w:r>
        <w:t>еспечить быстрый сахароснижающий эффект. иНГЛТ-2 оказывают сахароснижающий эффект независимо от наличия инсулина в крови, однако не должны использоваться при состояниях с выраженной инсулиновой недостаточностью.</w:t>
      </w:r>
    </w:p>
    <w:p w:rsidR="00D27BC6" w:rsidRDefault="004D5071">
      <w:pPr>
        <w:spacing w:after="226"/>
        <w:ind w:left="295" w:right="0"/>
      </w:pPr>
      <w:r>
        <w:t xml:space="preserve">Эффективным считается темп снижения HbA1с ≥ </w:t>
      </w:r>
      <w:r>
        <w:t>1,5% за 6 мес. наблюдения.</w:t>
      </w:r>
    </w:p>
    <w:p w:rsidR="00D27BC6" w:rsidRDefault="004D5071">
      <w:pPr>
        <w:spacing w:after="0" w:line="261" w:lineRule="auto"/>
        <w:ind w:left="10" w:right="6"/>
        <w:jc w:val="center"/>
      </w:pPr>
      <w:r>
        <w:rPr>
          <w:b/>
          <w:sz w:val="18"/>
        </w:rPr>
        <w:t>6.1.5. РАЦИОНАЛЬНЫЕ КОМБИНАЦИИ САХАРОСНИЖАЮЩИХ ПРЕПАРАТОВ</w:t>
      </w:r>
    </w:p>
    <w:tbl>
      <w:tblPr>
        <w:tblStyle w:val="TableGrid"/>
        <w:tblW w:w="10191" w:type="dxa"/>
        <w:tblInd w:w="9" w:type="dxa"/>
        <w:tblCellMar>
          <w:top w:w="15" w:type="dxa"/>
          <w:left w:w="57" w:type="dxa"/>
          <w:bottom w:w="0" w:type="dxa"/>
          <w:right w:w="64" w:type="dxa"/>
        </w:tblCellMar>
        <w:tblLook w:val="04A0" w:firstRow="1" w:lastRow="0" w:firstColumn="1" w:lastColumn="0" w:noHBand="0" w:noVBand="1"/>
      </w:tblPr>
      <w:tblGrid>
        <w:gridCol w:w="2034"/>
        <w:gridCol w:w="1020"/>
        <w:gridCol w:w="1020"/>
        <w:gridCol w:w="1020"/>
        <w:gridCol w:w="1020"/>
        <w:gridCol w:w="1020"/>
        <w:gridCol w:w="1020"/>
        <w:gridCol w:w="1020"/>
        <w:gridCol w:w="1020"/>
      </w:tblGrid>
      <w:tr w:rsidR="00D27BC6">
        <w:trPr>
          <w:trHeight w:val="800"/>
        </w:trPr>
        <w:tc>
          <w:tcPr>
            <w:tcW w:w="203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D27BC6">
            <w:pPr>
              <w:spacing w:after="160" w:line="259" w:lineRule="auto"/>
              <w:ind w:left="0" w:right="0" w:firstLine="0"/>
              <w:jc w:val="left"/>
            </w:pPr>
          </w:p>
        </w:tc>
        <w:tc>
          <w:tcPr>
            <w:tcW w:w="1020"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20" w:right="0" w:firstLine="0"/>
            </w:pPr>
            <w:r>
              <w:rPr>
                <w:b/>
              </w:rPr>
              <w:t>Метформин</w:t>
            </w:r>
          </w:p>
        </w:tc>
        <w:tc>
          <w:tcPr>
            <w:tcW w:w="1020"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7" w:right="0" w:firstLine="0"/>
              <w:jc w:val="center"/>
            </w:pPr>
            <w:r>
              <w:rPr>
                <w:b/>
              </w:rPr>
              <w:t>иДПП-4</w:t>
            </w:r>
          </w:p>
        </w:tc>
        <w:tc>
          <w:tcPr>
            <w:tcW w:w="1020"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ПСМ/ глиниды</w:t>
            </w:r>
          </w:p>
        </w:tc>
        <w:tc>
          <w:tcPr>
            <w:tcW w:w="1020"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7" w:right="0" w:firstLine="0"/>
              <w:jc w:val="center"/>
            </w:pPr>
            <w:r>
              <w:rPr>
                <w:b/>
              </w:rPr>
              <w:t>ТЗД</w:t>
            </w:r>
          </w:p>
        </w:tc>
        <w:tc>
          <w:tcPr>
            <w:tcW w:w="1020"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7" w:right="0" w:firstLine="0"/>
              <w:jc w:val="center"/>
            </w:pPr>
            <w:r>
              <w:rPr>
                <w:b/>
              </w:rPr>
              <w:t>иНГЛТ-2</w:t>
            </w:r>
          </w:p>
        </w:tc>
        <w:tc>
          <w:tcPr>
            <w:tcW w:w="1020"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7" w:right="0" w:firstLine="0"/>
              <w:jc w:val="center"/>
            </w:pPr>
            <w:r>
              <w:rPr>
                <w:b/>
              </w:rPr>
              <w:t xml:space="preserve">арГПП-1 </w:t>
            </w:r>
          </w:p>
          <w:p w:rsidR="00D27BC6" w:rsidRDefault="004D5071">
            <w:pPr>
              <w:spacing w:after="0" w:line="259" w:lineRule="auto"/>
              <w:ind w:left="7" w:right="0" w:firstLine="0"/>
              <w:jc w:val="center"/>
            </w:pPr>
            <w:r>
              <w:rPr>
                <w:b/>
              </w:rPr>
              <w:t xml:space="preserve">(ар ГИП </w:t>
            </w:r>
          </w:p>
          <w:p w:rsidR="00D27BC6" w:rsidRDefault="004D5071">
            <w:pPr>
              <w:spacing w:after="0" w:line="259" w:lineRule="auto"/>
              <w:ind w:left="7" w:right="0" w:firstLine="0"/>
              <w:jc w:val="center"/>
            </w:pPr>
            <w:r>
              <w:rPr>
                <w:b/>
              </w:rPr>
              <w:t>ГПП-1)</w:t>
            </w:r>
          </w:p>
        </w:tc>
        <w:tc>
          <w:tcPr>
            <w:tcW w:w="1020"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Базальный инсулин</w:t>
            </w:r>
            <w:r>
              <w:rPr>
                <w:b/>
                <w:sz w:val="18"/>
                <w:vertAlign w:val="superscript"/>
              </w:rPr>
              <w:footnoteReference w:id="8"/>
            </w:r>
          </w:p>
        </w:tc>
        <w:tc>
          <w:tcPr>
            <w:tcW w:w="1020"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5"/>
              <w:jc w:val="center"/>
            </w:pPr>
            <w:r>
              <w:rPr>
                <w:b/>
              </w:rPr>
              <w:t>Инсулин короткого действия</w:t>
            </w:r>
            <w:r>
              <w:rPr>
                <w:b/>
                <w:sz w:val="18"/>
                <w:vertAlign w:val="superscript"/>
              </w:rPr>
              <w:t>1</w:t>
            </w:r>
          </w:p>
        </w:tc>
      </w:tr>
      <w:tr w:rsidR="00D27BC6">
        <w:trPr>
          <w:trHeight w:val="320"/>
        </w:trPr>
        <w:tc>
          <w:tcPr>
            <w:tcW w:w="203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t>Метформин</w:t>
            </w:r>
          </w:p>
        </w:tc>
        <w:tc>
          <w:tcPr>
            <w:tcW w:w="1020" w:type="dxa"/>
            <w:tcBorders>
              <w:top w:val="single" w:sz="6" w:space="0" w:color="000000"/>
              <w:left w:val="single" w:sz="6" w:space="0" w:color="000000"/>
              <w:bottom w:val="single" w:sz="6" w:space="0" w:color="000000"/>
              <w:right w:val="single" w:sz="6" w:space="0" w:color="000000"/>
            </w:tcBorders>
            <w:shd w:val="clear" w:color="auto" w:fill="9D9C9C"/>
          </w:tcPr>
          <w:p w:rsidR="00D27BC6" w:rsidRDefault="00D27BC6">
            <w:pPr>
              <w:spacing w:after="160" w:line="259" w:lineRule="auto"/>
              <w:ind w:left="0" w:right="0" w:firstLine="0"/>
              <w:jc w:val="left"/>
            </w:pP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r>
      <w:tr w:rsidR="00D27BC6">
        <w:trPr>
          <w:trHeight w:val="320"/>
        </w:trPr>
        <w:tc>
          <w:tcPr>
            <w:tcW w:w="203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t>иДПП-4</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D9C9C"/>
          </w:tcPr>
          <w:p w:rsidR="00D27BC6" w:rsidRDefault="00D27BC6">
            <w:pPr>
              <w:spacing w:after="160" w:line="259" w:lineRule="auto"/>
              <w:ind w:left="0" w:right="0" w:firstLine="0"/>
              <w:jc w:val="left"/>
            </w:pP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8" w:right="0" w:firstLine="0"/>
              <w:jc w:val="center"/>
            </w:pPr>
            <w:r>
              <w:t>НР</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8" w:right="0" w:firstLine="0"/>
              <w:jc w:val="center"/>
            </w:pPr>
            <w:r>
              <w:t>НР</w:t>
            </w:r>
          </w:p>
        </w:tc>
      </w:tr>
      <w:tr w:rsidR="00D27BC6">
        <w:trPr>
          <w:trHeight w:val="320"/>
        </w:trPr>
        <w:tc>
          <w:tcPr>
            <w:tcW w:w="203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t>ПСМ / глиниды</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D9C9C"/>
          </w:tcPr>
          <w:p w:rsidR="00D27BC6" w:rsidRDefault="00D27BC6">
            <w:pPr>
              <w:spacing w:after="160" w:line="259" w:lineRule="auto"/>
              <w:ind w:left="0" w:right="0" w:firstLine="0"/>
              <w:jc w:val="left"/>
            </w:pP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8" w:right="0" w:firstLine="0"/>
              <w:jc w:val="center"/>
            </w:pPr>
            <w:r>
              <w:t>НР</w:t>
            </w:r>
          </w:p>
        </w:tc>
      </w:tr>
      <w:tr w:rsidR="00D27BC6">
        <w:trPr>
          <w:trHeight w:val="320"/>
        </w:trPr>
        <w:tc>
          <w:tcPr>
            <w:tcW w:w="203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1" w:right="0" w:firstLine="0"/>
              <w:jc w:val="left"/>
            </w:pPr>
            <w:r>
              <w:t>ТЗД</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9"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9"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9"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D9C9C"/>
          </w:tcPr>
          <w:p w:rsidR="00D27BC6" w:rsidRDefault="00D27BC6">
            <w:pPr>
              <w:spacing w:after="160" w:line="259" w:lineRule="auto"/>
              <w:ind w:left="0" w:right="0" w:firstLine="0"/>
              <w:jc w:val="left"/>
            </w:pP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9"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9"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r>
              <w:rPr>
                <w:sz w:val="12"/>
                <w:vertAlign w:val="superscript"/>
              </w:rPr>
              <w:footnoteReference w:id="9"/>
            </w:r>
          </w:p>
        </w:tc>
        <w:tc>
          <w:tcPr>
            <w:tcW w:w="1020" w:type="dxa"/>
            <w:tcBorders>
              <w:top w:val="single" w:sz="6" w:space="0" w:color="000000"/>
              <w:left w:val="single" w:sz="6" w:space="0" w:color="000000"/>
              <w:bottom w:val="single" w:sz="6" w:space="0" w:color="000000"/>
              <w:right w:val="single" w:sz="6" w:space="0" w:color="000000"/>
            </w:tcBorders>
            <w:shd w:val="clear" w:color="auto" w:fill="FFED00"/>
          </w:tcPr>
          <w:p w:rsidR="00D27BC6" w:rsidRDefault="004D5071">
            <w:pPr>
              <w:spacing w:after="0" w:line="259" w:lineRule="auto"/>
              <w:ind w:left="7" w:right="0" w:firstLine="0"/>
              <w:jc w:val="center"/>
            </w:pPr>
            <w:r>
              <w:t>НР</w:t>
            </w:r>
            <w:r>
              <w:rPr>
                <w:sz w:val="18"/>
                <w:vertAlign w:val="superscript"/>
              </w:rPr>
              <w:footnoteReference w:id="10"/>
            </w:r>
          </w:p>
        </w:tc>
      </w:tr>
      <w:tr w:rsidR="00D27BC6">
        <w:trPr>
          <w:trHeight w:val="320"/>
        </w:trPr>
        <w:tc>
          <w:tcPr>
            <w:tcW w:w="203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t>иНГЛТ-2</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D9C9C"/>
          </w:tcPr>
          <w:p w:rsidR="00D27BC6" w:rsidRDefault="00D27BC6">
            <w:pPr>
              <w:spacing w:after="160" w:line="259" w:lineRule="auto"/>
              <w:ind w:left="0" w:right="0" w:firstLine="0"/>
              <w:jc w:val="left"/>
            </w:pP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r>
      <w:tr w:rsidR="00D27BC6">
        <w:trPr>
          <w:trHeight w:val="320"/>
        </w:trPr>
        <w:tc>
          <w:tcPr>
            <w:tcW w:w="203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t>арГПП-1 (арГИП / ГПП-1)</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8" w:right="0" w:firstLine="0"/>
              <w:jc w:val="center"/>
            </w:pPr>
            <w:r>
              <w:t>НР</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D9C9C"/>
          </w:tcPr>
          <w:p w:rsidR="00D27BC6" w:rsidRDefault="00D27BC6">
            <w:pPr>
              <w:spacing w:after="160" w:line="259" w:lineRule="auto"/>
              <w:ind w:left="0" w:right="0" w:firstLine="0"/>
              <w:jc w:val="left"/>
            </w:pP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8" w:right="0" w:firstLine="0"/>
              <w:jc w:val="center"/>
            </w:pPr>
            <w:r>
              <w:t>+</w:t>
            </w:r>
          </w:p>
        </w:tc>
      </w:tr>
      <w:tr w:rsidR="00D27BC6">
        <w:trPr>
          <w:trHeight w:val="320"/>
        </w:trPr>
        <w:tc>
          <w:tcPr>
            <w:tcW w:w="203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t>Базальный инсулин</w:t>
            </w:r>
            <w:r>
              <w:rPr>
                <w:sz w:val="18"/>
                <w:vertAlign w:val="superscript"/>
              </w:rPr>
              <w:t>1</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r>
              <w:rPr>
                <w:sz w:val="12"/>
              </w:rPr>
              <w:t>2</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D9C9C"/>
          </w:tcPr>
          <w:p w:rsidR="00D27BC6" w:rsidRDefault="00D27BC6">
            <w:pPr>
              <w:spacing w:after="160" w:line="259" w:lineRule="auto"/>
              <w:ind w:left="0" w:right="0" w:firstLine="0"/>
              <w:jc w:val="left"/>
            </w:pP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r>
      <w:tr w:rsidR="00D27BC6">
        <w:trPr>
          <w:trHeight w:val="320"/>
        </w:trPr>
        <w:tc>
          <w:tcPr>
            <w:tcW w:w="203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t>Инсулин короткого действия</w:t>
            </w:r>
            <w:r>
              <w:rPr>
                <w:sz w:val="18"/>
                <w:vertAlign w:val="superscript"/>
              </w:rPr>
              <w:t>1</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7" w:right="0" w:firstLine="0"/>
              <w:jc w:val="center"/>
            </w:pPr>
            <w:r>
              <w:t>НР</w:t>
            </w:r>
          </w:p>
        </w:tc>
        <w:tc>
          <w:tcPr>
            <w:tcW w:w="1020"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7" w:right="0" w:firstLine="0"/>
              <w:jc w:val="center"/>
            </w:pPr>
            <w:r>
              <w:t>НР</w:t>
            </w:r>
          </w:p>
        </w:tc>
        <w:tc>
          <w:tcPr>
            <w:tcW w:w="1020" w:type="dxa"/>
            <w:tcBorders>
              <w:top w:val="single" w:sz="6" w:space="0" w:color="000000"/>
              <w:left w:val="single" w:sz="6" w:space="0" w:color="000000"/>
              <w:bottom w:val="single" w:sz="6" w:space="0" w:color="000000"/>
              <w:right w:val="single" w:sz="6" w:space="0" w:color="000000"/>
            </w:tcBorders>
            <w:shd w:val="clear" w:color="auto" w:fill="FFED00"/>
          </w:tcPr>
          <w:p w:rsidR="00D27BC6" w:rsidRDefault="004D5071">
            <w:pPr>
              <w:spacing w:after="0" w:line="259" w:lineRule="auto"/>
              <w:ind w:left="7" w:right="0" w:firstLine="0"/>
              <w:jc w:val="center"/>
            </w:pPr>
            <w:r>
              <w:t>НР</w:t>
            </w:r>
            <w:r>
              <w:rPr>
                <w:sz w:val="18"/>
                <w:vertAlign w:val="superscript"/>
              </w:rPr>
              <w:t>3</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7" w:right="0" w:firstLine="0"/>
              <w:jc w:val="center"/>
            </w:pPr>
            <w:r>
              <w:t>+</w:t>
            </w:r>
          </w:p>
        </w:tc>
        <w:tc>
          <w:tcPr>
            <w:tcW w:w="1020" w:type="dxa"/>
            <w:tcBorders>
              <w:top w:val="single" w:sz="6" w:space="0" w:color="000000"/>
              <w:left w:val="single" w:sz="6" w:space="0" w:color="000000"/>
              <w:bottom w:val="single" w:sz="6" w:space="0" w:color="000000"/>
              <w:right w:val="single" w:sz="6" w:space="0" w:color="000000"/>
            </w:tcBorders>
            <w:shd w:val="clear" w:color="auto" w:fill="9D9C9C"/>
          </w:tcPr>
          <w:p w:rsidR="00D27BC6" w:rsidRDefault="00D27BC6">
            <w:pPr>
              <w:spacing w:after="160" w:line="259" w:lineRule="auto"/>
              <w:ind w:left="0" w:right="0" w:firstLine="0"/>
              <w:jc w:val="left"/>
            </w:pPr>
          </w:p>
        </w:tc>
      </w:tr>
    </w:tbl>
    <w:p w:rsidR="00D27BC6" w:rsidRDefault="004D5071">
      <w:pPr>
        <w:spacing w:after="0" w:line="259" w:lineRule="auto"/>
        <w:ind w:left="-3" w:right="0"/>
        <w:jc w:val="left"/>
      </w:pPr>
      <w:r>
        <w:rPr>
          <w:b/>
          <w:sz w:val="16"/>
        </w:rPr>
        <w:t>Примечания:</w:t>
      </w:r>
    </w:p>
    <w:p w:rsidR="00D27BC6" w:rsidRDefault="004D5071">
      <w:pPr>
        <w:spacing w:after="4"/>
        <w:ind w:left="-3" w:right="0"/>
      </w:pPr>
      <w:r>
        <w:rPr>
          <w:sz w:val="16"/>
        </w:rPr>
        <w:t>+ рациональная комбинация; НР нерациональная комбинация.</w:t>
      </w:r>
    </w:p>
    <w:p w:rsidR="00D27BC6" w:rsidRDefault="004D5071">
      <w:pPr>
        <w:spacing w:after="10"/>
        <w:ind w:left="295" w:right="824"/>
        <w:jc w:val="left"/>
      </w:pPr>
      <w:r>
        <w:rPr>
          <w:b/>
          <w:i/>
          <w:u w:val="single" w:color="000000"/>
        </w:rPr>
        <w:t>Комментарий.</w:t>
      </w:r>
      <w:r>
        <w:rPr>
          <w:b/>
          <w:i/>
        </w:rPr>
        <w:t xml:space="preserve"> </w:t>
      </w:r>
    </w:p>
    <w:p w:rsidR="00D27BC6" w:rsidRDefault="004D5071">
      <w:pPr>
        <w:ind w:left="-11" w:right="0" w:firstLine="283"/>
      </w:pPr>
      <w:r>
        <w:t>В каждом случае следует учитывать показания, противопоказания и ограничения в инструкциях конкретных сахароснижающих препаратов.</w:t>
      </w:r>
    </w:p>
    <w:p w:rsidR="00D27BC6" w:rsidRDefault="004D5071">
      <w:pPr>
        <w:ind w:left="-11" w:right="0" w:firstLine="283"/>
      </w:pPr>
      <w:r>
        <w:t>В случае назначения комбинации 3 сахароснижающих препара</w:t>
      </w:r>
      <w:r>
        <w:t>тов следует проверить рациональность сочетания каждого препарата с двумя другими.</w:t>
      </w:r>
    </w:p>
    <w:p w:rsidR="00D27BC6" w:rsidRDefault="004D5071">
      <w:pPr>
        <w:ind w:left="-11" w:right="0" w:firstLine="283"/>
      </w:pPr>
      <w:r>
        <w:t>При необходимости интенсификации лечения очередность назначения сахароснижающих препаратов не регламентируется и должна определяться индивидуально, с учетом рекомендаций по п</w:t>
      </w:r>
      <w:r>
        <w:t>ерсонализации выбора сахароснижающих препаратов (см. раздел 6.1.6).</w:t>
      </w:r>
    </w:p>
    <w:p w:rsidR="00D27BC6" w:rsidRDefault="004D5071">
      <w:pPr>
        <w:ind w:left="-11" w:right="0" w:firstLine="283"/>
      </w:pPr>
      <w:r>
        <w:t>У лиц, получающих в составе комбинированной терапии инсулин, можно продолжить интенсифицировать лечение посредством присоединения других сахароснижающих препаратов (при условии рационально</w:t>
      </w:r>
      <w:r>
        <w:t xml:space="preserve">го сочетания всех средств, используемых в комбинации). </w:t>
      </w:r>
    </w:p>
    <w:p w:rsidR="00D27BC6" w:rsidRDefault="004D5071">
      <w:pPr>
        <w:ind w:left="-11" w:right="0" w:firstLine="283"/>
      </w:pPr>
      <w:r>
        <w:t xml:space="preserve">Большинство пероральных сахароснижающих средств имеют комбинированные формы выпуска, инъекционные сахароснижающие препараты доступны в виде фиксированных комбинаций арГПП-1 и базального инсулина. </w:t>
      </w:r>
    </w:p>
    <w:p w:rsidR="00D27BC6" w:rsidRDefault="004D5071">
      <w:pPr>
        <w:spacing w:after="230"/>
        <w:ind w:left="-11" w:right="0" w:firstLine="283"/>
      </w:pPr>
      <w:r>
        <w:t>Ком</w:t>
      </w:r>
      <w:r>
        <w:t>бинации 2 сахароснижающих препаратов, относящихся к одному классу, (например, 2 ПСМ), являются нерациональными.</w:t>
      </w:r>
    </w:p>
    <w:p w:rsidR="00D27BC6" w:rsidRDefault="004D5071">
      <w:pPr>
        <w:pStyle w:val="Heading2"/>
        <w:ind w:left="-3"/>
      </w:pPr>
      <w:r>
        <w:t>Нерациональные комбинации сахароснижающих препаратов</w:t>
      </w:r>
    </w:p>
    <w:tbl>
      <w:tblPr>
        <w:tblStyle w:val="TableGrid"/>
        <w:tblW w:w="10195" w:type="dxa"/>
        <w:tblInd w:w="12" w:type="dxa"/>
        <w:tblCellMar>
          <w:top w:w="0" w:type="dxa"/>
          <w:left w:w="0" w:type="dxa"/>
          <w:bottom w:w="0" w:type="dxa"/>
          <w:right w:w="115" w:type="dxa"/>
        </w:tblCellMar>
        <w:tblLook w:val="04A0" w:firstRow="1" w:lastRow="0" w:firstColumn="1" w:lastColumn="0" w:noHBand="0" w:noVBand="1"/>
      </w:tblPr>
      <w:tblGrid>
        <w:gridCol w:w="397"/>
        <w:gridCol w:w="9798"/>
      </w:tblGrid>
      <w:tr w:rsidR="00D27BC6">
        <w:trPr>
          <w:trHeight w:val="313"/>
        </w:trPr>
        <w:tc>
          <w:tcPr>
            <w:tcW w:w="397" w:type="dxa"/>
            <w:tcBorders>
              <w:top w:val="single" w:sz="8" w:space="0" w:color="000000"/>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98" w:type="dxa"/>
            <w:tcBorders>
              <w:top w:val="single" w:sz="8" w:space="0" w:color="000000"/>
              <w:left w:val="nil"/>
              <w:bottom w:val="nil"/>
              <w:right w:val="single" w:sz="8" w:space="0" w:color="000000"/>
            </w:tcBorders>
          </w:tcPr>
          <w:p w:rsidR="00D27BC6" w:rsidRDefault="004D5071">
            <w:pPr>
              <w:spacing w:after="0" w:line="259" w:lineRule="auto"/>
              <w:ind w:left="0" w:right="0" w:firstLine="0"/>
              <w:jc w:val="left"/>
            </w:pPr>
            <w:r>
              <w:t>ПСМ + Глинид</w:t>
            </w:r>
          </w:p>
        </w:tc>
      </w:tr>
      <w:tr w:rsidR="00D27BC6">
        <w:trPr>
          <w:trHeight w:val="240"/>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98" w:type="dxa"/>
            <w:tcBorders>
              <w:top w:val="nil"/>
              <w:left w:val="nil"/>
              <w:bottom w:val="nil"/>
              <w:right w:val="single" w:sz="8" w:space="0" w:color="000000"/>
            </w:tcBorders>
          </w:tcPr>
          <w:p w:rsidR="00D27BC6" w:rsidRDefault="004D5071">
            <w:pPr>
              <w:spacing w:after="0" w:line="259" w:lineRule="auto"/>
              <w:ind w:left="0" w:right="0" w:firstLine="0"/>
              <w:jc w:val="left"/>
            </w:pPr>
            <w:r>
              <w:t>арГПП-1 + иДПП-4</w:t>
            </w:r>
          </w:p>
        </w:tc>
      </w:tr>
      <w:tr w:rsidR="00D27BC6">
        <w:trPr>
          <w:trHeight w:val="240"/>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98" w:type="dxa"/>
            <w:tcBorders>
              <w:top w:val="nil"/>
              <w:left w:val="nil"/>
              <w:bottom w:val="nil"/>
              <w:right w:val="single" w:sz="8" w:space="0" w:color="000000"/>
            </w:tcBorders>
          </w:tcPr>
          <w:p w:rsidR="00D27BC6" w:rsidRDefault="004D5071">
            <w:pPr>
              <w:spacing w:after="0" w:line="259" w:lineRule="auto"/>
              <w:ind w:left="0" w:right="0" w:firstLine="0"/>
              <w:jc w:val="left"/>
            </w:pPr>
            <w:r>
              <w:t>Два препарата, относящиеся к одной группе (например, два ПСМ)</w:t>
            </w:r>
          </w:p>
        </w:tc>
      </w:tr>
      <w:tr w:rsidR="00D27BC6">
        <w:trPr>
          <w:trHeight w:val="360"/>
        </w:trPr>
        <w:tc>
          <w:tcPr>
            <w:tcW w:w="397" w:type="dxa"/>
            <w:tcBorders>
              <w:top w:val="nil"/>
              <w:left w:val="single" w:sz="8" w:space="0" w:color="000000"/>
              <w:bottom w:val="single" w:sz="8" w:space="0" w:color="000000"/>
              <w:right w:val="nil"/>
            </w:tcBorders>
          </w:tcPr>
          <w:p w:rsidR="00D27BC6" w:rsidRDefault="004D5071">
            <w:pPr>
              <w:spacing w:after="0" w:line="259" w:lineRule="auto"/>
              <w:ind w:left="113" w:right="0" w:firstLine="0"/>
              <w:jc w:val="left"/>
            </w:pPr>
            <w:r>
              <w:t xml:space="preserve">• </w:t>
            </w:r>
          </w:p>
        </w:tc>
        <w:tc>
          <w:tcPr>
            <w:tcW w:w="9798" w:type="dxa"/>
            <w:tcBorders>
              <w:top w:val="nil"/>
              <w:left w:val="nil"/>
              <w:bottom w:val="single" w:sz="8" w:space="0" w:color="000000"/>
              <w:right w:val="single" w:sz="8" w:space="0" w:color="000000"/>
            </w:tcBorders>
          </w:tcPr>
          <w:p w:rsidR="00D27BC6" w:rsidRDefault="004D5071">
            <w:pPr>
              <w:spacing w:after="0" w:line="259" w:lineRule="auto"/>
              <w:ind w:left="0" w:right="0" w:firstLine="0"/>
              <w:jc w:val="left"/>
            </w:pPr>
            <w:r>
              <w:t>ИКД (ИУКД, ИСБД) + иДПП-4, или Глинид, или ПСМ</w:t>
            </w:r>
          </w:p>
        </w:tc>
      </w:tr>
    </w:tbl>
    <w:p w:rsidR="00D27BC6" w:rsidRDefault="004D5071">
      <w:pPr>
        <w:spacing w:after="242" w:line="261" w:lineRule="auto"/>
        <w:ind w:left="10" w:right="6"/>
        <w:jc w:val="center"/>
      </w:pPr>
      <w:r>
        <w:rPr>
          <w:b/>
          <w:sz w:val="18"/>
        </w:rPr>
        <w:t>6.1.6. ПЕРСОНАЛИЗАЦИЯ ВЫБОРА САХАРОСНИЖАЮЩИХ ПРЕПАРАТОВ</w:t>
      </w:r>
    </w:p>
    <w:p w:rsidR="00D27BC6" w:rsidRDefault="004D5071">
      <w:pPr>
        <w:spacing w:after="214"/>
        <w:ind w:left="-11" w:right="0" w:firstLine="283"/>
      </w:pPr>
      <w:r>
        <w:t>Для выбора оптимальной индивидуальной схемы терапии необходимо руководствоваться алгоритмом выбора предпочтительного сахароснижающего препарата (см. раздел 6.1.6.1) и таблицей по персонализации выбора сахароснижающих препаратов в зависимости от доминирующе</w:t>
      </w:r>
      <w:r>
        <w:t>й клинической проблемы пациента (см. раздел 6.1.6.2), содержащей данные о рекомендованных (приоритетных) и нейтральных классах средств и отдельных препаратах для лечения СД 2 для соответствующих клинических ситуаций, а также имеющихся противопоказаниях и о</w:t>
      </w:r>
      <w:r>
        <w:t>граничениях.</w:t>
      </w:r>
    </w:p>
    <w:p w:rsidR="00D27BC6" w:rsidRDefault="004D5071">
      <w:pPr>
        <w:ind w:left="10" w:right="0"/>
        <w:jc w:val="center"/>
      </w:pPr>
      <w:r>
        <w:rPr>
          <w:b/>
        </w:rPr>
        <w:t>Выбор предпочтительного сахароснижающего препарата в зависимости от доминирующей клинической проблемы</w:t>
      </w:r>
    </w:p>
    <w:p w:rsidR="00D27BC6" w:rsidRDefault="004D5071">
      <w:pPr>
        <w:spacing w:after="392"/>
        <w:ind w:left="242" w:right="215"/>
        <w:jc w:val="center"/>
      </w:pPr>
      <w:r>
        <w:rPr>
          <w:sz w:val="16"/>
        </w:rPr>
        <w:t>Изменение образа жизни, как основа терапии СД 2, а также обучение и мотивация пациента должны начинаться незамедлительно и сопровождать лечен</w:t>
      </w:r>
      <w:r>
        <w:rPr>
          <w:sz w:val="16"/>
        </w:rPr>
        <w:t>ие на всем протяжении заболевания. Метформин может быть использован для инициации у большинства пациентов</w:t>
      </w:r>
    </w:p>
    <w:p w:rsidR="00D27BC6" w:rsidRDefault="004D5071">
      <w:pPr>
        <w:spacing w:after="367" w:line="259" w:lineRule="auto"/>
        <w:ind w:left="17" w:right="0" w:firstLine="0"/>
        <w:jc w:val="center"/>
      </w:pPr>
      <w:r>
        <w:rPr>
          <w:b/>
          <w:bdr w:val="single" w:sz="11" w:space="0" w:color="000000"/>
        </w:rPr>
        <w:t>Определить доминирующую клиническую проблему пациента</w:t>
      </w:r>
    </w:p>
    <w:p w:rsidR="00D27BC6" w:rsidRDefault="004D5071">
      <w:pPr>
        <w:spacing w:after="12"/>
        <w:ind w:left="2832" w:right="2722"/>
        <w:jc w:val="center"/>
      </w:pPr>
      <w:r>
        <w:rPr>
          <w:b/>
        </w:rPr>
        <w:t>У пациента есть указания на высокий риск*  АССЗ, наличие АССЗ, ХБП, ХСН?</w:t>
      </w:r>
    </w:p>
    <w:p w:rsidR="00D27BC6" w:rsidRDefault="004D5071">
      <w:pPr>
        <w:spacing w:after="382" w:line="259" w:lineRule="auto"/>
        <w:ind w:left="0" w:right="1427" w:firstLine="0"/>
        <w:jc w:val="right"/>
      </w:pPr>
      <w:r>
        <w:rPr>
          <w:bdr w:val="single" w:sz="11" w:space="0" w:color="000000"/>
        </w:rPr>
        <w:t>НЕТ</w:t>
      </w:r>
    </w:p>
    <w:p w:rsidR="00D27BC6" w:rsidRDefault="004D5071">
      <w:pPr>
        <w:tabs>
          <w:tab w:val="center" w:pos="956"/>
          <w:tab w:val="center" w:pos="8144"/>
        </w:tabs>
        <w:spacing w:after="157"/>
        <w:ind w:left="0" w:right="0" w:firstLine="0"/>
        <w:jc w:val="left"/>
      </w:pPr>
      <w:r>
        <w:rPr>
          <w:sz w:val="22"/>
        </w:rPr>
        <w:tab/>
      </w:r>
      <w:r>
        <w:t xml:space="preserve">Да, есть указания </w:t>
      </w:r>
      <w:r>
        <w:tab/>
        <w:t xml:space="preserve">Учесть основные клинические </w:t>
      </w:r>
    </w:p>
    <w:p w:rsidR="00D27BC6" w:rsidRDefault="004D5071">
      <w:pPr>
        <w:spacing w:line="297" w:lineRule="auto"/>
        <w:ind w:left="731" w:right="142" w:hanging="541"/>
      </w:pPr>
      <w:r>
        <w:t xml:space="preserve">на высокий риск* </w:t>
      </w:r>
      <w:r>
        <w:tab/>
        <w:t>(индивидуализированный выборхарактеристики пациента ) АССЗ</w:t>
      </w:r>
    </w:p>
    <w:p w:rsidR="00D27BC6" w:rsidRDefault="004D5071">
      <w:pPr>
        <w:spacing w:after="0" w:line="259" w:lineRule="auto"/>
        <w:ind w:left="3597" w:right="0" w:firstLine="0"/>
        <w:jc w:val="center"/>
      </w:pPr>
      <w:r>
        <w:rPr>
          <w:b/>
          <w:sz w:val="16"/>
        </w:rPr>
        <w:t>Дебют заболевания:</w:t>
      </w:r>
    </w:p>
    <w:p w:rsidR="00D27BC6" w:rsidRDefault="004D5071">
      <w:pPr>
        <w:spacing w:after="142" w:line="216" w:lineRule="auto"/>
        <w:ind w:left="6153" w:right="0"/>
        <w:jc w:val="left"/>
      </w:pPr>
      <w:r>
        <w:rPr>
          <w:sz w:val="16"/>
        </w:rPr>
        <w:t>С учетом многофакторного патогенеза комбинированная терапия может быть предпочтительна с дебюта заболевания. Ком</w:t>
      </w:r>
      <w:r>
        <w:rPr>
          <w:sz w:val="16"/>
        </w:rPr>
        <w:t xml:space="preserve">бинация метформин + иДПП-4 имеет </w:t>
      </w:r>
    </w:p>
    <w:p w:rsidR="00D27BC6" w:rsidRDefault="004D5071">
      <w:pPr>
        <w:tabs>
          <w:tab w:val="center" w:pos="1148"/>
          <w:tab w:val="center" w:pos="2978"/>
          <w:tab w:val="center" w:pos="5001"/>
          <w:tab w:val="right" w:pos="10213"/>
        </w:tabs>
        <w:spacing w:after="82" w:line="259" w:lineRule="auto"/>
        <w:ind w:left="0" w:right="0" w:firstLine="0"/>
        <w:jc w:val="left"/>
      </w:pPr>
      <w:r>
        <w:rPr>
          <w:sz w:val="22"/>
        </w:rPr>
        <w:tab/>
      </w:r>
      <w:r>
        <w:t>Да, есть АССЗ</w:t>
      </w:r>
      <w:r>
        <w:tab/>
        <w:t>Да, есть ХБП</w:t>
      </w:r>
      <w:r>
        <w:tab/>
        <w:t>Да, есть ХСН</w:t>
      </w:r>
      <w:r>
        <w:tab/>
      </w:r>
      <w:r>
        <w:rPr>
          <w:sz w:val="16"/>
        </w:rPr>
        <w:t xml:space="preserve">преимущества для долгосрочного гликемического контроля(сохранение инсулиносекретирующей функции). </w:t>
      </w:r>
    </w:p>
    <w:p w:rsidR="00D27BC6" w:rsidRDefault="004D5071">
      <w:pPr>
        <w:spacing w:after="4"/>
        <w:ind w:left="6153" w:right="0"/>
      </w:pPr>
      <w:r>
        <w:rPr>
          <w:sz w:val="16"/>
        </w:rPr>
        <w:t>Возможны другие рациональные комбинации с низким риском гипогликемий (опыт крупных</w:t>
      </w:r>
      <w:r>
        <w:rPr>
          <w:sz w:val="16"/>
        </w:rPr>
        <w:t xml:space="preserve"> РКИ ограничен).</w:t>
      </w:r>
    </w:p>
    <w:p w:rsidR="00D27BC6" w:rsidRDefault="004D5071">
      <w:pPr>
        <w:spacing w:after="28" w:line="329" w:lineRule="auto"/>
        <w:ind w:left="187" w:right="559" w:firstLine="5941"/>
        <w:jc w:val="left"/>
      </w:pPr>
      <w:r>
        <w:rPr>
          <w:noProof/>
          <w:sz w:val="22"/>
        </w:rPr>
        <mc:AlternateContent>
          <mc:Choice Requires="wpg">
            <w:drawing>
              <wp:anchor distT="0" distB="0" distL="114300" distR="114300" simplePos="0" relativeHeight="251661312" behindDoc="1" locked="0" layoutInCell="1" allowOverlap="1">
                <wp:simplePos x="0" y="0"/>
                <wp:positionH relativeFrom="column">
                  <wp:posOffset>12312</wp:posOffset>
                </wp:positionH>
                <wp:positionV relativeFrom="paragraph">
                  <wp:posOffset>-3185388</wp:posOffset>
                </wp:positionV>
                <wp:extent cx="6471006" cy="4292549"/>
                <wp:effectExtent l="0" t="0" r="0" b="0"/>
                <wp:wrapNone/>
                <wp:docPr id="266031" name="Group 266031"/>
                <wp:cNvGraphicFramePr/>
                <a:graphic xmlns:a="http://schemas.openxmlformats.org/drawingml/2006/main">
                  <a:graphicData uri="http://schemas.microsoft.com/office/word/2010/wordprocessingGroup">
                    <wpg:wgp>
                      <wpg:cNvGrpSpPr/>
                      <wpg:grpSpPr>
                        <a:xfrm>
                          <a:off x="0" y="0"/>
                          <a:ext cx="6471006" cy="4292549"/>
                          <a:chOff x="0" y="0"/>
                          <a:chExt cx="6471006" cy="4292549"/>
                        </a:xfrm>
                      </wpg:grpSpPr>
                      <wps:wsp>
                        <wps:cNvPr id="377666" name="Shape 377666"/>
                        <wps:cNvSpPr/>
                        <wps:spPr>
                          <a:xfrm>
                            <a:off x="0" y="0"/>
                            <a:ext cx="6471006" cy="572491"/>
                          </a:xfrm>
                          <a:custGeom>
                            <a:avLst/>
                            <a:gdLst/>
                            <a:ahLst/>
                            <a:cxnLst/>
                            <a:rect l="0" t="0" r="0" b="0"/>
                            <a:pathLst>
                              <a:path w="6471006" h="572491">
                                <a:moveTo>
                                  <a:pt x="0" y="0"/>
                                </a:moveTo>
                                <a:lnTo>
                                  <a:pt x="6471006" y="0"/>
                                </a:lnTo>
                                <a:lnTo>
                                  <a:pt x="6471006" y="572491"/>
                                </a:lnTo>
                                <a:lnTo>
                                  <a:pt x="0" y="572491"/>
                                </a:lnTo>
                                <a:lnTo>
                                  <a:pt x="0" y="0"/>
                                </a:lnTo>
                              </a:path>
                            </a:pathLst>
                          </a:custGeom>
                          <a:ln w="0" cap="flat">
                            <a:miter lim="127000"/>
                          </a:ln>
                        </wps:spPr>
                        <wps:style>
                          <a:lnRef idx="0">
                            <a:srgbClr val="000000">
                              <a:alpha val="0"/>
                            </a:srgbClr>
                          </a:lnRef>
                          <a:fillRef idx="1">
                            <a:srgbClr val="F4D6C9"/>
                          </a:fillRef>
                          <a:effectRef idx="0">
                            <a:scrgbClr r="0" g="0" b="0"/>
                          </a:effectRef>
                          <a:fontRef idx="none"/>
                        </wps:style>
                        <wps:bodyPr/>
                      </wps:wsp>
                      <wps:wsp>
                        <wps:cNvPr id="5782" name="Shape 5782"/>
                        <wps:cNvSpPr/>
                        <wps:spPr>
                          <a:xfrm>
                            <a:off x="0" y="0"/>
                            <a:ext cx="6471006" cy="572491"/>
                          </a:xfrm>
                          <a:custGeom>
                            <a:avLst/>
                            <a:gdLst/>
                            <a:ahLst/>
                            <a:cxnLst/>
                            <a:rect l="0" t="0" r="0" b="0"/>
                            <a:pathLst>
                              <a:path w="6471006" h="572491">
                                <a:moveTo>
                                  <a:pt x="0" y="572491"/>
                                </a:moveTo>
                                <a:lnTo>
                                  <a:pt x="6471006" y="572491"/>
                                </a:lnTo>
                                <a:lnTo>
                                  <a:pt x="6471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667" name="Shape 377667"/>
                        <wps:cNvSpPr/>
                        <wps:spPr>
                          <a:xfrm>
                            <a:off x="1329830" y="772300"/>
                            <a:ext cx="3811334" cy="200546"/>
                          </a:xfrm>
                          <a:custGeom>
                            <a:avLst/>
                            <a:gdLst/>
                            <a:ahLst/>
                            <a:cxnLst/>
                            <a:rect l="0" t="0" r="0" b="0"/>
                            <a:pathLst>
                              <a:path w="3811334" h="200546">
                                <a:moveTo>
                                  <a:pt x="0" y="0"/>
                                </a:moveTo>
                                <a:lnTo>
                                  <a:pt x="3811334" y="0"/>
                                </a:lnTo>
                                <a:lnTo>
                                  <a:pt x="3811334" y="200546"/>
                                </a:lnTo>
                                <a:lnTo>
                                  <a:pt x="0" y="200546"/>
                                </a:lnTo>
                                <a:lnTo>
                                  <a:pt x="0" y="0"/>
                                </a:lnTo>
                              </a:path>
                            </a:pathLst>
                          </a:custGeom>
                          <a:ln w="0" cap="flat">
                            <a:miter lim="100000"/>
                          </a:ln>
                        </wps:spPr>
                        <wps:style>
                          <a:lnRef idx="0">
                            <a:srgbClr val="000000">
                              <a:alpha val="0"/>
                            </a:srgbClr>
                          </a:lnRef>
                          <a:fillRef idx="1">
                            <a:srgbClr val="F4D6C9"/>
                          </a:fillRef>
                          <a:effectRef idx="0">
                            <a:scrgbClr r="0" g="0" b="0"/>
                          </a:effectRef>
                          <a:fontRef idx="none"/>
                        </wps:style>
                        <wps:bodyPr/>
                      </wps:wsp>
                      <wps:wsp>
                        <wps:cNvPr id="5786" name="Shape 5786"/>
                        <wps:cNvSpPr/>
                        <wps:spPr>
                          <a:xfrm>
                            <a:off x="3235506" y="576570"/>
                            <a:ext cx="0" cy="127267"/>
                          </a:xfrm>
                          <a:custGeom>
                            <a:avLst/>
                            <a:gdLst/>
                            <a:ahLst/>
                            <a:cxnLst/>
                            <a:rect l="0" t="0" r="0" b="0"/>
                            <a:pathLst>
                              <a:path h="127267">
                                <a:moveTo>
                                  <a:pt x="0" y="0"/>
                                </a:moveTo>
                                <a:lnTo>
                                  <a:pt x="0" y="12726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5787" name="Shape 5787"/>
                        <wps:cNvSpPr/>
                        <wps:spPr>
                          <a:xfrm>
                            <a:off x="3204949" y="683820"/>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788" name="Shape 5788"/>
                        <wps:cNvSpPr/>
                        <wps:spPr>
                          <a:xfrm>
                            <a:off x="3235506" y="977342"/>
                            <a:ext cx="0" cy="127267"/>
                          </a:xfrm>
                          <a:custGeom>
                            <a:avLst/>
                            <a:gdLst/>
                            <a:ahLst/>
                            <a:cxnLst/>
                            <a:rect l="0" t="0" r="0" b="0"/>
                            <a:pathLst>
                              <a:path h="127267">
                                <a:moveTo>
                                  <a:pt x="0" y="0"/>
                                </a:moveTo>
                                <a:lnTo>
                                  <a:pt x="0" y="12726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5789" name="Shape 5789"/>
                        <wps:cNvSpPr/>
                        <wps:spPr>
                          <a:xfrm>
                            <a:off x="3204949" y="1084592"/>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77668" name="Shape 377668"/>
                        <wps:cNvSpPr/>
                        <wps:spPr>
                          <a:xfrm>
                            <a:off x="1336789" y="1173061"/>
                            <a:ext cx="3799192" cy="328651"/>
                          </a:xfrm>
                          <a:custGeom>
                            <a:avLst/>
                            <a:gdLst/>
                            <a:ahLst/>
                            <a:cxnLst/>
                            <a:rect l="0" t="0" r="0" b="0"/>
                            <a:pathLst>
                              <a:path w="3799192" h="328651">
                                <a:moveTo>
                                  <a:pt x="0" y="0"/>
                                </a:moveTo>
                                <a:lnTo>
                                  <a:pt x="3799192" y="0"/>
                                </a:lnTo>
                                <a:lnTo>
                                  <a:pt x="3799192" y="328651"/>
                                </a:lnTo>
                                <a:lnTo>
                                  <a:pt x="0" y="328651"/>
                                </a:lnTo>
                                <a:lnTo>
                                  <a:pt x="0" y="0"/>
                                </a:lnTo>
                              </a:path>
                            </a:pathLst>
                          </a:custGeom>
                          <a:ln w="0" cap="flat">
                            <a:miter lim="100000"/>
                          </a:ln>
                        </wps:spPr>
                        <wps:style>
                          <a:lnRef idx="0">
                            <a:srgbClr val="000000">
                              <a:alpha val="0"/>
                            </a:srgbClr>
                          </a:lnRef>
                          <a:fillRef idx="1">
                            <a:srgbClr val="FFED00"/>
                          </a:fillRef>
                          <a:effectRef idx="0">
                            <a:scrgbClr r="0" g="0" b="0"/>
                          </a:effectRef>
                          <a:fontRef idx="none"/>
                        </wps:style>
                        <wps:bodyPr/>
                      </wps:wsp>
                      <wps:wsp>
                        <wps:cNvPr id="5793" name="Shape 5793"/>
                        <wps:cNvSpPr/>
                        <wps:spPr>
                          <a:xfrm>
                            <a:off x="1336789" y="1173061"/>
                            <a:ext cx="3799192" cy="328651"/>
                          </a:xfrm>
                          <a:custGeom>
                            <a:avLst/>
                            <a:gdLst/>
                            <a:ahLst/>
                            <a:cxnLst/>
                            <a:rect l="0" t="0" r="0" b="0"/>
                            <a:pathLst>
                              <a:path w="3799192" h="328651">
                                <a:moveTo>
                                  <a:pt x="0" y="328651"/>
                                </a:moveTo>
                                <a:lnTo>
                                  <a:pt x="3799192" y="328651"/>
                                </a:lnTo>
                                <a:lnTo>
                                  <a:pt x="3799192"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669" name="Shape 377669"/>
                        <wps:cNvSpPr/>
                        <wps:spPr>
                          <a:xfrm>
                            <a:off x="0" y="1885569"/>
                            <a:ext cx="1189127" cy="529120"/>
                          </a:xfrm>
                          <a:custGeom>
                            <a:avLst/>
                            <a:gdLst/>
                            <a:ahLst/>
                            <a:cxnLst/>
                            <a:rect l="0" t="0" r="0" b="0"/>
                            <a:pathLst>
                              <a:path w="1189127" h="529120">
                                <a:moveTo>
                                  <a:pt x="0" y="0"/>
                                </a:moveTo>
                                <a:lnTo>
                                  <a:pt x="1189127" y="0"/>
                                </a:lnTo>
                                <a:lnTo>
                                  <a:pt x="1189127" y="529120"/>
                                </a:lnTo>
                                <a:lnTo>
                                  <a:pt x="0" y="529120"/>
                                </a:lnTo>
                                <a:lnTo>
                                  <a:pt x="0" y="0"/>
                                </a:lnTo>
                              </a:path>
                            </a:pathLst>
                          </a:custGeom>
                          <a:ln w="0" cap="flat">
                            <a:miter lim="100000"/>
                          </a:ln>
                        </wps:spPr>
                        <wps:style>
                          <a:lnRef idx="0">
                            <a:srgbClr val="000000">
                              <a:alpha val="0"/>
                            </a:srgbClr>
                          </a:lnRef>
                          <a:fillRef idx="1">
                            <a:srgbClr val="D6DAEB"/>
                          </a:fillRef>
                          <a:effectRef idx="0">
                            <a:scrgbClr r="0" g="0" b="0"/>
                          </a:effectRef>
                          <a:fontRef idx="none"/>
                        </wps:style>
                        <wps:bodyPr/>
                      </wps:wsp>
                      <wps:wsp>
                        <wps:cNvPr id="5798" name="Shape 5798"/>
                        <wps:cNvSpPr/>
                        <wps:spPr>
                          <a:xfrm>
                            <a:off x="0" y="1885569"/>
                            <a:ext cx="1189127" cy="529120"/>
                          </a:xfrm>
                          <a:custGeom>
                            <a:avLst/>
                            <a:gdLst/>
                            <a:ahLst/>
                            <a:cxnLst/>
                            <a:rect l="0" t="0" r="0" b="0"/>
                            <a:pathLst>
                              <a:path w="1189127" h="529120">
                                <a:moveTo>
                                  <a:pt x="0" y="529120"/>
                                </a:moveTo>
                                <a:lnTo>
                                  <a:pt x="1189127" y="529120"/>
                                </a:lnTo>
                                <a:lnTo>
                                  <a:pt x="1189127"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670" name="Shape 377670"/>
                        <wps:cNvSpPr/>
                        <wps:spPr>
                          <a:xfrm>
                            <a:off x="289128" y="2745435"/>
                            <a:ext cx="855002" cy="210401"/>
                          </a:xfrm>
                          <a:custGeom>
                            <a:avLst/>
                            <a:gdLst/>
                            <a:ahLst/>
                            <a:cxnLst/>
                            <a:rect l="0" t="0" r="0" b="0"/>
                            <a:pathLst>
                              <a:path w="855002" h="210401">
                                <a:moveTo>
                                  <a:pt x="0" y="0"/>
                                </a:moveTo>
                                <a:lnTo>
                                  <a:pt x="855002" y="0"/>
                                </a:lnTo>
                                <a:lnTo>
                                  <a:pt x="855002" y="210401"/>
                                </a:lnTo>
                                <a:lnTo>
                                  <a:pt x="0" y="210401"/>
                                </a:lnTo>
                                <a:lnTo>
                                  <a:pt x="0" y="0"/>
                                </a:lnTo>
                              </a:path>
                            </a:pathLst>
                          </a:custGeom>
                          <a:ln w="0" cap="flat">
                            <a:miter lim="100000"/>
                          </a:ln>
                        </wps:spPr>
                        <wps:style>
                          <a:lnRef idx="0">
                            <a:srgbClr val="000000">
                              <a:alpha val="0"/>
                            </a:srgbClr>
                          </a:lnRef>
                          <a:fillRef idx="1">
                            <a:srgbClr val="D6DAEB"/>
                          </a:fillRef>
                          <a:effectRef idx="0">
                            <a:scrgbClr r="0" g="0" b="0"/>
                          </a:effectRef>
                          <a:fontRef idx="none"/>
                        </wps:style>
                        <wps:bodyPr/>
                      </wps:wsp>
                      <wps:wsp>
                        <wps:cNvPr id="5801" name="Shape 5801"/>
                        <wps:cNvSpPr/>
                        <wps:spPr>
                          <a:xfrm>
                            <a:off x="289128" y="2745435"/>
                            <a:ext cx="855002" cy="210401"/>
                          </a:xfrm>
                          <a:custGeom>
                            <a:avLst/>
                            <a:gdLst/>
                            <a:ahLst/>
                            <a:cxnLst/>
                            <a:rect l="0" t="0" r="0" b="0"/>
                            <a:pathLst>
                              <a:path w="855002" h="210401">
                                <a:moveTo>
                                  <a:pt x="0" y="210401"/>
                                </a:moveTo>
                                <a:lnTo>
                                  <a:pt x="855002" y="210401"/>
                                </a:lnTo>
                                <a:lnTo>
                                  <a:pt x="855002"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671" name="Shape 377671"/>
                        <wps:cNvSpPr/>
                        <wps:spPr>
                          <a:xfrm>
                            <a:off x="1451394" y="2745435"/>
                            <a:ext cx="855002" cy="210401"/>
                          </a:xfrm>
                          <a:custGeom>
                            <a:avLst/>
                            <a:gdLst/>
                            <a:ahLst/>
                            <a:cxnLst/>
                            <a:rect l="0" t="0" r="0" b="0"/>
                            <a:pathLst>
                              <a:path w="855002" h="210401">
                                <a:moveTo>
                                  <a:pt x="0" y="0"/>
                                </a:moveTo>
                                <a:lnTo>
                                  <a:pt x="855002" y="0"/>
                                </a:lnTo>
                                <a:lnTo>
                                  <a:pt x="855002" y="210401"/>
                                </a:lnTo>
                                <a:lnTo>
                                  <a:pt x="0" y="210401"/>
                                </a:lnTo>
                                <a:lnTo>
                                  <a:pt x="0" y="0"/>
                                </a:lnTo>
                              </a:path>
                            </a:pathLst>
                          </a:custGeom>
                          <a:ln w="0" cap="flat">
                            <a:miter lim="100000"/>
                          </a:ln>
                        </wps:spPr>
                        <wps:style>
                          <a:lnRef idx="0">
                            <a:srgbClr val="000000">
                              <a:alpha val="0"/>
                            </a:srgbClr>
                          </a:lnRef>
                          <a:fillRef idx="1">
                            <a:srgbClr val="D6DAEB"/>
                          </a:fillRef>
                          <a:effectRef idx="0">
                            <a:scrgbClr r="0" g="0" b="0"/>
                          </a:effectRef>
                          <a:fontRef idx="none"/>
                        </wps:style>
                        <wps:bodyPr/>
                      </wps:wsp>
                      <wps:wsp>
                        <wps:cNvPr id="5804" name="Shape 5804"/>
                        <wps:cNvSpPr/>
                        <wps:spPr>
                          <a:xfrm>
                            <a:off x="1451394" y="2745435"/>
                            <a:ext cx="855002" cy="210401"/>
                          </a:xfrm>
                          <a:custGeom>
                            <a:avLst/>
                            <a:gdLst/>
                            <a:ahLst/>
                            <a:cxnLst/>
                            <a:rect l="0" t="0" r="0" b="0"/>
                            <a:pathLst>
                              <a:path w="855002" h="210401">
                                <a:moveTo>
                                  <a:pt x="0" y="210401"/>
                                </a:moveTo>
                                <a:lnTo>
                                  <a:pt x="855002" y="210401"/>
                                </a:lnTo>
                                <a:lnTo>
                                  <a:pt x="855002"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672" name="Shape 377672"/>
                        <wps:cNvSpPr/>
                        <wps:spPr>
                          <a:xfrm>
                            <a:off x="2735733" y="2745435"/>
                            <a:ext cx="855002" cy="210401"/>
                          </a:xfrm>
                          <a:custGeom>
                            <a:avLst/>
                            <a:gdLst/>
                            <a:ahLst/>
                            <a:cxnLst/>
                            <a:rect l="0" t="0" r="0" b="0"/>
                            <a:pathLst>
                              <a:path w="855002" h="210401">
                                <a:moveTo>
                                  <a:pt x="0" y="0"/>
                                </a:moveTo>
                                <a:lnTo>
                                  <a:pt x="855002" y="0"/>
                                </a:lnTo>
                                <a:lnTo>
                                  <a:pt x="855002" y="210401"/>
                                </a:lnTo>
                                <a:lnTo>
                                  <a:pt x="0" y="210401"/>
                                </a:lnTo>
                                <a:lnTo>
                                  <a:pt x="0" y="0"/>
                                </a:lnTo>
                              </a:path>
                            </a:pathLst>
                          </a:custGeom>
                          <a:ln w="0" cap="flat">
                            <a:miter lim="100000"/>
                          </a:ln>
                        </wps:spPr>
                        <wps:style>
                          <a:lnRef idx="0">
                            <a:srgbClr val="000000">
                              <a:alpha val="0"/>
                            </a:srgbClr>
                          </a:lnRef>
                          <a:fillRef idx="1">
                            <a:srgbClr val="D6DAEB"/>
                          </a:fillRef>
                          <a:effectRef idx="0">
                            <a:scrgbClr r="0" g="0" b="0"/>
                          </a:effectRef>
                          <a:fontRef idx="none"/>
                        </wps:style>
                        <wps:bodyPr/>
                      </wps:wsp>
                      <wps:wsp>
                        <wps:cNvPr id="5807" name="Shape 5807"/>
                        <wps:cNvSpPr/>
                        <wps:spPr>
                          <a:xfrm>
                            <a:off x="2735733" y="2745435"/>
                            <a:ext cx="855002" cy="210401"/>
                          </a:xfrm>
                          <a:custGeom>
                            <a:avLst/>
                            <a:gdLst/>
                            <a:ahLst/>
                            <a:cxnLst/>
                            <a:rect l="0" t="0" r="0" b="0"/>
                            <a:pathLst>
                              <a:path w="855002" h="210401">
                                <a:moveTo>
                                  <a:pt x="0" y="210401"/>
                                </a:moveTo>
                                <a:lnTo>
                                  <a:pt x="855002" y="210401"/>
                                </a:lnTo>
                                <a:lnTo>
                                  <a:pt x="855002"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5808" name="Shape 5808"/>
                        <wps:cNvSpPr/>
                        <wps:spPr>
                          <a:xfrm>
                            <a:off x="3163237" y="2951341"/>
                            <a:ext cx="0" cy="418287"/>
                          </a:xfrm>
                          <a:custGeom>
                            <a:avLst/>
                            <a:gdLst/>
                            <a:ahLst/>
                            <a:cxnLst/>
                            <a:rect l="0" t="0" r="0" b="0"/>
                            <a:pathLst>
                              <a:path h="418287">
                                <a:moveTo>
                                  <a:pt x="0" y="0"/>
                                </a:moveTo>
                                <a:lnTo>
                                  <a:pt x="0" y="41828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5809" name="Shape 5809"/>
                        <wps:cNvSpPr/>
                        <wps:spPr>
                          <a:xfrm>
                            <a:off x="3132681" y="3349619"/>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810" name="Shape 5810"/>
                        <wps:cNvSpPr/>
                        <wps:spPr>
                          <a:xfrm>
                            <a:off x="1878900" y="2952279"/>
                            <a:ext cx="0" cy="417347"/>
                          </a:xfrm>
                          <a:custGeom>
                            <a:avLst/>
                            <a:gdLst/>
                            <a:ahLst/>
                            <a:cxnLst/>
                            <a:rect l="0" t="0" r="0" b="0"/>
                            <a:pathLst>
                              <a:path h="417347">
                                <a:moveTo>
                                  <a:pt x="0" y="0"/>
                                </a:moveTo>
                                <a:lnTo>
                                  <a:pt x="0" y="41734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5811" name="Shape 5811"/>
                        <wps:cNvSpPr/>
                        <wps:spPr>
                          <a:xfrm>
                            <a:off x="1848344" y="3349619"/>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812" name="Shape 5812"/>
                        <wps:cNvSpPr/>
                        <wps:spPr>
                          <a:xfrm>
                            <a:off x="3163237" y="1503059"/>
                            <a:ext cx="0" cy="1173912"/>
                          </a:xfrm>
                          <a:custGeom>
                            <a:avLst/>
                            <a:gdLst/>
                            <a:ahLst/>
                            <a:cxnLst/>
                            <a:rect l="0" t="0" r="0" b="0"/>
                            <a:pathLst>
                              <a:path h="1173912">
                                <a:moveTo>
                                  <a:pt x="0" y="0"/>
                                </a:moveTo>
                                <a:lnTo>
                                  <a:pt x="0" y="1173912"/>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5813" name="Shape 5813"/>
                        <wps:cNvSpPr/>
                        <wps:spPr>
                          <a:xfrm>
                            <a:off x="3132681" y="2656965"/>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814" name="Shape 5814"/>
                        <wps:cNvSpPr/>
                        <wps:spPr>
                          <a:xfrm>
                            <a:off x="1878900" y="1503059"/>
                            <a:ext cx="0" cy="1173912"/>
                          </a:xfrm>
                          <a:custGeom>
                            <a:avLst/>
                            <a:gdLst/>
                            <a:ahLst/>
                            <a:cxnLst/>
                            <a:rect l="0" t="0" r="0" b="0"/>
                            <a:pathLst>
                              <a:path h="1173912">
                                <a:moveTo>
                                  <a:pt x="0" y="0"/>
                                </a:moveTo>
                                <a:lnTo>
                                  <a:pt x="0" y="1173912"/>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5815" name="Shape 5815"/>
                        <wps:cNvSpPr/>
                        <wps:spPr>
                          <a:xfrm>
                            <a:off x="1848344" y="2656965"/>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816" name="Shape 5816"/>
                        <wps:cNvSpPr/>
                        <wps:spPr>
                          <a:xfrm>
                            <a:off x="716638" y="1510260"/>
                            <a:ext cx="701167" cy="1170839"/>
                          </a:xfrm>
                          <a:custGeom>
                            <a:avLst/>
                            <a:gdLst/>
                            <a:ahLst/>
                            <a:cxnLst/>
                            <a:rect l="0" t="0" r="0" b="0"/>
                            <a:pathLst>
                              <a:path w="701167" h="1170839">
                                <a:moveTo>
                                  <a:pt x="701167" y="0"/>
                                </a:moveTo>
                                <a:lnTo>
                                  <a:pt x="701167" y="1015264"/>
                                </a:lnTo>
                                <a:lnTo>
                                  <a:pt x="0" y="1015264"/>
                                </a:lnTo>
                                <a:lnTo>
                                  <a:pt x="0" y="117083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5817" name="Shape 5817"/>
                        <wps:cNvSpPr/>
                        <wps:spPr>
                          <a:xfrm>
                            <a:off x="686083" y="2661087"/>
                            <a:ext cx="61112" cy="83972"/>
                          </a:xfrm>
                          <a:custGeom>
                            <a:avLst/>
                            <a:gdLst/>
                            <a:ahLst/>
                            <a:cxnLst/>
                            <a:rect l="0" t="0" r="0" b="0"/>
                            <a:pathLst>
                              <a:path w="61112" h="83972">
                                <a:moveTo>
                                  <a:pt x="0" y="0"/>
                                </a:moveTo>
                                <a:lnTo>
                                  <a:pt x="30556" y="20015"/>
                                </a:lnTo>
                                <a:lnTo>
                                  <a:pt x="61112"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818" name="Shape 5818"/>
                        <wps:cNvSpPr/>
                        <wps:spPr>
                          <a:xfrm>
                            <a:off x="156864" y="1341092"/>
                            <a:ext cx="1181443" cy="476009"/>
                          </a:xfrm>
                          <a:custGeom>
                            <a:avLst/>
                            <a:gdLst/>
                            <a:ahLst/>
                            <a:cxnLst/>
                            <a:rect l="0" t="0" r="0" b="0"/>
                            <a:pathLst>
                              <a:path w="1181443" h="476009">
                                <a:moveTo>
                                  <a:pt x="1181443" y="0"/>
                                </a:moveTo>
                                <a:lnTo>
                                  <a:pt x="0" y="0"/>
                                </a:lnTo>
                                <a:lnTo>
                                  <a:pt x="0" y="47600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5819" name="Shape 5819"/>
                        <wps:cNvSpPr/>
                        <wps:spPr>
                          <a:xfrm>
                            <a:off x="126303" y="1797087"/>
                            <a:ext cx="61112" cy="83972"/>
                          </a:xfrm>
                          <a:custGeom>
                            <a:avLst/>
                            <a:gdLst/>
                            <a:ahLst/>
                            <a:cxnLst/>
                            <a:rect l="0" t="0" r="0" b="0"/>
                            <a:pathLst>
                              <a:path w="61112" h="83972">
                                <a:moveTo>
                                  <a:pt x="0" y="0"/>
                                </a:moveTo>
                                <a:lnTo>
                                  <a:pt x="30556" y="20015"/>
                                </a:lnTo>
                                <a:lnTo>
                                  <a:pt x="61112"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77673" name="Shape 377673"/>
                        <wps:cNvSpPr/>
                        <wps:spPr>
                          <a:xfrm>
                            <a:off x="5317198" y="1500696"/>
                            <a:ext cx="290043" cy="176250"/>
                          </a:xfrm>
                          <a:custGeom>
                            <a:avLst/>
                            <a:gdLst/>
                            <a:ahLst/>
                            <a:cxnLst/>
                            <a:rect l="0" t="0" r="0" b="0"/>
                            <a:pathLst>
                              <a:path w="290043" h="176250">
                                <a:moveTo>
                                  <a:pt x="0" y="0"/>
                                </a:moveTo>
                                <a:lnTo>
                                  <a:pt x="290043" y="0"/>
                                </a:lnTo>
                                <a:lnTo>
                                  <a:pt x="290043" y="176250"/>
                                </a:lnTo>
                                <a:lnTo>
                                  <a:pt x="0" y="176250"/>
                                </a:lnTo>
                                <a:lnTo>
                                  <a:pt x="0" y="0"/>
                                </a:lnTo>
                              </a:path>
                            </a:pathLst>
                          </a:custGeom>
                          <a:ln w="0" cap="flat">
                            <a:miter lim="100000"/>
                          </a:ln>
                        </wps:spPr>
                        <wps:style>
                          <a:lnRef idx="0">
                            <a:srgbClr val="000000">
                              <a:alpha val="0"/>
                            </a:srgbClr>
                          </a:lnRef>
                          <a:fillRef idx="1">
                            <a:srgbClr val="D6DAEB"/>
                          </a:fillRef>
                          <a:effectRef idx="0">
                            <a:scrgbClr r="0" g="0" b="0"/>
                          </a:effectRef>
                          <a:fontRef idx="none"/>
                        </wps:style>
                        <wps:bodyPr/>
                      </wps:wsp>
                      <wps:wsp>
                        <wps:cNvPr id="5823" name="Shape 5823"/>
                        <wps:cNvSpPr/>
                        <wps:spPr>
                          <a:xfrm>
                            <a:off x="5138397" y="1341092"/>
                            <a:ext cx="323824" cy="94437"/>
                          </a:xfrm>
                          <a:custGeom>
                            <a:avLst/>
                            <a:gdLst/>
                            <a:ahLst/>
                            <a:cxnLst/>
                            <a:rect l="0" t="0" r="0" b="0"/>
                            <a:pathLst>
                              <a:path w="323824" h="94437">
                                <a:moveTo>
                                  <a:pt x="0" y="0"/>
                                </a:moveTo>
                                <a:lnTo>
                                  <a:pt x="323824" y="0"/>
                                </a:lnTo>
                                <a:lnTo>
                                  <a:pt x="323824" y="9443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5824" name="Shape 5824"/>
                        <wps:cNvSpPr/>
                        <wps:spPr>
                          <a:xfrm>
                            <a:off x="5431666" y="1415519"/>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77674" name="Shape 377674"/>
                        <wps:cNvSpPr/>
                        <wps:spPr>
                          <a:xfrm>
                            <a:off x="3847795" y="1875091"/>
                            <a:ext cx="2623211" cy="430250"/>
                          </a:xfrm>
                          <a:custGeom>
                            <a:avLst/>
                            <a:gdLst/>
                            <a:ahLst/>
                            <a:cxnLst/>
                            <a:rect l="0" t="0" r="0" b="0"/>
                            <a:pathLst>
                              <a:path w="2623211" h="430250">
                                <a:moveTo>
                                  <a:pt x="0" y="0"/>
                                </a:moveTo>
                                <a:lnTo>
                                  <a:pt x="2623211" y="0"/>
                                </a:lnTo>
                                <a:lnTo>
                                  <a:pt x="2623211" y="430250"/>
                                </a:lnTo>
                                <a:lnTo>
                                  <a:pt x="0" y="430250"/>
                                </a:lnTo>
                                <a:lnTo>
                                  <a:pt x="0" y="0"/>
                                </a:lnTo>
                              </a:path>
                            </a:pathLst>
                          </a:custGeom>
                          <a:ln w="0" cap="flat">
                            <a:miter lim="100000"/>
                          </a:ln>
                        </wps:spPr>
                        <wps:style>
                          <a:lnRef idx="0">
                            <a:srgbClr val="000000">
                              <a:alpha val="0"/>
                            </a:srgbClr>
                          </a:lnRef>
                          <a:fillRef idx="1">
                            <a:srgbClr val="D6DAEB"/>
                          </a:fillRef>
                          <a:effectRef idx="0">
                            <a:scrgbClr r="0" g="0" b="0"/>
                          </a:effectRef>
                          <a:fontRef idx="none"/>
                        </wps:style>
                        <wps:bodyPr/>
                      </wps:wsp>
                      <wps:wsp>
                        <wps:cNvPr id="5829" name="Shape 5829"/>
                        <wps:cNvSpPr/>
                        <wps:spPr>
                          <a:xfrm>
                            <a:off x="3847795" y="1875091"/>
                            <a:ext cx="2623211" cy="430250"/>
                          </a:xfrm>
                          <a:custGeom>
                            <a:avLst/>
                            <a:gdLst/>
                            <a:ahLst/>
                            <a:cxnLst/>
                            <a:rect l="0" t="0" r="0" b="0"/>
                            <a:pathLst>
                              <a:path w="2623211" h="430250">
                                <a:moveTo>
                                  <a:pt x="0" y="430250"/>
                                </a:moveTo>
                                <a:lnTo>
                                  <a:pt x="2623211" y="430250"/>
                                </a:lnTo>
                                <a:lnTo>
                                  <a:pt x="2623211"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5830" name="Shape 5830"/>
                        <wps:cNvSpPr/>
                        <wps:spPr>
                          <a:xfrm>
                            <a:off x="5462222" y="1681442"/>
                            <a:ext cx="0" cy="134239"/>
                          </a:xfrm>
                          <a:custGeom>
                            <a:avLst/>
                            <a:gdLst/>
                            <a:ahLst/>
                            <a:cxnLst/>
                            <a:rect l="0" t="0" r="0" b="0"/>
                            <a:pathLst>
                              <a:path h="134239">
                                <a:moveTo>
                                  <a:pt x="0" y="0"/>
                                </a:moveTo>
                                <a:lnTo>
                                  <a:pt x="0" y="13423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5831" name="Shape 5831"/>
                        <wps:cNvSpPr/>
                        <wps:spPr>
                          <a:xfrm>
                            <a:off x="5431666" y="1795670"/>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832" name="Shape 5832"/>
                        <wps:cNvSpPr/>
                        <wps:spPr>
                          <a:xfrm>
                            <a:off x="716639" y="2952591"/>
                            <a:ext cx="0" cy="417043"/>
                          </a:xfrm>
                          <a:custGeom>
                            <a:avLst/>
                            <a:gdLst/>
                            <a:ahLst/>
                            <a:cxnLst/>
                            <a:rect l="0" t="0" r="0" b="0"/>
                            <a:pathLst>
                              <a:path h="417043">
                                <a:moveTo>
                                  <a:pt x="0" y="0"/>
                                </a:moveTo>
                                <a:lnTo>
                                  <a:pt x="0" y="417043"/>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5833" name="Shape 5833"/>
                        <wps:cNvSpPr/>
                        <wps:spPr>
                          <a:xfrm>
                            <a:off x="686083" y="3349619"/>
                            <a:ext cx="61112" cy="83972"/>
                          </a:xfrm>
                          <a:custGeom>
                            <a:avLst/>
                            <a:gdLst/>
                            <a:ahLst/>
                            <a:cxnLst/>
                            <a:rect l="0" t="0" r="0" b="0"/>
                            <a:pathLst>
                              <a:path w="61112" h="83972">
                                <a:moveTo>
                                  <a:pt x="0" y="0"/>
                                </a:moveTo>
                                <a:lnTo>
                                  <a:pt x="30556" y="20015"/>
                                </a:lnTo>
                                <a:lnTo>
                                  <a:pt x="61112"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5834" name="Shape 5834"/>
                        <wps:cNvSpPr/>
                        <wps:spPr>
                          <a:xfrm>
                            <a:off x="156859" y="2414792"/>
                            <a:ext cx="0" cy="954837"/>
                          </a:xfrm>
                          <a:custGeom>
                            <a:avLst/>
                            <a:gdLst/>
                            <a:ahLst/>
                            <a:cxnLst/>
                            <a:rect l="0" t="0" r="0" b="0"/>
                            <a:pathLst>
                              <a:path h="954837">
                                <a:moveTo>
                                  <a:pt x="0" y="0"/>
                                </a:moveTo>
                                <a:lnTo>
                                  <a:pt x="0" y="95483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5835" name="Shape 5835"/>
                        <wps:cNvSpPr/>
                        <wps:spPr>
                          <a:xfrm>
                            <a:off x="126303" y="3349619"/>
                            <a:ext cx="61112" cy="83972"/>
                          </a:xfrm>
                          <a:custGeom>
                            <a:avLst/>
                            <a:gdLst/>
                            <a:ahLst/>
                            <a:cxnLst/>
                            <a:rect l="0" t="0" r="0" b="0"/>
                            <a:pathLst>
                              <a:path w="61112" h="83972">
                                <a:moveTo>
                                  <a:pt x="0" y="0"/>
                                </a:moveTo>
                                <a:lnTo>
                                  <a:pt x="30556" y="20015"/>
                                </a:lnTo>
                                <a:lnTo>
                                  <a:pt x="61112"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77675" name="Shape 377675"/>
                        <wps:cNvSpPr/>
                        <wps:spPr>
                          <a:xfrm>
                            <a:off x="0" y="3436290"/>
                            <a:ext cx="1189127" cy="855002"/>
                          </a:xfrm>
                          <a:custGeom>
                            <a:avLst/>
                            <a:gdLst/>
                            <a:ahLst/>
                            <a:cxnLst/>
                            <a:rect l="0" t="0" r="0" b="0"/>
                            <a:pathLst>
                              <a:path w="1189127" h="855002">
                                <a:moveTo>
                                  <a:pt x="0" y="0"/>
                                </a:moveTo>
                                <a:lnTo>
                                  <a:pt x="1189127" y="0"/>
                                </a:lnTo>
                                <a:lnTo>
                                  <a:pt x="1189127" y="855002"/>
                                </a:lnTo>
                                <a:lnTo>
                                  <a:pt x="0" y="855002"/>
                                </a:lnTo>
                                <a:lnTo>
                                  <a:pt x="0" y="0"/>
                                </a:lnTo>
                              </a:path>
                            </a:pathLst>
                          </a:custGeom>
                          <a:ln w="0" cap="flat">
                            <a:miter lim="100000"/>
                          </a:ln>
                        </wps:spPr>
                        <wps:style>
                          <a:lnRef idx="0">
                            <a:srgbClr val="000000">
                              <a:alpha val="0"/>
                            </a:srgbClr>
                          </a:lnRef>
                          <a:fillRef idx="1">
                            <a:srgbClr val="F4D6C9"/>
                          </a:fillRef>
                          <a:effectRef idx="0">
                            <a:scrgbClr r="0" g="0" b="0"/>
                          </a:effectRef>
                          <a:fontRef idx="none"/>
                        </wps:style>
                        <wps:bodyPr/>
                      </wps:wsp>
                      <wps:wsp>
                        <wps:cNvPr id="5844" name="Shape 5844"/>
                        <wps:cNvSpPr/>
                        <wps:spPr>
                          <a:xfrm>
                            <a:off x="0" y="3436290"/>
                            <a:ext cx="1189127" cy="855002"/>
                          </a:xfrm>
                          <a:custGeom>
                            <a:avLst/>
                            <a:gdLst/>
                            <a:ahLst/>
                            <a:cxnLst/>
                            <a:rect l="0" t="0" r="0" b="0"/>
                            <a:pathLst>
                              <a:path w="1189127" h="855002">
                                <a:moveTo>
                                  <a:pt x="0" y="855002"/>
                                </a:moveTo>
                                <a:lnTo>
                                  <a:pt x="1189127" y="855002"/>
                                </a:lnTo>
                                <a:lnTo>
                                  <a:pt x="1189127"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676" name="Shape 377676"/>
                        <wps:cNvSpPr/>
                        <wps:spPr>
                          <a:xfrm>
                            <a:off x="1284338" y="3436290"/>
                            <a:ext cx="1189127" cy="855002"/>
                          </a:xfrm>
                          <a:custGeom>
                            <a:avLst/>
                            <a:gdLst/>
                            <a:ahLst/>
                            <a:cxnLst/>
                            <a:rect l="0" t="0" r="0" b="0"/>
                            <a:pathLst>
                              <a:path w="1189127" h="855002">
                                <a:moveTo>
                                  <a:pt x="0" y="0"/>
                                </a:moveTo>
                                <a:lnTo>
                                  <a:pt x="1189127" y="0"/>
                                </a:lnTo>
                                <a:lnTo>
                                  <a:pt x="1189127" y="855002"/>
                                </a:lnTo>
                                <a:lnTo>
                                  <a:pt x="0" y="855002"/>
                                </a:lnTo>
                                <a:lnTo>
                                  <a:pt x="0" y="0"/>
                                </a:lnTo>
                              </a:path>
                            </a:pathLst>
                          </a:custGeom>
                          <a:ln w="0" cap="flat">
                            <a:miter lim="100000"/>
                          </a:ln>
                        </wps:spPr>
                        <wps:style>
                          <a:lnRef idx="0">
                            <a:srgbClr val="000000">
                              <a:alpha val="0"/>
                            </a:srgbClr>
                          </a:lnRef>
                          <a:fillRef idx="1">
                            <a:srgbClr val="F4D6C9"/>
                          </a:fillRef>
                          <a:effectRef idx="0">
                            <a:scrgbClr r="0" g="0" b="0"/>
                          </a:effectRef>
                          <a:fontRef idx="none"/>
                        </wps:style>
                        <wps:bodyPr/>
                      </wps:wsp>
                      <wps:wsp>
                        <wps:cNvPr id="5850" name="Shape 5850"/>
                        <wps:cNvSpPr/>
                        <wps:spPr>
                          <a:xfrm>
                            <a:off x="1284338" y="3436290"/>
                            <a:ext cx="1189127" cy="855002"/>
                          </a:xfrm>
                          <a:custGeom>
                            <a:avLst/>
                            <a:gdLst/>
                            <a:ahLst/>
                            <a:cxnLst/>
                            <a:rect l="0" t="0" r="0" b="0"/>
                            <a:pathLst>
                              <a:path w="1189127" h="855002">
                                <a:moveTo>
                                  <a:pt x="0" y="855002"/>
                                </a:moveTo>
                                <a:lnTo>
                                  <a:pt x="1189127" y="855002"/>
                                </a:lnTo>
                                <a:lnTo>
                                  <a:pt x="1189127"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677" name="Shape 377677"/>
                        <wps:cNvSpPr/>
                        <wps:spPr>
                          <a:xfrm>
                            <a:off x="2568664" y="3436290"/>
                            <a:ext cx="1189127" cy="855002"/>
                          </a:xfrm>
                          <a:custGeom>
                            <a:avLst/>
                            <a:gdLst/>
                            <a:ahLst/>
                            <a:cxnLst/>
                            <a:rect l="0" t="0" r="0" b="0"/>
                            <a:pathLst>
                              <a:path w="1189127" h="855002">
                                <a:moveTo>
                                  <a:pt x="0" y="0"/>
                                </a:moveTo>
                                <a:lnTo>
                                  <a:pt x="1189127" y="0"/>
                                </a:lnTo>
                                <a:lnTo>
                                  <a:pt x="1189127" y="855002"/>
                                </a:lnTo>
                                <a:lnTo>
                                  <a:pt x="0" y="855002"/>
                                </a:lnTo>
                                <a:lnTo>
                                  <a:pt x="0" y="0"/>
                                </a:lnTo>
                              </a:path>
                            </a:pathLst>
                          </a:custGeom>
                          <a:ln w="0" cap="flat">
                            <a:miter lim="100000"/>
                          </a:ln>
                        </wps:spPr>
                        <wps:style>
                          <a:lnRef idx="0">
                            <a:srgbClr val="000000">
                              <a:alpha val="0"/>
                            </a:srgbClr>
                          </a:lnRef>
                          <a:fillRef idx="1">
                            <a:srgbClr val="F4D6C9"/>
                          </a:fillRef>
                          <a:effectRef idx="0">
                            <a:scrgbClr r="0" g="0" b="0"/>
                          </a:effectRef>
                          <a:fontRef idx="none"/>
                        </wps:style>
                        <wps:bodyPr/>
                      </wps:wsp>
                      <wps:wsp>
                        <wps:cNvPr id="5857" name="Shape 5857"/>
                        <wps:cNvSpPr/>
                        <wps:spPr>
                          <a:xfrm>
                            <a:off x="2568664" y="3436290"/>
                            <a:ext cx="1189127" cy="855002"/>
                          </a:xfrm>
                          <a:custGeom>
                            <a:avLst/>
                            <a:gdLst/>
                            <a:ahLst/>
                            <a:cxnLst/>
                            <a:rect l="0" t="0" r="0" b="0"/>
                            <a:pathLst>
                              <a:path w="1189127" h="855002">
                                <a:moveTo>
                                  <a:pt x="0" y="855002"/>
                                </a:moveTo>
                                <a:lnTo>
                                  <a:pt x="1189127" y="855002"/>
                                </a:lnTo>
                                <a:lnTo>
                                  <a:pt x="1189127"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678" name="Shape 377678"/>
                        <wps:cNvSpPr/>
                        <wps:spPr>
                          <a:xfrm>
                            <a:off x="3847795" y="2305291"/>
                            <a:ext cx="2623211" cy="1987259"/>
                          </a:xfrm>
                          <a:custGeom>
                            <a:avLst/>
                            <a:gdLst/>
                            <a:ahLst/>
                            <a:cxnLst/>
                            <a:rect l="0" t="0" r="0" b="0"/>
                            <a:pathLst>
                              <a:path w="2623211" h="1987259">
                                <a:moveTo>
                                  <a:pt x="0" y="0"/>
                                </a:moveTo>
                                <a:lnTo>
                                  <a:pt x="2623211" y="0"/>
                                </a:lnTo>
                                <a:lnTo>
                                  <a:pt x="2623211" y="1987259"/>
                                </a:lnTo>
                                <a:lnTo>
                                  <a:pt x="0" y="1987259"/>
                                </a:lnTo>
                                <a:lnTo>
                                  <a:pt x="0" y="0"/>
                                </a:lnTo>
                              </a:path>
                            </a:pathLst>
                          </a:custGeom>
                          <a:ln w="0" cap="flat">
                            <a:miter lim="100000"/>
                          </a:ln>
                        </wps:spPr>
                        <wps:style>
                          <a:lnRef idx="0">
                            <a:srgbClr val="000000">
                              <a:alpha val="0"/>
                            </a:srgbClr>
                          </a:lnRef>
                          <a:fillRef idx="1">
                            <a:srgbClr val="F4D6C9"/>
                          </a:fillRef>
                          <a:effectRef idx="0">
                            <a:scrgbClr r="0" g="0" b="0"/>
                          </a:effectRef>
                          <a:fontRef idx="none"/>
                        </wps:style>
                        <wps:bodyPr/>
                      </wps:wsp>
                      <wps:wsp>
                        <wps:cNvPr id="5881" name="Shape 5881"/>
                        <wps:cNvSpPr/>
                        <wps:spPr>
                          <a:xfrm>
                            <a:off x="3847795" y="2305291"/>
                            <a:ext cx="2623211" cy="1987259"/>
                          </a:xfrm>
                          <a:custGeom>
                            <a:avLst/>
                            <a:gdLst/>
                            <a:ahLst/>
                            <a:cxnLst/>
                            <a:rect l="0" t="0" r="0" b="0"/>
                            <a:pathLst>
                              <a:path w="2623211" h="1987259">
                                <a:moveTo>
                                  <a:pt x="0" y="1987259"/>
                                </a:moveTo>
                                <a:lnTo>
                                  <a:pt x="2623211" y="1987259"/>
                                </a:lnTo>
                                <a:lnTo>
                                  <a:pt x="2623211"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266031" style="width:509.528pt;height:337.996pt;position:absolute;z-index:-2147483570;mso-position-horizontal-relative:text;mso-position-horizontal:absolute;margin-left:0.96944pt;mso-position-vertical-relative:text;margin-top:-250.818pt;" coordsize="64710,42925">
                <v:shape id="Shape 377679" style="position:absolute;width:64710;height:5724;left:0;top:0;" coordsize="6471006,572491" path="m0,0l6471006,0l6471006,572491l0,572491l0,0">
                  <v:stroke weight="0pt" endcap="flat" joinstyle="miter" miterlimit="10" on="false" color="#000000" opacity="0"/>
                  <v:fill on="true" color="#f4d6c9"/>
                </v:shape>
                <v:shape id="Shape 5782" style="position:absolute;width:64710;height:5724;left:0;top:0;" coordsize="6471006,572491" path="m0,572491l6471006,572491l6471006,0l0,0x">
                  <v:stroke weight="0.709pt" endcap="flat" joinstyle="miter" miterlimit="4" on="true" color="#000000"/>
                  <v:fill on="false" color="#000000" opacity="0"/>
                </v:shape>
                <v:shape id="Shape 377680" style="position:absolute;width:38113;height:2005;left:13298;top:7723;" coordsize="3811334,200546" path="m0,0l3811334,0l3811334,200546l0,200546l0,0">
                  <v:stroke weight="0pt" endcap="flat" joinstyle="miter" miterlimit="4" on="false" color="#000000" opacity="0"/>
                  <v:fill on="true" color="#f4d6c9"/>
                </v:shape>
                <v:shape id="Shape 5786" style="position:absolute;width:0;height:1272;left:32355;top:5765;" coordsize="0,127267" path="m0,0l0,127267">
                  <v:stroke weight="0.709pt" endcap="flat" joinstyle="miter" miterlimit="4" on="true" color="#000000"/>
                  <v:fill on="false" color="#000000" opacity="0"/>
                </v:shape>
                <v:shape id="Shape 5787" style="position:absolute;width:611;height:839;left:32049;top:6838;" coordsize="61113,83972" path="m0,0l30556,20015l61113,0l30556,83972l0,0x">
                  <v:stroke weight="0pt" endcap="flat" joinstyle="miter" miterlimit="4" on="false" color="#000000" opacity="0"/>
                  <v:fill on="true" color="#000000"/>
                </v:shape>
                <v:shape id="Shape 5788" style="position:absolute;width:0;height:1272;left:32355;top:9773;" coordsize="0,127267" path="m0,0l0,127267">
                  <v:stroke weight="0.709pt" endcap="flat" joinstyle="miter" miterlimit="4" on="true" color="#000000"/>
                  <v:fill on="false" color="#000000" opacity="0"/>
                </v:shape>
                <v:shape id="Shape 5789" style="position:absolute;width:611;height:839;left:32049;top:10845;" coordsize="61113,83972" path="m0,0l30556,20015l61113,0l30556,83972l0,0x">
                  <v:stroke weight="0pt" endcap="flat" joinstyle="miter" miterlimit="4" on="false" color="#000000" opacity="0"/>
                  <v:fill on="true" color="#000000"/>
                </v:shape>
                <v:shape id="Shape 377681" style="position:absolute;width:37991;height:3286;left:13367;top:11730;" coordsize="3799192,328651" path="m0,0l3799192,0l3799192,328651l0,328651l0,0">
                  <v:stroke weight="0pt" endcap="flat" joinstyle="miter" miterlimit="4" on="false" color="#000000" opacity="0"/>
                  <v:fill on="true" color="#ffed00"/>
                </v:shape>
                <v:shape id="Shape 5793" style="position:absolute;width:37991;height:3286;left:13367;top:11730;" coordsize="3799192,328651" path="m0,328651l3799192,328651l3799192,0l0,0x">
                  <v:stroke weight="0.709pt" endcap="flat" joinstyle="miter" miterlimit="4" on="true" color="#000000"/>
                  <v:fill on="false" color="#000000" opacity="0"/>
                </v:shape>
                <v:shape id="Shape 377682" style="position:absolute;width:11891;height:5291;left:0;top:18855;" coordsize="1189127,529120" path="m0,0l1189127,0l1189127,529120l0,529120l0,0">
                  <v:stroke weight="0pt" endcap="flat" joinstyle="miter" miterlimit="4" on="false" color="#000000" opacity="0"/>
                  <v:fill on="true" color="#d6daeb"/>
                </v:shape>
                <v:shape id="Shape 5798" style="position:absolute;width:11891;height:5291;left:0;top:18855;" coordsize="1189127,529120" path="m0,529120l1189127,529120l1189127,0l0,0x">
                  <v:stroke weight="0.709pt" endcap="flat" joinstyle="miter" miterlimit="4" on="true" color="#000000"/>
                  <v:fill on="false" color="#000000" opacity="0"/>
                </v:shape>
                <v:shape id="Shape 377683" style="position:absolute;width:8550;height:2104;left:2891;top:27454;" coordsize="855002,210401" path="m0,0l855002,0l855002,210401l0,210401l0,0">
                  <v:stroke weight="0pt" endcap="flat" joinstyle="miter" miterlimit="4" on="false" color="#000000" opacity="0"/>
                  <v:fill on="true" color="#d6daeb"/>
                </v:shape>
                <v:shape id="Shape 5801" style="position:absolute;width:8550;height:2104;left:2891;top:27454;" coordsize="855002,210401" path="m0,210401l855002,210401l855002,0l0,0x">
                  <v:stroke weight="0.709pt" endcap="flat" joinstyle="miter" miterlimit="4" on="true" color="#000000"/>
                  <v:fill on="false" color="#000000" opacity="0"/>
                </v:shape>
                <v:shape id="Shape 377684" style="position:absolute;width:8550;height:2104;left:14513;top:27454;" coordsize="855002,210401" path="m0,0l855002,0l855002,210401l0,210401l0,0">
                  <v:stroke weight="0pt" endcap="flat" joinstyle="miter" miterlimit="4" on="false" color="#000000" opacity="0"/>
                  <v:fill on="true" color="#d6daeb"/>
                </v:shape>
                <v:shape id="Shape 5804" style="position:absolute;width:8550;height:2104;left:14513;top:27454;" coordsize="855002,210401" path="m0,210401l855002,210401l855002,0l0,0x">
                  <v:stroke weight="0.709pt" endcap="flat" joinstyle="miter" miterlimit="4" on="true" color="#000000"/>
                  <v:fill on="false" color="#000000" opacity="0"/>
                </v:shape>
                <v:shape id="Shape 377685" style="position:absolute;width:8550;height:2104;left:27357;top:27454;" coordsize="855002,210401" path="m0,0l855002,0l855002,210401l0,210401l0,0">
                  <v:stroke weight="0pt" endcap="flat" joinstyle="miter" miterlimit="4" on="false" color="#000000" opacity="0"/>
                  <v:fill on="true" color="#d6daeb"/>
                </v:shape>
                <v:shape id="Shape 5807" style="position:absolute;width:8550;height:2104;left:27357;top:27454;" coordsize="855002,210401" path="m0,210401l855002,210401l855002,0l0,0x">
                  <v:stroke weight="0.709pt" endcap="flat" joinstyle="miter" miterlimit="4" on="true" color="#000000"/>
                  <v:fill on="false" color="#000000" opacity="0"/>
                </v:shape>
                <v:shape id="Shape 5808" style="position:absolute;width:0;height:4182;left:31632;top:29513;" coordsize="0,418287" path="m0,0l0,418287">
                  <v:stroke weight="0.709pt" endcap="flat" joinstyle="miter" miterlimit="4" on="true" color="#000000"/>
                  <v:fill on="false" color="#000000" opacity="0"/>
                </v:shape>
                <v:shape id="Shape 5809" style="position:absolute;width:611;height:839;left:31326;top:33496;" coordsize="61113,83972" path="m0,0l30556,20015l61113,0l30556,83972l0,0x">
                  <v:stroke weight="0pt" endcap="flat" joinstyle="miter" miterlimit="4" on="false" color="#000000" opacity="0"/>
                  <v:fill on="true" color="#000000"/>
                </v:shape>
                <v:shape id="Shape 5810" style="position:absolute;width:0;height:4173;left:18789;top:29522;" coordsize="0,417347" path="m0,0l0,417347">
                  <v:stroke weight="0.709pt" endcap="flat" joinstyle="miter" miterlimit="4" on="true" color="#000000"/>
                  <v:fill on="false" color="#000000" opacity="0"/>
                </v:shape>
                <v:shape id="Shape 5811" style="position:absolute;width:611;height:839;left:18483;top:33496;" coordsize="61113,83972" path="m0,0l30556,20015l61113,0l30556,83972l0,0x">
                  <v:stroke weight="0pt" endcap="flat" joinstyle="miter" miterlimit="4" on="false" color="#000000" opacity="0"/>
                  <v:fill on="true" color="#000000"/>
                </v:shape>
                <v:shape id="Shape 5812" style="position:absolute;width:0;height:11739;left:31632;top:15030;" coordsize="0,1173912" path="m0,0l0,1173912">
                  <v:stroke weight="0.709pt" endcap="flat" joinstyle="miter" miterlimit="4" on="true" color="#000000"/>
                  <v:fill on="false" color="#000000" opacity="0"/>
                </v:shape>
                <v:shape id="Shape 5813" style="position:absolute;width:611;height:839;left:31326;top:26569;" coordsize="61113,83972" path="m0,0l30556,20015l61113,0l30556,83972l0,0x">
                  <v:stroke weight="0pt" endcap="flat" joinstyle="miter" miterlimit="4" on="false" color="#000000" opacity="0"/>
                  <v:fill on="true" color="#000000"/>
                </v:shape>
                <v:shape id="Shape 5814" style="position:absolute;width:0;height:11739;left:18789;top:15030;" coordsize="0,1173912" path="m0,0l0,1173912">
                  <v:stroke weight="0.709pt" endcap="flat" joinstyle="miter" miterlimit="4" on="true" color="#000000"/>
                  <v:fill on="false" color="#000000" opacity="0"/>
                </v:shape>
                <v:shape id="Shape 5815" style="position:absolute;width:611;height:839;left:18483;top:26569;" coordsize="61113,83972" path="m0,0l30556,20015l61113,0l30556,83972l0,0x">
                  <v:stroke weight="0pt" endcap="flat" joinstyle="miter" miterlimit="4" on="false" color="#000000" opacity="0"/>
                  <v:fill on="true" color="#000000"/>
                </v:shape>
                <v:shape id="Shape 5816" style="position:absolute;width:7011;height:11708;left:7166;top:15102;" coordsize="701167,1170839" path="m701167,0l701167,1015264l0,1015264l0,1170839">
                  <v:stroke weight="0.709pt" endcap="flat" joinstyle="miter" miterlimit="4" on="true" color="#000000"/>
                  <v:fill on="false" color="#000000" opacity="0"/>
                </v:shape>
                <v:shape id="Shape 5817" style="position:absolute;width:611;height:839;left:6860;top:26610;" coordsize="61112,83972" path="m0,0l30556,20015l61112,0l30556,83972l0,0x">
                  <v:stroke weight="0pt" endcap="flat" joinstyle="miter" miterlimit="4" on="false" color="#000000" opacity="0"/>
                  <v:fill on="true" color="#000000"/>
                </v:shape>
                <v:shape id="Shape 5818" style="position:absolute;width:11814;height:4760;left:1568;top:13410;" coordsize="1181443,476009" path="m1181443,0l0,0l0,476009">
                  <v:stroke weight="0.709pt" endcap="flat" joinstyle="miter" miterlimit="4" on="true" color="#000000"/>
                  <v:fill on="false" color="#000000" opacity="0"/>
                </v:shape>
                <v:shape id="Shape 5819" style="position:absolute;width:611;height:839;left:1263;top:17970;" coordsize="61112,83972" path="m0,0l30556,20015l61112,0l30556,83972l0,0x">
                  <v:stroke weight="0pt" endcap="flat" joinstyle="miter" miterlimit="4" on="false" color="#000000" opacity="0"/>
                  <v:fill on="true" color="#000000"/>
                </v:shape>
                <v:shape id="Shape 377686" style="position:absolute;width:2900;height:1762;left:53171;top:15006;" coordsize="290043,176250" path="m0,0l290043,0l290043,176250l0,176250l0,0">
                  <v:stroke weight="0pt" endcap="flat" joinstyle="miter" miterlimit="4" on="false" color="#000000" opacity="0"/>
                  <v:fill on="true" color="#d6daeb"/>
                </v:shape>
                <v:shape id="Shape 5823" style="position:absolute;width:3238;height:944;left:51383;top:13410;" coordsize="323824,94437" path="m0,0l323824,0l323824,94437">
                  <v:stroke weight="0.709pt" endcap="flat" joinstyle="miter" miterlimit="4" on="true" color="#000000"/>
                  <v:fill on="false" color="#000000" opacity="0"/>
                </v:shape>
                <v:shape id="Shape 5824" style="position:absolute;width:611;height:839;left:54316;top:14155;" coordsize="61113,83972" path="m0,0l30556,20015l61113,0l30556,83972l0,0x">
                  <v:stroke weight="0pt" endcap="flat" joinstyle="miter" miterlimit="4" on="false" color="#000000" opacity="0"/>
                  <v:fill on="true" color="#000000"/>
                </v:shape>
                <v:shape id="Shape 377687" style="position:absolute;width:26232;height:4302;left:38477;top:18750;" coordsize="2623211,430250" path="m0,0l2623211,0l2623211,430250l0,430250l0,0">
                  <v:stroke weight="0pt" endcap="flat" joinstyle="miter" miterlimit="4" on="false" color="#000000" opacity="0"/>
                  <v:fill on="true" color="#d6daeb"/>
                </v:shape>
                <v:shape id="Shape 5829" style="position:absolute;width:26232;height:4302;left:38477;top:18750;" coordsize="2623211,430250" path="m0,430250l2623211,430250l2623211,0l0,0x">
                  <v:stroke weight="0.709pt" endcap="flat" joinstyle="miter" miterlimit="4" on="true" color="#000000"/>
                  <v:fill on="false" color="#000000" opacity="0"/>
                </v:shape>
                <v:shape id="Shape 5830" style="position:absolute;width:0;height:1342;left:54622;top:16814;" coordsize="0,134239" path="m0,0l0,134239">
                  <v:stroke weight="0.709pt" endcap="flat" joinstyle="miter" miterlimit="4" on="true" color="#000000"/>
                  <v:fill on="false" color="#000000" opacity="0"/>
                </v:shape>
                <v:shape id="Shape 5831" style="position:absolute;width:611;height:839;left:54316;top:17956;" coordsize="61113,83972" path="m0,0l30556,20015l61113,0l30556,83972l0,0x">
                  <v:stroke weight="0pt" endcap="flat" joinstyle="miter" miterlimit="4" on="false" color="#000000" opacity="0"/>
                  <v:fill on="true" color="#000000"/>
                </v:shape>
                <v:shape id="Shape 5832" style="position:absolute;width:0;height:4170;left:7166;top:29525;" coordsize="0,417043" path="m0,0l0,417043">
                  <v:stroke weight="0.709pt" endcap="flat" joinstyle="miter" miterlimit="4" on="true" color="#000000"/>
                  <v:fill on="false" color="#000000" opacity="0"/>
                </v:shape>
                <v:shape id="Shape 5833" style="position:absolute;width:611;height:839;left:6860;top:33496;" coordsize="61112,83972" path="m0,0l30556,20015l61112,0l30556,83972l0,0x">
                  <v:stroke weight="0pt" endcap="flat" joinstyle="miter" miterlimit="4" on="false" color="#000000" opacity="0"/>
                  <v:fill on="true" color="#000000"/>
                </v:shape>
                <v:shape id="Shape 5834" style="position:absolute;width:0;height:9548;left:1568;top:24147;" coordsize="0,954837" path="m0,0l0,954837">
                  <v:stroke weight="0.709pt" endcap="flat" joinstyle="miter" miterlimit="4" on="true" color="#000000"/>
                  <v:fill on="false" color="#000000" opacity="0"/>
                </v:shape>
                <v:shape id="Shape 5835" style="position:absolute;width:611;height:839;left:1263;top:33496;" coordsize="61112,83972" path="m0,0l30556,20015l61112,0l30556,83972l0,0x">
                  <v:stroke weight="0pt" endcap="flat" joinstyle="miter" miterlimit="4" on="false" color="#000000" opacity="0"/>
                  <v:fill on="true" color="#000000"/>
                </v:shape>
                <v:shape id="Shape 377688" style="position:absolute;width:11891;height:8550;left:0;top:34362;" coordsize="1189127,855002" path="m0,0l1189127,0l1189127,855002l0,855002l0,0">
                  <v:stroke weight="0pt" endcap="flat" joinstyle="miter" miterlimit="4" on="false" color="#000000" opacity="0"/>
                  <v:fill on="true" color="#f4d6c9"/>
                </v:shape>
                <v:shape id="Shape 5844" style="position:absolute;width:11891;height:8550;left:0;top:34362;" coordsize="1189127,855002" path="m0,855002l1189127,855002l1189127,0l0,0x">
                  <v:stroke weight="0.709pt" endcap="flat" joinstyle="miter" miterlimit="4" on="true" color="#000000"/>
                  <v:fill on="false" color="#000000" opacity="0"/>
                </v:shape>
                <v:shape id="Shape 377689" style="position:absolute;width:11891;height:8550;left:12843;top:34362;" coordsize="1189127,855002" path="m0,0l1189127,0l1189127,855002l0,855002l0,0">
                  <v:stroke weight="0pt" endcap="flat" joinstyle="miter" miterlimit="4" on="false" color="#000000" opacity="0"/>
                  <v:fill on="true" color="#f4d6c9"/>
                </v:shape>
                <v:shape id="Shape 5850" style="position:absolute;width:11891;height:8550;left:12843;top:34362;" coordsize="1189127,855002" path="m0,855002l1189127,855002l1189127,0l0,0x">
                  <v:stroke weight="0.709pt" endcap="flat" joinstyle="miter" miterlimit="4" on="true" color="#000000"/>
                  <v:fill on="false" color="#000000" opacity="0"/>
                </v:shape>
                <v:shape id="Shape 377690" style="position:absolute;width:11891;height:8550;left:25686;top:34362;" coordsize="1189127,855002" path="m0,0l1189127,0l1189127,855002l0,855002l0,0">
                  <v:stroke weight="0pt" endcap="flat" joinstyle="miter" miterlimit="4" on="false" color="#000000" opacity="0"/>
                  <v:fill on="true" color="#f4d6c9"/>
                </v:shape>
                <v:shape id="Shape 5857" style="position:absolute;width:11891;height:8550;left:25686;top:34362;" coordsize="1189127,855002" path="m0,855002l1189127,855002l1189127,0l0,0x">
                  <v:stroke weight="0.709pt" endcap="flat" joinstyle="miter" miterlimit="4" on="true" color="#000000"/>
                  <v:fill on="false" color="#000000" opacity="0"/>
                </v:shape>
                <v:shape id="Shape 377691" style="position:absolute;width:26232;height:19872;left:38477;top:23052;" coordsize="2623211,1987259" path="m0,0l2623211,0l2623211,1987259l0,1987259l0,0">
                  <v:stroke weight="0pt" endcap="flat" joinstyle="miter" miterlimit="4" on="false" color="#000000" opacity="0"/>
                  <v:fill on="true" color="#f4d6c9"/>
                </v:shape>
                <v:shape id="Shape 5881" style="position:absolute;width:26232;height:19872;left:38477;top:23052;" coordsize="2623211,1987259" path="m0,1987259l2623211,1987259l2623211,0l0,0x">
                  <v:stroke weight="0.709pt" endcap="flat" joinstyle="miter" miterlimit="4" on="true" color="#000000"/>
                  <v:fill on="false" color="#000000" opacity="0"/>
                </v:shape>
              </v:group>
            </w:pict>
          </mc:Fallback>
        </mc:AlternateContent>
      </w:r>
      <w:r>
        <w:rPr>
          <w:b/>
          <w:sz w:val="16"/>
        </w:rPr>
        <w:t xml:space="preserve">Ожирение: </w:t>
      </w:r>
      <w:r>
        <w:rPr>
          <w:sz w:val="16"/>
        </w:rPr>
        <w:t xml:space="preserve">Предпочтительны:  арГПП-1/ГИП &gt; арГПП-1 &gt; иНГЛТ-2 &gt; метформин </w:t>
      </w:r>
      <w:r>
        <w:rPr>
          <w:b/>
          <w:sz w:val="16"/>
        </w:rPr>
        <w:t xml:space="preserve">иНГЛТ-2 или арГПП-1 </w:t>
      </w:r>
      <w:r>
        <w:rPr>
          <w:b/>
          <w:sz w:val="16"/>
        </w:rPr>
        <w:tab/>
        <w:t xml:space="preserve">иНГЛТ-2 или арГПП-1 </w:t>
      </w:r>
      <w:r>
        <w:rPr>
          <w:b/>
          <w:sz w:val="16"/>
        </w:rPr>
        <w:tab/>
        <w:t xml:space="preserve">иНГЛТ-2  </w:t>
      </w:r>
      <w:r>
        <w:rPr>
          <w:b/>
          <w:sz w:val="16"/>
        </w:rPr>
        <w:tab/>
      </w:r>
      <w:r>
        <w:rPr>
          <w:sz w:val="16"/>
        </w:rPr>
        <w:t>Нейтральны: иДПП-4</w:t>
      </w:r>
      <w:r>
        <w:rPr>
          <w:b/>
          <w:sz w:val="16"/>
        </w:rPr>
        <w:t xml:space="preserve">Высокий риск гипогликемий: </w:t>
      </w:r>
      <w:r>
        <w:rPr>
          <w:sz w:val="16"/>
        </w:rPr>
        <w:t xml:space="preserve">Предпочтительны: </w:t>
      </w:r>
    </w:p>
    <w:p w:rsidR="00D27BC6" w:rsidRDefault="004D5071">
      <w:pPr>
        <w:tabs>
          <w:tab w:val="center" w:pos="956"/>
          <w:tab w:val="center" w:pos="2978"/>
          <w:tab w:val="center" w:pos="5001"/>
          <w:tab w:val="center" w:pos="7973"/>
        </w:tabs>
        <w:spacing w:after="39"/>
        <w:ind w:left="0" w:right="0" w:firstLine="0"/>
        <w:jc w:val="left"/>
      </w:pPr>
      <w:r>
        <w:rPr>
          <w:sz w:val="22"/>
        </w:rPr>
        <w:tab/>
      </w:r>
      <w:r>
        <w:rPr>
          <w:b/>
          <w:sz w:val="16"/>
        </w:rPr>
        <w:t xml:space="preserve">с доказанными </w:t>
      </w:r>
      <w:r>
        <w:rPr>
          <w:b/>
          <w:sz w:val="16"/>
        </w:rPr>
        <w:tab/>
        <w:t xml:space="preserve">с доказанными </w:t>
      </w:r>
      <w:r>
        <w:rPr>
          <w:b/>
          <w:sz w:val="16"/>
        </w:rPr>
        <w:tab/>
        <w:t xml:space="preserve">с доказанными </w:t>
      </w:r>
      <w:r>
        <w:rPr>
          <w:b/>
          <w:sz w:val="16"/>
        </w:rPr>
        <w:tab/>
      </w:r>
      <w:r>
        <w:rPr>
          <w:sz w:val="16"/>
        </w:rPr>
        <w:t xml:space="preserve">метформин, иДПП-4, арГПП-1, арГПП-1/ГИП, иНГЛТ-2, </w:t>
      </w:r>
    </w:p>
    <w:p w:rsidR="00D27BC6" w:rsidRDefault="004D5071">
      <w:pPr>
        <w:tabs>
          <w:tab w:val="center" w:pos="956"/>
          <w:tab w:val="center" w:pos="2978"/>
          <w:tab w:val="center" w:pos="5001"/>
          <w:tab w:val="center" w:pos="6581"/>
        </w:tabs>
        <w:spacing w:after="54" w:line="259" w:lineRule="auto"/>
        <w:ind w:left="0" w:right="0" w:firstLine="0"/>
        <w:jc w:val="left"/>
      </w:pPr>
      <w:r>
        <w:rPr>
          <w:sz w:val="22"/>
        </w:rPr>
        <w:tab/>
      </w:r>
      <w:r>
        <w:rPr>
          <w:b/>
          <w:sz w:val="16"/>
        </w:rPr>
        <w:t xml:space="preserve">преимуществами </w:t>
      </w:r>
      <w:r>
        <w:rPr>
          <w:b/>
          <w:sz w:val="16"/>
        </w:rPr>
        <w:tab/>
        <w:t xml:space="preserve">преимуществами </w:t>
      </w:r>
      <w:r>
        <w:rPr>
          <w:b/>
          <w:sz w:val="16"/>
        </w:rPr>
        <w:tab/>
        <w:t xml:space="preserve">преимуществами </w:t>
      </w:r>
      <w:r>
        <w:rPr>
          <w:b/>
          <w:sz w:val="16"/>
        </w:rPr>
        <w:tab/>
      </w:r>
      <w:r>
        <w:rPr>
          <w:sz w:val="16"/>
        </w:rPr>
        <w:t>пиоглитазон</w:t>
      </w:r>
    </w:p>
    <w:p w:rsidR="00D27BC6" w:rsidRDefault="004D5071">
      <w:pPr>
        <w:spacing w:after="4"/>
        <w:ind w:left="565" w:right="0" w:hanging="419"/>
      </w:pPr>
      <w:r>
        <w:rPr>
          <w:b/>
          <w:sz w:val="16"/>
        </w:rPr>
        <w:t>в данной популяции**</w:t>
      </w:r>
      <w:r>
        <w:rPr>
          <w:b/>
          <w:sz w:val="16"/>
        </w:rPr>
        <w:tab/>
        <w:t>в данной популяции**</w:t>
      </w:r>
      <w:r>
        <w:rPr>
          <w:b/>
          <w:sz w:val="16"/>
        </w:rPr>
        <w:tab/>
        <w:t xml:space="preserve">в данной  </w:t>
      </w:r>
      <w:r>
        <w:rPr>
          <w:b/>
          <w:sz w:val="16"/>
        </w:rPr>
        <w:tab/>
        <w:t xml:space="preserve">НАЖБП: </w:t>
      </w:r>
      <w:r>
        <w:rPr>
          <w:sz w:val="16"/>
        </w:rPr>
        <w:t xml:space="preserve">Предпочтительны пиоглитазон, арГПП-1, возможные </w:t>
      </w:r>
      <w:r>
        <w:rPr>
          <w:sz w:val="16"/>
        </w:rPr>
        <w:tab/>
      </w:r>
      <w:r>
        <w:rPr>
          <w:b/>
          <w:sz w:val="16"/>
        </w:rPr>
        <w:t>популяции**</w:t>
      </w:r>
      <w:r>
        <w:rPr>
          <w:b/>
          <w:sz w:val="16"/>
        </w:rPr>
        <w:tab/>
      </w:r>
      <w:r>
        <w:rPr>
          <w:sz w:val="16"/>
        </w:rPr>
        <w:t>арГПП-1/ГИП, иНГЛТ-2</w:t>
      </w:r>
    </w:p>
    <w:p w:rsidR="00D27BC6" w:rsidRDefault="004D5071">
      <w:pPr>
        <w:tabs>
          <w:tab w:val="center" w:pos="956"/>
          <w:tab w:val="center" w:pos="7701"/>
        </w:tabs>
        <w:spacing w:after="4"/>
        <w:ind w:left="0" w:right="0" w:firstLine="0"/>
        <w:jc w:val="left"/>
      </w:pPr>
      <w:r>
        <w:rPr>
          <w:sz w:val="22"/>
        </w:rPr>
        <w:tab/>
      </w:r>
      <w:r>
        <w:rPr>
          <w:sz w:val="16"/>
        </w:rPr>
        <w:t>п</w:t>
      </w:r>
      <w:r>
        <w:rPr>
          <w:sz w:val="16"/>
        </w:rPr>
        <w:t xml:space="preserve">реимущества у лиц </w:t>
      </w:r>
      <w:r>
        <w:rPr>
          <w:sz w:val="16"/>
        </w:rPr>
        <w:tab/>
      </w:r>
      <w:r>
        <w:rPr>
          <w:b/>
          <w:sz w:val="16"/>
        </w:rPr>
        <w:t xml:space="preserve">Пожилой возраст: </w:t>
      </w:r>
      <w:r>
        <w:rPr>
          <w:sz w:val="16"/>
        </w:rPr>
        <w:t xml:space="preserve">благоприятный профиль </w:t>
      </w:r>
    </w:p>
    <w:p w:rsidR="00D27BC6" w:rsidRDefault="004D5071">
      <w:pPr>
        <w:tabs>
          <w:tab w:val="center" w:pos="6902"/>
        </w:tabs>
        <w:spacing w:after="79"/>
        <w:ind w:left="0" w:right="0" w:firstLine="0"/>
        <w:jc w:val="left"/>
      </w:pPr>
      <w:r>
        <w:rPr>
          <w:sz w:val="16"/>
        </w:rPr>
        <w:t>с АССЗ имеет пиоглитазон</w:t>
      </w:r>
      <w:r>
        <w:rPr>
          <w:sz w:val="16"/>
        </w:rPr>
        <w:tab/>
        <w:t>безопасности иДПП-4</w:t>
      </w:r>
    </w:p>
    <w:p w:rsidR="00D27BC6" w:rsidRDefault="004D5071">
      <w:pPr>
        <w:spacing w:after="4"/>
        <w:ind w:left="-3" w:right="0"/>
      </w:pPr>
      <w:r>
        <w:rPr>
          <w:sz w:val="16"/>
        </w:rPr>
        <w:t>* SCORE-2 Diabetes &gt; 20%</w:t>
      </w:r>
    </w:p>
    <w:p w:rsidR="00D27BC6" w:rsidRDefault="004D5071">
      <w:pPr>
        <w:spacing w:after="4"/>
        <w:ind w:left="-3" w:right="0"/>
      </w:pPr>
      <w:r>
        <w:rPr>
          <w:sz w:val="16"/>
        </w:rPr>
        <w:t>** См. таблицу «Персонализация выбора сахароснижающих препаратов в зависимости от доминирующей клинической проблемы пациента».</w:t>
      </w:r>
    </w:p>
    <w:p w:rsidR="00D27BC6" w:rsidRDefault="004D5071">
      <w:pPr>
        <w:ind w:left="10" w:right="0"/>
        <w:jc w:val="center"/>
      </w:pPr>
      <w:r>
        <w:rPr>
          <w:b/>
        </w:rPr>
        <w:t>6.1.6.2. Персонализация выбора сахароснижающих препаратов в зависимости от доминирующей клинической проблемы пациента</w:t>
      </w:r>
    </w:p>
    <w:tbl>
      <w:tblPr>
        <w:tblStyle w:val="TableGrid"/>
        <w:tblW w:w="10195" w:type="dxa"/>
        <w:tblInd w:w="9" w:type="dxa"/>
        <w:tblCellMar>
          <w:top w:w="9" w:type="dxa"/>
          <w:left w:w="56" w:type="dxa"/>
          <w:bottom w:w="0" w:type="dxa"/>
          <w:right w:w="17" w:type="dxa"/>
        </w:tblCellMar>
        <w:tblLook w:val="04A0" w:firstRow="1" w:lastRow="0" w:firstColumn="1" w:lastColumn="0" w:noHBand="0" w:noVBand="1"/>
      </w:tblPr>
      <w:tblGrid>
        <w:gridCol w:w="3398"/>
        <w:gridCol w:w="3398"/>
        <w:gridCol w:w="3398"/>
      </w:tblGrid>
      <w:tr w:rsidR="00D27BC6">
        <w:trPr>
          <w:trHeight w:val="320"/>
        </w:trPr>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35" w:firstLine="0"/>
              <w:jc w:val="center"/>
            </w:pPr>
            <w:r>
              <w:rPr>
                <w:b/>
              </w:rPr>
              <w:t>Рекомендованы (приоритет)</w:t>
            </w:r>
          </w:p>
        </w:tc>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35" w:firstLine="0"/>
              <w:jc w:val="center"/>
            </w:pPr>
            <w:r>
              <w:rPr>
                <w:b/>
              </w:rPr>
              <w:t>Безопасны / нейтральны</w:t>
            </w:r>
          </w:p>
        </w:tc>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35" w:firstLine="0"/>
              <w:jc w:val="center"/>
            </w:pPr>
            <w:r>
              <w:rPr>
                <w:b/>
              </w:rPr>
              <w:t>Ограничения</w:t>
            </w:r>
          </w:p>
        </w:tc>
      </w:tr>
      <w:tr w:rsidR="00D27BC6">
        <w:trPr>
          <w:trHeight w:val="560"/>
        </w:trPr>
        <w:tc>
          <w:tcPr>
            <w:tcW w:w="6796" w:type="dxa"/>
            <w:gridSpan w:val="2"/>
            <w:tcBorders>
              <w:top w:val="single" w:sz="6" w:space="0" w:color="000000"/>
              <w:left w:val="single" w:sz="6" w:space="0" w:color="000000"/>
              <w:bottom w:val="single" w:sz="6" w:space="0" w:color="000000"/>
              <w:right w:val="nil"/>
            </w:tcBorders>
            <w:shd w:val="clear" w:color="auto" w:fill="ECECEC"/>
          </w:tcPr>
          <w:p w:rsidR="00D27BC6" w:rsidRDefault="004D5071">
            <w:pPr>
              <w:spacing w:after="0" w:line="259" w:lineRule="auto"/>
              <w:ind w:left="3287" w:right="0" w:firstLine="0"/>
              <w:jc w:val="center"/>
            </w:pPr>
            <w:r>
              <w:rPr>
                <w:b/>
              </w:rPr>
              <w:t xml:space="preserve">Указания на высокий риск АССЗ </w:t>
            </w:r>
            <w:r>
              <w:t>(</w:t>
            </w:r>
            <w:r>
              <w:rPr>
                <w:i/>
              </w:rPr>
              <w:t>&gt;10% по SCORE-2 Diabetes)</w:t>
            </w:r>
          </w:p>
        </w:tc>
        <w:tc>
          <w:tcPr>
            <w:tcW w:w="3398" w:type="dxa"/>
            <w:tcBorders>
              <w:top w:val="single" w:sz="6" w:space="0" w:color="000000"/>
              <w:left w:val="nil"/>
              <w:bottom w:val="single" w:sz="6" w:space="0" w:color="000000"/>
              <w:right w:val="single" w:sz="6" w:space="0" w:color="000000"/>
            </w:tcBorders>
            <w:shd w:val="clear" w:color="auto" w:fill="ECECEC"/>
          </w:tcPr>
          <w:p w:rsidR="00D27BC6" w:rsidRDefault="00D27BC6">
            <w:pPr>
              <w:spacing w:after="160" w:line="259" w:lineRule="auto"/>
              <w:ind w:left="0" w:right="0" w:firstLine="0"/>
              <w:jc w:val="left"/>
            </w:pPr>
          </w:p>
        </w:tc>
      </w:tr>
      <w:tr w:rsidR="00D27BC6">
        <w:trPr>
          <w:trHeight w:val="2087"/>
        </w:trPr>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98" w:line="236" w:lineRule="auto"/>
              <w:ind w:left="170" w:right="0" w:hanging="170"/>
              <w:jc w:val="left"/>
            </w:pPr>
            <w:r>
              <w:t xml:space="preserve">- </w:t>
            </w:r>
            <w:r>
              <w:t xml:space="preserve">эффективны в качестве первичной профилактики </w:t>
            </w:r>
          </w:p>
          <w:p w:rsidR="00D27BC6" w:rsidRDefault="004D5071">
            <w:pPr>
              <w:spacing w:after="225" w:line="259" w:lineRule="auto"/>
              <w:ind w:left="0" w:right="0" w:firstLine="0"/>
              <w:jc w:val="left"/>
            </w:pPr>
            <w:r>
              <w:t>• арГПП-1</w:t>
            </w:r>
            <w:r>
              <w:rPr>
                <w:sz w:val="18"/>
                <w:vertAlign w:val="superscript"/>
              </w:rPr>
              <w:t>1</w:t>
            </w:r>
            <w:r>
              <w:t xml:space="preserve"> </w:t>
            </w:r>
          </w:p>
          <w:p w:rsidR="00D27BC6" w:rsidRDefault="004D5071">
            <w:pPr>
              <w:spacing w:after="92" w:line="236" w:lineRule="auto"/>
              <w:ind w:left="170" w:right="0" w:hanging="170"/>
              <w:jc w:val="left"/>
            </w:pPr>
            <w:r>
              <w:t>- обладают дополнительными преимуществами</w:t>
            </w:r>
          </w:p>
          <w:p w:rsidR="00D27BC6" w:rsidRDefault="004D5071">
            <w:pPr>
              <w:spacing w:after="0" w:line="259" w:lineRule="auto"/>
              <w:ind w:left="0" w:right="0" w:firstLine="0"/>
              <w:jc w:val="left"/>
            </w:pPr>
            <w:r>
              <w:t>• иНГЛТ-2</w:t>
            </w:r>
            <w:r>
              <w:rPr>
                <w:sz w:val="18"/>
                <w:vertAlign w:val="superscript"/>
              </w:rPr>
              <w:t>1</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34"/>
              </w:numPr>
              <w:spacing w:after="90" w:line="259" w:lineRule="auto"/>
              <w:ind w:right="0" w:hanging="170"/>
              <w:jc w:val="left"/>
            </w:pPr>
            <w:r>
              <w:t>метформин</w:t>
            </w:r>
          </w:p>
          <w:p w:rsidR="00D27BC6" w:rsidRDefault="004D5071">
            <w:pPr>
              <w:numPr>
                <w:ilvl w:val="0"/>
                <w:numId w:val="234"/>
              </w:numPr>
              <w:spacing w:after="90" w:line="259" w:lineRule="auto"/>
              <w:ind w:right="0" w:hanging="170"/>
              <w:jc w:val="left"/>
            </w:pPr>
            <w:r>
              <w:t>ПСМ</w:t>
            </w:r>
          </w:p>
          <w:p w:rsidR="00D27BC6" w:rsidRDefault="004D5071">
            <w:pPr>
              <w:numPr>
                <w:ilvl w:val="0"/>
                <w:numId w:val="234"/>
              </w:numPr>
              <w:spacing w:after="90" w:line="259" w:lineRule="auto"/>
              <w:ind w:right="0" w:hanging="170"/>
              <w:jc w:val="left"/>
            </w:pPr>
            <w:r>
              <w:t>иДПП-4</w:t>
            </w:r>
          </w:p>
          <w:p w:rsidR="00D27BC6" w:rsidRDefault="004D5071">
            <w:pPr>
              <w:numPr>
                <w:ilvl w:val="0"/>
                <w:numId w:val="234"/>
              </w:numPr>
              <w:spacing w:after="90" w:line="259" w:lineRule="auto"/>
              <w:ind w:right="0" w:hanging="170"/>
              <w:jc w:val="left"/>
            </w:pPr>
            <w:r>
              <w:t>пиоглитазон</w:t>
            </w:r>
          </w:p>
          <w:p w:rsidR="00D27BC6" w:rsidRDefault="004D5071">
            <w:pPr>
              <w:numPr>
                <w:ilvl w:val="0"/>
                <w:numId w:val="234"/>
              </w:numPr>
              <w:spacing w:after="90" w:line="259" w:lineRule="auto"/>
              <w:ind w:right="0" w:hanging="170"/>
              <w:jc w:val="left"/>
            </w:pPr>
            <w:r>
              <w:t>инсулины</w:t>
            </w:r>
          </w:p>
          <w:p w:rsidR="00D27BC6" w:rsidRDefault="004D5071">
            <w:pPr>
              <w:numPr>
                <w:ilvl w:val="0"/>
                <w:numId w:val="234"/>
              </w:numPr>
              <w:spacing w:after="0" w:line="259" w:lineRule="auto"/>
              <w:ind w:right="0" w:hanging="170"/>
              <w:jc w:val="left"/>
            </w:pPr>
            <w:r>
              <w:t>арГИП/ГПП-1</w:t>
            </w:r>
          </w:p>
        </w:tc>
        <w:tc>
          <w:tcPr>
            <w:tcW w:w="3398"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320"/>
        </w:trPr>
        <w:tc>
          <w:tcPr>
            <w:tcW w:w="6796" w:type="dxa"/>
            <w:gridSpan w:val="2"/>
            <w:tcBorders>
              <w:top w:val="single" w:sz="6" w:space="0" w:color="000000"/>
              <w:left w:val="single" w:sz="6" w:space="0" w:color="000000"/>
              <w:bottom w:val="single" w:sz="6" w:space="0" w:color="000000"/>
              <w:right w:val="nil"/>
            </w:tcBorders>
            <w:shd w:val="clear" w:color="auto" w:fill="ECECEC"/>
          </w:tcPr>
          <w:p w:rsidR="00D27BC6" w:rsidRDefault="004D5071">
            <w:pPr>
              <w:spacing w:after="0" w:line="259" w:lineRule="auto"/>
              <w:ind w:left="3363" w:right="0" w:firstLine="0"/>
              <w:jc w:val="center"/>
            </w:pPr>
            <w:r>
              <w:rPr>
                <w:b/>
              </w:rPr>
              <w:t>АССЗ</w:t>
            </w:r>
            <w:r>
              <w:rPr>
                <w:b/>
                <w:sz w:val="18"/>
                <w:vertAlign w:val="superscript"/>
              </w:rPr>
              <w:t>2</w:t>
            </w:r>
          </w:p>
        </w:tc>
        <w:tc>
          <w:tcPr>
            <w:tcW w:w="3398" w:type="dxa"/>
            <w:tcBorders>
              <w:top w:val="single" w:sz="6" w:space="0" w:color="000000"/>
              <w:left w:val="nil"/>
              <w:bottom w:val="single" w:sz="6" w:space="0" w:color="000000"/>
              <w:right w:val="single" w:sz="6" w:space="0" w:color="000000"/>
            </w:tcBorders>
            <w:shd w:val="clear" w:color="auto" w:fill="ECECEC"/>
          </w:tcPr>
          <w:p w:rsidR="00D27BC6" w:rsidRDefault="00D27BC6">
            <w:pPr>
              <w:spacing w:after="160" w:line="259" w:lineRule="auto"/>
              <w:ind w:left="0" w:right="0" w:firstLine="0"/>
              <w:jc w:val="left"/>
            </w:pPr>
          </w:p>
        </w:tc>
      </w:tr>
      <w:tr w:rsidR="00D27BC6">
        <w:trPr>
          <w:trHeight w:val="2087"/>
        </w:trPr>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35"/>
              </w:numPr>
              <w:spacing w:after="0" w:line="259" w:lineRule="auto"/>
              <w:ind w:right="0" w:hanging="170"/>
              <w:jc w:val="left"/>
            </w:pPr>
            <w:r>
              <w:t xml:space="preserve">арГПП-1 </w:t>
            </w:r>
          </w:p>
          <w:p w:rsidR="00D27BC6" w:rsidRDefault="004D5071">
            <w:pPr>
              <w:spacing w:after="92" w:line="236" w:lineRule="auto"/>
              <w:ind w:left="170" w:right="0" w:firstLine="0"/>
              <w:jc w:val="left"/>
            </w:pPr>
            <w:r>
              <w:t xml:space="preserve">(лираглутид, семаглутид, дулаглутид) </w:t>
            </w:r>
          </w:p>
          <w:p w:rsidR="00D27BC6" w:rsidRDefault="004D5071">
            <w:pPr>
              <w:numPr>
                <w:ilvl w:val="0"/>
                <w:numId w:val="235"/>
              </w:numPr>
              <w:spacing w:after="102" w:line="259" w:lineRule="auto"/>
              <w:ind w:right="0" w:hanging="170"/>
              <w:jc w:val="left"/>
            </w:pPr>
            <w:r>
              <w:t>иНГЛТ-2</w:t>
            </w:r>
            <w:r>
              <w:rPr>
                <w:sz w:val="18"/>
                <w:vertAlign w:val="superscript"/>
              </w:rPr>
              <w:t>3</w:t>
            </w:r>
          </w:p>
          <w:p w:rsidR="00D27BC6" w:rsidRDefault="004D5071">
            <w:pPr>
              <w:numPr>
                <w:ilvl w:val="0"/>
                <w:numId w:val="235"/>
              </w:numPr>
              <w:spacing w:after="0" w:line="259" w:lineRule="auto"/>
              <w:ind w:right="0" w:hanging="170"/>
              <w:jc w:val="left"/>
            </w:pPr>
            <w:r>
              <w:t>Пиоглитазон</w:t>
            </w:r>
            <w:r>
              <w:rPr>
                <w:sz w:val="18"/>
                <w:vertAlign w:val="superscript"/>
              </w:rPr>
              <w:t>4</w:t>
            </w:r>
            <w:r>
              <w:t xml:space="preserve"> (потенциально имеет преимущества)</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36"/>
              </w:numPr>
              <w:spacing w:after="90" w:line="259" w:lineRule="auto"/>
              <w:ind w:right="0" w:hanging="170"/>
              <w:jc w:val="left"/>
            </w:pPr>
            <w:r>
              <w:t>метформин</w:t>
            </w:r>
          </w:p>
          <w:p w:rsidR="00D27BC6" w:rsidRDefault="004D5071">
            <w:pPr>
              <w:numPr>
                <w:ilvl w:val="0"/>
                <w:numId w:val="236"/>
              </w:numPr>
              <w:spacing w:after="90" w:line="259" w:lineRule="auto"/>
              <w:ind w:right="0" w:hanging="170"/>
              <w:jc w:val="left"/>
            </w:pPr>
            <w:r>
              <w:t>ПСМ</w:t>
            </w:r>
          </w:p>
          <w:p w:rsidR="00D27BC6" w:rsidRDefault="004D5071">
            <w:pPr>
              <w:numPr>
                <w:ilvl w:val="0"/>
                <w:numId w:val="236"/>
              </w:numPr>
              <w:spacing w:after="90" w:line="259" w:lineRule="auto"/>
              <w:ind w:right="0" w:hanging="170"/>
              <w:jc w:val="left"/>
            </w:pPr>
            <w:r>
              <w:t>иДПП-4</w:t>
            </w:r>
          </w:p>
          <w:p w:rsidR="00D27BC6" w:rsidRDefault="004D5071">
            <w:pPr>
              <w:numPr>
                <w:ilvl w:val="0"/>
                <w:numId w:val="236"/>
              </w:numPr>
              <w:spacing w:after="90" w:line="259" w:lineRule="auto"/>
              <w:ind w:right="0" w:hanging="170"/>
              <w:jc w:val="left"/>
            </w:pPr>
            <w:r>
              <w:t>арГПП-1</w:t>
            </w:r>
          </w:p>
          <w:p w:rsidR="00D27BC6" w:rsidRDefault="004D5071">
            <w:pPr>
              <w:numPr>
                <w:ilvl w:val="0"/>
                <w:numId w:val="236"/>
              </w:numPr>
              <w:spacing w:after="90" w:line="259" w:lineRule="auto"/>
              <w:ind w:right="0" w:hanging="170"/>
              <w:jc w:val="left"/>
            </w:pPr>
            <w:r>
              <w:t>арГИП/ГПП-1</w:t>
            </w:r>
          </w:p>
          <w:p w:rsidR="00D27BC6" w:rsidRDefault="004D5071">
            <w:pPr>
              <w:numPr>
                <w:ilvl w:val="0"/>
                <w:numId w:val="236"/>
              </w:numPr>
              <w:spacing w:after="0" w:line="259" w:lineRule="auto"/>
              <w:ind w:right="0" w:hanging="170"/>
              <w:jc w:val="left"/>
            </w:pPr>
            <w:r>
              <w:t>инсулины</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ПСМ (глибенкламид)</w:t>
            </w:r>
          </w:p>
        </w:tc>
      </w:tr>
      <w:tr w:rsidR="00D27BC6">
        <w:trPr>
          <w:trHeight w:val="320"/>
        </w:trPr>
        <w:tc>
          <w:tcPr>
            <w:tcW w:w="6796" w:type="dxa"/>
            <w:gridSpan w:val="2"/>
            <w:tcBorders>
              <w:top w:val="single" w:sz="6" w:space="0" w:color="000000"/>
              <w:left w:val="single" w:sz="6" w:space="0" w:color="000000"/>
              <w:bottom w:val="single" w:sz="6" w:space="0" w:color="000000"/>
              <w:right w:val="nil"/>
            </w:tcBorders>
            <w:shd w:val="clear" w:color="auto" w:fill="ECECEC"/>
          </w:tcPr>
          <w:p w:rsidR="00D27BC6" w:rsidRDefault="004D5071">
            <w:pPr>
              <w:spacing w:after="0" w:line="259" w:lineRule="auto"/>
              <w:ind w:left="3363" w:right="0" w:firstLine="0"/>
              <w:jc w:val="center"/>
            </w:pPr>
            <w:r>
              <w:rPr>
                <w:b/>
              </w:rPr>
              <w:t>ХСН</w:t>
            </w:r>
          </w:p>
        </w:tc>
        <w:tc>
          <w:tcPr>
            <w:tcW w:w="3398" w:type="dxa"/>
            <w:tcBorders>
              <w:top w:val="single" w:sz="6" w:space="0" w:color="000000"/>
              <w:left w:val="nil"/>
              <w:bottom w:val="single" w:sz="6" w:space="0" w:color="000000"/>
              <w:right w:val="single" w:sz="6" w:space="0" w:color="000000"/>
            </w:tcBorders>
            <w:shd w:val="clear" w:color="auto" w:fill="ECECEC"/>
          </w:tcPr>
          <w:p w:rsidR="00D27BC6" w:rsidRDefault="00D27BC6">
            <w:pPr>
              <w:spacing w:after="160" w:line="259" w:lineRule="auto"/>
              <w:ind w:left="0" w:right="0" w:firstLine="0"/>
              <w:jc w:val="left"/>
            </w:pPr>
          </w:p>
        </w:tc>
      </w:tr>
      <w:tr w:rsidR="00D27BC6">
        <w:trPr>
          <w:trHeight w:val="2327"/>
        </w:trPr>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37"/>
              </w:numPr>
              <w:spacing w:after="159" w:line="225" w:lineRule="auto"/>
              <w:ind w:right="463" w:hanging="170"/>
            </w:pPr>
            <w:r>
              <w:t xml:space="preserve">иНГЛТ-2 с подтвержденными преимуществами в соответствующей популяции </w:t>
            </w:r>
            <w:r>
              <w:rPr>
                <w:sz w:val="18"/>
                <w:vertAlign w:val="superscript"/>
              </w:rPr>
              <w:t>5</w:t>
            </w:r>
          </w:p>
          <w:p w:rsidR="00D27BC6" w:rsidRDefault="004D5071">
            <w:pPr>
              <w:numPr>
                <w:ilvl w:val="0"/>
                <w:numId w:val="237"/>
              </w:numPr>
              <w:spacing w:after="0" w:line="236" w:lineRule="auto"/>
              <w:ind w:right="463" w:hanging="170"/>
            </w:pPr>
            <w:r>
              <w:t xml:space="preserve">(наибольшая доказанность при любой ФВ: дапаглифлозин, </w:t>
            </w:r>
          </w:p>
          <w:p w:rsidR="00D27BC6" w:rsidRDefault="004D5071">
            <w:pPr>
              <w:spacing w:after="0" w:line="259" w:lineRule="auto"/>
              <w:ind w:left="170" w:right="0" w:firstLine="0"/>
              <w:jc w:val="left"/>
            </w:pPr>
            <w:r>
              <w:t>эмпаглифлозин)</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38"/>
              </w:numPr>
              <w:spacing w:after="90" w:line="259" w:lineRule="auto"/>
              <w:ind w:right="0" w:hanging="170"/>
              <w:jc w:val="left"/>
            </w:pPr>
            <w:r>
              <w:t>метформин</w:t>
            </w:r>
          </w:p>
          <w:p w:rsidR="00D27BC6" w:rsidRDefault="004D5071">
            <w:pPr>
              <w:numPr>
                <w:ilvl w:val="0"/>
                <w:numId w:val="238"/>
              </w:numPr>
              <w:spacing w:after="113" w:line="236" w:lineRule="auto"/>
              <w:ind w:right="0" w:hanging="170"/>
              <w:jc w:val="left"/>
            </w:pPr>
            <w:r>
              <w:t>ПСМ (осторожность при выраженной декомпенсации)</w:t>
            </w:r>
          </w:p>
          <w:p w:rsidR="00D27BC6" w:rsidRDefault="004D5071">
            <w:pPr>
              <w:numPr>
                <w:ilvl w:val="0"/>
                <w:numId w:val="238"/>
              </w:numPr>
              <w:spacing w:after="90" w:line="259" w:lineRule="auto"/>
              <w:ind w:right="0" w:hanging="170"/>
              <w:jc w:val="left"/>
            </w:pPr>
            <w:r>
              <w:t>иДПП-4</w:t>
            </w:r>
          </w:p>
          <w:p w:rsidR="00D27BC6" w:rsidRDefault="004D5071">
            <w:pPr>
              <w:numPr>
                <w:ilvl w:val="0"/>
                <w:numId w:val="238"/>
              </w:numPr>
              <w:spacing w:after="90" w:line="259" w:lineRule="auto"/>
              <w:ind w:right="0" w:hanging="170"/>
              <w:jc w:val="left"/>
            </w:pPr>
            <w:r>
              <w:t>арГПП-1</w:t>
            </w:r>
          </w:p>
          <w:p w:rsidR="00D27BC6" w:rsidRDefault="004D5071">
            <w:pPr>
              <w:numPr>
                <w:ilvl w:val="0"/>
                <w:numId w:val="238"/>
              </w:numPr>
              <w:spacing w:after="90" w:line="259" w:lineRule="auto"/>
              <w:ind w:right="0" w:hanging="170"/>
              <w:jc w:val="left"/>
            </w:pPr>
            <w:r>
              <w:t>арГИП/ГПП-1</w:t>
            </w:r>
          </w:p>
          <w:p w:rsidR="00D27BC6" w:rsidRDefault="004D5071">
            <w:pPr>
              <w:numPr>
                <w:ilvl w:val="0"/>
                <w:numId w:val="238"/>
              </w:numPr>
              <w:spacing w:after="0" w:line="259" w:lineRule="auto"/>
              <w:ind w:right="0" w:hanging="170"/>
              <w:jc w:val="left"/>
            </w:pPr>
            <w:r>
              <w:t>инсулины осторожность на старте)</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39"/>
              </w:numPr>
              <w:spacing w:after="0" w:line="259" w:lineRule="auto"/>
              <w:ind w:right="0" w:hanging="170"/>
              <w:jc w:val="left"/>
            </w:pPr>
            <w:r>
              <w:t>ПСМ (глибенкламид)</w:t>
            </w:r>
          </w:p>
          <w:p w:rsidR="00D27BC6" w:rsidRDefault="004D5071">
            <w:pPr>
              <w:numPr>
                <w:ilvl w:val="0"/>
                <w:numId w:val="239"/>
              </w:numPr>
              <w:spacing w:after="0" w:line="259" w:lineRule="auto"/>
              <w:ind w:right="0" w:hanging="170"/>
              <w:jc w:val="left"/>
            </w:pPr>
            <w:r>
              <w:t>иДПП-4 (саксаглиптин)</w:t>
            </w:r>
          </w:p>
          <w:p w:rsidR="00D27BC6" w:rsidRDefault="004D5071">
            <w:pPr>
              <w:numPr>
                <w:ilvl w:val="0"/>
                <w:numId w:val="239"/>
              </w:numPr>
              <w:spacing w:after="0" w:line="259" w:lineRule="auto"/>
              <w:ind w:right="0" w:hanging="170"/>
              <w:jc w:val="left"/>
            </w:pPr>
            <w:r>
              <w:t>пиоглитазон</w:t>
            </w:r>
          </w:p>
        </w:tc>
      </w:tr>
      <w:tr w:rsidR="00D27BC6">
        <w:trPr>
          <w:trHeight w:val="560"/>
        </w:trPr>
        <w:tc>
          <w:tcPr>
            <w:tcW w:w="6796" w:type="dxa"/>
            <w:gridSpan w:val="2"/>
            <w:tcBorders>
              <w:top w:val="single" w:sz="6" w:space="0" w:color="000000"/>
              <w:left w:val="single" w:sz="6" w:space="0" w:color="000000"/>
              <w:bottom w:val="single" w:sz="6" w:space="0" w:color="000000"/>
              <w:right w:val="nil"/>
            </w:tcBorders>
            <w:shd w:val="clear" w:color="auto" w:fill="ECECEC"/>
          </w:tcPr>
          <w:p w:rsidR="00D27BC6" w:rsidRDefault="004D5071">
            <w:pPr>
              <w:spacing w:after="0" w:line="259" w:lineRule="auto"/>
              <w:ind w:left="3871" w:right="508" w:firstLine="685"/>
            </w:pPr>
            <w:r>
              <w:rPr>
                <w:b/>
              </w:rPr>
              <w:t xml:space="preserve">ХБП С 1-3а </w:t>
            </w:r>
            <w:r>
              <w:t>(рСКФ ≥ 45 мл/мин/1,73 м</w:t>
            </w:r>
            <w:r>
              <w:rPr>
                <w:sz w:val="18"/>
                <w:vertAlign w:val="superscript"/>
              </w:rPr>
              <w:t>2</w:t>
            </w:r>
            <w:r>
              <w:t>)</w:t>
            </w:r>
          </w:p>
        </w:tc>
        <w:tc>
          <w:tcPr>
            <w:tcW w:w="3398" w:type="dxa"/>
            <w:tcBorders>
              <w:top w:val="single" w:sz="6" w:space="0" w:color="000000"/>
              <w:left w:val="nil"/>
              <w:bottom w:val="single" w:sz="6" w:space="0" w:color="000000"/>
              <w:right w:val="single" w:sz="6" w:space="0" w:color="000000"/>
            </w:tcBorders>
            <w:shd w:val="clear" w:color="auto" w:fill="ECECEC"/>
          </w:tcPr>
          <w:p w:rsidR="00D27BC6" w:rsidRDefault="00D27BC6">
            <w:pPr>
              <w:spacing w:after="160" w:line="259" w:lineRule="auto"/>
              <w:ind w:left="0" w:right="0" w:firstLine="0"/>
              <w:jc w:val="left"/>
            </w:pPr>
          </w:p>
        </w:tc>
      </w:tr>
      <w:tr w:rsidR="00D27BC6">
        <w:trPr>
          <w:trHeight w:val="5135"/>
        </w:trPr>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137" w:line="226" w:lineRule="auto"/>
              <w:ind w:left="0" w:right="0" w:firstLine="0"/>
              <w:jc w:val="left"/>
            </w:pPr>
            <w:r>
              <w:rPr>
                <w:b/>
              </w:rPr>
              <w:t xml:space="preserve">При альбуминурии (&gt; 3 мг/ммоль) и / или СКФ </w:t>
            </w:r>
            <w:r>
              <w:t>&lt;</w:t>
            </w:r>
            <w:r>
              <w:rPr>
                <w:b/>
              </w:rPr>
              <w:t>60 мл/мин/1,73 м</w:t>
            </w:r>
            <w:r>
              <w:rPr>
                <w:b/>
                <w:sz w:val="18"/>
                <w:vertAlign w:val="superscript"/>
              </w:rPr>
              <w:t>2</w:t>
            </w:r>
            <w:r>
              <w:rPr>
                <w:b/>
              </w:rPr>
              <w:t>):</w:t>
            </w:r>
          </w:p>
          <w:p w:rsidR="00D27BC6" w:rsidRDefault="004D5071">
            <w:pPr>
              <w:spacing w:after="90" w:line="259" w:lineRule="auto"/>
              <w:ind w:left="0" w:right="0" w:firstLine="0"/>
              <w:jc w:val="left"/>
            </w:pPr>
            <w:r>
              <w:rPr>
                <w:b/>
              </w:rPr>
              <w:t>1 линия:</w:t>
            </w:r>
            <w:r>
              <w:t xml:space="preserve"> </w:t>
            </w:r>
          </w:p>
          <w:p w:rsidR="00D27BC6" w:rsidRDefault="004D5071">
            <w:pPr>
              <w:numPr>
                <w:ilvl w:val="0"/>
                <w:numId w:val="240"/>
              </w:numPr>
              <w:spacing w:after="113" w:line="236" w:lineRule="auto"/>
              <w:ind w:right="670" w:hanging="170"/>
            </w:pPr>
            <w:r>
              <w:t xml:space="preserve">иНГЛТ-2 с доказанными свойствами замедлять прогрессирование ХБП (канаглифлозин, дапаглифлозин, эмпаглифлозин) </w:t>
            </w:r>
          </w:p>
          <w:p w:rsidR="00D27BC6" w:rsidRDefault="004D5071">
            <w:pPr>
              <w:spacing w:after="90" w:line="259" w:lineRule="auto"/>
              <w:ind w:left="0" w:right="0" w:firstLine="0"/>
              <w:jc w:val="left"/>
            </w:pPr>
            <w:r>
              <w:t>и/или</w:t>
            </w:r>
          </w:p>
          <w:p w:rsidR="00D27BC6" w:rsidRDefault="004D5071">
            <w:pPr>
              <w:numPr>
                <w:ilvl w:val="0"/>
                <w:numId w:val="240"/>
              </w:numPr>
              <w:spacing w:after="0" w:line="347" w:lineRule="auto"/>
              <w:ind w:right="670" w:hanging="170"/>
            </w:pPr>
            <w:r>
              <w:t xml:space="preserve">арГПП-1 (семаглутид) </w:t>
            </w:r>
            <w:r>
              <w:rPr>
                <w:b/>
              </w:rPr>
              <w:t>2 линия:</w:t>
            </w:r>
          </w:p>
          <w:p w:rsidR="00D27BC6" w:rsidRDefault="004D5071">
            <w:pPr>
              <w:numPr>
                <w:ilvl w:val="0"/>
                <w:numId w:val="240"/>
              </w:numPr>
              <w:spacing w:after="104" w:line="246" w:lineRule="auto"/>
              <w:ind w:right="670" w:hanging="170"/>
            </w:pPr>
            <w:r>
              <w:t>другие иНГЛТ-2</w:t>
            </w:r>
            <w:r>
              <w:rPr>
                <w:sz w:val="18"/>
                <w:vertAlign w:val="superscript"/>
              </w:rPr>
              <w:t>6</w:t>
            </w:r>
            <w:r>
              <w:t xml:space="preserve">  при противопоказаниях или непереносимости</w:t>
            </w:r>
          </w:p>
          <w:p w:rsidR="00D27BC6" w:rsidRDefault="004D5071">
            <w:pPr>
              <w:numPr>
                <w:ilvl w:val="0"/>
                <w:numId w:val="240"/>
              </w:numPr>
              <w:spacing w:after="90" w:line="259" w:lineRule="auto"/>
              <w:ind w:right="670" w:hanging="170"/>
            </w:pPr>
            <w:r>
              <w:t>арГПП-1 (лираглутид, дулаглутид)</w:t>
            </w:r>
          </w:p>
          <w:p w:rsidR="00D27BC6" w:rsidRDefault="004D5071">
            <w:pPr>
              <w:numPr>
                <w:ilvl w:val="0"/>
                <w:numId w:val="240"/>
              </w:numPr>
              <w:spacing w:after="0" w:line="259" w:lineRule="auto"/>
              <w:ind w:right="670" w:hanging="170"/>
            </w:pPr>
            <w:r>
              <w:t>ПСМ (гликлазид с модифицированным высвобождением)</w:t>
            </w:r>
            <w:r>
              <w:rPr>
                <w:sz w:val="18"/>
                <w:vertAlign w:val="superscript"/>
              </w:rPr>
              <w:t>7</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41"/>
              </w:numPr>
              <w:spacing w:after="90" w:line="259" w:lineRule="auto"/>
              <w:ind w:right="0" w:hanging="170"/>
              <w:jc w:val="left"/>
            </w:pPr>
            <w:r>
              <w:t>метформин</w:t>
            </w:r>
          </w:p>
          <w:p w:rsidR="00D27BC6" w:rsidRDefault="004D5071">
            <w:pPr>
              <w:numPr>
                <w:ilvl w:val="0"/>
                <w:numId w:val="241"/>
              </w:numPr>
              <w:spacing w:after="90" w:line="259" w:lineRule="auto"/>
              <w:ind w:right="0" w:hanging="170"/>
              <w:jc w:val="left"/>
            </w:pPr>
            <w:r>
              <w:t>ПСМ</w:t>
            </w:r>
          </w:p>
          <w:p w:rsidR="00D27BC6" w:rsidRDefault="004D5071">
            <w:pPr>
              <w:numPr>
                <w:ilvl w:val="0"/>
                <w:numId w:val="241"/>
              </w:numPr>
              <w:spacing w:after="90" w:line="259" w:lineRule="auto"/>
              <w:ind w:right="0" w:hanging="170"/>
              <w:jc w:val="left"/>
            </w:pPr>
            <w:r>
              <w:t>иДПП-4</w:t>
            </w:r>
          </w:p>
          <w:p w:rsidR="00D27BC6" w:rsidRDefault="004D5071">
            <w:pPr>
              <w:numPr>
                <w:ilvl w:val="0"/>
                <w:numId w:val="241"/>
              </w:numPr>
              <w:spacing w:after="90" w:line="259" w:lineRule="auto"/>
              <w:ind w:right="0" w:hanging="170"/>
              <w:jc w:val="left"/>
            </w:pPr>
            <w:r>
              <w:t>арГПП-1</w:t>
            </w:r>
          </w:p>
          <w:p w:rsidR="00D27BC6" w:rsidRDefault="004D5071">
            <w:pPr>
              <w:numPr>
                <w:ilvl w:val="0"/>
                <w:numId w:val="241"/>
              </w:numPr>
              <w:spacing w:after="90" w:line="259" w:lineRule="auto"/>
              <w:ind w:right="0" w:hanging="170"/>
              <w:jc w:val="left"/>
            </w:pPr>
            <w:r>
              <w:t>арГИП/ГПП-1</w:t>
            </w:r>
          </w:p>
          <w:p w:rsidR="00D27BC6" w:rsidRDefault="004D5071">
            <w:pPr>
              <w:numPr>
                <w:ilvl w:val="0"/>
                <w:numId w:val="241"/>
              </w:numPr>
              <w:spacing w:after="90" w:line="259" w:lineRule="auto"/>
              <w:ind w:right="0" w:hanging="170"/>
              <w:jc w:val="left"/>
            </w:pPr>
            <w:r>
              <w:t>пиоглитазон</w:t>
            </w:r>
          </w:p>
          <w:p w:rsidR="00D27BC6" w:rsidRDefault="004D5071">
            <w:pPr>
              <w:numPr>
                <w:ilvl w:val="0"/>
                <w:numId w:val="241"/>
              </w:numPr>
              <w:spacing w:after="0" w:line="259" w:lineRule="auto"/>
              <w:ind w:right="0" w:hanging="170"/>
              <w:jc w:val="left"/>
            </w:pPr>
            <w:r>
              <w:t>инсулины</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505" w:hanging="170"/>
              <w:jc w:val="left"/>
            </w:pPr>
            <w:r>
              <w:t>• ПСМ (глибенкламид при рСКФ &lt;60 мл/мин/1,73 м</w:t>
            </w:r>
            <w:r>
              <w:rPr>
                <w:sz w:val="18"/>
                <w:vertAlign w:val="superscript"/>
              </w:rPr>
              <w:t>2</w:t>
            </w:r>
            <w:r>
              <w:t>)</w:t>
            </w:r>
          </w:p>
        </w:tc>
      </w:tr>
      <w:tr w:rsidR="00D27BC6">
        <w:trPr>
          <w:trHeight w:val="320"/>
        </w:trPr>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0" w:firstLine="0"/>
              <w:jc w:val="center"/>
            </w:pPr>
            <w:r>
              <w:rPr>
                <w:b/>
              </w:rPr>
              <w:t>Рекомендованы (приоритет)</w:t>
            </w:r>
          </w:p>
        </w:tc>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0" w:firstLine="0"/>
              <w:jc w:val="center"/>
            </w:pPr>
            <w:r>
              <w:rPr>
                <w:b/>
              </w:rPr>
              <w:t>Безопасны / нейтральны</w:t>
            </w:r>
          </w:p>
        </w:tc>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0" w:firstLine="0"/>
              <w:jc w:val="center"/>
            </w:pPr>
            <w:r>
              <w:rPr>
                <w:b/>
              </w:rPr>
              <w:t>Ограничения</w:t>
            </w:r>
          </w:p>
        </w:tc>
      </w:tr>
      <w:tr w:rsidR="00D27BC6">
        <w:trPr>
          <w:trHeight w:val="560"/>
        </w:trPr>
        <w:tc>
          <w:tcPr>
            <w:tcW w:w="6796" w:type="dxa"/>
            <w:gridSpan w:val="2"/>
            <w:tcBorders>
              <w:top w:val="single" w:sz="6" w:space="0" w:color="000000"/>
              <w:left w:val="single" w:sz="6" w:space="0" w:color="000000"/>
              <w:bottom w:val="single" w:sz="6" w:space="0" w:color="000000"/>
              <w:right w:val="nil"/>
            </w:tcBorders>
            <w:shd w:val="clear" w:color="auto" w:fill="ECECEC"/>
          </w:tcPr>
          <w:p w:rsidR="00D27BC6" w:rsidRDefault="004D5071">
            <w:pPr>
              <w:spacing w:after="0" w:line="259" w:lineRule="auto"/>
              <w:ind w:left="3892" w:right="534" w:firstLine="659"/>
            </w:pPr>
            <w:r>
              <w:rPr>
                <w:b/>
              </w:rPr>
              <w:t xml:space="preserve">ХБП С 3б-5 </w:t>
            </w:r>
            <w:r>
              <w:t>(рСКФ &lt;45 мл/мин/1,73 м</w:t>
            </w:r>
            <w:r>
              <w:rPr>
                <w:sz w:val="18"/>
                <w:vertAlign w:val="superscript"/>
              </w:rPr>
              <w:t>2</w:t>
            </w:r>
            <w:r>
              <w:t>)</w:t>
            </w:r>
          </w:p>
        </w:tc>
        <w:tc>
          <w:tcPr>
            <w:tcW w:w="3398" w:type="dxa"/>
            <w:tcBorders>
              <w:top w:val="single" w:sz="6" w:space="0" w:color="000000"/>
              <w:left w:val="nil"/>
              <w:bottom w:val="single" w:sz="6" w:space="0" w:color="000000"/>
              <w:right w:val="single" w:sz="6" w:space="0" w:color="000000"/>
            </w:tcBorders>
            <w:shd w:val="clear" w:color="auto" w:fill="ECECEC"/>
          </w:tcPr>
          <w:p w:rsidR="00D27BC6" w:rsidRDefault="00D27BC6">
            <w:pPr>
              <w:spacing w:after="160" w:line="259" w:lineRule="auto"/>
              <w:ind w:left="0" w:right="0" w:firstLine="0"/>
              <w:jc w:val="left"/>
            </w:pPr>
          </w:p>
        </w:tc>
      </w:tr>
      <w:tr w:rsidR="00D27BC6">
        <w:trPr>
          <w:trHeight w:val="3200"/>
        </w:trPr>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 xml:space="preserve">1 линия: </w:t>
            </w:r>
          </w:p>
          <w:p w:rsidR="00D27BC6" w:rsidRDefault="004D5071">
            <w:pPr>
              <w:numPr>
                <w:ilvl w:val="0"/>
                <w:numId w:val="242"/>
              </w:numPr>
              <w:spacing w:after="0" w:line="236" w:lineRule="auto"/>
              <w:ind w:right="37" w:hanging="170"/>
              <w:jc w:val="left"/>
            </w:pPr>
            <w:r>
              <w:t xml:space="preserve">иНГЛТ-2 с доказанными свойствами замедлять прогрессирование ХБП в этой популяции (канаглифлозин, дапаглифлозин, эмпаглифлозин) • арГПП-1 (семаглутид до ХБП С4) </w:t>
            </w:r>
            <w:r>
              <w:rPr>
                <w:b/>
              </w:rPr>
              <w:t>2 линия:</w:t>
            </w:r>
          </w:p>
          <w:p w:rsidR="00D27BC6" w:rsidRDefault="004D5071">
            <w:pPr>
              <w:numPr>
                <w:ilvl w:val="0"/>
                <w:numId w:val="242"/>
              </w:numPr>
              <w:spacing w:after="254" w:line="259" w:lineRule="auto"/>
              <w:ind w:right="37" w:hanging="170"/>
              <w:jc w:val="left"/>
            </w:pPr>
            <w:r>
              <w:t>другие иНГЛТ-2</w:t>
            </w:r>
            <w:r>
              <w:rPr>
                <w:sz w:val="18"/>
                <w:vertAlign w:val="superscript"/>
              </w:rPr>
              <w:t xml:space="preserve">6 </w:t>
            </w:r>
          </w:p>
          <w:p w:rsidR="00D27BC6" w:rsidRDefault="004D5071">
            <w:pPr>
              <w:spacing w:after="0" w:line="236" w:lineRule="auto"/>
              <w:ind w:left="0" w:right="484" w:firstLine="0"/>
              <w:jc w:val="left"/>
            </w:pPr>
            <w:r>
              <w:t>Если есть противопоказания к иНГЛТ-2 или непереносимость:</w:t>
            </w:r>
          </w:p>
          <w:p w:rsidR="00D27BC6" w:rsidRDefault="004D5071">
            <w:pPr>
              <w:numPr>
                <w:ilvl w:val="0"/>
                <w:numId w:val="242"/>
              </w:numPr>
              <w:spacing w:after="0" w:line="259" w:lineRule="auto"/>
              <w:ind w:right="37" w:hanging="170"/>
              <w:jc w:val="left"/>
            </w:pPr>
            <w:r>
              <w:t>арГПП-1 (лираглутид, дулаглутид до ХБП С4 включительно)</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43"/>
              </w:numPr>
              <w:spacing w:after="0" w:line="236" w:lineRule="auto"/>
              <w:ind w:right="0" w:hanging="170"/>
              <w:jc w:val="left"/>
            </w:pPr>
            <w:r>
              <w:t>метформин (до ХБП С3б включительно)</w:t>
            </w:r>
          </w:p>
          <w:p w:rsidR="00D27BC6" w:rsidRDefault="004D5071">
            <w:pPr>
              <w:numPr>
                <w:ilvl w:val="0"/>
                <w:numId w:val="243"/>
              </w:numPr>
              <w:spacing w:after="0" w:line="259" w:lineRule="auto"/>
              <w:ind w:right="0" w:hanging="170"/>
              <w:jc w:val="left"/>
            </w:pPr>
            <w:r>
              <w:t>ПСМ (до ХБП С4 включительно)</w:t>
            </w:r>
          </w:p>
          <w:p w:rsidR="00D27BC6" w:rsidRDefault="004D5071">
            <w:pPr>
              <w:numPr>
                <w:ilvl w:val="0"/>
                <w:numId w:val="243"/>
              </w:numPr>
              <w:spacing w:after="0" w:line="259" w:lineRule="auto"/>
              <w:ind w:right="0" w:hanging="170"/>
              <w:jc w:val="left"/>
            </w:pPr>
            <w:r>
              <w:t>иДПП-4</w:t>
            </w:r>
          </w:p>
          <w:p w:rsidR="00D27BC6" w:rsidRDefault="004D5071">
            <w:pPr>
              <w:numPr>
                <w:ilvl w:val="0"/>
                <w:numId w:val="243"/>
              </w:numPr>
              <w:spacing w:after="0" w:line="236" w:lineRule="auto"/>
              <w:ind w:right="0" w:hanging="170"/>
              <w:jc w:val="left"/>
            </w:pPr>
            <w:r>
              <w:t>арГПП-1 (эксенатид, ликсисенатид до ХБП С3б включительно)</w:t>
            </w:r>
          </w:p>
          <w:p w:rsidR="00D27BC6" w:rsidRDefault="004D5071">
            <w:pPr>
              <w:numPr>
                <w:ilvl w:val="0"/>
                <w:numId w:val="243"/>
              </w:numPr>
              <w:spacing w:after="0" w:line="259" w:lineRule="auto"/>
              <w:ind w:right="0" w:hanging="170"/>
              <w:jc w:val="left"/>
            </w:pPr>
            <w:r>
              <w:t>арГИП/ГПП-1</w:t>
            </w:r>
          </w:p>
          <w:p w:rsidR="00D27BC6" w:rsidRDefault="004D5071">
            <w:pPr>
              <w:numPr>
                <w:ilvl w:val="0"/>
                <w:numId w:val="243"/>
              </w:numPr>
              <w:spacing w:after="0" w:line="259" w:lineRule="auto"/>
              <w:ind w:right="0" w:hanging="170"/>
              <w:jc w:val="left"/>
            </w:pPr>
            <w:r>
              <w:t>инсулины</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44"/>
              </w:numPr>
              <w:spacing w:after="0" w:line="259" w:lineRule="auto"/>
              <w:ind w:right="0" w:hanging="170"/>
              <w:jc w:val="left"/>
            </w:pPr>
            <w:r>
              <w:t xml:space="preserve">метформин </w:t>
            </w:r>
          </w:p>
          <w:p w:rsidR="00D27BC6" w:rsidRDefault="004D5071">
            <w:pPr>
              <w:spacing w:after="0" w:line="259" w:lineRule="auto"/>
              <w:ind w:left="170" w:right="0" w:firstLine="0"/>
              <w:jc w:val="left"/>
            </w:pPr>
            <w:r>
              <w:t>(при рСКФ &lt; 30 мл/мин/1,73 м</w:t>
            </w:r>
            <w:r>
              <w:rPr>
                <w:sz w:val="18"/>
                <w:vertAlign w:val="superscript"/>
              </w:rPr>
              <w:t>2</w:t>
            </w:r>
            <w:r>
              <w:t>)</w:t>
            </w:r>
          </w:p>
          <w:p w:rsidR="00D27BC6" w:rsidRDefault="004D5071">
            <w:pPr>
              <w:numPr>
                <w:ilvl w:val="0"/>
                <w:numId w:val="244"/>
              </w:numPr>
              <w:spacing w:after="0" w:line="259" w:lineRule="auto"/>
              <w:ind w:right="0" w:hanging="170"/>
              <w:jc w:val="left"/>
            </w:pPr>
            <w:r>
              <w:t>ПСМ (глибенкламид)</w:t>
            </w:r>
          </w:p>
          <w:p w:rsidR="00D27BC6" w:rsidRDefault="004D5071">
            <w:pPr>
              <w:numPr>
                <w:ilvl w:val="0"/>
                <w:numId w:val="244"/>
              </w:numPr>
              <w:spacing w:after="0" w:line="259" w:lineRule="auto"/>
              <w:ind w:right="0" w:hanging="170"/>
              <w:jc w:val="left"/>
            </w:pPr>
            <w:r>
              <w:t>иДПП-4 (гозоглиптин)</w:t>
            </w:r>
          </w:p>
          <w:p w:rsidR="00D27BC6" w:rsidRDefault="004D5071">
            <w:pPr>
              <w:numPr>
                <w:ilvl w:val="0"/>
                <w:numId w:val="244"/>
              </w:numPr>
              <w:spacing w:after="0" w:line="236" w:lineRule="auto"/>
              <w:ind w:right="0" w:hanging="170"/>
              <w:jc w:val="left"/>
            </w:pPr>
            <w:r>
              <w:t xml:space="preserve">иНГЛТ-2 (см. ограничения препаратов по рСКФ в разделе 6.1.3) </w:t>
            </w:r>
          </w:p>
          <w:p w:rsidR="00D27BC6" w:rsidRDefault="004D5071">
            <w:pPr>
              <w:numPr>
                <w:ilvl w:val="0"/>
                <w:numId w:val="244"/>
              </w:numPr>
              <w:spacing w:after="45" w:line="226" w:lineRule="auto"/>
              <w:ind w:right="0" w:hanging="170"/>
              <w:jc w:val="left"/>
            </w:pPr>
            <w:r>
              <w:t>арГПП-1 (эксенатид, ликсисенатид при рСКФ &lt; 30 мл/мин/1,73 м</w:t>
            </w:r>
            <w:r>
              <w:rPr>
                <w:sz w:val="18"/>
                <w:vertAlign w:val="superscript"/>
              </w:rPr>
              <w:t>2</w:t>
            </w:r>
            <w:r>
              <w:t xml:space="preserve">; </w:t>
            </w:r>
            <w:r>
              <w:t>лираглутид, семаглутид, дулаглутид при рСКФ &lt; 15 мл/мин/1,73 м</w:t>
            </w:r>
            <w:r>
              <w:rPr>
                <w:sz w:val="18"/>
                <w:vertAlign w:val="superscript"/>
              </w:rPr>
              <w:t>2</w:t>
            </w:r>
          </w:p>
          <w:p w:rsidR="00D27BC6" w:rsidRDefault="004D5071">
            <w:pPr>
              <w:numPr>
                <w:ilvl w:val="0"/>
                <w:numId w:val="244"/>
              </w:numPr>
              <w:spacing w:after="0" w:line="259" w:lineRule="auto"/>
              <w:ind w:right="0" w:hanging="170"/>
              <w:jc w:val="left"/>
            </w:pPr>
            <w:r>
              <w:t>пиоглитазон</w:t>
            </w:r>
          </w:p>
        </w:tc>
      </w:tr>
      <w:tr w:rsidR="00D27BC6">
        <w:trPr>
          <w:trHeight w:val="320"/>
        </w:trPr>
        <w:tc>
          <w:tcPr>
            <w:tcW w:w="6796" w:type="dxa"/>
            <w:gridSpan w:val="2"/>
            <w:tcBorders>
              <w:top w:val="single" w:sz="6" w:space="0" w:color="000000"/>
              <w:left w:val="single" w:sz="6" w:space="0" w:color="000000"/>
              <w:bottom w:val="single" w:sz="6" w:space="0" w:color="000000"/>
              <w:right w:val="nil"/>
            </w:tcBorders>
            <w:shd w:val="clear" w:color="auto" w:fill="ECECEC"/>
          </w:tcPr>
          <w:p w:rsidR="00D27BC6" w:rsidRDefault="004D5071">
            <w:pPr>
              <w:tabs>
                <w:tab w:val="center" w:pos="5401"/>
              </w:tabs>
              <w:spacing w:after="0" w:line="259" w:lineRule="auto"/>
              <w:ind w:left="0" w:right="0" w:firstLine="0"/>
              <w:jc w:val="left"/>
            </w:pPr>
            <w:r>
              <w:t xml:space="preserve"> </w:t>
            </w:r>
            <w:r>
              <w:tab/>
            </w:r>
            <w:r>
              <w:rPr>
                <w:b/>
              </w:rPr>
              <w:t>Ожирение</w:t>
            </w:r>
          </w:p>
        </w:tc>
        <w:tc>
          <w:tcPr>
            <w:tcW w:w="3398" w:type="dxa"/>
            <w:tcBorders>
              <w:top w:val="single" w:sz="6" w:space="0" w:color="000000"/>
              <w:left w:val="nil"/>
              <w:bottom w:val="single" w:sz="6" w:space="0" w:color="000000"/>
              <w:right w:val="single" w:sz="6" w:space="0" w:color="000000"/>
            </w:tcBorders>
            <w:shd w:val="clear" w:color="auto" w:fill="ECECEC"/>
          </w:tcPr>
          <w:p w:rsidR="00D27BC6" w:rsidRDefault="00D27BC6">
            <w:pPr>
              <w:spacing w:after="160" w:line="259" w:lineRule="auto"/>
              <w:ind w:left="0" w:right="0" w:firstLine="0"/>
              <w:jc w:val="left"/>
            </w:pPr>
          </w:p>
        </w:tc>
      </w:tr>
      <w:tr w:rsidR="00D27BC6">
        <w:trPr>
          <w:trHeight w:val="1760"/>
        </w:trPr>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45"/>
              </w:numPr>
              <w:spacing w:after="0" w:line="259" w:lineRule="auto"/>
              <w:ind w:right="0" w:hanging="170"/>
              <w:jc w:val="left"/>
            </w:pPr>
            <w:r>
              <w:t>арГИП/ГПП-1</w:t>
            </w:r>
          </w:p>
          <w:p w:rsidR="00D27BC6" w:rsidRDefault="004D5071">
            <w:pPr>
              <w:numPr>
                <w:ilvl w:val="0"/>
                <w:numId w:val="245"/>
              </w:numPr>
              <w:spacing w:after="0" w:line="259" w:lineRule="auto"/>
              <w:ind w:right="0" w:hanging="170"/>
              <w:jc w:val="left"/>
            </w:pPr>
            <w:r>
              <w:t>арГПП-1</w:t>
            </w:r>
          </w:p>
          <w:p w:rsidR="00D27BC6" w:rsidRDefault="004D5071">
            <w:pPr>
              <w:numPr>
                <w:ilvl w:val="0"/>
                <w:numId w:val="245"/>
              </w:numPr>
              <w:spacing w:after="0" w:line="259" w:lineRule="auto"/>
              <w:ind w:right="0" w:hanging="170"/>
              <w:jc w:val="left"/>
            </w:pPr>
            <w:r>
              <w:t>иНГЛТ-2</w:t>
            </w:r>
          </w:p>
          <w:p w:rsidR="00D27BC6" w:rsidRDefault="004D5071">
            <w:pPr>
              <w:numPr>
                <w:ilvl w:val="0"/>
                <w:numId w:val="245"/>
              </w:numPr>
              <w:spacing w:after="0" w:line="259" w:lineRule="auto"/>
              <w:ind w:right="0" w:hanging="170"/>
              <w:jc w:val="left"/>
            </w:pPr>
            <w:r>
              <w:t>метформин</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иДПП-4</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36" w:lineRule="auto"/>
              <w:ind w:left="0" w:right="91" w:firstLine="0"/>
              <w:jc w:val="left"/>
            </w:pPr>
            <w:r>
              <w:t>Вызывают прибавку массы тела (но при клинической необходимости должны быть назначены без учета этого эффекта):</w:t>
            </w:r>
          </w:p>
          <w:p w:rsidR="00D27BC6" w:rsidRDefault="004D5071">
            <w:pPr>
              <w:numPr>
                <w:ilvl w:val="0"/>
                <w:numId w:val="246"/>
              </w:numPr>
              <w:spacing w:after="0" w:line="259" w:lineRule="auto"/>
              <w:ind w:right="0" w:hanging="170"/>
              <w:jc w:val="left"/>
            </w:pPr>
            <w:r>
              <w:t>ПСМ</w:t>
            </w:r>
          </w:p>
          <w:p w:rsidR="00D27BC6" w:rsidRDefault="004D5071">
            <w:pPr>
              <w:numPr>
                <w:ilvl w:val="0"/>
                <w:numId w:val="246"/>
              </w:numPr>
              <w:spacing w:after="0" w:line="259" w:lineRule="auto"/>
              <w:ind w:right="0" w:hanging="170"/>
              <w:jc w:val="left"/>
            </w:pPr>
            <w:r>
              <w:t>ТЗД</w:t>
            </w:r>
          </w:p>
          <w:p w:rsidR="00D27BC6" w:rsidRDefault="004D5071">
            <w:pPr>
              <w:numPr>
                <w:ilvl w:val="0"/>
                <w:numId w:val="246"/>
              </w:numPr>
              <w:spacing w:after="0" w:line="259" w:lineRule="auto"/>
              <w:ind w:right="0" w:hanging="170"/>
              <w:jc w:val="left"/>
            </w:pPr>
            <w:r>
              <w:t>инсулины</w:t>
            </w:r>
          </w:p>
        </w:tc>
      </w:tr>
      <w:tr w:rsidR="00D27BC6">
        <w:trPr>
          <w:trHeight w:val="320"/>
        </w:trPr>
        <w:tc>
          <w:tcPr>
            <w:tcW w:w="6796" w:type="dxa"/>
            <w:gridSpan w:val="2"/>
            <w:tcBorders>
              <w:top w:val="single" w:sz="6" w:space="0" w:color="000000"/>
              <w:left w:val="single" w:sz="6" w:space="0" w:color="000000"/>
              <w:bottom w:val="single" w:sz="6" w:space="0" w:color="000000"/>
              <w:right w:val="nil"/>
            </w:tcBorders>
            <w:shd w:val="clear" w:color="auto" w:fill="ECECEC"/>
          </w:tcPr>
          <w:p w:rsidR="00D27BC6" w:rsidRDefault="004D5071">
            <w:pPr>
              <w:spacing w:after="0" w:line="259" w:lineRule="auto"/>
              <w:ind w:left="4241" w:right="0" w:firstLine="0"/>
              <w:jc w:val="left"/>
            </w:pPr>
            <w:r>
              <w:rPr>
                <w:b/>
              </w:rPr>
              <w:t>НАЖБП (МАЖБП)</w:t>
            </w:r>
          </w:p>
        </w:tc>
        <w:tc>
          <w:tcPr>
            <w:tcW w:w="3398" w:type="dxa"/>
            <w:tcBorders>
              <w:top w:val="single" w:sz="6" w:space="0" w:color="000000"/>
              <w:left w:val="nil"/>
              <w:bottom w:val="single" w:sz="6" w:space="0" w:color="000000"/>
              <w:right w:val="single" w:sz="6" w:space="0" w:color="000000"/>
            </w:tcBorders>
            <w:shd w:val="clear" w:color="auto" w:fill="ECECEC"/>
          </w:tcPr>
          <w:p w:rsidR="00D27BC6" w:rsidRDefault="00D27BC6">
            <w:pPr>
              <w:spacing w:after="160" w:line="259" w:lineRule="auto"/>
              <w:ind w:left="0" w:right="0" w:firstLine="0"/>
              <w:jc w:val="left"/>
            </w:pPr>
          </w:p>
        </w:tc>
      </w:tr>
      <w:tr w:rsidR="00D27BC6">
        <w:trPr>
          <w:trHeight w:val="1280"/>
        </w:trPr>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47"/>
              </w:numPr>
              <w:spacing w:after="0" w:line="259" w:lineRule="auto"/>
              <w:ind w:right="0" w:hanging="170"/>
              <w:jc w:val="left"/>
            </w:pPr>
            <w:r>
              <w:t>пиоглитазон</w:t>
            </w:r>
          </w:p>
          <w:p w:rsidR="00D27BC6" w:rsidRDefault="004D5071">
            <w:pPr>
              <w:numPr>
                <w:ilvl w:val="0"/>
                <w:numId w:val="247"/>
              </w:numPr>
              <w:spacing w:after="0" w:line="259" w:lineRule="auto"/>
              <w:ind w:right="0" w:hanging="170"/>
              <w:jc w:val="left"/>
            </w:pPr>
            <w:r>
              <w:t>арГПП-1</w:t>
            </w:r>
          </w:p>
          <w:p w:rsidR="00D27BC6" w:rsidRDefault="004D5071">
            <w:pPr>
              <w:numPr>
                <w:ilvl w:val="0"/>
                <w:numId w:val="247"/>
              </w:numPr>
              <w:spacing w:after="0" w:line="259" w:lineRule="auto"/>
              <w:ind w:right="0" w:hanging="170"/>
              <w:jc w:val="left"/>
            </w:pPr>
            <w:r>
              <w:t xml:space="preserve">арГИП/ГПП-1 </w:t>
            </w:r>
          </w:p>
          <w:p w:rsidR="00D27BC6" w:rsidRDefault="004D5071">
            <w:pPr>
              <w:numPr>
                <w:ilvl w:val="0"/>
                <w:numId w:val="247"/>
              </w:numPr>
              <w:spacing w:after="0" w:line="259" w:lineRule="auto"/>
              <w:ind w:right="0" w:hanging="170"/>
              <w:jc w:val="left"/>
            </w:pPr>
            <w:r>
              <w:t>иНГЛТ-2</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48"/>
              </w:numPr>
              <w:spacing w:after="3" w:line="259" w:lineRule="auto"/>
              <w:ind w:right="0" w:hanging="170"/>
              <w:jc w:val="left"/>
            </w:pPr>
            <w:r>
              <w:t>метформин</w:t>
            </w:r>
            <w:r>
              <w:rPr>
                <w:sz w:val="18"/>
                <w:vertAlign w:val="superscript"/>
              </w:rPr>
              <w:t>8</w:t>
            </w:r>
          </w:p>
          <w:p w:rsidR="00D27BC6" w:rsidRDefault="004D5071">
            <w:pPr>
              <w:numPr>
                <w:ilvl w:val="0"/>
                <w:numId w:val="248"/>
              </w:numPr>
              <w:spacing w:after="0" w:line="259" w:lineRule="auto"/>
              <w:ind w:right="0" w:hanging="170"/>
              <w:jc w:val="left"/>
            </w:pPr>
            <w:r>
              <w:t xml:space="preserve">ПСМ </w:t>
            </w:r>
          </w:p>
          <w:p w:rsidR="00D27BC6" w:rsidRDefault="004D5071">
            <w:pPr>
              <w:numPr>
                <w:ilvl w:val="0"/>
                <w:numId w:val="248"/>
              </w:numPr>
              <w:spacing w:after="0" w:line="259" w:lineRule="auto"/>
              <w:ind w:right="0" w:hanging="170"/>
              <w:jc w:val="left"/>
            </w:pPr>
            <w:r>
              <w:t>иДПП-4</w:t>
            </w:r>
          </w:p>
          <w:p w:rsidR="00D27BC6" w:rsidRDefault="004D5071">
            <w:pPr>
              <w:numPr>
                <w:ilvl w:val="0"/>
                <w:numId w:val="248"/>
              </w:numPr>
              <w:spacing w:after="0" w:line="259" w:lineRule="auto"/>
              <w:ind w:right="0" w:hanging="170"/>
              <w:jc w:val="left"/>
            </w:pPr>
            <w:r>
              <w:t>инсулин</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36" w:lineRule="auto"/>
              <w:ind w:left="0" w:right="203" w:firstLine="0"/>
              <w:jc w:val="left"/>
            </w:pPr>
            <w:r>
              <w:t>См. инструкционные ограничения к препаратам.</w:t>
            </w:r>
          </w:p>
          <w:p w:rsidR="00D27BC6" w:rsidRDefault="004D5071">
            <w:pPr>
              <w:spacing w:after="0" w:line="259" w:lineRule="auto"/>
              <w:ind w:left="0" w:right="0" w:firstLine="0"/>
              <w:jc w:val="left"/>
            </w:pPr>
            <w:r>
              <w:t>Для пиоглитазона повышение АСТ, АЛТ &gt; 2,5 раз от верхней границы нормы</w:t>
            </w:r>
          </w:p>
        </w:tc>
      </w:tr>
      <w:tr w:rsidR="00D27BC6">
        <w:trPr>
          <w:trHeight w:val="320"/>
        </w:trPr>
        <w:tc>
          <w:tcPr>
            <w:tcW w:w="6796" w:type="dxa"/>
            <w:gridSpan w:val="2"/>
            <w:tcBorders>
              <w:top w:val="single" w:sz="6" w:space="0" w:color="000000"/>
              <w:left w:val="single" w:sz="6" w:space="0" w:color="000000"/>
              <w:bottom w:val="single" w:sz="6" w:space="0" w:color="000000"/>
              <w:right w:val="nil"/>
            </w:tcBorders>
            <w:shd w:val="clear" w:color="auto" w:fill="ECECEC"/>
          </w:tcPr>
          <w:p w:rsidR="00D27BC6" w:rsidRDefault="004D5071">
            <w:pPr>
              <w:spacing w:after="0" w:line="259" w:lineRule="auto"/>
              <w:ind w:left="4374" w:right="0" w:firstLine="0"/>
              <w:jc w:val="left"/>
            </w:pPr>
            <w:r>
              <w:rPr>
                <w:b/>
              </w:rPr>
              <w:t>Гипогликемии</w:t>
            </w:r>
          </w:p>
        </w:tc>
        <w:tc>
          <w:tcPr>
            <w:tcW w:w="3398" w:type="dxa"/>
            <w:tcBorders>
              <w:top w:val="single" w:sz="6" w:space="0" w:color="000000"/>
              <w:left w:val="nil"/>
              <w:bottom w:val="single" w:sz="6" w:space="0" w:color="000000"/>
              <w:right w:val="single" w:sz="6" w:space="0" w:color="000000"/>
            </w:tcBorders>
            <w:shd w:val="clear" w:color="auto" w:fill="ECECEC"/>
          </w:tcPr>
          <w:p w:rsidR="00D27BC6" w:rsidRDefault="00D27BC6">
            <w:pPr>
              <w:spacing w:after="160" w:line="259" w:lineRule="auto"/>
              <w:ind w:left="0" w:right="0" w:firstLine="0"/>
              <w:jc w:val="left"/>
            </w:pPr>
          </w:p>
        </w:tc>
      </w:tr>
      <w:tr w:rsidR="00D27BC6">
        <w:trPr>
          <w:trHeight w:val="1520"/>
        </w:trPr>
        <w:tc>
          <w:tcPr>
            <w:tcW w:w="6796"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Препараты с низким риском:</w:t>
            </w:r>
          </w:p>
          <w:p w:rsidR="00D27BC6" w:rsidRDefault="004D5071">
            <w:pPr>
              <w:numPr>
                <w:ilvl w:val="0"/>
                <w:numId w:val="249"/>
              </w:numPr>
              <w:spacing w:after="0" w:line="259" w:lineRule="auto"/>
              <w:ind w:right="0" w:hanging="170"/>
              <w:jc w:val="left"/>
            </w:pPr>
            <w:r>
              <w:t xml:space="preserve">метформин </w:t>
            </w:r>
          </w:p>
          <w:p w:rsidR="00D27BC6" w:rsidRDefault="004D5071">
            <w:pPr>
              <w:numPr>
                <w:ilvl w:val="0"/>
                <w:numId w:val="249"/>
              </w:numPr>
              <w:spacing w:after="0" w:line="259" w:lineRule="auto"/>
              <w:ind w:right="0" w:hanging="170"/>
              <w:jc w:val="left"/>
            </w:pPr>
            <w:r>
              <w:t>иДПП-4</w:t>
            </w:r>
          </w:p>
          <w:p w:rsidR="00D27BC6" w:rsidRDefault="004D5071">
            <w:pPr>
              <w:numPr>
                <w:ilvl w:val="0"/>
                <w:numId w:val="249"/>
              </w:numPr>
              <w:spacing w:after="0" w:line="259" w:lineRule="auto"/>
              <w:ind w:right="0" w:hanging="170"/>
              <w:jc w:val="left"/>
            </w:pPr>
            <w:r>
              <w:t>арГПП-1, арГИП/ГПП-1</w:t>
            </w:r>
          </w:p>
          <w:p w:rsidR="00D27BC6" w:rsidRDefault="004D5071">
            <w:pPr>
              <w:numPr>
                <w:ilvl w:val="0"/>
                <w:numId w:val="249"/>
              </w:numPr>
              <w:spacing w:after="0" w:line="259" w:lineRule="auto"/>
              <w:ind w:right="0" w:hanging="170"/>
              <w:jc w:val="left"/>
            </w:pPr>
            <w:r>
              <w:t>иНГЛТ-2</w:t>
            </w:r>
          </w:p>
          <w:p w:rsidR="00D27BC6" w:rsidRDefault="004D5071">
            <w:pPr>
              <w:numPr>
                <w:ilvl w:val="0"/>
                <w:numId w:val="249"/>
              </w:numPr>
              <w:spacing w:after="0" w:line="259" w:lineRule="auto"/>
              <w:ind w:right="0" w:hanging="170"/>
              <w:jc w:val="left"/>
            </w:pPr>
            <w:r>
              <w:t>ТЗД</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Препараты с высоким риском:</w:t>
            </w:r>
          </w:p>
          <w:p w:rsidR="00D27BC6" w:rsidRDefault="004D5071">
            <w:pPr>
              <w:numPr>
                <w:ilvl w:val="0"/>
                <w:numId w:val="250"/>
              </w:numPr>
              <w:spacing w:after="0" w:line="259" w:lineRule="auto"/>
              <w:ind w:right="0" w:hanging="170"/>
              <w:jc w:val="left"/>
            </w:pPr>
            <w:r>
              <w:t>ПСМ/глиниды</w:t>
            </w:r>
          </w:p>
          <w:p w:rsidR="00D27BC6" w:rsidRDefault="004D5071">
            <w:pPr>
              <w:numPr>
                <w:ilvl w:val="0"/>
                <w:numId w:val="250"/>
              </w:numPr>
              <w:spacing w:after="0" w:line="259" w:lineRule="auto"/>
              <w:ind w:right="0" w:hanging="170"/>
              <w:jc w:val="left"/>
            </w:pPr>
            <w:r>
              <w:t>инсулины</w:t>
            </w:r>
          </w:p>
        </w:tc>
      </w:tr>
    </w:tbl>
    <w:p w:rsidR="00D27BC6" w:rsidRDefault="004D5071">
      <w:pPr>
        <w:spacing w:after="4"/>
        <w:ind w:left="-3" w:right="0"/>
      </w:pPr>
      <w:r>
        <w:rPr>
          <w:sz w:val="14"/>
          <w:vertAlign w:val="superscript"/>
        </w:rPr>
        <w:t xml:space="preserve">1 </w:t>
      </w:r>
      <w:r>
        <w:rPr>
          <w:sz w:val="16"/>
        </w:rPr>
        <w:t>Ограниченное число исследований проведено на популяции с преобладанием пациентов, имеющих указания на высокий риск АССЗ/множественные факторы риска ССЗ:</w:t>
      </w:r>
    </w:p>
    <w:p w:rsidR="00D27BC6" w:rsidRDefault="004D5071">
      <w:pPr>
        <w:numPr>
          <w:ilvl w:val="0"/>
          <w:numId w:val="26"/>
        </w:numPr>
        <w:spacing w:after="0" w:line="216" w:lineRule="auto"/>
        <w:ind w:right="0" w:hanging="170"/>
      </w:pPr>
      <w:r>
        <w:rPr>
          <w:i/>
          <w:sz w:val="16"/>
        </w:rPr>
        <w:t>Дулаглутид в исследовании REWIND (69% участников с указаниями на высокий риск АССЗ: возраст ≥55 лет с наличием стеноза коронарных, каротидных артерий или артерий нижних конечностей или гипертрофия ЛЖ) показал снижение числа событий первичной конечной точк</w:t>
      </w:r>
      <w:r>
        <w:rPr>
          <w:i/>
          <w:sz w:val="16"/>
        </w:rPr>
        <w:t xml:space="preserve">и на </w:t>
      </w:r>
    </w:p>
    <w:p w:rsidR="00D27BC6" w:rsidRDefault="004D5071">
      <w:pPr>
        <w:spacing w:after="29" w:line="216" w:lineRule="auto"/>
        <w:ind w:left="172" w:right="0" w:firstLine="0"/>
      </w:pPr>
      <w:r>
        <w:rPr>
          <w:i/>
          <w:sz w:val="16"/>
        </w:rPr>
        <w:t>12% по сравнению с плацебо;</w:t>
      </w:r>
    </w:p>
    <w:p w:rsidR="00D27BC6" w:rsidRDefault="004D5071">
      <w:pPr>
        <w:numPr>
          <w:ilvl w:val="0"/>
          <w:numId w:val="26"/>
        </w:numPr>
        <w:spacing w:after="0" w:line="216" w:lineRule="auto"/>
        <w:ind w:right="0" w:hanging="170"/>
      </w:pPr>
      <w:r>
        <w:rPr>
          <w:i/>
          <w:sz w:val="16"/>
        </w:rPr>
        <w:t>Дапаглифлозин в исследовании DECLARE-TIMI 58, в котором у 60% участников имелись множественные факторы риска АССЗ показал снижение комбинированной конечной точки (снижение сердечно-сосудистой смертности и госпитализации по</w:t>
      </w:r>
      <w:r>
        <w:rPr>
          <w:i/>
          <w:sz w:val="16"/>
        </w:rPr>
        <w:t xml:space="preserve"> поводу ХСН) на 17%.</w:t>
      </w:r>
    </w:p>
    <w:p w:rsidR="00D27BC6" w:rsidRDefault="004D5071">
      <w:pPr>
        <w:numPr>
          <w:ilvl w:val="0"/>
          <w:numId w:val="27"/>
        </w:numPr>
        <w:spacing w:after="4"/>
        <w:ind w:right="0"/>
      </w:pPr>
      <w:r>
        <w:rPr>
          <w:sz w:val="16"/>
        </w:rPr>
        <w:t>АССЗ: ИБС (инфаркт миокарда в анамнезе, шунтирование/стентирование коронарных артерий, стенокардия), нарушение мозгового кровообращения, заболевания артерий нижних конечностей (с симптоматикой);</w:t>
      </w:r>
    </w:p>
    <w:p w:rsidR="00D27BC6" w:rsidRDefault="004D5071">
      <w:pPr>
        <w:numPr>
          <w:ilvl w:val="0"/>
          <w:numId w:val="27"/>
        </w:numPr>
        <w:spacing w:after="4"/>
        <w:ind w:right="0"/>
      </w:pPr>
      <w:r>
        <w:rPr>
          <w:sz w:val="16"/>
        </w:rPr>
        <w:t xml:space="preserve">В крупных рандомизированных клинических </w:t>
      </w:r>
      <w:r>
        <w:rPr>
          <w:sz w:val="16"/>
        </w:rPr>
        <w:t>исследованиях (РКИ) исследованиях, выполненных на различающихся популяциях пациентов с СД 2 типа, иНГЛТ-2 показали следующие результаты:</w:t>
      </w:r>
    </w:p>
    <w:p w:rsidR="00D27BC6" w:rsidRDefault="004D5071">
      <w:pPr>
        <w:numPr>
          <w:ilvl w:val="0"/>
          <w:numId w:val="28"/>
        </w:numPr>
        <w:spacing w:after="0" w:line="216" w:lineRule="auto"/>
        <w:ind w:right="0" w:hanging="170"/>
      </w:pPr>
      <w:r>
        <w:rPr>
          <w:i/>
          <w:sz w:val="16"/>
        </w:rPr>
        <w:t>Эмпаглифлозин в EMPA-REG Outcome (98% участников с АССЗ): снижение на 14% комбинированной первичной конечной точки 3P–M</w:t>
      </w:r>
      <w:r>
        <w:rPr>
          <w:i/>
          <w:sz w:val="16"/>
        </w:rPr>
        <w:t>ACE (сердечнососудистая смерть, нефатальный ИМ, нефатальный инсульт), снижение общей смертности на 32%, сердечно-сосудистой смертности на 38%, снижение частоты госпитализации по поводу ХСН на 38%;</w:t>
      </w:r>
    </w:p>
    <w:p w:rsidR="00D27BC6" w:rsidRDefault="004D5071">
      <w:pPr>
        <w:numPr>
          <w:ilvl w:val="0"/>
          <w:numId w:val="28"/>
        </w:numPr>
        <w:spacing w:after="0" w:line="216" w:lineRule="auto"/>
        <w:ind w:right="0" w:hanging="170"/>
      </w:pPr>
      <w:r>
        <w:rPr>
          <w:i/>
          <w:sz w:val="16"/>
        </w:rPr>
        <w:t>Канаглифлозин в программе CANVAS (65% участников с АССЗ и 3</w:t>
      </w:r>
      <w:r>
        <w:rPr>
          <w:i/>
          <w:sz w:val="16"/>
        </w:rPr>
        <w:t>5% с ФР): снижение на 14% комбинированной первичной конечной точки 3P–MACE (см. выше), снижение частоты госпитализации по поводу ХСН на 33%;</w:t>
      </w:r>
    </w:p>
    <w:p w:rsidR="00D27BC6" w:rsidRDefault="004D5071">
      <w:pPr>
        <w:numPr>
          <w:ilvl w:val="0"/>
          <w:numId w:val="28"/>
        </w:numPr>
        <w:spacing w:after="0" w:line="216" w:lineRule="auto"/>
        <w:ind w:right="0" w:hanging="170"/>
      </w:pPr>
      <w:r>
        <w:rPr>
          <w:i/>
          <w:sz w:val="16"/>
        </w:rPr>
        <w:t>Дапаглифлозин в DECLARE-TIMI 58 (40% участников с АССЗ и 60% с ФР): тенденция к снижению комбинированной конечной т</w:t>
      </w:r>
      <w:r>
        <w:rPr>
          <w:i/>
          <w:sz w:val="16"/>
        </w:rPr>
        <w:t>очки 3-МАСЕ, не достигшую статистической достоверности; снижение на 17% частоты развития событий комбинированной первичной конечной точки (госпитализация по поводу ХСН и/или сердечно-сосудистая смерть). В субанализе у больных с ИМ в анамнезе также было пок</w:t>
      </w:r>
      <w:r>
        <w:rPr>
          <w:i/>
          <w:sz w:val="16"/>
        </w:rPr>
        <w:t>азано снижение комбинированной конечной точки 3P–MACE на 16%;</w:t>
      </w:r>
    </w:p>
    <w:p w:rsidR="00D27BC6" w:rsidRDefault="004D5071">
      <w:pPr>
        <w:numPr>
          <w:ilvl w:val="0"/>
          <w:numId w:val="29"/>
        </w:numPr>
        <w:spacing w:after="4"/>
        <w:ind w:right="0" w:hanging="82"/>
      </w:pPr>
      <w:r>
        <w:rPr>
          <w:sz w:val="16"/>
        </w:rPr>
        <w:t>Пиоглитазон в исследовании PROactive при повторном анализе показал снижение риска комбинированной конечной точки MACE, включающей смерть по причине сердечно-сосудистых заболеваний, нефатальный и</w:t>
      </w:r>
      <w:r>
        <w:rPr>
          <w:sz w:val="16"/>
        </w:rPr>
        <w:t>нсульт и нефатальный инфаркт миокарда, на 18%, снижение риска повторного инфаркта миокарда на 28% и инсульта на 47%.</w:t>
      </w:r>
    </w:p>
    <w:p w:rsidR="00D27BC6" w:rsidRDefault="004D5071">
      <w:pPr>
        <w:numPr>
          <w:ilvl w:val="0"/>
          <w:numId w:val="29"/>
        </w:numPr>
        <w:spacing w:after="4"/>
        <w:ind w:right="0" w:hanging="82"/>
      </w:pPr>
      <w:r>
        <w:rPr>
          <w:sz w:val="16"/>
        </w:rPr>
        <w:t>Дапаглифлозин, эмпаглифлозин, канаглифлозин. Без крупных РКИ: ипраглифлозин, лусеоглифлозин.</w:t>
      </w:r>
    </w:p>
    <w:p w:rsidR="00D27BC6" w:rsidRDefault="004D5071">
      <w:pPr>
        <w:numPr>
          <w:ilvl w:val="0"/>
          <w:numId w:val="29"/>
        </w:numPr>
        <w:spacing w:after="4"/>
        <w:ind w:right="0" w:hanging="82"/>
      </w:pPr>
      <w:r>
        <w:rPr>
          <w:sz w:val="16"/>
        </w:rPr>
        <w:t>На настоящий момент в РФ: ипраглифлозин, лусео</w:t>
      </w:r>
      <w:r>
        <w:rPr>
          <w:sz w:val="16"/>
        </w:rPr>
        <w:t>глифлозин.</w:t>
      </w:r>
    </w:p>
    <w:p w:rsidR="00D27BC6" w:rsidRDefault="004D5071">
      <w:pPr>
        <w:numPr>
          <w:ilvl w:val="0"/>
          <w:numId w:val="29"/>
        </w:numPr>
        <w:spacing w:after="4"/>
        <w:ind w:right="0" w:hanging="82"/>
      </w:pPr>
      <w:r>
        <w:rPr>
          <w:sz w:val="16"/>
        </w:rPr>
        <w:t>Возможно, определенный вклад вносит улучшение гликемического контроля.</w:t>
      </w:r>
    </w:p>
    <w:p w:rsidR="00D27BC6" w:rsidRDefault="004D5071">
      <w:pPr>
        <w:numPr>
          <w:ilvl w:val="0"/>
          <w:numId w:val="29"/>
        </w:numPr>
        <w:spacing w:after="4"/>
        <w:ind w:right="0" w:hanging="82"/>
      </w:pPr>
      <w:r>
        <w:rPr>
          <w:sz w:val="16"/>
        </w:rPr>
        <w:t>Метформин не оказывает влияния на выраженность стеатоза, воспалительных изменений, однако его применение ассоциировано со снижением риска гепатоцеллюлярной карциномы</w:t>
      </w:r>
    </w:p>
    <w:p w:rsidR="00D27BC6" w:rsidRDefault="004D5071">
      <w:pPr>
        <w:spacing w:after="242" w:line="261" w:lineRule="auto"/>
        <w:ind w:left="10" w:right="6"/>
        <w:jc w:val="center"/>
      </w:pPr>
      <w:r>
        <w:rPr>
          <w:b/>
          <w:sz w:val="18"/>
        </w:rPr>
        <w:t>6.1.7. И</w:t>
      </w:r>
      <w:r>
        <w:rPr>
          <w:b/>
          <w:sz w:val="18"/>
        </w:rPr>
        <w:t>НСУЛИНОТЕРАПИЯ</w:t>
      </w:r>
    </w:p>
    <w:p w:rsidR="00D27BC6" w:rsidRDefault="004D5071">
      <w:pPr>
        <w:spacing w:after="230"/>
        <w:ind w:left="-11" w:right="0" w:firstLine="283"/>
      </w:pPr>
      <w:r>
        <w:t>С момента установления диагноза пациенты с СД 2 типа должны быть осведомлены о возможном назначении инсулина с учетом прогрессирующего течения заболевания.</w:t>
      </w:r>
    </w:p>
    <w:p w:rsidR="00D27BC6" w:rsidRDefault="004D5071">
      <w:pPr>
        <w:spacing w:after="0" w:line="259" w:lineRule="auto"/>
        <w:ind w:left="-3" w:right="0"/>
        <w:jc w:val="left"/>
      </w:pPr>
      <w:r>
        <w:rPr>
          <w:b/>
          <w:color w:val="6F6F6E"/>
        </w:rPr>
        <w:t>Показания:</w:t>
      </w:r>
    </w:p>
    <w:tbl>
      <w:tblPr>
        <w:tblStyle w:val="TableGrid"/>
        <w:tblW w:w="10185" w:type="dxa"/>
        <w:tblInd w:w="12" w:type="dxa"/>
        <w:tblCellMar>
          <w:top w:w="56" w:type="dxa"/>
          <w:left w:w="0" w:type="dxa"/>
          <w:bottom w:w="0" w:type="dxa"/>
          <w:right w:w="115" w:type="dxa"/>
        </w:tblCellMar>
        <w:tblLook w:val="04A0" w:firstRow="1" w:lastRow="0" w:firstColumn="1" w:lastColumn="0" w:noHBand="0" w:noVBand="1"/>
      </w:tblPr>
      <w:tblGrid>
        <w:gridCol w:w="397"/>
        <w:gridCol w:w="9788"/>
      </w:tblGrid>
      <w:tr w:rsidR="00D27BC6">
        <w:trPr>
          <w:trHeight w:val="850"/>
        </w:trPr>
        <w:tc>
          <w:tcPr>
            <w:tcW w:w="397" w:type="dxa"/>
            <w:tcBorders>
              <w:top w:val="single" w:sz="8" w:space="0" w:color="000000"/>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single" w:sz="8" w:space="0" w:color="000000"/>
              <w:left w:val="nil"/>
              <w:bottom w:val="nil"/>
              <w:right w:val="single" w:sz="8" w:space="0" w:color="000000"/>
            </w:tcBorders>
          </w:tcPr>
          <w:p w:rsidR="00D27BC6" w:rsidRDefault="004D5071">
            <w:pPr>
              <w:spacing w:after="0" w:line="259" w:lineRule="auto"/>
              <w:ind w:left="0" w:right="0" w:firstLine="0"/>
              <w:jc w:val="left"/>
            </w:pPr>
            <w:r>
              <w:t>у лиц с впервые выявленным СД 2 типа – при уровне HbA1c, превышающем индивидуальный целевой уровень более чем на 2.5%, и наличии выраженной клинической симптоматики метаболической декомпенсации (возможно временное назначение инсулинотерапии);</w:t>
            </w:r>
          </w:p>
        </w:tc>
      </w:tr>
      <w:tr w:rsidR="00D27BC6">
        <w:trPr>
          <w:trHeight w:val="593"/>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nil"/>
              <w:right w:val="single" w:sz="8" w:space="0" w:color="000000"/>
            </w:tcBorders>
          </w:tcPr>
          <w:p w:rsidR="00D27BC6" w:rsidRDefault="004D5071">
            <w:pPr>
              <w:spacing w:after="0" w:line="259" w:lineRule="auto"/>
              <w:ind w:left="0" w:right="0" w:firstLine="0"/>
              <w:jc w:val="left"/>
            </w:pPr>
            <w:r>
              <w:t>у лиц с а</w:t>
            </w:r>
            <w:r>
              <w:t>намнезом СД 2 типа – при отсутствии достижения индивидуальных целей гликемического контроля на фоне лечения оптимальными дозами других сахароснижающих препаратов или их комбинаций;</w:t>
            </w:r>
          </w:p>
        </w:tc>
      </w:tr>
      <w:tr w:rsidR="00D27BC6">
        <w:trPr>
          <w:trHeight w:val="353"/>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nil"/>
              <w:right w:val="single" w:sz="8" w:space="0" w:color="000000"/>
            </w:tcBorders>
          </w:tcPr>
          <w:p w:rsidR="00D27BC6" w:rsidRDefault="004D5071">
            <w:pPr>
              <w:spacing w:after="0" w:line="259" w:lineRule="auto"/>
              <w:ind w:left="0" w:right="0" w:firstLine="0"/>
              <w:jc w:val="left"/>
            </w:pPr>
            <w:r>
              <w:t>при наличии противопоказаний к назначению или непереносимости других сахароснижающих препаратов;</w:t>
            </w:r>
          </w:p>
        </w:tc>
      </w:tr>
      <w:tr w:rsidR="00D27BC6">
        <w:trPr>
          <w:trHeight w:val="353"/>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nil"/>
              <w:right w:val="single" w:sz="8" w:space="0" w:color="000000"/>
            </w:tcBorders>
          </w:tcPr>
          <w:p w:rsidR="00D27BC6" w:rsidRDefault="004D5071">
            <w:pPr>
              <w:spacing w:after="0" w:line="259" w:lineRule="auto"/>
              <w:ind w:left="0" w:right="0" w:firstLine="0"/>
              <w:jc w:val="left"/>
            </w:pPr>
            <w:r>
              <w:t>при кетоацидозе и гиперосмолярном гипергликемическом состоянии;</w:t>
            </w:r>
          </w:p>
        </w:tc>
      </w:tr>
      <w:tr w:rsidR="00D27BC6">
        <w:trPr>
          <w:trHeight w:val="897"/>
        </w:trPr>
        <w:tc>
          <w:tcPr>
            <w:tcW w:w="397" w:type="dxa"/>
            <w:tcBorders>
              <w:top w:val="nil"/>
              <w:left w:val="single" w:sz="8" w:space="0" w:color="000000"/>
              <w:bottom w:val="single" w:sz="8" w:space="0" w:color="000000"/>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single" w:sz="8" w:space="0" w:color="000000"/>
              <w:right w:val="single" w:sz="8" w:space="0" w:color="000000"/>
            </w:tcBorders>
          </w:tcPr>
          <w:p w:rsidR="00D27BC6" w:rsidRDefault="004D5071">
            <w:pPr>
              <w:spacing w:after="0" w:line="259" w:lineRule="auto"/>
              <w:ind w:left="0" w:right="520" w:firstLine="0"/>
              <w:jc w:val="left"/>
            </w:pPr>
            <w:r>
              <w:t>при оперативных вмешательствах, острых интеркуррентных и обострении хронических заболеваний, сопровождающихся нецелевыми уровнями гликемического контроля (возможен временный перевод на инсулинотерапию); во время беременности.</w:t>
            </w:r>
          </w:p>
        </w:tc>
      </w:tr>
    </w:tbl>
    <w:p w:rsidR="00D27BC6" w:rsidRDefault="004D5071">
      <w:pPr>
        <w:spacing w:after="226"/>
        <w:ind w:left="281" w:right="51"/>
        <w:jc w:val="left"/>
      </w:pPr>
      <w:r>
        <w:rPr>
          <w:b/>
        </w:rPr>
        <w:t xml:space="preserve">Характеристика препаратов инсулина, применяемых при лечении больных СД 2 типа – </w:t>
      </w:r>
      <w:r>
        <w:t>см. приложение 1.</w:t>
      </w:r>
    </w:p>
    <w:p w:rsidR="00D27BC6" w:rsidRDefault="004D5071">
      <w:pPr>
        <w:ind w:left="-11" w:right="0" w:firstLine="283"/>
      </w:pPr>
      <w:r>
        <w:t>Для пациентов с СД 2 типа препаратами выбора являются аналоги генно-инженерного инсулина человека ультракороткого, сверхбыстрого, длительного и сверхдлительно</w:t>
      </w:r>
      <w:r>
        <w:t>го действия. При переводе пациента с одного инсулина на другой необходимо соблюдать требования для наилучшего обеспечения безопасности пациента, изложенные в разделе 5.1.1.</w:t>
      </w:r>
    </w:p>
    <w:p w:rsidR="00D27BC6" w:rsidRDefault="004D5071">
      <w:pPr>
        <w:spacing w:after="230"/>
        <w:ind w:left="-11" w:right="0" w:firstLine="283"/>
      </w:pPr>
      <w:r>
        <w:t>Рекомендуется учитывать преимущества арГПП-1 над препаратами инсулина у пациентов с</w:t>
      </w:r>
      <w:r>
        <w:t xml:space="preserve"> СД 2 типа, нуждающихся в интенсификации сахароснижающего лечения, с целью снизить риск гипогликемий и увеличения массы тела и получения дополнительных преимуществ.</w:t>
      </w:r>
    </w:p>
    <w:p w:rsidR="00D27BC6" w:rsidRDefault="004D5071">
      <w:pPr>
        <w:spacing w:after="0" w:line="259" w:lineRule="auto"/>
        <w:ind w:left="-3" w:right="0"/>
        <w:jc w:val="left"/>
      </w:pPr>
      <w:r>
        <w:rPr>
          <w:b/>
          <w:color w:val="6F6F6E"/>
        </w:rPr>
        <w:t>Перед плановым переводом больного на инсулинотерапию НЕОБХОДИМО:</w:t>
      </w:r>
    </w:p>
    <w:tbl>
      <w:tblPr>
        <w:tblStyle w:val="TableGrid"/>
        <w:tblW w:w="10185" w:type="dxa"/>
        <w:tblInd w:w="12" w:type="dxa"/>
        <w:tblCellMar>
          <w:top w:w="57" w:type="dxa"/>
          <w:left w:w="0" w:type="dxa"/>
          <w:bottom w:w="0" w:type="dxa"/>
          <w:right w:w="115" w:type="dxa"/>
        </w:tblCellMar>
        <w:tblLook w:val="04A0" w:firstRow="1" w:lastRow="0" w:firstColumn="1" w:lastColumn="0" w:noHBand="0" w:noVBand="1"/>
      </w:tblPr>
      <w:tblGrid>
        <w:gridCol w:w="397"/>
        <w:gridCol w:w="9788"/>
      </w:tblGrid>
      <w:tr w:rsidR="00D27BC6">
        <w:trPr>
          <w:trHeight w:val="370"/>
        </w:trPr>
        <w:tc>
          <w:tcPr>
            <w:tcW w:w="397" w:type="dxa"/>
            <w:tcBorders>
              <w:top w:val="single" w:sz="8" w:space="0" w:color="000000"/>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single" w:sz="8" w:space="0" w:color="000000"/>
              <w:left w:val="nil"/>
              <w:bottom w:val="nil"/>
              <w:right w:val="single" w:sz="8" w:space="0" w:color="000000"/>
            </w:tcBorders>
          </w:tcPr>
          <w:p w:rsidR="00D27BC6" w:rsidRDefault="004D5071">
            <w:pPr>
              <w:spacing w:after="0" w:line="259" w:lineRule="auto"/>
              <w:ind w:left="0" w:right="0" w:firstLine="0"/>
              <w:jc w:val="left"/>
            </w:pPr>
            <w:r>
              <w:t>обучить пациента методам самоконтроля гликемии;</w:t>
            </w:r>
          </w:p>
        </w:tc>
      </w:tr>
      <w:tr w:rsidR="00D27BC6">
        <w:trPr>
          <w:trHeight w:val="593"/>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nil"/>
              <w:right w:val="single" w:sz="8" w:space="0" w:color="000000"/>
            </w:tcBorders>
          </w:tcPr>
          <w:p w:rsidR="00D27BC6" w:rsidRDefault="004D5071">
            <w:pPr>
              <w:spacing w:after="0" w:line="259" w:lineRule="auto"/>
              <w:ind w:left="0" w:right="813" w:firstLine="0"/>
              <w:jc w:val="left"/>
            </w:pPr>
            <w:r>
              <w:t>предупредить о возможности гипогликемии, информировать о ее симптомах и методах устранения и профилактики;</w:t>
            </w:r>
          </w:p>
        </w:tc>
      </w:tr>
      <w:tr w:rsidR="00D27BC6">
        <w:trPr>
          <w:trHeight w:val="657"/>
        </w:trPr>
        <w:tc>
          <w:tcPr>
            <w:tcW w:w="397" w:type="dxa"/>
            <w:tcBorders>
              <w:top w:val="nil"/>
              <w:left w:val="single" w:sz="8" w:space="0" w:color="000000"/>
              <w:bottom w:val="single" w:sz="8" w:space="0" w:color="000000"/>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single" w:sz="8" w:space="0" w:color="000000"/>
              <w:right w:val="single" w:sz="8" w:space="0" w:color="000000"/>
            </w:tcBorders>
          </w:tcPr>
          <w:p w:rsidR="00D27BC6" w:rsidRDefault="004D5071">
            <w:pPr>
              <w:spacing w:after="0" w:line="259" w:lineRule="auto"/>
              <w:ind w:left="0" w:right="0" w:firstLine="0"/>
              <w:jc w:val="left"/>
            </w:pPr>
            <w:r>
              <w:t>пересмотреть принципы питания (учет углеводов при использовании ИКД (ИУКД, ИСБД) или готовых смесей/ комбинаций).</w:t>
            </w:r>
          </w:p>
        </w:tc>
      </w:tr>
    </w:tbl>
    <w:p w:rsidR="00D27BC6" w:rsidRDefault="004D5071">
      <w:pPr>
        <w:pStyle w:val="Heading2"/>
        <w:ind w:left="-3"/>
      </w:pPr>
      <w:r>
        <w:t>Общие рекомендации по выбору режима инсулинотерапии при СД 2 типа</w:t>
      </w:r>
    </w:p>
    <w:tbl>
      <w:tblPr>
        <w:tblStyle w:val="TableGrid"/>
        <w:tblW w:w="10185" w:type="dxa"/>
        <w:tblInd w:w="9" w:type="dxa"/>
        <w:tblCellMar>
          <w:top w:w="9" w:type="dxa"/>
          <w:left w:w="56" w:type="dxa"/>
          <w:bottom w:w="0" w:type="dxa"/>
          <w:right w:w="47" w:type="dxa"/>
        </w:tblCellMar>
        <w:tblLook w:val="04A0" w:firstRow="1" w:lastRow="0" w:firstColumn="1" w:lastColumn="0" w:noHBand="0" w:noVBand="1"/>
      </w:tblPr>
      <w:tblGrid>
        <w:gridCol w:w="3395"/>
        <w:gridCol w:w="3395"/>
        <w:gridCol w:w="3395"/>
      </w:tblGrid>
      <w:tr w:rsidR="00D27BC6">
        <w:trPr>
          <w:trHeight w:val="320"/>
        </w:trPr>
        <w:tc>
          <w:tcPr>
            <w:tcW w:w="339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2" w:right="0" w:firstLine="0"/>
              <w:jc w:val="center"/>
            </w:pPr>
            <w:r>
              <w:rPr>
                <w:b/>
              </w:rPr>
              <w:t>Образ жизни</w:t>
            </w:r>
          </w:p>
        </w:tc>
        <w:tc>
          <w:tcPr>
            <w:tcW w:w="339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2" w:right="0" w:firstLine="0"/>
              <w:jc w:val="center"/>
            </w:pPr>
            <w:r>
              <w:rPr>
                <w:b/>
              </w:rPr>
              <w:t>Течение заболевания</w:t>
            </w:r>
          </w:p>
        </w:tc>
        <w:tc>
          <w:tcPr>
            <w:tcW w:w="339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85" w:right="0" w:firstLine="0"/>
              <w:jc w:val="left"/>
            </w:pPr>
            <w:r>
              <w:rPr>
                <w:b/>
              </w:rPr>
              <w:t>Выбор режима инсулинотерапии</w:t>
            </w:r>
          </w:p>
        </w:tc>
      </w:tr>
      <w:tr w:rsidR="00D27BC6">
        <w:trPr>
          <w:trHeight w:val="3300"/>
        </w:trPr>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hanging="170"/>
              <w:jc w:val="left"/>
            </w:pPr>
            <w:r>
              <w:t xml:space="preserve">– </w:t>
            </w:r>
            <w:r>
              <w:t>Не имеет определяющего значения при умеренном превышении целевых показателей гликемического контроля</w:t>
            </w:r>
          </w:p>
        </w:tc>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51"/>
              </w:numPr>
              <w:spacing w:after="113" w:line="236" w:lineRule="auto"/>
              <w:ind w:right="0" w:hanging="170"/>
              <w:jc w:val="left"/>
            </w:pPr>
            <w:r>
              <w:t>Неэффективность диеты и оптимальной дозы других сахароснижающих препаратов или их комбинаций</w:t>
            </w:r>
          </w:p>
          <w:p w:rsidR="00D27BC6" w:rsidRDefault="004D5071">
            <w:pPr>
              <w:numPr>
                <w:ilvl w:val="0"/>
                <w:numId w:val="251"/>
              </w:numPr>
              <w:spacing w:after="113" w:line="236" w:lineRule="auto"/>
              <w:ind w:right="0" w:hanging="170"/>
              <w:jc w:val="left"/>
            </w:pPr>
            <w:r>
              <w:t>Уровень HbA1с выше целевого менее, чем на 1,5%</w:t>
            </w:r>
          </w:p>
          <w:p w:rsidR="00D27BC6" w:rsidRDefault="004D5071">
            <w:pPr>
              <w:numPr>
                <w:ilvl w:val="0"/>
                <w:numId w:val="251"/>
              </w:numPr>
              <w:spacing w:after="0" w:line="259" w:lineRule="auto"/>
              <w:ind w:right="0" w:hanging="170"/>
              <w:jc w:val="left"/>
            </w:pPr>
            <w:r>
              <w:t>Гипергликемия н</w:t>
            </w:r>
            <w:r>
              <w:t>атощак</w:t>
            </w:r>
          </w:p>
        </w:tc>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52"/>
              </w:numPr>
              <w:spacing w:after="113" w:line="236" w:lineRule="auto"/>
              <w:ind w:right="42" w:hanging="170"/>
            </w:pPr>
            <w:r>
              <w:t>Аналог инсулина длительного действия 1–2 раза в день или сверхдлительного действия 1 раз в день + ПССП / арГПП-1</w:t>
            </w:r>
          </w:p>
          <w:p w:rsidR="00D27BC6" w:rsidRDefault="004D5071">
            <w:pPr>
              <w:numPr>
                <w:ilvl w:val="0"/>
                <w:numId w:val="252"/>
              </w:numPr>
              <w:spacing w:after="0" w:line="236" w:lineRule="auto"/>
              <w:ind w:right="42" w:hanging="170"/>
            </w:pPr>
            <w:r>
              <w:t xml:space="preserve">Инсулин средней продолжительности действия </w:t>
            </w:r>
          </w:p>
          <w:p w:rsidR="00D27BC6" w:rsidRDefault="004D5071">
            <w:pPr>
              <w:spacing w:after="113" w:line="236" w:lineRule="auto"/>
              <w:ind w:left="170" w:right="0" w:firstLine="0"/>
              <w:jc w:val="left"/>
            </w:pPr>
            <w:r>
              <w:t>(НПХ) 1–2 раза в день + ПССП / арГПП-1</w:t>
            </w:r>
          </w:p>
          <w:p w:rsidR="00D27BC6" w:rsidRDefault="004D5071">
            <w:pPr>
              <w:numPr>
                <w:ilvl w:val="0"/>
                <w:numId w:val="252"/>
              </w:numPr>
              <w:spacing w:after="0" w:line="259" w:lineRule="auto"/>
              <w:ind w:right="42" w:hanging="170"/>
            </w:pPr>
            <w:r>
              <w:t>Фиксированная комбинация аналога инсулина длительного или сверхдлительного действия и арГПП-1 (1 раз в день) ± ПССП*</w:t>
            </w:r>
          </w:p>
        </w:tc>
      </w:tr>
      <w:tr w:rsidR="00D27BC6">
        <w:trPr>
          <w:trHeight w:val="320"/>
        </w:trPr>
        <w:tc>
          <w:tcPr>
            <w:tcW w:w="339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 w:firstLine="0"/>
              <w:jc w:val="center"/>
            </w:pPr>
            <w:r>
              <w:rPr>
                <w:b/>
              </w:rPr>
              <w:t>Образ жизни</w:t>
            </w:r>
          </w:p>
        </w:tc>
        <w:tc>
          <w:tcPr>
            <w:tcW w:w="339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9" w:firstLine="0"/>
              <w:jc w:val="center"/>
            </w:pPr>
            <w:r>
              <w:rPr>
                <w:b/>
              </w:rPr>
              <w:t>Течение заболевания</w:t>
            </w:r>
          </w:p>
        </w:tc>
        <w:tc>
          <w:tcPr>
            <w:tcW w:w="339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85" w:right="0" w:firstLine="0"/>
              <w:jc w:val="left"/>
            </w:pPr>
            <w:r>
              <w:rPr>
                <w:b/>
              </w:rPr>
              <w:t>Выбор режима инсулинотерапии</w:t>
            </w:r>
          </w:p>
        </w:tc>
      </w:tr>
      <w:tr w:rsidR="00D27BC6">
        <w:trPr>
          <w:trHeight w:val="3894"/>
        </w:trPr>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53"/>
              </w:numPr>
              <w:spacing w:after="113" w:line="236" w:lineRule="auto"/>
              <w:ind w:right="0" w:hanging="170"/>
              <w:jc w:val="left"/>
            </w:pPr>
            <w:r>
              <w:t>Пациент неохотно обсуждает необходимость начала инсулинотерапии / проявляет готовность использовать наиболее простой режим инсулинотерапии</w:t>
            </w:r>
          </w:p>
          <w:p w:rsidR="00D27BC6" w:rsidRDefault="004D5071">
            <w:pPr>
              <w:numPr>
                <w:ilvl w:val="0"/>
                <w:numId w:val="253"/>
              </w:numPr>
              <w:spacing w:after="90" w:line="259" w:lineRule="auto"/>
              <w:ind w:right="0" w:hanging="170"/>
              <w:jc w:val="left"/>
            </w:pPr>
            <w:r>
              <w:t>Размеренный образ жизни</w:t>
            </w:r>
          </w:p>
          <w:p w:rsidR="00D27BC6" w:rsidRDefault="004D5071">
            <w:pPr>
              <w:numPr>
                <w:ilvl w:val="0"/>
                <w:numId w:val="253"/>
              </w:numPr>
              <w:spacing w:after="90" w:line="259" w:lineRule="auto"/>
              <w:ind w:right="0" w:hanging="170"/>
              <w:jc w:val="left"/>
            </w:pPr>
            <w:r>
              <w:t>Низкая физическая активность</w:t>
            </w:r>
          </w:p>
          <w:p w:rsidR="00D27BC6" w:rsidRDefault="004D5071">
            <w:pPr>
              <w:numPr>
                <w:ilvl w:val="0"/>
                <w:numId w:val="253"/>
              </w:numPr>
              <w:spacing w:after="90" w:line="259" w:lineRule="auto"/>
              <w:ind w:right="0" w:hanging="170"/>
              <w:jc w:val="left"/>
            </w:pPr>
            <w:r>
              <w:t>Живет один</w:t>
            </w:r>
          </w:p>
          <w:p w:rsidR="00D27BC6" w:rsidRDefault="004D5071">
            <w:pPr>
              <w:numPr>
                <w:ilvl w:val="0"/>
                <w:numId w:val="253"/>
              </w:numPr>
              <w:spacing w:after="0" w:line="259" w:lineRule="auto"/>
              <w:ind w:right="0" w:hanging="170"/>
              <w:jc w:val="left"/>
            </w:pPr>
            <w:r>
              <w:t>Не может справляться с интенсивным режимом инсулинотерапии</w:t>
            </w:r>
          </w:p>
        </w:tc>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54"/>
              </w:numPr>
              <w:spacing w:after="113" w:line="236" w:lineRule="auto"/>
              <w:ind w:right="0" w:hanging="170"/>
              <w:jc w:val="left"/>
            </w:pPr>
            <w:r>
              <w:t>Неэффективность диеты и оптимальной дозы других сахароснижающих препаратов или их комбинаций</w:t>
            </w:r>
          </w:p>
          <w:p w:rsidR="00D27BC6" w:rsidRDefault="004D5071">
            <w:pPr>
              <w:numPr>
                <w:ilvl w:val="0"/>
                <w:numId w:val="254"/>
              </w:numPr>
              <w:spacing w:after="113" w:line="236" w:lineRule="auto"/>
              <w:ind w:right="0" w:hanging="170"/>
              <w:jc w:val="left"/>
            </w:pPr>
            <w:r>
              <w:t>Уровень HbА1с выше целевого более, чем на 1,5%</w:t>
            </w:r>
          </w:p>
          <w:p w:rsidR="00D27BC6" w:rsidRDefault="004D5071">
            <w:pPr>
              <w:numPr>
                <w:ilvl w:val="0"/>
                <w:numId w:val="254"/>
              </w:numPr>
              <w:spacing w:after="0" w:line="259" w:lineRule="auto"/>
              <w:ind w:right="0" w:hanging="170"/>
              <w:jc w:val="left"/>
            </w:pPr>
            <w:r>
              <w:t>Гипергликемия натощак и после еды</w:t>
            </w:r>
          </w:p>
        </w:tc>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55"/>
              </w:numPr>
              <w:spacing w:after="113" w:line="236" w:lineRule="auto"/>
              <w:ind w:right="0" w:hanging="170"/>
              <w:jc w:val="left"/>
            </w:pPr>
            <w:r>
              <w:t>Готовая смесь аналога И</w:t>
            </w:r>
            <w:r>
              <w:t>УКД и протаминированного аналога ИУКД 1–2 раза в день ± ПССП*</w:t>
            </w:r>
          </w:p>
          <w:p w:rsidR="00D27BC6" w:rsidRDefault="004D5071">
            <w:pPr>
              <w:numPr>
                <w:ilvl w:val="0"/>
                <w:numId w:val="255"/>
              </w:numPr>
              <w:spacing w:after="0" w:line="236" w:lineRule="auto"/>
              <w:ind w:right="0" w:hanging="170"/>
              <w:jc w:val="left"/>
            </w:pPr>
            <w:r>
              <w:t xml:space="preserve">Готовая смесь ИКД и средней продолжительности действия </w:t>
            </w:r>
          </w:p>
          <w:p w:rsidR="00D27BC6" w:rsidRDefault="004D5071">
            <w:pPr>
              <w:spacing w:after="90" w:line="259" w:lineRule="auto"/>
              <w:ind w:left="170" w:right="0" w:firstLine="0"/>
              <w:jc w:val="left"/>
            </w:pPr>
            <w:r>
              <w:t>(НПХ) 1–2 раза в день ± ПССП*</w:t>
            </w:r>
          </w:p>
          <w:p w:rsidR="00D27BC6" w:rsidRDefault="004D5071">
            <w:pPr>
              <w:numPr>
                <w:ilvl w:val="0"/>
                <w:numId w:val="255"/>
              </w:numPr>
              <w:spacing w:after="113" w:line="236" w:lineRule="auto"/>
              <w:ind w:right="0" w:hanging="170"/>
              <w:jc w:val="left"/>
            </w:pPr>
            <w:r>
              <w:t>Готовая комбинация аналога инсулина сверхдлительного действия и аналога ИУКД 1–2 раза в день ± ПССП*</w:t>
            </w:r>
          </w:p>
          <w:p w:rsidR="00D27BC6" w:rsidRDefault="004D5071">
            <w:pPr>
              <w:numPr>
                <w:ilvl w:val="0"/>
                <w:numId w:val="255"/>
              </w:numPr>
              <w:spacing w:after="0" w:line="259" w:lineRule="auto"/>
              <w:ind w:right="0" w:hanging="170"/>
              <w:jc w:val="left"/>
            </w:pPr>
            <w:r>
              <w:t>Фиксированная комбинация аналога инсулина длительного или сверхдлительного действия и арГПП-1 (1 раз в день) ± ПССП*</w:t>
            </w:r>
          </w:p>
        </w:tc>
      </w:tr>
      <w:tr w:rsidR="00D27BC6">
        <w:trPr>
          <w:trHeight w:val="2947"/>
        </w:trPr>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56"/>
              </w:numPr>
              <w:spacing w:after="90" w:line="259" w:lineRule="auto"/>
              <w:ind w:right="0" w:hanging="170"/>
              <w:jc w:val="left"/>
            </w:pPr>
            <w:r>
              <w:t>Активный образ жизни</w:t>
            </w:r>
          </w:p>
          <w:p w:rsidR="00D27BC6" w:rsidRDefault="004D5071">
            <w:pPr>
              <w:numPr>
                <w:ilvl w:val="0"/>
                <w:numId w:val="256"/>
              </w:numPr>
              <w:spacing w:after="113" w:line="236" w:lineRule="auto"/>
              <w:ind w:right="0" w:hanging="170"/>
              <w:jc w:val="left"/>
            </w:pPr>
            <w:r>
              <w:t>Физические нагрузки, занятия спортом</w:t>
            </w:r>
          </w:p>
          <w:p w:rsidR="00D27BC6" w:rsidRDefault="004D5071">
            <w:pPr>
              <w:numPr>
                <w:ilvl w:val="0"/>
                <w:numId w:val="256"/>
              </w:numPr>
              <w:spacing w:after="90" w:line="259" w:lineRule="auto"/>
              <w:ind w:right="0" w:hanging="170"/>
              <w:jc w:val="left"/>
            </w:pPr>
            <w:r>
              <w:t>Мотивация к самоконтролю</w:t>
            </w:r>
          </w:p>
          <w:p w:rsidR="00D27BC6" w:rsidRDefault="004D5071">
            <w:pPr>
              <w:numPr>
                <w:ilvl w:val="0"/>
                <w:numId w:val="256"/>
              </w:numPr>
              <w:spacing w:after="0" w:line="259" w:lineRule="auto"/>
              <w:ind w:right="0" w:hanging="170"/>
              <w:jc w:val="left"/>
            </w:pPr>
            <w:r>
              <w:t xml:space="preserve">Способность справляться с требованиями к режиму интенсифицированной инсулинотерапии </w:t>
            </w:r>
          </w:p>
        </w:tc>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57"/>
              </w:numPr>
              <w:spacing w:after="113" w:line="236" w:lineRule="auto"/>
              <w:ind w:right="0" w:hanging="170"/>
              <w:jc w:val="left"/>
            </w:pPr>
            <w:r>
              <w:t>Неэффективность диеты и оптимальной дозы других сахароснижающих препаратов или их комбинаций</w:t>
            </w:r>
          </w:p>
          <w:p w:rsidR="00D27BC6" w:rsidRDefault="004D5071">
            <w:pPr>
              <w:numPr>
                <w:ilvl w:val="0"/>
                <w:numId w:val="257"/>
              </w:numPr>
              <w:spacing w:after="113" w:line="236" w:lineRule="auto"/>
              <w:ind w:right="0" w:hanging="170"/>
              <w:jc w:val="left"/>
            </w:pPr>
            <w:r>
              <w:t>Уровень HbА1с выше целевого более, чем на 1,5%</w:t>
            </w:r>
          </w:p>
          <w:p w:rsidR="00D27BC6" w:rsidRDefault="004D5071">
            <w:pPr>
              <w:numPr>
                <w:ilvl w:val="0"/>
                <w:numId w:val="257"/>
              </w:numPr>
              <w:spacing w:after="0" w:line="259" w:lineRule="auto"/>
              <w:ind w:right="0" w:hanging="170"/>
              <w:jc w:val="left"/>
            </w:pPr>
            <w:r>
              <w:t>Гипергликемия натощак и после е</w:t>
            </w:r>
            <w:r>
              <w:t>ды</w:t>
            </w:r>
          </w:p>
        </w:tc>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58"/>
              </w:numPr>
              <w:spacing w:after="0" w:line="236" w:lineRule="auto"/>
              <w:ind w:right="74" w:hanging="170"/>
              <w:jc w:val="left"/>
            </w:pPr>
            <w:r>
              <w:t xml:space="preserve">Аналог инсулина длительного действия 1–2 раза в день или сверхдлительного действия 1 раз в день + аналог ИУКД (ИСБД) перед </w:t>
            </w:r>
          </w:p>
          <w:p w:rsidR="00D27BC6" w:rsidRDefault="004D5071">
            <w:pPr>
              <w:spacing w:after="113" w:line="236" w:lineRule="auto"/>
              <w:ind w:left="170" w:right="0" w:firstLine="0"/>
              <w:jc w:val="left"/>
            </w:pPr>
            <w:r>
              <w:t>завтраком, обедом и ужином ± ПССП*</w:t>
            </w:r>
          </w:p>
          <w:p w:rsidR="00D27BC6" w:rsidRDefault="004D5071">
            <w:pPr>
              <w:numPr>
                <w:ilvl w:val="0"/>
                <w:numId w:val="258"/>
              </w:numPr>
              <w:spacing w:after="0" w:line="236" w:lineRule="auto"/>
              <w:ind w:right="74" w:hanging="170"/>
              <w:jc w:val="left"/>
            </w:pPr>
            <w:r>
              <w:t xml:space="preserve">Инсулин средней продолжительности действия (НПХ) 2–3 раза в день + ИКД перед </w:t>
            </w:r>
          </w:p>
          <w:p w:rsidR="00D27BC6" w:rsidRDefault="004D5071">
            <w:pPr>
              <w:spacing w:after="0" w:line="259" w:lineRule="auto"/>
              <w:ind w:left="170" w:right="0" w:firstLine="0"/>
              <w:jc w:val="left"/>
            </w:pPr>
            <w:r>
              <w:t xml:space="preserve">завтраком, обедом и ужином ± </w:t>
            </w:r>
          </w:p>
          <w:p w:rsidR="00D27BC6" w:rsidRDefault="004D5071">
            <w:pPr>
              <w:spacing w:after="0" w:line="259" w:lineRule="auto"/>
              <w:ind w:left="170" w:right="0" w:firstLine="0"/>
              <w:jc w:val="left"/>
            </w:pPr>
            <w:r>
              <w:t>ПССП*</w:t>
            </w:r>
          </w:p>
        </w:tc>
      </w:tr>
    </w:tbl>
    <w:p w:rsidR="00D27BC6" w:rsidRDefault="004D5071">
      <w:pPr>
        <w:spacing w:after="496"/>
        <w:ind w:left="-3" w:right="0"/>
      </w:pPr>
      <w:r>
        <w:rPr>
          <w:sz w:val="16"/>
        </w:rPr>
        <w:t>* Кроме нерациональных комбинаций.</w:t>
      </w:r>
    </w:p>
    <w:p w:rsidR="00D27BC6" w:rsidRDefault="004D5071">
      <w:pPr>
        <w:ind w:left="-11" w:right="0" w:firstLine="283"/>
      </w:pPr>
      <w:r>
        <w:t>Обычно базальный инсулин добавляют в дозе 10 ЕД в сутки или 0,1–0,2 ЕД на кг массы тела, титрация проводится 1 раз в 3–7 дней по 2 ЕД по уровню глюкозы плазмы натощак. С учетом простог</w:t>
      </w:r>
      <w:r>
        <w:t>о режима титрации следует учитывать потенциальную возможность достижения избыточной дозы базального инсулина в составе сахароснижающей терапии. Часто при этом суточная доза базального инсулина превышает 0,5 ЕД/кг, имеются большая разница между показателями</w:t>
      </w:r>
      <w:r>
        <w:t xml:space="preserve"> гликемии на ночь и утром натощак, гипогликемии, большая вариабельность показателей гликемии в течение суток.</w:t>
      </w:r>
    </w:p>
    <w:p w:rsidR="00D27BC6" w:rsidRDefault="004D5071">
      <w:pPr>
        <w:ind w:left="-11" w:right="0" w:firstLine="283"/>
      </w:pPr>
      <w:r>
        <w:t>Фиксированные комбинации базального инсулина и арГПП-1, по сравнению с применением базального инсулина, позволяют большей доле пациентов достичь ц</w:t>
      </w:r>
      <w:r>
        <w:t>елевого уровня HbA1с без увеличения частоты гипогликемий и увеличения массы тела. Аналогичные преимущества могут получить пациенты, уже находящиеся на базальном инсулине, при переводе на фиксированные комбинации базального инсулина и арГПП-1 по сравнению с</w:t>
      </w:r>
      <w:r>
        <w:t xml:space="preserve"> переводом на готовые смеси инсулина.</w:t>
      </w:r>
    </w:p>
    <w:p w:rsidR="00D27BC6" w:rsidRDefault="004D5071">
      <w:pPr>
        <w:ind w:left="-11" w:right="0" w:firstLine="283"/>
      </w:pPr>
      <w:r>
        <w:t>Обычно готовые смеси/комбинации инсулина назначают 1–2 раза в сутки в дозе 10–12 ЕД в сутки или 0,3 ЕД на кг массы тела, титрация индивидуальна, зависит от вида инсулина и проводится по уровню глюкозы плазмы натощак и/</w:t>
      </w:r>
      <w:r>
        <w:t xml:space="preserve">или перед ужином. </w:t>
      </w:r>
    </w:p>
    <w:p w:rsidR="00D27BC6" w:rsidRDefault="004D5071">
      <w:pPr>
        <w:spacing w:after="230"/>
        <w:ind w:left="-11" w:right="0" w:firstLine="284"/>
      </w:pPr>
      <w:r>
        <w:t xml:space="preserve">Обычно распределение ИКД (ИУКД, ИСБД) и базального инсулина при назначении интенсифицированной инсулинотерапии составляет 50%/50%. Обычно базальный инсулин назначают в дозе 10 ЕД в сутки или 0,1–0,2 ЕД на кг массы тела, ИКД (ИУКД, ИСБД) </w:t>
      </w:r>
      <w:r>
        <w:t>в дозе 4 ЕД или 10% от дозы базального инсулина перед основными приемами пищи. Титрация базального инулина проводится по 2 ЕД 1 раз в 3–7 дней по уровню глюкозы плазмы натощак, дозы ИКД (ИУКД, ИСБД) зависят от уровня глюкозы плазмы перед едой и планируемог</w:t>
      </w:r>
      <w:r>
        <w:t>о количества углеводов (см. приложение 2). Самоконтроль гликемии проводится не менее 4 раз в сутки.</w:t>
      </w:r>
    </w:p>
    <w:p w:rsidR="00D27BC6" w:rsidRDefault="004D5071">
      <w:pPr>
        <w:ind w:left="281" w:right="51"/>
        <w:jc w:val="left"/>
      </w:pPr>
      <w:r>
        <w:rPr>
          <w:b/>
        </w:rPr>
        <w:t>Показания для интенсификации инсулинотерапии при СД 2 типа:</w:t>
      </w:r>
    </w:p>
    <w:p w:rsidR="00D27BC6" w:rsidRDefault="004D5071">
      <w:pPr>
        <w:numPr>
          <w:ilvl w:val="0"/>
          <w:numId w:val="30"/>
        </w:numPr>
        <w:ind w:right="0" w:hanging="283"/>
      </w:pPr>
      <w:r>
        <w:t>отсутствие достижения индивидуальных целей гликемического контроля на предшествующем режиме инсу</w:t>
      </w:r>
      <w:r>
        <w:t>линотерапии в течение 3–6 мес.;</w:t>
      </w:r>
    </w:p>
    <w:p w:rsidR="00D27BC6" w:rsidRDefault="004D5071">
      <w:pPr>
        <w:numPr>
          <w:ilvl w:val="0"/>
          <w:numId w:val="30"/>
        </w:numPr>
        <w:ind w:right="0" w:hanging="283"/>
      </w:pPr>
      <w:r>
        <w:t>дальнейшее титрование дозы в одной инъекции ограничено из-за большой однократной дозы (увеличение риска развития гипогликемии);</w:t>
      </w:r>
    </w:p>
    <w:p w:rsidR="00D27BC6" w:rsidRDefault="004D5071">
      <w:pPr>
        <w:numPr>
          <w:ilvl w:val="0"/>
          <w:numId w:val="30"/>
        </w:numPr>
        <w:ind w:right="0" w:hanging="283"/>
      </w:pPr>
      <w:r>
        <w:t>режим питания предполагает необходимость интенсификации инсулинотерапии.</w:t>
      </w:r>
    </w:p>
    <w:p w:rsidR="00D27BC6" w:rsidRDefault="004D5071">
      <w:pPr>
        <w:pStyle w:val="Heading2"/>
        <w:ind w:left="-3"/>
      </w:pPr>
      <w:r>
        <w:t>Возможные варианты интенсификации инсулинотерапии при СД 2 типа</w:t>
      </w:r>
    </w:p>
    <w:tbl>
      <w:tblPr>
        <w:tblStyle w:val="TableGrid"/>
        <w:tblW w:w="10191" w:type="dxa"/>
        <w:tblInd w:w="9" w:type="dxa"/>
        <w:tblCellMar>
          <w:top w:w="9" w:type="dxa"/>
          <w:left w:w="56" w:type="dxa"/>
          <w:bottom w:w="0" w:type="dxa"/>
          <w:right w:w="79" w:type="dxa"/>
        </w:tblCellMar>
        <w:tblLook w:val="04A0" w:firstRow="1" w:lastRow="0" w:firstColumn="1" w:lastColumn="0" w:noHBand="0" w:noVBand="1"/>
      </w:tblPr>
      <w:tblGrid>
        <w:gridCol w:w="2298"/>
        <w:gridCol w:w="7892"/>
      </w:tblGrid>
      <w:tr w:rsidR="00D27BC6">
        <w:trPr>
          <w:trHeight w:val="297"/>
        </w:trPr>
        <w:tc>
          <w:tcPr>
            <w:tcW w:w="22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23" w:right="0" w:firstLine="0"/>
              <w:jc w:val="center"/>
            </w:pPr>
            <w:r>
              <w:rPr>
                <w:b/>
              </w:rPr>
              <w:t>Режим</w:t>
            </w:r>
          </w:p>
        </w:tc>
        <w:tc>
          <w:tcPr>
            <w:tcW w:w="789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23" w:right="0" w:firstLine="0"/>
              <w:jc w:val="center"/>
            </w:pPr>
            <w:r>
              <w:rPr>
                <w:b/>
              </w:rPr>
              <w:t>Схема</w:t>
            </w:r>
          </w:p>
        </w:tc>
      </w:tr>
      <w:tr w:rsidR="00D27BC6">
        <w:trPr>
          <w:trHeight w:val="1014"/>
        </w:trPr>
        <w:tc>
          <w:tcPr>
            <w:tcW w:w="229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Базис-болюсный режим</w:t>
            </w:r>
          </w:p>
        </w:tc>
        <w:tc>
          <w:tcPr>
            <w:tcW w:w="78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pPr>
            <w:r>
              <w:t xml:space="preserve">• Аналог инсулина длительного действия 1–2 раза в день или сверхдлительного действия </w:t>
            </w:r>
          </w:p>
          <w:p w:rsidR="00D27BC6" w:rsidRDefault="004D5071">
            <w:pPr>
              <w:spacing w:after="13" w:line="259" w:lineRule="auto"/>
              <w:ind w:left="171" w:right="0" w:firstLine="0"/>
              <w:jc w:val="left"/>
            </w:pPr>
            <w:r>
              <w:t>1 раз в день + аналог ИУКД (ИСБД) перед завтраком, обедом и ужином ± ПССП*</w:t>
            </w:r>
          </w:p>
          <w:p w:rsidR="00D27BC6" w:rsidRDefault="004D5071">
            <w:pPr>
              <w:spacing w:after="0" w:line="259" w:lineRule="auto"/>
              <w:ind w:left="171" w:right="0" w:hanging="170"/>
              <w:jc w:val="left"/>
            </w:pPr>
            <w:r>
              <w:t>• Инсулин средней продолжительности действия (НПХ) 2–3 раза в день + ИКД перед завтраком, обедом и ужином ± ПССП*</w:t>
            </w:r>
          </w:p>
        </w:tc>
      </w:tr>
      <w:tr w:rsidR="00D27BC6">
        <w:trPr>
          <w:trHeight w:val="1014"/>
        </w:trPr>
        <w:tc>
          <w:tcPr>
            <w:tcW w:w="229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Режим многократных инъекций готовых смесей инсулина</w:t>
            </w:r>
          </w:p>
        </w:tc>
        <w:tc>
          <w:tcPr>
            <w:tcW w:w="7892"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59"/>
              </w:numPr>
              <w:spacing w:after="57" w:line="216" w:lineRule="auto"/>
              <w:ind w:right="0" w:hanging="170"/>
              <w:jc w:val="left"/>
            </w:pPr>
            <w:r>
              <w:t xml:space="preserve">Готовая смесь </w:t>
            </w:r>
            <w:r>
              <w:t>аналога ИУКД и протаминированного аналога ИУКД перед завтраком, обедом и ужином ± ПССП*</w:t>
            </w:r>
          </w:p>
          <w:p w:rsidR="00D27BC6" w:rsidRDefault="004D5071">
            <w:pPr>
              <w:numPr>
                <w:ilvl w:val="0"/>
                <w:numId w:val="259"/>
              </w:numPr>
              <w:spacing w:after="0" w:line="259" w:lineRule="auto"/>
              <w:ind w:right="0" w:hanging="170"/>
              <w:jc w:val="left"/>
            </w:pPr>
            <w:r>
              <w:t>Готовая смесь ИКД и средней продолжительности действия (НПХ) перед завтраком, обедом и ужином ± ПССП*</w:t>
            </w:r>
          </w:p>
        </w:tc>
      </w:tr>
      <w:tr w:rsidR="00D27BC6">
        <w:trPr>
          <w:trHeight w:val="517"/>
        </w:trPr>
        <w:tc>
          <w:tcPr>
            <w:tcW w:w="22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Режим многократных инъекций перед едой</w:t>
            </w:r>
          </w:p>
        </w:tc>
        <w:tc>
          <w:tcPr>
            <w:tcW w:w="789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 </w:t>
            </w:r>
            <w:r>
              <w:t>Аналог ИУКД (ИСБД) или ИКД перед завтраком, обедом и ужином ± ПССП*</w:t>
            </w:r>
          </w:p>
        </w:tc>
      </w:tr>
      <w:tr w:rsidR="00D27BC6">
        <w:trPr>
          <w:trHeight w:val="737"/>
        </w:trPr>
        <w:tc>
          <w:tcPr>
            <w:tcW w:w="229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Режим базал плюс</w:t>
            </w:r>
          </w:p>
        </w:tc>
        <w:tc>
          <w:tcPr>
            <w:tcW w:w="78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hanging="170"/>
              <w:jc w:val="left"/>
            </w:pPr>
            <w:r>
              <w:t xml:space="preserve">• </w:t>
            </w:r>
            <w:r>
              <w:t>Аналог инсулина длительного действия 1–2 раза в день или сверхдлительного действия 1 раз в день + аналог ИУКД (ИСБД) 1 раз в день перед приемом пищи, содержащим наибольшее количество углеводов ± ПССП*</w:t>
            </w:r>
          </w:p>
        </w:tc>
      </w:tr>
      <w:tr w:rsidR="00D27BC6">
        <w:trPr>
          <w:trHeight w:val="1014"/>
        </w:trPr>
        <w:tc>
          <w:tcPr>
            <w:tcW w:w="22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Режим </w:t>
            </w:r>
          </w:p>
          <w:p w:rsidR="00D27BC6" w:rsidRDefault="004D5071">
            <w:pPr>
              <w:spacing w:after="0" w:line="259" w:lineRule="auto"/>
              <w:ind w:left="0" w:right="0" w:firstLine="0"/>
              <w:jc w:val="left"/>
            </w:pPr>
            <w:r>
              <w:t>комбинированного применения базального инсулина</w:t>
            </w:r>
            <w:r>
              <w:t xml:space="preserve"> и арГПП-1</w:t>
            </w:r>
          </w:p>
        </w:tc>
        <w:tc>
          <w:tcPr>
            <w:tcW w:w="7892"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60"/>
              </w:numPr>
              <w:spacing w:after="57" w:line="216" w:lineRule="auto"/>
              <w:ind w:right="0" w:hanging="170"/>
              <w:jc w:val="left"/>
            </w:pPr>
            <w:r>
              <w:t>Аналог инсулина длительного действия 1–2 раза в день или сверхдлительного действия 1 раз в день, вводимые раздельно с арГПП-1 ± ПССП*</w:t>
            </w:r>
          </w:p>
          <w:p w:rsidR="00D27BC6" w:rsidRDefault="004D5071">
            <w:pPr>
              <w:numPr>
                <w:ilvl w:val="0"/>
                <w:numId w:val="260"/>
              </w:numPr>
              <w:spacing w:after="0" w:line="259" w:lineRule="auto"/>
              <w:ind w:right="0" w:hanging="170"/>
              <w:jc w:val="left"/>
            </w:pPr>
            <w:r>
              <w:t xml:space="preserve">Фиксированная комбинация аналога инсулина длительного или сверхдлительного действия и арГПП-1 (1 раз в день) ± </w:t>
            </w:r>
            <w:r>
              <w:t>ПССП*</w:t>
            </w:r>
          </w:p>
        </w:tc>
      </w:tr>
    </w:tbl>
    <w:p w:rsidR="00D27BC6" w:rsidRDefault="004D5071">
      <w:pPr>
        <w:spacing w:after="49"/>
        <w:ind w:left="-3" w:right="0"/>
      </w:pPr>
      <w:r>
        <w:rPr>
          <w:sz w:val="16"/>
        </w:rPr>
        <w:t>* Кроме нерациональных комбинаций.</w:t>
      </w:r>
    </w:p>
    <w:p w:rsidR="00D27BC6" w:rsidRDefault="004D5071">
      <w:pPr>
        <w:pStyle w:val="Heading3"/>
        <w:spacing w:after="10"/>
        <w:ind w:left="162" w:right="156"/>
      </w:pPr>
      <w:r>
        <w:t>Дозы инсулина</w:t>
      </w:r>
    </w:p>
    <w:p w:rsidR="00D27BC6" w:rsidRDefault="004D5071">
      <w:pPr>
        <w:spacing w:after="232"/>
        <w:ind w:left="-11" w:right="0" w:firstLine="283"/>
      </w:pPr>
      <w:r>
        <w:t>Дозы инсулина индивидуальны, увеличение проводится постепенно, до достижения индивидуальных целевых показателей гликемического контроля. Ограничений в дозе инсулина не существует. При планировании обеспечения пациента инсулином следует использовать условну</w:t>
      </w:r>
      <w:r>
        <w:t>ю среднесуточную дозу инсулина, включающую в себя не только базальный, прандиальный инсулины и готовую смесь/комбинацию инсулина, но и инсулин для коррекции гипергликемии и проверки проходимости инсулиновой иглы.</w:t>
      </w:r>
    </w:p>
    <w:p w:rsidR="00D27BC6" w:rsidRDefault="004D5071">
      <w:pPr>
        <w:spacing w:after="147" w:line="259" w:lineRule="auto"/>
        <w:ind w:left="2" w:right="0" w:firstLine="0"/>
        <w:jc w:val="left"/>
      </w:pPr>
      <w:r>
        <w:rPr>
          <w:b/>
          <w:color w:val="6F6F6E"/>
        </w:rPr>
        <w:t>Общая схема рекомендаций по инициации, опти</w:t>
      </w:r>
      <w:r>
        <w:rPr>
          <w:b/>
          <w:color w:val="6F6F6E"/>
        </w:rPr>
        <w:t>мизации и интенсификации инсулинотерапии (ИТ) при СД 2 типа</w:t>
      </w:r>
    </w:p>
    <w:p w:rsidR="00D27BC6" w:rsidRDefault="004D5071">
      <w:pPr>
        <w:pStyle w:val="Heading4"/>
      </w:pPr>
      <w:r>
        <w:rPr>
          <w:noProof/>
          <w:sz w:val="22"/>
        </w:rPr>
        <mc:AlternateContent>
          <mc:Choice Requires="wpg">
            <w:drawing>
              <wp:anchor distT="0" distB="0" distL="114300" distR="114300" simplePos="0" relativeHeight="251662336" behindDoc="0" locked="0" layoutInCell="1" allowOverlap="1">
                <wp:simplePos x="0" y="0"/>
                <wp:positionH relativeFrom="column">
                  <wp:posOffset>5708</wp:posOffset>
                </wp:positionH>
                <wp:positionV relativeFrom="paragraph">
                  <wp:posOffset>-14849</wp:posOffset>
                </wp:positionV>
                <wp:extent cx="6480011" cy="4421061"/>
                <wp:effectExtent l="0" t="0" r="0" b="0"/>
                <wp:wrapSquare wrapText="bothSides"/>
                <wp:docPr id="285664" name="Group 285664"/>
                <wp:cNvGraphicFramePr/>
                <a:graphic xmlns:a="http://schemas.openxmlformats.org/drawingml/2006/main">
                  <a:graphicData uri="http://schemas.microsoft.com/office/word/2010/wordprocessingGroup">
                    <wpg:wgp>
                      <wpg:cNvGrpSpPr/>
                      <wpg:grpSpPr>
                        <a:xfrm>
                          <a:off x="0" y="0"/>
                          <a:ext cx="6480011" cy="4421061"/>
                          <a:chOff x="0" y="0"/>
                          <a:chExt cx="6480011" cy="4421061"/>
                        </a:xfrm>
                      </wpg:grpSpPr>
                      <wps:wsp>
                        <wps:cNvPr id="6778" name="Shape 6778"/>
                        <wps:cNvSpPr/>
                        <wps:spPr>
                          <a:xfrm>
                            <a:off x="3245446" y="1060594"/>
                            <a:ext cx="0" cy="1112812"/>
                          </a:xfrm>
                          <a:custGeom>
                            <a:avLst/>
                            <a:gdLst/>
                            <a:ahLst/>
                            <a:cxnLst/>
                            <a:rect l="0" t="0" r="0" b="0"/>
                            <a:pathLst>
                              <a:path h="1112812">
                                <a:moveTo>
                                  <a:pt x="0" y="0"/>
                                </a:moveTo>
                                <a:lnTo>
                                  <a:pt x="0" y="1112812"/>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779" name="Shape 6779"/>
                        <wps:cNvSpPr/>
                        <wps:spPr>
                          <a:xfrm>
                            <a:off x="3214890" y="2153393"/>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77698" name="Shape 377698"/>
                        <wps:cNvSpPr/>
                        <wps:spPr>
                          <a:xfrm>
                            <a:off x="1702" y="0"/>
                            <a:ext cx="6478296" cy="420091"/>
                          </a:xfrm>
                          <a:custGeom>
                            <a:avLst/>
                            <a:gdLst/>
                            <a:ahLst/>
                            <a:cxnLst/>
                            <a:rect l="0" t="0" r="0" b="0"/>
                            <a:pathLst>
                              <a:path w="6478296" h="420091">
                                <a:moveTo>
                                  <a:pt x="0" y="0"/>
                                </a:moveTo>
                                <a:lnTo>
                                  <a:pt x="6478296" y="0"/>
                                </a:lnTo>
                                <a:lnTo>
                                  <a:pt x="6478296" y="420091"/>
                                </a:lnTo>
                                <a:lnTo>
                                  <a:pt x="0" y="420091"/>
                                </a:lnTo>
                                <a:lnTo>
                                  <a:pt x="0" y="0"/>
                                </a:lnTo>
                              </a:path>
                            </a:pathLst>
                          </a:custGeom>
                          <a:ln w="0" cap="flat">
                            <a:miter lim="100000"/>
                          </a:ln>
                        </wps:spPr>
                        <wps:style>
                          <a:lnRef idx="0">
                            <a:srgbClr val="000000">
                              <a:alpha val="0"/>
                            </a:srgbClr>
                          </a:lnRef>
                          <a:fillRef idx="1">
                            <a:srgbClr val="FFED00"/>
                          </a:fillRef>
                          <a:effectRef idx="0">
                            <a:scrgbClr r="0" g="0" b="0"/>
                          </a:effectRef>
                          <a:fontRef idx="none"/>
                        </wps:style>
                        <wps:bodyPr/>
                      </wps:wsp>
                      <wps:wsp>
                        <wps:cNvPr id="6784" name="Rectangle 6784"/>
                        <wps:cNvSpPr/>
                        <wps:spPr>
                          <a:xfrm>
                            <a:off x="2809655" y="282871"/>
                            <a:ext cx="1147088" cy="162424"/>
                          </a:xfrm>
                          <a:prstGeom prst="rect">
                            <a:avLst/>
                          </a:prstGeom>
                          <a:ln>
                            <a:noFill/>
                          </a:ln>
                        </wps:spPr>
                        <wps:txbx>
                          <w:txbxContent>
                            <w:p w:rsidR="00D27BC6" w:rsidRDefault="004D5071">
                              <w:pPr>
                                <w:spacing w:after="160" w:line="259" w:lineRule="auto"/>
                                <w:ind w:left="0" w:right="0" w:firstLine="0"/>
                                <w:jc w:val="left"/>
                              </w:pPr>
                              <w:r>
                                <w:rPr>
                                  <w:w w:val="103"/>
                                  <w:sz w:val="16"/>
                                </w:rPr>
                                <w:t>или</w:t>
                              </w:r>
                              <w:r>
                                <w:rPr>
                                  <w:spacing w:val="-2"/>
                                  <w:w w:val="103"/>
                                  <w:sz w:val="16"/>
                                </w:rPr>
                                <w:t xml:space="preserve"> </w:t>
                              </w:r>
                              <w:r>
                                <w:rPr>
                                  <w:w w:val="103"/>
                                  <w:sz w:val="16"/>
                                </w:rPr>
                                <w:t>их</w:t>
                              </w:r>
                              <w:r>
                                <w:rPr>
                                  <w:spacing w:val="-2"/>
                                  <w:w w:val="103"/>
                                  <w:sz w:val="16"/>
                                </w:rPr>
                                <w:t xml:space="preserve"> </w:t>
                              </w:r>
                              <w:r>
                                <w:rPr>
                                  <w:w w:val="103"/>
                                  <w:sz w:val="16"/>
                                </w:rPr>
                                <w:t>комбинаций</w:t>
                              </w:r>
                            </w:p>
                          </w:txbxContent>
                        </wps:txbx>
                        <wps:bodyPr horzOverflow="overflow" vert="horz" lIns="0" tIns="0" rIns="0" bIns="0" rtlCol="0">
                          <a:noAutofit/>
                        </wps:bodyPr>
                      </wps:wsp>
                      <wps:wsp>
                        <wps:cNvPr id="6785" name="Shape 6785"/>
                        <wps:cNvSpPr/>
                        <wps:spPr>
                          <a:xfrm>
                            <a:off x="1702" y="0"/>
                            <a:ext cx="6478296" cy="420091"/>
                          </a:xfrm>
                          <a:custGeom>
                            <a:avLst/>
                            <a:gdLst/>
                            <a:ahLst/>
                            <a:cxnLst/>
                            <a:rect l="0" t="0" r="0" b="0"/>
                            <a:pathLst>
                              <a:path w="6478296" h="420091">
                                <a:moveTo>
                                  <a:pt x="0" y="420091"/>
                                </a:moveTo>
                                <a:lnTo>
                                  <a:pt x="6478296" y="420091"/>
                                </a:lnTo>
                                <a:lnTo>
                                  <a:pt x="647829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786" name="Shape 6786"/>
                        <wps:cNvSpPr/>
                        <wps:spPr>
                          <a:xfrm>
                            <a:off x="1566007" y="424593"/>
                            <a:ext cx="0" cy="677723"/>
                          </a:xfrm>
                          <a:custGeom>
                            <a:avLst/>
                            <a:gdLst/>
                            <a:ahLst/>
                            <a:cxnLst/>
                            <a:rect l="0" t="0" r="0" b="0"/>
                            <a:pathLst>
                              <a:path h="677723">
                                <a:moveTo>
                                  <a:pt x="0" y="0"/>
                                </a:moveTo>
                                <a:lnTo>
                                  <a:pt x="0" y="677723"/>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787" name="Shape 6787"/>
                        <wps:cNvSpPr/>
                        <wps:spPr>
                          <a:xfrm>
                            <a:off x="1535450" y="1082302"/>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77705" name="Shape 377705"/>
                        <wps:cNvSpPr/>
                        <wps:spPr>
                          <a:xfrm>
                            <a:off x="0" y="1175753"/>
                            <a:ext cx="3131998" cy="420091"/>
                          </a:xfrm>
                          <a:custGeom>
                            <a:avLst/>
                            <a:gdLst/>
                            <a:ahLst/>
                            <a:cxnLst/>
                            <a:rect l="0" t="0" r="0" b="0"/>
                            <a:pathLst>
                              <a:path w="3131998" h="420091">
                                <a:moveTo>
                                  <a:pt x="0" y="0"/>
                                </a:moveTo>
                                <a:lnTo>
                                  <a:pt x="3131998" y="0"/>
                                </a:lnTo>
                                <a:lnTo>
                                  <a:pt x="3131998" y="420091"/>
                                </a:lnTo>
                                <a:lnTo>
                                  <a:pt x="0" y="420091"/>
                                </a:lnTo>
                                <a:lnTo>
                                  <a:pt x="0" y="0"/>
                                </a:lnTo>
                              </a:path>
                            </a:pathLst>
                          </a:custGeom>
                          <a:ln w="0" cap="flat">
                            <a:miter lim="100000"/>
                          </a:ln>
                        </wps:spPr>
                        <wps:style>
                          <a:lnRef idx="0">
                            <a:srgbClr val="000000">
                              <a:alpha val="0"/>
                            </a:srgbClr>
                          </a:lnRef>
                          <a:fillRef idx="1">
                            <a:srgbClr val="94C11E"/>
                          </a:fillRef>
                          <a:effectRef idx="0">
                            <a:scrgbClr r="0" g="0" b="0"/>
                          </a:effectRef>
                          <a:fontRef idx="none"/>
                        </wps:style>
                        <wps:bodyPr/>
                      </wps:wsp>
                      <wps:wsp>
                        <wps:cNvPr id="6789" name="Rectangle 6789"/>
                        <wps:cNvSpPr/>
                        <wps:spPr>
                          <a:xfrm>
                            <a:off x="583419" y="1190601"/>
                            <a:ext cx="2685281" cy="203030"/>
                          </a:xfrm>
                          <a:prstGeom prst="rect">
                            <a:avLst/>
                          </a:prstGeom>
                          <a:ln>
                            <a:noFill/>
                          </a:ln>
                        </wps:spPr>
                        <wps:txbx>
                          <w:txbxContent>
                            <w:p w:rsidR="00D27BC6" w:rsidRDefault="004D5071">
                              <w:pPr>
                                <w:spacing w:after="160" w:line="259" w:lineRule="auto"/>
                                <w:ind w:left="0" w:right="0" w:firstLine="0"/>
                                <w:jc w:val="left"/>
                              </w:pPr>
                              <w:r>
                                <w:rPr>
                                  <w:w w:val="103"/>
                                </w:rPr>
                                <w:t>Базальный</w:t>
                              </w:r>
                              <w:r>
                                <w:rPr>
                                  <w:spacing w:val="-3"/>
                                  <w:w w:val="103"/>
                                </w:rPr>
                                <w:t xml:space="preserve"> </w:t>
                              </w:r>
                              <w:r>
                                <w:rPr>
                                  <w:w w:val="103"/>
                                </w:rPr>
                                <w:t>инсулин</w:t>
                              </w:r>
                              <w:r>
                                <w:rPr>
                                  <w:spacing w:val="-3"/>
                                  <w:w w:val="103"/>
                                </w:rPr>
                                <w:t xml:space="preserve"> </w:t>
                              </w:r>
                              <w:r>
                                <w:rPr>
                                  <w:w w:val="103"/>
                                </w:rPr>
                                <w:t>1–2</w:t>
                              </w:r>
                              <w:r>
                                <w:rPr>
                                  <w:spacing w:val="-3"/>
                                  <w:w w:val="103"/>
                                </w:rPr>
                                <w:t xml:space="preserve"> </w:t>
                              </w:r>
                              <w:r>
                                <w:rPr>
                                  <w:w w:val="103"/>
                                </w:rPr>
                                <w:t>раза</w:t>
                              </w:r>
                              <w:r>
                                <w:rPr>
                                  <w:spacing w:val="-3"/>
                                  <w:w w:val="103"/>
                                </w:rPr>
                                <w:t xml:space="preserve"> </w:t>
                              </w:r>
                              <w:r>
                                <w:rPr>
                                  <w:w w:val="103"/>
                                </w:rPr>
                                <w:t>в</w:t>
                              </w:r>
                              <w:r>
                                <w:rPr>
                                  <w:spacing w:val="-3"/>
                                  <w:w w:val="103"/>
                                </w:rPr>
                                <w:t xml:space="preserve"> </w:t>
                              </w:r>
                              <w:r>
                                <w:rPr>
                                  <w:w w:val="103"/>
                                </w:rPr>
                                <w:t>день</w:t>
                              </w:r>
                              <w:r>
                                <w:rPr>
                                  <w:spacing w:val="-3"/>
                                  <w:w w:val="103"/>
                                </w:rPr>
                                <w:t xml:space="preserve">  </w:t>
                              </w:r>
                            </w:p>
                          </w:txbxContent>
                        </wps:txbx>
                        <wps:bodyPr horzOverflow="overflow" vert="horz" lIns="0" tIns="0" rIns="0" bIns="0" rtlCol="0">
                          <a:noAutofit/>
                        </wps:bodyPr>
                      </wps:wsp>
                      <wps:wsp>
                        <wps:cNvPr id="259784" name="Rectangle 259784"/>
                        <wps:cNvSpPr/>
                        <wps:spPr>
                          <a:xfrm>
                            <a:off x="181366" y="1336702"/>
                            <a:ext cx="3750167" cy="162424"/>
                          </a:xfrm>
                          <a:prstGeom prst="rect">
                            <a:avLst/>
                          </a:prstGeom>
                          <a:ln>
                            <a:noFill/>
                          </a:ln>
                        </wps:spPr>
                        <wps:txbx>
                          <w:txbxContent>
                            <w:p w:rsidR="00D27BC6" w:rsidRDefault="004D5071">
                              <w:pPr>
                                <w:spacing w:after="160" w:line="259" w:lineRule="auto"/>
                                <w:ind w:left="0" w:right="0" w:firstLine="0"/>
                                <w:jc w:val="left"/>
                              </w:pPr>
                              <w:r>
                                <w:rPr>
                                  <w:w w:val="103"/>
                                  <w:sz w:val="16"/>
                                </w:rPr>
                                <w:t>возможный</w:t>
                              </w:r>
                              <w:r>
                                <w:rPr>
                                  <w:spacing w:val="-2"/>
                                  <w:w w:val="103"/>
                                  <w:sz w:val="16"/>
                                </w:rPr>
                                <w:t xml:space="preserve"> </w:t>
                              </w:r>
                              <w:r>
                                <w:rPr>
                                  <w:w w:val="103"/>
                                  <w:sz w:val="16"/>
                                </w:rPr>
                                <w:t>вариант</w:t>
                              </w:r>
                              <w:r>
                                <w:rPr>
                                  <w:spacing w:val="-2"/>
                                  <w:w w:val="103"/>
                                  <w:sz w:val="16"/>
                                </w:rPr>
                                <w:t xml:space="preserve"> </w:t>
                              </w:r>
                              <w:r>
                                <w:rPr>
                                  <w:w w:val="103"/>
                                  <w:sz w:val="16"/>
                                </w:rPr>
                                <w:t>–</w:t>
                              </w:r>
                              <w:r>
                                <w:rPr>
                                  <w:spacing w:val="-2"/>
                                  <w:w w:val="103"/>
                                  <w:sz w:val="16"/>
                                </w:rPr>
                                <w:t xml:space="preserve"> </w:t>
                              </w:r>
                              <w:r>
                                <w:rPr>
                                  <w:w w:val="103"/>
                                  <w:sz w:val="16"/>
                                </w:rPr>
                                <w:t>в</w:t>
                              </w:r>
                              <w:r>
                                <w:rPr>
                                  <w:spacing w:val="-2"/>
                                  <w:w w:val="103"/>
                                  <w:sz w:val="16"/>
                                </w:rPr>
                                <w:t xml:space="preserve"> </w:t>
                              </w:r>
                              <w:r>
                                <w:rPr>
                                  <w:w w:val="103"/>
                                  <w:sz w:val="16"/>
                                </w:rPr>
                                <w:t>фиксированной</w:t>
                              </w:r>
                              <w:r>
                                <w:rPr>
                                  <w:spacing w:val="-2"/>
                                  <w:w w:val="103"/>
                                  <w:sz w:val="16"/>
                                </w:rPr>
                                <w:t xml:space="preserve"> </w:t>
                              </w:r>
                              <w:r>
                                <w:rPr>
                                  <w:w w:val="103"/>
                                  <w:sz w:val="16"/>
                                </w:rPr>
                                <w:t>комбинации</w:t>
                              </w:r>
                              <w:r>
                                <w:rPr>
                                  <w:spacing w:val="-2"/>
                                  <w:w w:val="103"/>
                                  <w:sz w:val="16"/>
                                </w:rPr>
                                <w:t xml:space="preserve"> </w:t>
                              </w:r>
                              <w:r>
                                <w:rPr>
                                  <w:w w:val="103"/>
                                  <w:sz w:val="16"/>
                                </w:rPr>
                                <w:t>с</w:t>
                              </w:r>
                              <w:r>
                                <w:rPr>
                                  <w:spacing w:val="-2"/>
                                  <w:w w:val="103"/>
                                  <w:sz w:val="16"/>
                                </w:rPr>
                                <w:t xml:space="preserve"> </w:t>
                              </w:r>
                              <w:r>
                                <w:rPr>
                                  <w:w w:val="103"/>
                                  <w:sz w:val="16"/>
                                </w:rPr>
                                <w:t>арГПП-1</w:t>
                              </w:r>
                              <w:r>
                                <w:rPr>
                                  <w:spacing w:val="-2"/>
                                  <w:w w:val="103"/>
                                  <w:sz w:val="16"/>
                                </w:rPr>
                                <w:t xml:space="preserve"> </w:t>
                              </w:r>
                            </w:p>
                          </w:txbxContent>
                        </wps:txbx>
                        <wps:bodyPr horzOverflow="overflow" vert="horz" lIns="0" tIns="0" rIns="0" bIns="0" rtlCol="0">
                          <a:noAutofit/>
                        </wps:bodyPr>
                      </wps:wsp>
                      <wps:wsp>
                        <wps:cNvPr id="259783" name="Rectangle 259783"/>
                        <wps:cNvSpPr/>
                        <wps:spPr>
                          <a:xfrm>
                            <a:off x="152512" y="1336702"/>
                            <a:ext cx="38376" cy="162424"/>
                          </a:xfrm>
                          <a:prstGeom prst="rect">
                            <a:avLst/>
                          </a:prstGeom>
                          <a:ln>
                            <a:noFill/>
                          </a:ln>
                        </wps:spPr>
                        <wps:txbx>
                          <w:txbxContent>
                            <w:p w:rsidR="00D27BC6" w:rsidRDefault="004D5071">
                              <w:pPr>
                                <w:spacing w:after="160" w:line="259" w:lineRule="auto"/>
                                <w:ind w:left="0" w:right="0" w:firstLine="0"/>
                                <w:jc w:val="left"/>
                              </w:pPr>
                              <w:r>
                                <w:rPr>
                                  <w:w w:val="95"/>
                                  <w:sz w:val="16"/>
                                </w:rPr>
                                <w:t>(</w:t>
                              </w:r>
                            </w:p>
                          </w:txbxContent>
                        </wps:txbx>
                        <wps:bodyPr horzOverflow="overflow" vert="horz" lIns="0" tIns="0" rIns="0" bIns="0" rtlCol="0">
                          <a:noAutofit/>
                        </wps:bodyPr>
                      </wps:wsp>
                      <wps:wsp>
                        <wps:cNvPr id="259786" name="Rectangle 259786"/>
                        <wps:cNvSpPr/>
                        <wps:spPr>
                          <a:xfrm>
                            <a:off x="1809191" y="1458622"/>
                            <a:ext cx="94455" cy="162423"/>
                          </a:xfrm>
                          <a:prstGeom prst="rect">
                            <a:avLst/>
                          </a:prstGeom>
                          <a:ln>
                            <a:noFill/>
                          </a:ln>
                        </wps:spPr>
                        <wps:txbx>
                          <w:txbxContent>
                            <w:p w:rsidR="00D27BC6" w:rsidRDefault="004D5071">
                              <w:pPr>
                                <w:spacing w:after="160" w:line="259" w:lineRule="auto"/>
                                <w:ind w:left="0" w:right="0" w:firstLine="0"/>
                                <w:jc w:val="left"/>
                              </w:pPr>
                              <w:r>
                                <w:rPr>
                                  <w:w w:val="87"/>
                                  <w:sz w:val="16"/>
                                </w:rPr>
                                <w:t>)*</w:t>
                              </w:r>
                            </w:p>
                          </w:txbxContent>
                        </wps:txbx>
                        <wps:bodyPr horzOverflow="overflow" vert="horz" lIns="0" tIns="0" rIns="0" bIns="0" rtlCol="0">
                          <a:noAutofit/>
                        </wps:bodyPr>
                      </wps:wsp>
                      <wps:wsp>
                        <wps:cNvPr id="259787" name="Rectangle 259787"/>
                        <wps:cNvSpPr/>
                        <wps:spPr>
                          <a:xfrm>
                            <a:off x="1332799" y="1458622"/>
                            <a:ext cx="633601" cy="162423"/>
                          </a:xfrm>
                          <a:prstGeom prst="rect">
                            <a:avLst/>
                          </a:prstGeom>
                          <a:ln>
                            <a:noFill/>
                          </a:ln>
                        </wps:spPr>
                        <wps:txbx>
                          <w:txbxContent>
                            <w:p w:rsidR="00D27BC6" w:rsidRDefault="004D5071">
                              <w:pPr>
                                <w:spacing w:after="160" w:line="259" w:lineRule="auto"/>
                                <w:ind w:left="0" w:right="0" w:firstLine="0"/>
                                <w:jc w:val="left"/>
                              </w:pPr>
                              <w:r>
                                <w:rPr>
                                  <w:spacing w:val="-2"/>
                                  <w:w w:val="103"/>
                                  <w:sz w:val="16"/>
                                </w:rPr>
                                <w:t xml:space="preserve"> </w:t>
                              </w:r>
                              <w:r>
                                <w:rPr>
                                  <w:w w:val="103"/>
                                  <w:sz w:val="16"/>
                                </w:rPr>
                                <w:t>раз</w:t>
                              </w:r>
                              <w:r>
                                <w:rPr>
                                  <w:spacing w:val="-2"/>
                                  <w:w w:val="103"/>
                                  <w:sz w:val="16"/>
                                </w:rPr>
                                <w:t xml:space="preserve"> </w:t>
                              </w:r>
                              <w:r>
                                <w:rPr>
                                  <w:w w:val="103"/>
                                  <w:sz w:val="16"/>
                                </w:rPr>
                                <w:t>в</w:t>
                              </w:r>
                              <w:r>
                                <w:rPr>
                                  <w:spacing w:val="-2"/>
                                  <w:w w:val="103"/>
                                  <w:sz w:val="16"/>
                                </w:rPr>
                                <w:t xml:space="preserve"> </w:t>
                              </w:r>
                              <w:r>
                                <w:rPr>
                                  <w:w w:val="103"/>
                                  <w:sz w:val="16"/>
                                </w:rPr>
                                <w:t>день</w:t>
                              </w:r>
                            </w:p>
                          </w:txbxContent>
                        </wps:txbx>
                        <wps:bodyPr horzOverflow="overflow" vert="horz" lIns="0" tIns="0" rIns="0" bIns="0" rtlCol="0">
                          <a:noAutofit/>
                        </wps:bodyPr>
                      </wps:wsp>
                      <wps:wsp>
                        <wps:cNvPr id="259785" name="Rectangle 259785"/>
                        <wps:cNvSpPr/>
                        <wps:spPr>
                          <a:xfrm>
                            <a:off x="1251824" y="1458622"/>
                            <a:ext cx="107697" cy="162423"/>
                          </a:xfrm>
                          <a:prstGeom prst="rect">
                            <a:avLst/>
                          </a:prstGeom>
                          <a:ln>
                            <a:noFill/>
                          </a:ln>
                        </wps:spPr>
                        <wps:txbx>
                          <w:txbxContent>
                            <w:p w:rsidR="00D27BC6" w:rsidRDefault="004D5071">
                              <w:pPr>
                                <w:spacing w:after="160" w:line="259" w:lineRule="auto"/>
                                <w:ind w:left="0" w:right="0" w:firstLine="0"/>
                                <w:jc w:val="left"/>
                              </w:pPr>
                              <w:r>
                                <w:rPr>
                                  <w:w w:val="98"/>
                                  <w:sz w:val="16"/>
                                </w:rPr>
                                <w:t>(1</w:t>
                              </w:r>
                            </w:p>
                          </w:txbxContent>
                        </wps:txbx>
                        <wps:bodyPr horzOverflow="overflow" vert="horz" lIns="0" tIns="0" rIns="0" bIns="0" rtlCol="0">
                          <a:noAutofit/>
                        </wps:bodyPr>
                      </wps:wsp>
                      <wps:wsp>
                        <wps:cNvPr id="6792" name="Shape 6792"/>
                        <wps:cNvSpPr/>
                        <wps:spPr>
                          <a:xfrm>
                            <a:off x="0" y="1175753"/>
                            <a:ext cx="3131998" cy="420091"/>
                          </a:xfrm>
                          <a:custGeom>
                            <a:avLst/>
                            <a:gdLst/>
                            <a:ahLst/>
                            <a:cxnLst/>
                            <a:rect l="0" t="0" r="0" b="0"/>
                            <a:pathLst>
                              <a:path w="3131998" h="420091">
                                <a:moveTo>
                                  <a:pt x="0" y="420091"/>
                                </a:moveTo>
                                <a:lnTo>
                                  <a:pt x="3131998" y="420091"/>
                                </a:lnTo>
                                <a:lnTo>
                                  <a:pt x="31319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748" name="Shape 377748"/>
                        <wps:cNvSpPr/>
                        <wps:spPr>
                          <a:xfrm>
                            <a:off x="3348000" y="1178408"/>
                            <a:ext cx="3131998" cy="417436"/>
                          </a:xfrm>
                          <a:custGeom>
                            <a:avLst/>
                            <a:gdLst/>
                            <a:ahLst/>
                            <a:cxnLst/>
                            <a:rect l="0" t="0" r="0" b="0"/>
                            <a:pathLst>
                              <a:path w="3131998" h="417436">
                                <a:moveTo>
                                  <a:pt x="0" y="0"/>
                                </a:moveTo>
                                <a:lnTo>
                                  <a:pt x="3131998" y="0"/>
                                </a:lnTo>
                                <a:lnTo>
                                  <a:pt x="3131998" y="417436"/>
                                </a:lnTo>
                                <a:lnTo>
                                  <a:pt x="0" y="417436"/>
                                </a:lnTo>
                                <a:lnTo>
                                  <a:pt x="0" y="0"/>
                                </a:lnTo>
                              </a:path>
                            </a:pathLst>
                          </a:custGeom>
                          <a:ln w="0" cap="flat">
                            <a:miter lim="100000"/>
                          </a:ln>
                        </wps:spPr>
                        <wps:style>
                          <a:lnRef idx="0">
                            <a:srgbClr val="000000">
                              <a:alpha val="0"/>
                            </a:srgbClr>
                          </a:lnRef>
                          <a:fillRef idx="1">
                            <a:srgbClr val="94C11E"/>
                          </a:fillRef>
                          <a:effectRef idx="0">
                            <a:scrgbClr r="0" g="0" b="0"/>
                          </a:effectRef>
                          <a:fontRef idx="none"/>
                        </wps:style>
                        <wps:bodyPr/>
                      </wps:wsp>
                      <wps:wsp>
                        <wps:cNvPr id="6794" name="Rectangle 6794"/>
                        <wps:cNvSpPr/>
                        <wps:spPr>
                          <a:xfrm>
                            <a:off x="3873123" y="1252886"/>
                            <a:ext cx="2804548" cy="203030"/>
                          </a:xfrm>
                          <a:prstGeom prst="rect">
                            <a:avLst/>
                          </a:prstGeom>
                          <a:ln>
                            <a:noFill/>
                          </a:ln>
                        </wps:spPr>
                        <wps:txbx>
                          <w:txbxContent>
                            <w:p w:rsidR="00D27BC6" w:rsidRDefault="004D5071">
                              <w:pPr>
                                <w:spacing w:after="160" w:line="259" w:lineRule="auto"/>
                                <w:ind w:left="0" w:right="0" w:firstLine="0"/>
                                <w:jc w:val="left"/>
                              </w:pPr>
                              <w:r>
                                <w:rPr>
                                  <w:w w:val="102"/>
                                </w:rPr>
                                <w:t>Готовые</w:t>
                              </w:r>
                              <w:r>
                                <w:rPr>
                                  <w:spacing w:val="-3"/>
                                  <w:w w:val="102"/>
                                </w:rPr>
                                <w:t xml:space="preserve"> </w:t>
                              </w:r>
                              <w:r>
                                <w:rPr>
                                  <w:w w:val="102"/>
                                </w:rPr>
                                <w:t>смеси/комбинации</w:t>
                              </w:r>
                              <w:r>
                                <w:rPr>
                                  <w:spacing w:val="-3"/>
                                  <w:w w:val="102"/>
                                </w:rPr>
                                <w:t xml:space="preserve"> </w:t>
                              </w:r>
                              <w:r>
                                <w:rPr>
                                  <w:w w:val="102"/>
                                </w:rPr>
                                <w:t>инсулина</w:t>
                              </w:r>
                              <w:r>
                                <w:rPr>
                                  <w:spacing w:val="-3"/>
                                  <w:w w:val="102"/>
                                </w:rPr>
                                <w:t xml:space="preserve"> </w:t>
                              </w:r>
                            </w:p>
                          </w:txbxContent>
                        </wps:txbx>
                        <wps:bodyPr horzOverflow="overflow" vert="horz" lIns="0" tIns="0" rIns="0" bIns="0" rtlCol="0">
                          <a:noAutofit/>
                        </wps:bodyPr>
                      </wps:wsp>
                      <wps:wsp>
                        <wps:cNvPr id="259789" name="Rectangle 259789"/>
                        <wps:cNvSpPr/>
                        <wps:spPr>
                          <a:xfrm>
                            <a:off x="4604837" y="1398986"/>
                            <a:ext cx="891696" cy="162424"/>
                          </a:xfrm>
                          <a:prstGeom prst="rect">
                            <a:avLst/>
                          </a:prstGeom>
                          <a:ln>
                            <a:noFill/>
                          </a:ln>
                        </wps:spPr>
                        <wps:txbx>
                          <w:txbxContent>
                            <w:p w:rsidR="00D27BC6" w:rsidRDefault="004D5071">
                              <w:pPr>
                                <w:spacing w:after="160" w:line="259" w:lineRule="auto"/>
                                <w:ind w:left="0" w:right="0" w:firstLine="0"/>
                                <w:jc w:val="left"/>
                              </w:pPr>
                              <w:r>
                                <w:rPr>
                                  <w:w w:val="101"/>
                                  <w:sz w:val="16"/>
                                </w:rPr>
                                <w:t>–2</w:t>
                              </w:r>
                              <w:r>
                                <w:rPr>
                                  <w:spacing w:val="-2"/>
                                  <w:w w:val="101"/>
                                  <w:sz w:val="16"/>
                                </w:rPr>
                                <w:t xml:space="preserve"> </w:t>
                              </w:r>
                              <w:r>
                                <w:rPr>
                                  <w:w w:val="101"/>
                                  <w:sz w:val="16"/>
                                </w:rPr>
                                <w:t>раза</w:t>
                              </w:r>
                              <w:r>
                                <w:rPr>
                                  <w:spacing w:val="-2"/>
                                  <w:w w:val="101"/>
                                  <w:sz w:val="16"/>
                                </w:rPr>
                                <w:t xml:space="preserve"> </w:t>
                              </w:r>
                              <w:r>
                                <w:rPr>
                                  <w:w w:val="101"/>
                                  <w:sz w:val="16"/>
                                </w:rPr>
                                <w:t>в</w:t>
                              </w:r>
                              <w:r>
                                <w:rPr>
                                  <w:spacing w:val="-2"/>
                                  <w:w w:val="101"/>
                                  <w:sz w:val="16"/>
                                </w:rPr>
                                <w:t xml:space="preserve"> </w:t>
                              </w:r>
                              <w:r>
                                <w:rPr>
                                  <w:w w:val="101"/>
                                  <w:sz w:val="16"/>
                                </w:rPr>
                                <w:t>день*</w:t>
                              </w:r>
                            </w:p>
                          </w:txbxContent>
                        </wps:txbx>
                        <wps:bodyPr horzOverflow="overflow" vert="horz" lIns="0" tIns="0" rIns="0" bIns="0" rtlCol="0">
                          <a:noAutofit/>
                        </wps:bodyPr>
                      </wps:wsp>
                      <wps:wsp>
                        <wps:cNvPr id="259788" name="Rectangle 259788"/>
                        <wps:cNvSpPr/>
                        <wps:spPr>
                          <a:xfrm>
                            <a:off x="4552717" y="1398986"/>
                            <a:ext cx="69321" cy="162424"/>
                          </a:xfrm>
                          <a:prstGeom prst="rect">
                            <a:avLst/>
                          </a:prstGeom>
                          <a:ln>
                            <a:noFill/>
                          </a:ln>
                        </wps:spPr>
                        <wps:txbx>
                          <w:txbxContent>
                            <w:p w:rsidR="00D27BC6" w:rsidRDefault="004D5071">
                              <w:pPr>
                                <w:spacing w:after="160" w:line="259" w:lineRule="auto"/>
                                <w:ind w:left="0" w:right="0" w:firstLine="0"/>
                                <w:jc w:val="left"/>
                              </w:pPr>
                              <w:r>
                                <w:rPr>
                                  <w:w w:val="101"/>
                                  <w:sz w:val="16"/>
                                </w:rPr>
                                <w:t>1</w:t>
                              </w:r>
                            </w:p>
                          </w:txbxContent>
                        </wps:txbx>
                        <wps:bodyPr horzOverflow="overflow" vert="horz" lIns="0" tIns="0" rIns="0" bIns="0" rtlCol="0">
                          <a:noAutofit/>
                        </wps:bodyPr>
                      </wps:wsp>
                      <wps:wsp>
                        <wps:cNvPr id="6796" name="Shape 6796"/>
                        <wps:cNvSpPr/>
                        <wps:spPr>
                          <a:xfrm>
                            <a:off x="3348000" y="1178408"/>
                            <a:ext cx="3131998" cy="417436"/>
                          </a:xfrm>
                          <a:custGeom>
                            <a:avLst/>
                            <a:gdLst/>
                            <a:ahLst/>
                            <a:cxnLst/>
                            <a:rect l="0" t="0" r="0" b="0"/>
                            <a:pathLst>
                              <a:path w="3131998" h="417436">
                                <a:moveTo>
                                  <a:pt x="0" y="417436"/>
                                </a:moveTo>
                                <a:lnTo>
                                  <a:pt x="3131998" y="417436"/>
                                </a:lnTo>
                                <a:lnTo>
                                  <a:pt x="31319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764" name="Shape 377764"/>
                        <wps:cNvSpPr/>
                        <wps:spPr>
                          <a:xfrm>
                            <a:off x="1735798" y="1702347"/>
                            <a:ext cx="3011996" cy="328650"/>
                          </a:xfrm>
                          <a:custGeom>
                            <a:avLst/>
                            <a:gdLst/>
                            <a:ahLst/>
                            <a:cxnLst/>
                            <a:rect l="0" t="0" r="0" b="0"/>
                            <a:pathLst>
                              <a:path w="3011996" h="328650">
                                <a:moveTo>
                                  <a:pt x="0" y="0"/>
                                </a:moveTo>
                                <a:lnTo>
                                  <a:pt x="3011996" y="0"/>
                                </a:lnTo>
                                <a:lnTo>
                                  <a:pt x="3011996" y="328650"/>
                                </a:lnTo>
                                <a:lnTo>
                                  <a:pt x="0" y="328650"/>
                                </a:lnTo>
                                <a:lnTo>
                                  <a:pt x="0" y="0"/>
                                </a:lnTo>
                              </a:path>
                            </a:pathLst>
                          </a:custGeom>
                          <a:ln w="0" cap="flat">
                            <a:miter lim="100000"/>
                          </a:ln>
                        </wps:spPr>
                        <wps:style>
                          <a:lnRef idx="0">
                            <a:srgbClr val="000000">
                              <a:alpha val="0"/>
                            </a:srgbClr>
                          </a:lnRef>
                          <a:fillRef idx="1">
                            <a:srgbClr val="F39200"/>
                          </a:fillRef>
                          <a:effectRef idx="0">
                            <a:scrgbClr r="0" g="0" b="0"/>
                          </a:effectRef>
                          <a:fontRef idx="none"/>
                        </wps:style>
                        <wps:bodyPr/>
                      </wps:wsp>
                      <wps:wsp>
                        <wps:cNvPr id="6798" name="Rectangle 6798"/>
                        <wps:cNvSpPr/>
                        <wps:spPr>
                          <a:xfrm>
                            <a:off x="1923115" y="1717191"/>
                            <a:ext cx="3543513" cy="203030"/>
                          </a:xfrm>
                          <a:prstGeom prst="rect">
                            <a:avLst/>
                          </a:prstGeom>
                          <a:ln>
                            <a:noFill/>
                          </a:ln>
                        </wps:spPr>
                        <wps:txbx>
                          <w:txbxContent>
                            <w:p w:rsidR="00D27BC6" w:rsidRDefault="004D5071">
                              <w:pPr>
                                <w:spacing w:after="160" w:line="259" w:lineRule="auto"/>
                                <w:ind w:left="0" w:right="0" w:firstLine="0"/>
                                <w:jc w:val="left"/>
                              </w:pPr>
                              <w:r>
                                <w:rPr>
                                  <w:w w:val="103"/>
                                </w:rPr>
                                <w:t>Отсутствие</w:t>
                              </w:r>
                              <w:r>
                                <w:rPr>
                                  <w:spacing w:val="-3"/>
                                  <w:w w:val="103"/>
                                </w:rPr>
                                <w:t xml:space="preserve"> </w:t>
                              </w:r>
                              <w:r>
                                <w:rPr>
                                  <w:w w:val="103"/>
                                </w:rPr>
                                <w:t>достижения</w:t>
                              </w:r>
                              <w:r>
                                <w:rPr>
                                  <w:spacing w:val="-3"/>
                                  <w:w w:val="103"/>
                                </w:rPr>
                                <w:t xml:space="preserve"> </w:t>
                              </w:r>
                              <w:r>
                                <w:rPr>
                                  <w:w w:val="103"/>
                                </w:rPr>
                                <w:t>индивидуальных</w:t>
                              </w:r>
                              <w:r>
                                <w:rPr>
                                  <w:spacing w:val="-3"/>
                                  <w:w w:val="103"/>
                                </w:rPr>
                                <w:t xml:space="preserve"> </w:t>
                              </w:r>
                              <w:r>
                                <w:rPr>
                                  <w:w w:val="103"/>
                                </w:rPr>
                                <w:t>целей</w:t>
                              </w:r>
                              <w:r>
                                <w:rPr>
                                  <w:spacing w:val="-3"/>
                                  <w:w w:val="103"/>
                                </w:rPr>
                                <w:t xml:space="preserve"> </w:t>
                              </w:r>
                            </w:p>
                          </w:txbxContent>
                        </wps:txbx>
                        <wps:bodyPr horzOverflow="overflow" vert="horz" lIns="0" tIns="0" rIns="0" bIns="0" rtlCol="0">
                          <a:noAutofit/>
                        </wps:bodyPr>
                      </wps:wsp>
                      <wps:wsp>
                        <wps:cNvPr id="6799" name="Rectangle 6799"/>
                        <wps:cNvSpPr/>
                        <wps:spPr>
                          <a:xfrm>
                            <a:off x="2196927" y="1869591"/>
                            <a:ext cx="2779211" cy="203030"/>
                          </a:xfrm>
                          <a:prstGeom prst="rect">
                            <a:avLst/>
                          </a:prstGeom>
                          <a:ln>
                            <a:noFill/>
                          </a:ln>
                        </wps:spPr>
                        <wps:txbx>
                          <w:txbxContent>
                            <w:p w:rsidR="00D27BC6" w:rsidRDefault="004D5071">
                              <w:pPr>
                                <w:spacing w:after="160" w:line="259" w:lineRule="auto"/>
                                <w:ind w:left="0" w:right="0" w:firstLine="0"/>
                                <w:jc w:val="left"/>
                              </w:pPr>
                              <w:r>
                                <w:rPr>
                                  <w:w w:val="103"/>
                                </w:rPr>
                                <w:t>терапии</w:t>
                              </w:r>
                              <w:r>
                                <w:rPr>
                                  <w:spacing w:val="-3"/>
                                  <w:w w:val="103"/>
                                </w:rPr>
                                <w:t xml:space="preserve"> </w:t>
                              </w:r>
                              <w:r>
                                <w:rPr>
                                  <w:w w:val="103"/>
                                </w:rPr>
                                <w:t>на</w:t>
                              </w:r>
                              <w:r>
                                <w:rPr>
                                  <w:spacing w:val="-3"/>
                                  <w:w w:val="103"/>
                                </w:rPr>
                                <w:t xml:space="preserve"> </w:t>
                              </w:r>
                              <w:r>
                                <w:rPr>
                                  <w:w w:val="103"/>
                                </w:rPr>
                                <w:t>фоне</w:t>
                              </w:r>
                              <w:r>
                                <w:rPr>
                                  <w:spacing w:val="-3"/>
                                  <w:w w:val="103"/>
                                </w:rPr>
                                <w:t xml:space="preserve"> </w:t>
                              </w:r>
                              <w:r>
                                <w:rPr>
                                  <w:w w:val="103"/>
                                </w:rPr>
                                <w:t>начальной</w:t>
                              </w:r>
                              <w:r>
                                <w:rPr>
                                  <w:spacing w:val="-3"/>
                                  <w:w w:val="103"/>
                                </w:rPr>
                                <w:t xml:space="preserve"> </w:t>
                              </w:r>
                              <w:r>
                                <w:rPr>
                                  <w:w w:val="103"/>
                                </w:rPr>
                                <w:t>схемы</w:t>
                              </w:r>
                              <w:r>
                                <w:rPr>
                                  <w:spacing w:val="-3"/>
                                  <w:w w:val="103"/>
                                </w:rPr>
                                <w:t xml:space="preserve"> </w:t>
                              </w:r>
                              <w:r>
                                <w:rPr>
                                  <w:w w:val="103"/>
                                </w:rPr>
                                <w:t>ИТ</w:t>
                              </w:r>
                            </w:p>
                          </w:txbxContent>
                        </wps:txbx>
                        <wps:bodyPr horzOverflow="overflow" vert="horz" lIns="0" tIns="0" rIns="0" bIns="0" rtlCol="0">
                          <a:noAutofit/>
                        </wps:bodyPr>
                      </wps:wsp>
                      <wps:wsp>
                        <wps:cNvPr id="6800" name="Shape 6800"/>
                        <wps:cNvSpPr/>
                        <wps:spPr>
                          <a:xfrm>
                            <a:off x="1735798" y="1702347"/>
                            <a:ext cx="3011996" cy="328650"/>
                          </a:xfrm>
                          <a:custGeom>
                            <a:avLst/>
                            <a:gdLst/>
                            <a:ahLst/>
                            <a:cxnLst/>
                            <a:rect l="0" t="0" r="0" b="0"/>
                            <a:pathLst>
                              <a:path w="3011996" h="328650">
                                <a:moveTo>
                                  <a:pt x="0" y="328650"/>
                                </a:moveTo>
                                <a:lnTo>
                                  <a:pt x="3011996" y="328650"/>
                                </a:lnTo>
                                <a:lnTo>
                                  <a:pt x="301199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786" name="Shape 377786"/>
                        <wps:cNvSpPr/>
                        <wps:spPr>
                          <a:xfrm>
                            <a:off x="676796" y="2241868"/>
                            <a:ext cx="5139004" cy="298171"/>
                          </a:xfrm>
                          <a:custGeom>
                            <a:avLst/>
                            <a:gdLst/>
                            <a:ahLst/>
                            <a:cxnLst/>
                            <a:rect l="0" t="0" r="0" b="0"/>
                            <a:pathLst>
                              <a:path w="5139004" h="298171">
                                <a:moveTo>
                                  <a:pt x="0" y="0"/>
                                </a:moveTo>
                                <a:lnTo>
                                  <a:pt x="5139004" y="0"/>
                                </a:lnTo>
                                <a:lnTo>
                                  <a:pt x="5139004" y="298171"/>
                                </a:lnTo>
                                <a:lnTo>
                                  <a:pt x="0" y="298171"/>
                                </a:lnTo>
                                <a:lnTo>
                                  <a:pt x="0" y="0"/>
                                </a:lnTo>
                              </a:path>
                            </a:pathLst>
                          </a:custGeom>
                          <a:ln w="0" cap="flat">
                            <a:miter lim="100000"/>
                          </a:ln>
                        </wps:spPr>
                        <wps:style>
                          <a:lnRef idx="0">
                            <a:srgbClr val="000000">
                              <a:alpha val="0"/>
                            </a:srgbClr>
                          </a:lnRef>
                          <a:fillRef idx="1">
                            <a:srgbClr val="FFED00"/>
                          </a:fillRef>
                          <a:effectRef idx="0">
                            <a:scrgbClr r="0" g="0" b="0"/>
                          </a:effectRef>
                          <a:fontRef idx="none"/>
                        </wps:style>
                        <wps:bodyPr/>
                      </wps:wsp>
                      <wps:wsp>
                        <wps:cNvPr id="260145" name="Rectangle 260145"/>
                        <wps:cNvSpPr/>
                        <wps:spPr>
                          <a:xfrm>
                            <a:off x="2785170" y="2256712"/>
                            <a:ext cx="1226608" cy="203030"/>
                          </a:xfrm>
                          <a:prstGeom prst="rect">
                            <a:avLst/>
                          </a:prstGeom>
                          <a:ln>
                            <a:noFill/>
                          </a:ln>
                        </wps:spPr>
                        <wps:txbx>
                          <w:txbxContent>
                            <w:p w:rsidR="00D27BC6" w:rsidRDefault="004D5071">
                              <w:pPr>
                                <w:spacing w:after="160" w:line="259" w:lineRule="auto"/>
                                <w:ind w:left="0" w:right="0" w:firstLine="0"/>
                                <w:jc w:val="left"/>
                              </w:pPr>
                              <w:r>
                                <w:rPr>
                                  <w:w w:val="103"/>
                                  <w:u w:val="single" w:color="000000"/>
                                </w:rPr>
                                <w:t>Оптимизация</w:t>
                              </w:r>
                              <w:r>
                                <w:rPr>
                                  <w:spacing w:val="-3"/>
                                  <w:w w:val="103"/>
                                  <w:u w:val="single" w:color="000000"/>
                                </w:rPr>
                                <w:t xml:space="preserve"> </w:t>
                              </w:r>
                              <w:r>
                                <w:rPr>
                                  <w:w w:val="103"/>
                                  <w:u w:val="single" w:color="000000"/>
                                </w:rPr>
                                <w:t>ИТ</w:t>
                              </w:r>
                            </w:p>
                          </w:txbxContent>
                        </wps:txbx>
                        <wps:bodyPr horzOverflow="overflow" vert="horz" lIns="0" tIns="0" rIns="0" bIns="0" rtlCol="0">
                          <a:noAutofit/>
                        </wps:bodyPr>
                      </wps:wsp>
                      <wps:wsp>
                        <wps:cNvPr id="6804" name="Rectangle 6804"/>
                        <wps:cNvSpPr/>
                        <wps:spPr>
                          <a:xfrm>
                            <a:off x="1676908" y="2402813"/>
                            <a:ext cx="4174591" cy="162423"/>
                          </a:xfrm>
                          <a:prstGeom prst="rect">
                            <a:avLst/>
                          </a:prstGeom>
                          <a:ln>
                            <a:noFill/>
                          </a:ln>
                        </wps:spPr>
                        <wps:txbx>
                          <w:txbxContent>
                            <w:p w:rsidR="00D27BC6" w:rsidRDefault="004D5071">
                              <w:pPr>
                                <w:spacing w:after="160" w:line="259" w:lineRule="auto"/>
                                <w:ind w:left="0" w:right="0" w:firstLine="0"/>
                                <w:jc w:val="left"/>
                              </w:pPr>
                              <w:r>
                                <w:rPr>
                                  <w:w w:val="103"/>
                                  <w:sz w:val="16"/>
                                </w:rPr>
                                <w:t>Титрация</w:t>
                              </w:r>
                              <w:r>
                                <w:rPr>
                                  <w:spacing w:val="-2"/>
                                  <w:w w:val="103"/>
                                  <w:sz w:val="16"/>
                                </w:rPr>
                                <w:t xml:space="preserve"> </w:t>
                              </w:r>
                              <w:r>
                                <w:rPr>
                                  <w:w w:val="103"/>
                                  <w:sz w:val="16"/>
                                </w:rPr>
                                <w:t>дозы</w:t>
                              </w:r>
                              <w:r>
                                <w:rPr>
                                  <w:spacing w:val="-2"/>
                                  <w:w w:val="103"/>
                                  <w:sz w:val="16"/>
                                </w:rPr>
                                <w:t xml:space="preserve"> </w:t>
                              </w:r>
                              <w:r>
                                <w:rPr>
                                  <w:w w:val="103"/>
                                  <w:sz w:val="16"/>
                                </w:rPr>
                                <w:t>инсулина</w:t>
                              </w:r>
                              <w:r>
                                <w:rPr>
                                  <w:spacing w:val="-2"/>
                                  <w:w w:val="103"/>
                                  <w:sz w:val="16"/>
                                </w:rPr>
                                <w:t xml:space="preserve"> </w:t>
                              </w:r>
                              <w:r>
                                <w:rPr>
                                  <w:w w:val="103"/>
                                  <w:sz w:val="16"/>
                                </w:rPr>
                                <w:t>до</w:t>
                              </w:r>
                              <w:r>
                                <w:rPr>
                                  <w:spacing w:val="-2"/>
                                  <w:w w:val="103"/>
                                  <w:sz w:val="16"/>
                                </w:rPr>
                                <w:t xml:space="preserve"> </w:t>
                              </w:r>
                              <w:r>
                                <w:rPr>
                                  <w:w w:val="103"/>
                                  <w:sz w:val="16"/>
                                </w:rPr>
                                <w:t>оптимальной</w:t>
                              </w:r>
                              <w:r>
                                <w:rPr>
                                  <w:spacing w:val="-2"/>
                                  <w:w w:val="103"/>
                                  <w:sz w:val="16"/>
                                </w:rPr>
                                <w:t xml:space="preserve"> </w:t>
                              </w:r>
                              <w:r>
                                <w:rPr>
                                  <w:w w:val="103"/>
                                  <w:sz w:val="16"/>
                                </w:rPr>
                                <w:t>(по</w:t>
                              </w:r>
                              <w:r>
                                <w:rPr>
                                  <w:spacing w:val="-2"/>
                                  <w:w w:val="103"/>
                                  <w:sz w:val="16"/>
                                </w:rPr>
                                <w:t xml:space="preserve"> </w:t>
                              </w:r>
                              <w:r>
                                <w:rPr>
                                  <w:w w:val="103"/>
                                  <w:sz w:val="16"/>
                                </w:rPr>
                                <w:t>уровню</w:t>
                              </w:r>
                              <w:r>
                                <w:rPr>
                                  <w:spacing w:val="-2"/>
                                  <w:w w:val="103"/>
                                  <w:sz w:val="16"/>
                                </w:rPr>
                                <w:t xml:space="preserve"> </w:t>
                              </w:r>
                              <w:r>
                                <w:rPr>
                                  <w:w w:val="103"/>
                                  <w:sz w:val="16"/>
                                </w:rPr>
                                <w:t>глюкозы</w:t>
                              </w:r>
                              <w:r>
                                <w:rPr>
                                  <w:spacing w:val="-2"/>
                                  <w:w w:val="103"/>
                                  <w:sz w:val="16"/>
                                </w:rPr>
                                <w:t xml:space="preserve"> </w:t>
                              </w:r>
                              <w:r>
                                <w:rPr>
                                  <w:w w:val="103"/>
                                  <w:sz w:val="16"/>
                                </w:rPr>
                                <w:t>плазмы)</w:t>
                              </w:r>
                            </w:p>
                          </w:txbxContent>
                        </wps:txbx>
                        <wps:bodyPr horzOverflow="overflow" vert="horz" lIns="0" tIns="0" rIns="0" bIns="0" rtlCol="0">
                          <a:noAutofit/>
                        </wps:bodyPr>
                      </wps:wsp>
                      <wps:wsp>
                        <wps:cNvPr id="6805" name="Shape 6805"/>
                        <wps:cNvSpPr/>
                        <wps:spPr>
                          <a:xfrm>
                            <a:off x="676796" y="2241868"/>
                            <a:ext cx="5139004" cy="298171"/>
                          </a:xfrm>
                          <a:custGeom>
                            <a:avLst/>
                            <a:gdLst/>
                            <a:ahLst/>
                            <a:cxnLst/>
                            <a:rect l="0" t="0" r="0" b="0"/>
                            <a:pathLst>
                              <a:path w="5139004" h="298171">
                                <a:moveTo>
                                  <a:pt x="0" y="298171"/>
                                </a:moveTo>
                                <a:lnTo>
                                  <a:pt x="5139004" y="298171"/>
                                </a:lnTo>
                                <a:lnTo>
                                  <a:pt x="5139004"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809" name="Shape 377809"/>
                        <wps:cNvSpPr/>
                        <wps:spPr>
                          <a:xfrm>
                            <a:off x="1732890" y="2651595"/>
                            <a:ext cx="3017825" cy="328650"/>
                          </a:xfrm>
                          <a:custGeom>
                            <a:avLst/>
                            <a:gdLst/>
                            <a:ahLst/>
                            <a:cxnLst/>
                            <a:rect l="0" t="0" r="0" b="0"/>
                            <a:pathLst>
                              <a:path w="3017825" h="328650">
                                <a:moveTo>
                                  <a:pt x="0" y="0"/>
                                </a:moveTo>
                                <a:lnTo>
                                  <a:pt x="3017825" y="0"/>
                                </a:lnTo>
                                <a:lnTo>
                                  <a:pt x="3017825" y="328650"/>
                                </a:lnTo>
                                <a:lnTo>
                                  <a:pt x="0" y="328650"/>
                                </a:lnTo>
                                <a:lnTo>
                                  <a:pt x="0" y="0"/>
                                </a:lnTo>
                              </a:path>
                            </a:pathLst>
                          </a:custGeom>
                          <a:ln w="0" cap="flat">
                            <a:miter lim="100000"/>
                          </a:ln>
                        </wps:spPr>
                        <wps:style>
                          <a:lnRef idx="0">
                            <a:srgbClr val="000000">
                              <a:alpha val="0"/>
                            </a:srgbClr>
                          </a:lnRef>
                          <a:fillRef idx="1">
                            <a:srgbClr val="F39200"/>
                          </a:fillRef>
                          <a:effectRef idx="0">
                            <a:scrgbClr r="0" g="0" b="0"/>
                          </a:effectRef>
                          <a:fontRef idx="none"/>
                        </wps:style>
                        <wps:bodyPr/>
                      </wps:wsp>
                      <wps:wsp>
                        <wps:cNvPr id="6807" name="Rectangle 6807"/>
                        <wps:cNvSpPr/>
                        <wps:spPr>
                          <a:xfrm>
                            <a:off x="1923115" y="2666436"/>
                            <a:ext cx="3543513" cy="203030"/>
                          </a:xfrm>
                          <a:prstGeom prst="rect">
                            <a:avLst/>
                          </a:prstGeom>
                          <a:ln>
                            <a:noFill/>
                          </a:ln>
                        </wps:spPr>
                        <wps:txbx>
                          <w:txbxContent>
                            <w:p w:rsidR="00D27BC6" w:rsidRDefault="004D5071">
                              <w:pPr>
                                <w:spacing w:after="160" w:line="259" w:lineRule="auto"/>
                                <w:ind w:left="0" w:right="0" w:firstLine="0"/>
                                <w:jc w:val="left"/>
                              </w:pPr>
                              <w:r>
                                <w:rPr>
                                  <w:w w:val="103"/>
                                </w:rPr>
                                <w:t>Отсутствие</w:t>
                              </w:r>
                              <w:r>
                                <w:rPr>
                                  <w:spacing w:val="-3"/>
                                  <w:w w:val="103"/>
                                </w:rPr>
                                <w:t xml:space="preserve"> </w:t>
                              </w:r>
                              <w:r>
                                <w:rPr>
                                  <w:w w:val="103"/>
                                </w:rPr>
                                <w:t>достижения</w:t>
                              </w:r>
                              <w:r>
                                <w:rPr>
                                  <w:spacing w:val="-3"/>
                                  <w:w w:val="103"/>
                                </w:rPr>
                                <w:t xml:space="preserve"> </w:t>
                              </w:r>
                              <w:r>
                                <w:rPr>
                                  <w:w w:val="103"/>
                                </w:rPr>
                                <w:t>индивидуальных</w:t>
                              </w:r>
                              <w:r>
                                <w:rPr>
                                  <w:spacing w:val="-3"/>
                                  <w:w w:val="103"/>
                                </w:rPr>
                                <w:t xml:space="preserve"> </w:t>
                              </w:r>
                              <w:r>
                                <w:rPr>
                                  <w:w w:val="103"/>
                                </w:rPr>
                                <w:t>целей</w:t>
                              </w:r>
                              <w:r>
                                <w:rPr>
                                  <w:spacing w:val="-3"/>
                                  <w:w w:val="103"/>
                                </w:rPr>
                                <w:t xml:space="preserve"> </w:t>
                              </w:r>
                            </w:p>
                          </w:txbxContent>
                        </wps:txbx>
                        <wps:bodyPr horzOverflow="overflow" vert="horz" lIns="0" tIns="0" rIns="0" bIns="0" rtlCol="0">
                          <a:noAutofit/>
                        </wps:bodyPr>
                      </wps:wsp>
                      <wps:wsp>
                        <wps:cNvPr id="6808" name="Rectangle 6808"/>
                        <wps:cNvSpPr/>
                        <wps:spPr>
                          <a:xfrm>
                            <a:off x="2198578" y="2818836"/>
                            <a:ext cx="2774989" cy="203030"/>
                          </a:xfrm>
                          <a:prstGeom prst="rect">
                            <a:avLst/>
                          </a:prstGeom>
                          <a:ln>
                            <a:noFill/>
                          </a:ln>
                        </wps:spPr>
                        <wps:txbx>
                          <w:txbxContent>
                            <w:p w:rsidR="00D27BC6" w:rsidRDefault="004D5071">
                              <w:pPr>
                                <w:spacing w:after="160" w:line="259" w:lineRule="auto"/>
                                <w:ind w:left="0" w:right="0" w:firstLine="0"/>
                                <w:jc w:val="left"/>
                              </w:pPr>
                              <w:r>
                                <w:rPr>
                                  <w:w w:val="103"/>
                                </w:rPr>
                                <w:t>терапии</w:t>
                              </w:r>
                              <w:r>
                                <w:rPr>
                                  <w:spacing w:val="-3"/>
                                  <w:w w:val="103"/>
                                </w:rPr>
                                <w:t xml:space="preserve"> </w:t>
                              </w:r>
                              <w:r>
                                <w:rPr>
                                  <w:w w:val="103"/>
                                </w:rPr>
                                <w:t>на</w:t>
                              </w:r>
                              <w:r>
                                <w:rPr>
                                  <w:spacing w:val="-3"/>
                                  <w:w w:val="103"/>
                                </w:rPr>
                                <w:t xml:space="preserve"> </w:t>
                              </w:r>
                              <w:r>
                                <w:rPr>
                                  <w:w w:val="103"/>
                                </w:rPr>
                                <w:t>фоне</w:t>
                              </w:r>
                              <w:r>
                                <w:rPr>
                                  <w:spacing w:val="-3"/>
                                  <w:w w:val="103"/>
                                </w:rPr>
                                <w:t xml:space="preserve"> </w:t>
                              </w:r>
                              <w:r>
                                <w:rPr>
                                  <w:w w:val="103"/>
                                </w:rPr>
                                <w:t>оптимальных</w:t>
                              </w:r>
                              <w:r>
                                <w:rPr>
                                  <w:spacing w:val="-3"/>
                                  <w:w w:val="103"/>
                                </w:rPr>
                                <w:t xml:space="preserve"> </w:t>
                              </w:r>
                              <w:r>
                                <w:rPr>
                                  <w:w w:val="103"/>
                                </w:rPr>
                                <w:t>доз</w:t>
                              </w:r>
                              <w:r>
                                <w:rPr>
                                  <w:spacing w:val="-3"/>
                                  <w:w w:val="103"/>
                                </w:rPr>
                                <w:t xml:space="preserve"> </w:t>
                              </w:r>
                              <w:r>
                                <w:rPr>
                                  <w:w w:val="103"/>
                                </w:rPr>
                                <w:t>ИТ</w:t>
                              </w:r>
                            </w:p>
                          </w:txbxContent>
                        </wps:txbx>
                        <wps:bodyPr horzOverflow="overflow" vert="horz" lIns="0" tIns="0" rIns="0" bIns="0" rtlCol="0">
                          <a:noAutofit/>
                        </wps:bodyPr>
                      </wps:wsp>
                      <wps:wsp>
                        <wps:cNvPr id="6809" name="Shape 6809"/>
                        <wps:cNvSpPr/>
                        <wps:spPr>
                          <a:xfrm>
                            <a:off x="1732890" y="2651595"/>
                            <a:ext cx="3017825" cy="328650"/>
                          </a:xfrm>
                          <a:custGeom>
                            <a:avLst/>
                            <a:gdLst/>
                            <a:ahLst/>
                            <a:cxnLst/>
                            <a:rect l="0" t="0" r="0" b="0"/>
                            <a:pathLst>
                              <a:path w="3017825" h="328650">
                                <a:moveTo>
                                  <a:pt x="0" y="328650"/>
                                </a:moveTo>
                                <a:lnTo>
                                  <a:pt x="3017825" y="328650"/>
                                </a:lnTo>
                                <a:lnTo>
                                  <a:pt x="301782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831" name="Shape 377831"/>
                        <wps:cNvSpPr/>
                        <wps:spPr>
                          <a:xfrm>
                            <a:off x="700202" y="3105837"/>
                            <a:ext cx="5070602" cy="298170"/>
                          </a:xfrm>
                          <a:custGeom>
                            <a:avLst/>
                            <a:gdLst/>
                            <a:ahLst/>
                            <a:cxnLst/>
                            <a:rect l="0" t="0" r="0" b="0"/>
                            <a:pathLst>
                              <a:path w="5070602" h="298170">
                                <a:moveTo>
                                  <a:pt x="0" y="0"/>
                                </a:moveTo>
                                <a:lnTo>
                                  <a:pt x="5070602" y="0"/>
                                </a:lnTo>
                                <a:lnTo>
                                  <a:pt x="5070602" y="298170"/>
                                </a:lnTo>
                                <a:lnTo>
                                  <a:pt x="0" y="298170"/>
                                </a:lnTo>
                                <a:lnTo>
                                  <a:pt x="0" y="0"/>
                                </a:lnTo>
                              </a:path>
                            </a:pathLst>
                          </a:custGeom>
                          <a:ln w="0" cap="flat">
                            <a:miter lim="100000"/>
                          </a:ln>
                        </wps:spPr>
                        <wps:style>
                          <a:lnRef idx="0">
                            <a:srgbClr val="000000">
                              <a:alpha val="0"/>
                            </a:srgbClr>
                          </a:lnRef>
                          <a:fillRef idx="1">
                            <a:srgbClr val="FFED00"/>
                          </a:fillRef>
                          <a:effectRef idx="0">
                            <a:scrgbClr r="0" g="0" b="0"/>
                          </a:effectRef>
                          <a:fontRef idx="none"/>
                        </wps:style>
                        <wps:bodyPr/>
                      </wps:wsp>
                      <wps:wsp>
                        <wps:cNvPr id="260147" name="Rectangle 260147"/>
                        <wps:cNvSpPr/>
                        <wps:spPr>
                          <a:xfrm>
                            <a:off x="2678106" y="3120681"/>
                            <a:ext cx="1482675" cy="203029"/>
                          </a:xfrm>
                          <a:prstGeom prst="rect">
                            <a:avLst/>
                          </a:prstGeom>
                          <a:ln>
                            <a:noFill/>
                          </a:ln>
                        </wps:spPr>
                        <wps:txbx>
                          <w:txbxContent>
                            <w:p w:rsidR="00D27BC6" w:rsidRDefault="004D5071">
                              <w:pPr>
                                <w:spacing w:after="160" w:line="259" w:lineRule="auto"/>
                                <w:ind w:left="0" w:right="0" w:firstLine="0"/>
                                <w:jc w:val="left"/>
                              </w:pPr>
                              <w:r>
                                <w:rPr>
                                  <w:w w:val="104"/>
                                  <w:u w:val="single" w:color="000000"/>
                                </w:rPr>
                                <w:t>Интенсификация</w:t>
                              </w:r>
                              <w:r>
                                <w:rPr>
                                  <w:spacing w:val="-3"/>
                                  <w:w w:val="104"/>
                                  <w:u w:val="single" w:color="000000"/>
                                </w:rPr>
                                <w:t xml:space="preserve"> </w:t>
                              </w:r>
                              <w:r>
                                <w:rPr>
                                  <w:w w:val="104"/>
                                  <w:u w:val="single" w:color="000000"/>
                                </w:rPr>
                                <w:t>ИТ</w:t>
                              </w:r>
                            </w:p>
                          </w:txbxContent>
                        </wps:txbx>
                        <wps:bodyPr horzOverflow="overflow" vert="horz" lIns="0" tIns="0" rIns="0" bIns="0" rtlCol="0">
                          <a:noAutofit/>
                        </wps:bodyPr>
                      </wps:wsp>
                      <wps:wsp>
                        <wps:cNvPr id="6813" name="Rectangle 6813"/>
                        <wps:cNvSpPr/>
                        <wps:spPr>
                          <a:xfrm>
                            <a:off x="1250981" y="3266782"/>
                            <a:ext cx="5278830" cy="162424"/>
                          </a:xfrm>
                          <a:prstGeom prst="rect">
                            <a:avLst/>
                          </a:prstGeom>
                          <a:ln>
                            <a:noFill/>
                          </a:ln>
                        </wps:spPr>
                        <wps:txbx>
                          <w:txbxContent>
                            <w:p w:rsidR="00D27BC6" w:rsidRDefault="004D5071">
                              <w:pPr>
                                <w:spacing w:after="160" w:line="259" w:lineRule="auto"/>
                                <w:ind w:left="0" w:right="0" w:firstLine="0"/>
                                <w:jc w:val="left"/>
                              </w:pPr>
                              <w:r>
                                <w:rPr>
                                  <w:w w:val="103"/>
                                  <w:sz w:val="16"/>
                                </w:rPr>
                                <w:t>Увеличение</w:t>
                              </w:r>
                              <w:r>
                                <w:rPr>
                                  <w:spacing w:val="-2"/>
                                  <w:w w:val="103"/>
                                  <w:sz w:val="16"/>
                                </w:rPr>
                                <w:t xml:space="preserve"> </w:t>
                              </w:r>
                              <w:r>
                                <w:rPr>
                                  <w:w w:val="103"/>
                                  <w:sz w:val="16"/>
                                </w:rPr>
                                <w:t>кратности</w:t>
                              </w:r>
                              <w:r>
                                <w:rPr>
                                  <w:spacing w:val="-2"/>
                                  <w:w w:val="103"/>
                                  <w:sz w:val="16"/>
                                </w:rPr>
                                <w:t xml:space="preserve"> </w:t>
                              </w:r>
                              <w:r>
                                <w:rPr>
                                  <w:w w:val="103"/>
                                  <w:sz w:val="16"/>
                                </w:rPr>
                                <w:t>инъекций</w:t>
                              </w:r>
                              <w:r>
                                <w:rPr>
                                  <w:spacing w:val="-2"/>
                                  <w:w w:val="103"/>
                                  <w:sz w:val="16"/>
                                </w:rPr>
                                <w:t xml:space="preserve"> </w:t>
                              </w:r>
                              <w:r>
                                <w:rPr>
                                  <w:w w:val="103"/>
                                  <w:sz w:val="16"/>
                                </w:rPr>
                                <w:t>инсулина</w:t>
                              </w:r>
                              <w:r>
                                <w:rPr>
                                  <w:spacing w:val="-2"/>
                                  <w:w w:val="103"/>
                                  <w:sz w:val="16"/>
                                </w:rPr>
                                <w:t xml:space="preserve"> </w:t>
                              </w:r>
                              <w:r>
                                <w:rPr>
                                  <w:w w:val="103"/>
                                  <w:sz w:val="16"/>
                                </w:rPr>
                                <w:t>или</w:t>
                              </w:r>
                              <w:r>
                                <w:rPr>
                                  <w:spacing w:val="-2"/>
                                  <w:w w:val="103"/>
                                  <w:sz w:val="16"/>
                                </w:rPr>
                                <w:t xml:space="preserve"> </w:t>
                              </w:r>
                              <w:r>
                                <w:rPr>
                                  <w:w w:val="103"/>
                                  <w:sz w:val="16"/>
                                </w:rPr>
                                <w:t>добавление</w:t>
                              </w:r>
                              <w:r>
                                <w:rPr>
                                  <w:spacing w:val="-2"/>
                                  <w:w w:val="103"/>
                                  <w:sz w:val="16"/>
                                </w:rPr>
                                <w:t xml:space="preserve"> </w:t>
                              </w:r>
                              <w:r>
                                <w:rPr>
                                  <w:w w:val="103"/>
                                  <w:sz w:val="16"/>
                                </w:rPr>
                                <w:t>арГПП-1</w:t>
                              </w:r>
                              <w:r>
                                <w:rPr>
                                  <w:spacing w:val="-2"/>
                                  <w:w w:val="103"/>
                                  <w:sz w:val="16"/>
                                </w:rPr>
                                <w:t xml:space="preserve"> </w:t>
                              </w:r>
                              <w:r>
                                <w:rPr>
                                  <w:w w:val="103"/>
                                  <w:sz w:val="16"/>
                                </w:rPr>
                                <w:t>(если</w:t>
                              </w:r>
                              <w:r>
                                <w:rPr>
                                  <w:spacing w:val="-2"/>
                                  <w:w w:val="103"/>
                                  <w:sz w:val="16"/>
                                </w:rPr>
                                <w:t xml:space="preserve"> </w:t>
                              </w:r>
                              <w:r>
                                <w:rPr>
                                  <w:w w:val="103"/>
                                  <w:sz w:val="16"/>
                                </w:rPr>
                                <w:t>не</w:t>
                              </w:r>
                              <w:r>
                                <w:rPr>
                                  <w:spacing w:val="-2"/>
                                  <w:w w:val="103"/>
                                  <w:sz w:val="16"/>
                                </w:rPr>
                                <w:t xml:space="preserve"> </w:t>
                              </w:r>
                              <w:r>
                                <w:rPr>
                                  <w:w w:val="103"/>
                                  <w:sz w:val="16"/>
                                </w:rPr>
                                <w:t>было</w:t>
                              </w:r>
                              <w:r>
                                <w:rPr>
                                  <w:spacing w:val="-2"/>
                                  <w:w w:val="103"/>
                                  <w:sz w:val="16"/>
                                </w:rPr>
                                <w:t xml:space="preserve"> </w:t>
                              </w:r>
                              <w:r>
                                <w:rPr>
                                  <w:w w:val="103"/>
                                  <w:sz w:val="16"/>
                                </w:rPr>
                                <w:t>ранее)</w:t>
                              </w:r>
                            </w:p>
                          </w:txbxContent>
                        </wps:txbx>
                        <wps:bodyPr horzOverflow="overflow" vert="horz" lIns="0" tIns="0" rIns="0" bIns="0" rtlCol="0">
                          <a:noAutofit/>
                        </wps:bodyPr>
                      </wps:wsp>
                      <wps:wsp>
                        <wps:cNvPr id="6814" name="Shape 6814"/>
                        <wps:cNvSpPr/>
                        <wps:spPr>
                          <a:xfrm>
                            <a:off x="700202" y="3105837"/>
                            <a:ext cx="5070602" cy="298170"/>
                          </a:xfrm>
                          <a:custGeom>
                            <a:avLst/>
                            <a:gdLst/>
                            <a:ahLst/>
                            <a:cxnLst/>
                            <a:rect l="0" t="0" r="0" b="0"/>
                            <a:pathLst>
                              <a:path w="5070602" h="298170">
                                <a:moveTo>
                                  <a:pt x="0" y="298170"/>
                                </a:moveTo>
                                <a:lnTo>
                                  <a:pt x="5070602" y="298170"/>
                                </a:lnTo>
                                <a:lnTo>
                                  <a:pt x="5070602"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858" name="Shape 377858"/>
                        <wps:cNvSpPr/>
                        <wps:spPr>
                          <a:xfrm>
                            <a:off x="0" y="3803637"/>
                            <a:ext cx="1061999" cy="430251"/>
                          </a:xfrm>
                          <a:custGeom>
                            <a:avLst/>
                            <a:gdLst/>
                            <a:ahLst/>
                            <a:cxnLst/>
                            <a:rect l="0" t="0" r="0" b="0"/>
                            <a:pathLst>
                              <a:path w="1061999" h="430251">
                                <a:moveTo>
                                  <a:pt x="0" y="0"/>
                                </a:moveTo>
                                <a:lnTo>
                                  <a:pt x="1061999" y="0"/>
                                </a:lnTo>
                                <a:lnTo>
                                  <a:pt x="1061999" y="430251"/>
                                </a:lnTo>
                                <a:lnTo>
                                  <a:pt x="0" y="430251"/>
                                </a:lnTo>
                                <a:lnTo>
                                  <a:pt x="0" y="0"/>
                                </a:lnTo>
                              </a:path>
                            </a:pathLst>
                          </a:custGeom>
                          <a:ln w="0" cap="flat">
                            <a:miter lim="100000"/>
                          </a:ln>
                        </wps:spPr>
                        <wps:style>
                          <a:lnRef idx="0">
                            <a:srgbClr val="000000">
                              <a:alpha val="0"/>
                            </a:srgbClr>
                          </a:lnRef>
                          <a:fillRef idx="1">
                            <a:srgbClr val="94C11E"/>
                          </a:fillRef>
                          <a:effectRef idx="0">
                            <a:scrgbClr r="0" g="0" b="0"/>
                          </a:effectRef>
                          <a:fontRef idx="none"/>
                        </wps:style>
                        <wps:bodyPr/>
                      </wps:wsp>
                      <wps:wsp>
                        <wps:cNvPr id="6816" name="Rectangle 6816"/>
                        <wps:cNvSpPr/>
                        <wps:spPr>
                          <a:xfrm>
                            <a:off x="349075" y="3869291"/>
                            <a:ext cx="555545" cy="203029"/>
                          </a:xfrm>
                          <a:prstGeom prst="rect">
                            <a:avLst/>
                          </a:prstGeom>
                          <a:ln>
                            <a:noFill/>
                          </a:ln>
                        </wps:spPr>
                        <wps:txbx>
                          <w:txbxContent>
                            <w:p w:rsidR="00D27BC6" w:rsidRDefault="004D5071">
                              <w:pPr>
                                <w:spacing w:after="160" w:line="259" w:lineRule="auto"/>
                                <w:ind w:left="0" w:right="0" w:firstLine="0"/>
                                <w:jc w:val="left"/>
                              </w:pPr>
                              <w:r>
                                <w:t>Режим</w:t>
                              </w:r>
                              <w:r>
                                <w:rPr>
                                  <w:spacing w:val="-3"/>
                                </w:rPr>
                                <w:t xml:space="preserve">  </w:t>
                              </w:r>
                            </w:p>
                          </w:txbxContent>
                        </wps:txbx>
                        <wps:bodyPr horzOverflow="overflow" vert="horz" lIns="0" tIns="0" rIns="0" bIns="0" rtlCol="0">
                          <a:noAutofit/>
                        </wps:bodyPr>
                      </wps:wsp>
                      <wps:wsp>
                        <wps:cNvPr id="6817" name="Rectangle 6817"/>
                        <wps:cNvSpPr/>
                        <wps:spPr>
                          <a:xfrm>
                            <a:off x="196548" y="4021691"/>
                            <a:ext cx="889818" cy="203029"/>
                          </a:xfrm>
                          <a:prstGeom prst="rect">
                            <a:avLst/>
                          </a:prstGeom>
                          <a:ln>
                            <a:noFill/>
                          </a:ln>
                        </wps:spPr>
                        <wps:txbx>
                          <w:txbxContent>
                            <w:p w:rsidR="00D27BC6" w:rsidRDefault="004D5071">
                              <w:pPr>
                                <w:spacing w:after="160" w:line="259" w:lineRule="auto"/>
                                <w:ind w:left="0" w:right="0" w:firstLine="0"/>
                                <w:jc w:val="left"/>
                              </w:pPr>
                              <w:r>
                                <w:t>базал</w:t>
                              </w:r>
                              <w:r>
                                <w:rPr>
                                  <w:spacing w:val="-3"/>
                                </w:rPr>
                                <w:t xml:space="preserve"> </w:t>
                              </w:r>
                              <w:r>
                                <w:t>плюс*</w:t>
                              </w:r>
                            </w:p>
                          </w:txbxContent>
                        </wps:txbx>
                        <wps:bodyPr horzOverflow="overflow" vert="horz" lIns="0" tIns="0" rIns="0" bIns="0" rtlCol="0">
                          <a:noAutofit/>
                        </wps:bodyPr>
                      </wps:wsp>
                      <wps:wsp>
                        <wps:cNvPr id="6818" name="Shape 6818"/>
                        <wps:cNvSpPr/>
                        <wps:spPr>
                          <a:xfrm>
                            <a:off x="0" y="3803637"/>
                            <a:ext cx="1061999" cy="430251"/>
                          </a:xfrm>
                          <a:custGeom>
                            <a:avLst/>
                            <a:gdLst/>
                            <a:ahLst/>
                            <a:cxnLst/>
                            <a:rect l="0" t="0" r="0" b="0"/>
                            <a:pathLst>
                              <a:path w="1061999" h="430251">
                                <a:moveTo>
                                  <a:pt x="0" y="430251"/>
                                </a:moveTo>
                                <a:lnTo>
                                  <a:pt x="1061999" y="430251"/>
                                </a:lnTo>
                                <a:lnTo>
                                  <a:pt x="1061999"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867" name="Shape 377867"/>
                        <wps:cNvSpPr/>
                        <wps:spPr>
                          <a:xfrm>
                            <a:off x="1376998" y="3803637"/>
                            <a:ext cx="1598600" cy="430251"/>
                          </a:xfrm>
                          <a:custGeom>
                            <a:avLst/>
                            <a:gdLst/>
                            <a:ahLst/>
                            <a:cxnLst/>
                            <a:rect l="0" t="0" r="0" b="0"/>
                            <a:pathLst>
                              <a:path w="1598600" h="430251">
                                <a:moveTo>
                                  <a:pt x="0" y="0"/>
                                </a:moveTo>
                                <a:lnTo>
                                  <a:pt x="1598600" y="0"/>
                                </a:lnTo>
                                <a:lnTo>
                                  <a:pt x="1598600" y="430251"/>
                                </a:lnTo>
                                <a:lnTo>
                                  <a:pt x="0" y="430251"/>
                                </a:lnTo>
                                <a:lnTo>
                                  <a:pt x="0" y="0"/>
                                </a:lnTo>
                              </a:path>
                            </a:pathLst>
                          </a:custGeom>
                          <a:ln w="0" cap="flat">
                            <a:miter lim="100000"/>
                          </a:ln>
                        </wps:spPr>
                        <wps:style>
                          <a:lnRef idx="0">
                            <a:srgbClr val="000000">
                              <a:alpha val="0"/>
                            </a:srgbClr>
                          </a:lnRef>
                          <a:fillRef idx="1">
                            <a:srgbClr val="94C11E"/>
                          </a:fillRef>
                          <a:effectRef idx="0">
                            <a:scrgbClr r="0" g="0" b="0"/>
                          </a:effectRef>
                          <a:fontRef idx="none"/>
                        </wps:style>
                        <wps:bodyPr/>
                      </wps:wsp>
                      <wps:wsp>
                        <wps:cNvPr id="6820" name="Rectangle 6820"/>
                        <wps:cNvSpPr/>
                        <wps:spPr>
                          <a:xfrm>
                            <a:off x="1581126" y="3818491"/>
                            <a:ext cx="1618986" cy="203029"/>
                          </a:xfrm>
                          <a:prstGeom prst="rect">
                            <a:avLst/>
                          </a:prstGeom>
                          <a:ln>
                            <a:noFill/>
                          </a:ln>
                        </wps:spPr>
                        <wps:txbx>
                          <w:txbxContent>
                            <w:p w:rsidR="00D27BC6" w:rsidRDefault="004D5071">
                              <w:pPr>
                                <w:spacing w:after="160" w:line="259" w:lineRule="auto"/>
                                <w:ind w:left="0" w:right="0" w:firstLine="0"/>
                                <w:jc w:val="left"/>
                              </w:pPr>
                              <w:r>
                                <w:rPr>
                                  <w:w w:val="104"/>
                                </w:rPr>
                                <w:t>Базальный</w:t>
                              </w:r>
                              <w:r>
                                <w:rPr>
                                  <w:spacing w:val="-3"/>
                                  <w:w w:val="104"/>
                                </w:rPr>
                                <w:t xml:space="preserve"> </w:t>
                              </w:r>
                              <w:r>
                                <w:rPr>
                                  <w:w w:val="104"/>
                                </w:rPr>
                                <w:t>инсулин</w:t>
                              </w:r>
                              <w:r>
                                <w:rPr>
                                  <w:spacing w:val="-3"/>
                                  <w:w w:val="104"/>
                                </w:rPr>
                                <w:t xml:space="preserve"> </w:t>
                              </w:r>
                              <w:r>
                                <w:rPr>
                                  <w:w w:val="104"/>
                                </w:rPr>
                                <w:t>+</w:t>
                              </w:r>
                              <w:r>
                                <w:rPr>
                                  <w:spacing w:val="-3"/>
                                  <w:w w:val="104"/>
                                </w:rPr>
                                <w:t xml:space="preserve"> </w:t>
                              </w:r>
                            </w:p>
                          </w:txbxContent>
                        </wps:txbx>
                        <wps:bodyPr horzOverflow="overflow" vert="horz" lIns="0" tIns="0" rIns="0" bIns="0" rtlCol="0">
                          <a:noAutofit/>
                        </wps:bodyPr>
                      </wps:wsp>
                      <wps:wsp>
                        <wps:cNvPr id="6821" name="Rectangle 6821"/>
                        <wps:cNvSpPr/>
                        <wps:spPr>
                          <a:xfrm>
                            <a:off x="1447903" y="3945491"/>
                            <a:ext cx="1973359" cy="203029"/>
                          </a:xfrm>
                          <a:prstGeom prst="rect">
                            <a:avLst/>
                          </a:prstGeom>
                          <a:ln>
                            <a:noFill/>
                          </a:ln>
                        </wps:spPr>
                        <wps:txbx>
                          <w:txbxContent>
                            <w:p w:rsidR="00D27BC6" w:rsidRDefault="004D5071">
                              <w:pPr>
                                <w:spacing w:after="160" w:line="259" w:lineRule="auto"/>
                                <w:ind w:left="0" w:right="0" w:firstLine="0"/>
                                <w:jc w:val="left"/>
                              </w:pPr>
                              <w:r>
                                <w:rPr>
                                  <w:w w:val="104"/>
                                </w:rPr>
                                <w:t>арГПП-1</w:t>
                              </w:r>
                              <w:r>
                                <w:rPr>
                                  <w:spacing w:val="-3"/>
                                  <w:w w:val="104"/>
                                </w:rPr>
                                <w:t xml:space="preserve"> </w:t>
                              </w:r>
                              <w:r>
                                <w:rPr>
                                  <w:w w:val="104"/>
                                </w:rPr>
                                <w:t>в</w:t>
                              </w:r>
                              <w:r>
                                <w:rPr>
                                  <w:spacing w:val="-3"/>
                                  <w:w w:val="104"/>
                                </w:rPr>
                                <w:t xml:space="preserve"> </w:t>
                              </w:r>
                              <w:r>
                                <w:rPr>
                                  <w:w w:val="104"/>
                                </w:rPr>
                                <w:t>фиксированной</w:t>
                              </w:r>
                              <w:r>
                                <w:rPr>
                                  <w:spacing w:val="-3"/>
                                  <w:w w:val="104"/>
                                </w:rPr>
                                <w:t xml:space="preserve"> </w:t>
                              </w:r>
                            </w:p>
                          </w:txbxContent>
                        </wps:txbx>
                        <wps:bodyPr horzOverflow="overflow" vert="horz" lIns="0" tIns="0" rIns="0" bIns="0" rtlCol="0">
                          <a:noAutofit/>
                        </wps:bodyPr>
                      </wps:wsp>
                      <wps:wsp>
                        <wps:cNvPr id="6822" name="Rectangle 6822"/>
                        <wps:cNvSpPr/>
                        <wps:spPr>
                          <a:xfrm>
                            <a:off x="1805154" y="4072491"/>
                            <a:ext cx="987110" cy="203029"/>
                          </a:xfrm>
                          <a:prstGeom prst="rect">
                            <a:avLst/>
                          </a:prstGeom>
                          <a:ln>
                            <a:noFill/>
                          </a:ln>
                        </wps:spPr>
                        <wps:txbx>
                          <w:txbxContent>
                            <w:p w:rsidR="00D27BC6" w:rsidRDefault="004D5071">
                              <w:pPr>
                                <w:spacing w:after="160" w:line="259" w:lineRule="auto"/>
                                <w:ind w:left="0" w:right="0" w:firstLine="0"/>
                                <w:jc w:val="left"/>
                              </w:pPr>
                              <w:r>
                                <w:rPr>
                                  <w:w w:val="101"/>
                                </w:rPr>
                                <w:t>комбинации*</w:t>
                              </w:r>
                            </w:p>
                          </w:txbxContent>
                        </wps:txbx>
                        <wps:bodyPr horzOverflow="overflow" vert="horz" lIns="0" tIns="0" rIns="0" bIns="0" rtlCol="0">
                          <a:noAutofit/>
                        </wps:bodyPr>
                      </wps:wsp>
                      <wps:wsp>
                        <wps:cNvPr id="6823" name="Shape 6823"/>
                        <wps:cNvSpPr/>
                        <wps:spPr>
                          <a:xfrm>
                            <a:off x="1376998" y="3803637"/>
                            <a:ext cx="1598600" cy="430251"/>
                          </a:xfrm>
                          <a:custGeom>
                            <a:avLst/>
                            <a:gdLst/>
                            <a:ahLst/>
                            <a:cxnLst/>
                            <a:rect l="0" t="0" r="0" b="0"/>
                            <a:pathLst>
                              <a:path w="1598600" h="430251">
                                <a:moveTo>
                                  <a:pt x="0" y="430251"/>
                                </a:moveTo>
                                <a:lnTo>
                                  <a:pt x="1598600" y="430251"/>
                                </a:lnTo>
                                <a:lnTo>
                                  <a:pt x="1598600"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884" name="Shape 377884"/>
                        <wps:cNvSpPr/>
                        <wps:spPr>
                          <a:xfrm>
                            <a:off x="3304794" y="3803637"/>
                            <a:ext cx="1251001" cy="430251"/>
                          </a:xfrm>
                          <a:custGeom>
                            <a:avLst/>
                            <a:gdLst/>
                            <a:ahLst/>
                            <a:cxnLst/>
                            <a:rect l="0" t="0" r="0" b="0"/>
                            <a:pathLst>
                              <a:path w="1251001" h="430251">
                                <a:moveTo>
                                  <a:pt x="0" y="0"/>
                                </a:moveTo>
                                <a:lnTo>
                                  <a:pt x="1251001" y="0"/>
                                </a:lnTo>
                                <a:lnTo>
                                  <a:pt x="1251001" y="430251"/>
                                </a:lnTo>
                                <a:lnTo>
                                  <a:pt x="0" y="430251"/>
                                </a:lnTo>
                                <a:lnTo>
                                  <a:pt x="0" y="0"/>
                                </a:lnTo>
                              </a:path>
                            </a:pathLst>
                          </a:custGeom>
                          <a:ln w="0" cap="flat">
                            <a:miter lim="100000"/>
                          </a:ln>
                        </wps:spPr>
                        <wps:style>
                          <a:lnRef idx="0">
                            <a:srgbClr val="000000">
                              <a:alpha val="0"/>
                            </a:srgbClr>
                          </a:lnRef>
                          <a:fillRef idx="1">
                            <a:srgbClr val="94C11E"/>
                          </a:fillRef>
                          <a:effectRef idx="0">
                            <a:scrgbClr r="0" g="0" b="0"/>
                          </a:effectRef>
                          <a:fontRef idx="none"/>
                        </wps:style>
                        <wps:bodyPr/>
                      </wps:wsp>
                      <wps:wsp>
                        <wps:cNvPr id="6825" name="Rectangle 6825"/>
                        <wps:cNvSpPr/>
                        <wps:spPr>
                          <a:xfrm>
                            <a:off x="3483266" y="3869291"/>
                            <a:ext cx="1224919" cy="203029"/>
                          </a:xfrm>
                          <a:prstGeom prst="rect">
                            <a:avLst/>
                          </a:prstGeom>
                          <a:ln>
                            <a:noFill/>
                          </a:ln>
                        </wps:spPr>
                        <wps:txbx>
                          <w:txbxContent>
                            <w:p w:rsidR="00D27BC6" w:rsidRDefault="004D5071">
                              <w:pPr>
                                <w:spacing w:after="160" w:line="259" w:lineRule="auto"/>
                                <w:ind w:left="0" w:right="0" w:firstLine="0"/>
                                <w:jc w:val="left"/>
                              </w:pPr>
                              <w:r>
                                <w:rPr>
                                  <w:w w:val="102"/>
                                </w:rPr>
                                <w:t>Базис-болюсная</w:t>
                              </w:r>
                              <w:r>
                                <w:rPr>
                                  <w:spacing w:val="-3"/>
                                  <w:w w:val="102"/>
                                </w:rPr>
                                <w:t xml:space="preserve"> </w:t>
                              </w:r>
                            </w:p>
                          </w:txbxContent>
                        </wps:txbx>
                        <wps:bodyPr horzOverflow="overflow" vert="horz" lIns="0" tIns="0" rIns="0" bIns="0" rtlCol="0">
                          <a:noAutofit/>
                        </wps:bodyPr>
                      </wps:wsp>
                      <wps:wsp>
                        <wps:cNvPr id="6826" name="Rectangle 6826"/>
                        <wps:cNvSpPr/>
                        <wps:spPr>
                          <a:xfrm>
                            <a:off x="3414051" y="4021691"/>
                            <a:ext cx="1373222" cy="203029"/>
                          </a:xfrm>
                          <a:prstGeom prst="rect">
                            <a:avLst/>
                          </a:prstGeom>
                          <a:ln>
                            <a:noFill/>
                          </a:ln>
                        </wps:spPr>
                        <wps:txbx>
                          <w:txbxContent>
                            <w:p w:rsidR="00D27BC6" w:rsidRDefault="004D5071">
                              <w:pPr>
                                <w:spacing w:after="160" w:line="259" w:lineRule="auto"/>
                                <w:ind w:left="0" w:right="0" w:firstLine="0"/>
                                <w:jc w:val="left"/>
                              </w:pPr>
                              <w:r>
                                <w:rPr>
                                  <w:w w:val="102"/>
                                </w:rPr>
                                <w:t>инсулинотерапия*</w:t>
                              </w:r>
                            </w:p>
                          </w:txbxContent>
                        </wps:txbx>
                        <wps:bodyPr horzOverflow="overflow" vert="horz" lIns="0" tIns="0" rIns="0" bIns="0" rtlCol="0">
                          <a:noAutofit/>
                        </wps:bodyPr>
                      </wps:wsp>
                      <wps:wsp>
                        <wps:cNvPr id="6827" name="Shape 6827"/>
                        <wps:cNvSpPr/>
                        <wps:spPr>
                          <a:xfrm>
                            <a:off x="3304794" y="3803637"/>
                            <a:ext cx="1251001" cy="430251"/>
                          </a:xfrm>
                          <a:custGeom>
                            <a:avLst/>
                            <a:gdLst/>
                            <a:ahLst/>
                            <a:cxnLst/>
                            <a:rect l="0" t="0" r="0" b="0"/>
                            <a:pathLst>
                              <a:path w="1251001" h="430251">
                                <a:moveTo>
                                  <a:pt x="0" y="430251"/>
                                </a:moveTo>
                                <a:lnTo>
                                  <a:pt x="1251001" y="430251"/>
                                </a:lnTo>
                                <a:lnTo>
                                  <a:pt x="1251001"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890" name="Shape 377890"/>
                        <wps:cNvSpPr/>
                        <wps:spPr>
                          <a:xfrm>
                            <a:off x="4870806" y="3803637"/>
                            <a:ext cx="1609205" cy="430251"/>
                          </a:xfrm>
                          <a:custGeom>
                            <a:avLst/>
                            <a:gdLst/>
                            <a:ahLst/>
                            <a:cxnLst/>
                            <a:rect l="0" t="0" r="0" b="0"/>
                            <a:pathLst>
                              <a:path w="1609205" h="430251">
                                <a:moveTo>
                                  <a:pt x="0" y="0"/>
                                </a:moveTo>
                                <a:lnTo>
                                  <a:pt x="1609205" y="0"/>
                                </a:lnTo>
                                <a:lnTo>
                                  <a:pt x="1609205" y="430251"/>
                                </a:lnTo>
                                <a:lnTo>
                                  <a:pt x="0" y="430251"/>
                                </a:lnTo>
                                <a:lnTo>
                                  <a:pt x="0" y="0"/>
                                </a:lnTo>
                              </a:path>
                            </a:pathLst>
                          </a:custGeom>
                          <a:ln w="0" cap="flat">
                            <a:miter lim="100000"/>
                          </a:ln>
                        </wps:spPr>
                        <wps:style>
                          <a:lnRef idx="0">
                            <a:srgbClr val="000000">
                              <a:alpha val="0"/>
                            </a:srgbClr>
                          </a:lnRef>
                          <a:fillRef idx="1">
                            <a:srgbClr val="94C11E"/>
                          </a:fillRef>
                          <a:effectRef idx="0">
                            <a:scrgbClr r="0" g="0" b="0"/>
                          </a:effectRef>
                          <a:fontRef idx="none"/>
                        </wps:style>
                        <wps:bodyPr/>
                      </wps:wsp>
                      <wps:wsp>
                        <wps:cNvPr id="6829" name="Rectangle 6829"/>
                        <wps:cNvSpPr/>
                        <wps:spPr>
                          <a:xfrm>
                            <a:off x="4909473" y="3869291"/>
                            <a:ext cx="2073184" cy="203029"/>
                          </a:xfrm>
                          <a:prstGeom prst="rect">
                            <a:avLst/>
                          </a:prstGeom>
                          <a:ln>
                            <a:noFill/>
                          </a:ln>
                        </wps:spPr>
                        <wps:txbx>
                          <w:txbxContent>
                            <w:p w:rsidR="00D27BC6" w:rsidRDefault="004D5071">
                              <w:pPr>
                                <w:spacing w:after="160" w:line="259" w:lineRule="auto"/>
                                <w:ind w:left="0" w:right="0" w:firstLine="0"/>
                                <w:jc w:val="left"/>
                              </w:pPr>
                              <w:r>
                                <w:rPr>
                                  <w:w w:val="101"/>
                                </w:rPr>
                                <w:t>Готовые</w:t>
                              </w:r>
                              <w:r>
                                <w:rPr>
                                  <w:spacing w:val="-3"/>
                                  <w:w w:val="101"/>
                                </w:rPr>
                                <w:t xml:space="preserve"> </w:t>
                              </w:r>
                              <w:r>
                                <w:rPr>
                                  <w:w w:val="101"/>
                                </w:rPr>
                                <w:t>смеси/комбинации</w:t>
                              </w:r>
                              <w:r>
                                <w:rPr>
                                  <w:spacing w:val="-3"/>
                                  <w:w w:val="101"/>
                                </w:rPr>
                                <w:t xml:space="preserve"> </w:t>
                              </w:r>
                            </w:p>
                          </w:txbxContent>
                        </wps:txbx>
                        <wps:bodyPr horzOverflow="overflow" vert="horz" lIns="0" tIns="0" rIns="0" bIns="0" rtlCol="0">
                          <a:noAutofit/>
                        </wps:bodyPr>
                      </wps:wsp>
                      <wps:wsp>
                        <wps:cNvPr id="6830" name="Rectangle 6830"/>
                        <wps:cNvSpPr/>
                        <wps:spPr>
                          <a:xfrm>
                            <a:off x="4948844" y="4021691"/>
                            <a:ext cx="1932635" cy="203029"/>
                          </a:xfrm>
                          <a:prstGeom prst="rect">
                            <a:avLst/>
                          </a:prstGeom>
                          <a:ln>
                            <a:noFill/>
                          </a:ln>
                        </wps:spPr>
                        <wps:txbx>
                          <w:txbxContent>
                            <w:p w:rsidR="00D27BC6" w:rsidRDefault="004D5071">
                              <w:pPr>
                                <w:spacing w:after="160" w:line="259" w:lineRule="auto"/>
                                <w:ind w:left="0" w:right="0" w:firstLine="0"/>
                                <w:jc w:val="left"/>
                              </w:pPr>
                              <w:r>
                                <w:rPr>
                                  <w:w w:val="102"/>
                                </w:rPr>
                                <w:t>инсулина</w:t>
                              </w:r>
                              <w:r>
                                <w:rPr>
                                  <w:spacing w:val="-3"/>
                                  <w:w w:val="102"/>
                                </w:rPr>
                                <w:t xml:space="preserve"> </w:t>
                              </w:r>
                              <w:r>
                                <w:rPr>
                                  <w:w w:val="102"/>
                                </w:rPr>
                                <w:t>2–3</w:t>
                              </w:r>
                              <w:r>
                                <w:rPr>
                                  <w:spacing w:val="-3"/>
                                  <w:w w:val="102"/>
                                </w:rPr>
                                <w:t xml:space="preserve"> </w:t>
                              </w:r>
                              <w:r>
                                <w:rPr>
                                  <w:w w:val="102"/>
                                </w:rPr>
                                <w:t>раза</w:t>
                              </w:r>
                              <w:r>
                                <w:rPr>
                                  <w:spacing w:val="-3"/>
                                  <w:w w:val="102"/>
                                </w:rPr>
                                <w:t xml:space="preserve"> </w:t>
                              </w:r>
                              <w:r>
                                <w:rPr>
                                  <w:w w:val="102"/>
                                </w:rPr>
                                <w:t>в</w:t>
                              </w:r>
                              <w:r>
                                <w:rPr>
                                  <w:spacing w:val="-3"/>
                                  <w:w w:val="102"/>
                                </w:rPr>
                                <w:t xml:space="preserve"> </w:t>
                              </w:r>
                              <w:r>
                                <w:rPr>
                                  <w:w w:val="102"/>
                                </w:rPr>
                                <w:t>день*</w:t>
                              </w:r>
                            </w:p>
                          </w:txbxContent>
                        </wps:txbx>
                        <wps:bodyPr horzOverflow="overflow" vert="horz" lIns="0" tIns="0" rIns="0" bIns="0" rtlCol="0">
                          <a:noAutofit/>
                        </wps:bodyPr>
                      </wps:wsp>
                      <wps:wsp>
                        <wps:cNvPr id="6831" name="Shape 6831"/>
                        <wps:cNvSpPr/>
                        <wps:spPr>
                          <a:xfrm>
                            <a:off x="4870806" y="3803637"/>
                            <a:ext cx="1609205" cy="430251"/>
                          </a:xfrm>
                          <a:custGeom>
                            <a:avLst/>
                            <a:gdLst/>
                            <a:ahLst/>
                            <a:cxnLst/>
                            <a:rect l="0" t="0" r="0" b="0"/>
                            <a:pathLst>
                              <a:path w="1609205" h="430251">
                                <a:moveTo>
                                  <a:pt x="0" y="430251"/>
                                </a:moveTo>
                                <a:lnTo>
                                  <a:pt x="1609205" y="430251"/>
                                </a:lnTo>
                                <a:lnTo>
                                  <a:pt x="16092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32" name="Shape 6832"/>
                        <wps:cNvSpPr/>
                        <wps:spPr>
                          <a:xfrm>
                            <a:off x="4914008" y="424593"/>
                            <a:ext cx="0" cy="685355"/>
                          </a:xfrm>
                          <a:custGeom>
                            <a:avLst/>
                            <a:gdLst/>
                            <a:ahLst/>
                            <a:cxnLst/>
                            <a:rect l="0" t="0" r="0" b="0"/>
                            <a:pathLst>
                              <a:path h="685355">
                                <a:moveTo>
                                  <a:pt x="0" y="0"/>
                                </a:moveTo>
                                <a:lnTo>
                                  <a:pt x="0" y="685355"/>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33" name="Shape 6833"/>
                        <wps:cNvSpPr/>
                        <wps:spPr>
                          <a:xfrm>
                            <a:off x="4883451" y="1089932"/>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34" name="Shape 6834"/>
                        <wps:cNvSpPr/>
                        <wps:spPr>
                          <a:xfrm>
                            <a:off x="1566007" y="1600345"/>
                            <a:ext cx="0" cy="580746"/>
                          </a:xfrm>
                          <a:custGeom>
                            <a:avLst/>
                            <a:gdLst/>
                            <a:ahLst/>
                            <a:cxnLst/>
                            <a:rect l="0" t="0" r="0" b="0"/>
                            <a:pathLst>
                              <a:path h="580746">
                                <a:moveTo>
                                  <a:pt x="0" y="0"/>
                                </a:moveTo>
                                <a:lnTo>
                                  <a:pt x="0" y="580746"/>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35" name="Shape 6835"/>
                        <wps:cNvSpPr/>
                        <wps:spPr>
                          <a:xfrm>
                            <a:off x="1535450" y="2161073"/>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36" name="Shape 6836"/>
                        <wps:cNvSpPr/>
                        <wps:spPr>
                          <a:xfrm>
                            <a:off x="4914008" y="1600345"/>
                            <a:ext cx="0" cy="580746"/>
                          </a:xfrm>
                          <a:custGeom>
                            <a:avLst/>
                            <a:gdLst/>
                            <a:ahLst/>
                            <a:cxnLst/>
                            <a:rect l="0" t="0" r="0" b="0"/>
                            <a:pathLst>
                              <a:path h="580746">
                                <a:moveTo>
                                  <a:pt x="0" y="0"/>
                                </a:moveTo>
                                <a:lnTo>
                                  <a:pt x="0" y="580746"/>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37" name="Shape 6837"/>
                        <wps:cNvSpPr/>
                        <wps:spPr>
                          <a:xfrm>
                            <a:off x="4883451" y="2161073"/>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38" name="Shape 6838"/>
                        <wps:cNvSpPr/>
                        <wps:spPr>
                          <a:xfrm>
                            <a:off x="1566007" y="2544534"/>
                            <a:ext cx="0" cy="492837"/>
                          </a:xfrm>
                          <a:custGeom>
                            <a:avLst/>
                            <a:gdLst/>
                            <a:ahLst/>
                            <a:cxnLst/>
                            <a:rect l="0" t="0" r="0" b="0"/>
                            <a:pathLst>
                              <a:path h="492837">
                                <a:moveTo>
                                  <a:pt x="0" y="0"/>
                                </a:moveTo>
                                <a:lnTo>
                                  <a:pt x="0" y="49283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39" name="Shape 6839"/>
                        <wps:cNvSpPr/>
                        <wps:spPr>
                          <a:xfrm>
                            <a:off x="1535450" y="3017363"/>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40" name="Shape 6840"/>
                        <wps:cNvSpPr/>
                        <wps:spPr>
                          <a:xfrm>
                            <a:off x="4914008" y="2544534"/>
                            <a:ext cx="0" cy="492837"/>
                          </a:xfrm>
                          <a:custGeom>
                            <a:avLst/>
                            <a:gdLst/>
                            <a:ahLst/>
                            <a:cxnLst/>
                            <a:rect l="0" t="0" r="0" b="0"/>
                            <a:pathLst>
                              <a:path h="492837">
                                <a:moveTo>
                                  <a:pt x="0" y="0"/>
                                </a:moveTo>
                                <a:lnTo>
                                  <a:pt x="0" y="49283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41" name="Shape 6841"/>
                        <wps:cNvSpPr/>
                        <wps:spPr>
                          <a:xfrm>
                            <a:off x="4883451" y="3017363"/>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42" name="Shape 6842"/>
                        <wps:cNvSpPr/>
                        <wps:spPr>
                          <a:xfrm>
                            <a:off x="237976" y="3405110"/>
                            <a:ext cx="1318692" cy="369977"/>
                          </a:xfrm>
                          <a:custGeom>
                            <a:avLst/>
                            <a:gdLst/>
                            <a:ahLst/>
                            <a:cxnLst/>
                            <a:rect l="0" t="0" r="0" b="0"/>
                            <a:pathLst>
                              <a:path w="1318692" h="369977">
                                <a:moveTo>
                                  <a:pt x="1318692" y="0"/>
                                </a:moveTo>
                                <a:lnTo>
                                  <a:pt x="0" y="36997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43" name="Shape 6843"/>
                        <wps:cNvSpPr/>
                        <wps:spPr>
                          <a:xfrm>
                            <a:off x="176399" y="3740257"/>
                            <a:ext cx="89103" cy="58852"/>
                          </a:xfrm>
                          <a:custGeom>
                            <a:avLst/>
                            <a:gdLst/>
                            <a:ahLst/>
                            <a:cxnLst/>
                            <a:rect l="0" t="0" r="0" b="0"/>
                            <a:pathLst>
                              <a:path w="89103" h="58852">
                                <a:moveTo>
                                  <a:pt x="72593" y="0"/>
                                </a:moveTo>
                                <a:lnTo>
                                  <a:pt x="61582" y="34837"/>
                                </a:lnTo>
                                <a:lnTo>
                                  <a:pt x="89103" y="58852"/>
                                </a:lnTo>
                                <a:lnTo>
                                  <a:pt x="0" y="52108"/>
                                </a:lnTo>
                                <a:lnTo>
                                  <a:pt x="72593"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44" name="Shape 6844"/>
                        <wps:cNvSpPr/>
                        <wps:spPr>
                          <a:xfrm>
                            <a:off x="1557176" y="3405443"/>
                            <a:ext cx="92773" cy="332054"/>
                          </a:xfrm>
                          <a:custGeom>
                            <a:avLst/>
                            <a:gdLst/>
                            <a:ahLst/>
                            <a:cxnLst/>
                            <a:rect l="0" t="0" r="0" b="0"/>
                            <a:pathLst>
                              <a:path w="92773" h="332054">
                                <a:moveTo>
                                  <a:pt x="0" y="0"/>
                                </a:moveTo>
                                <a:lnTo>
                                  <a:pt x="92773" y="332054"/>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45" name="Shape 6845"/>
                        <wps:cNvSpPr/>
                        <wps:spPr>
                          <a:xfrm>
                            <a:off x="1615129" y="3710000"/>
                            <a:ext cx="58864" cy="89103"/>
                          </a:xfrm>
                          <a:custGeom>
                            <a:avLst/>
                            <a:gdLst/>
                            <a:ahLst/>
                            <a:cxnLst/>
                            <a:rect l="0" t="0" r="0" b="0"/>
                            <a:pathLst>
                              <a:path w="58864" h="89103">
                                <a:moveTo>
                                  <a:pt x="58864" y="0"/>
                                </a:moveTo>
                                <a:lnTo>
                                  <a:pt x="52032" y="89103"/>
                                </a:lnTo>
                                <a:lnTo>
                                  <a:pt x="0" y="16446"/>
                                </a:lnTo>
                                <a:lnTo>
                                  <a:pt x="34823" y="27508"/>
                                </a:lnTo>
                                <a:lnTo>
                                  <a:pt x="58864"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46" name="Shape 6846"/>
                        <wps:cNvSpPr/>
                        <wps:spPr>
                          <a:xfrm>
                            <a:off x="1557214" y="3405139"/>
                            <a:ext cx="1925955" cy="367741"/>
                          </a:xfrm>
                          <a:custGeom>
                            <a:avLst/>
                            <a:gdLst/>
                            <a:ahLst/>
                            <a:cxnLst/>
                            <a:rect l="0" t="0" r="0" b="0"/>
                            <a:pathLst>
                              <a:path w="1925955" h="367741">
                                <a:moveTo>
                                  <a:pt x="0" y="0"/>
                                </a:moveTo>
                                <a:lnTo>
                                  <a:pt x="1925955" y="36774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47" name="Shape 6847"/>
                        <wps:cNvSpPr/>
                        <wps:spPr>
                          <a:xfrm>
                            <a:off x="3457790" y="3739120"/>
                            <a:ext cx="88202" cy="60020"/>
                          </a:xfrm>
                          <a:custGeom>
                            <a:avLst/>
                            <a:gdLst/>
                            <a:ahLst/>
                            <a:cxnLst/>
                            <a:rect l="0" t="0" r="0" b="0"/>
                            <a:pathLst>
                              <a:path w="88202" h="60020">
                                <a:moveTo>
                                  <a:pt x="11456" y="0"/>
                                </a:moveTo>
                                <a:lnTo>
                                  <a:pt x="88202" y="45758"/>
                                </a:lnTo>
                                <a:lnTo>
                                  <a:pt x="0" y="60020"/>
                                </a:lnTo>
                                <a:lnTo>
                                  <a:pt x="25387" y="33757"/>
                                </a:lnTo>
                                <a:lnTo>
                                  <a:pt x="11456"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48" name="Shape 6848"/>
                        <wps:cNvSpPr/>
                        <wps:spPr>
                          <a:xfrm>
                            <a:off x="1557103" y="3405158"/>
                            <a:ext cx="3840429" cy="365417"/>
                          </a:xfrm>
                          <a:custGeom>
                            <a:avLst/>
                            <a:gdLst/>
                            <a:ahLst/>
                            <a:cxnLst/>
                            <a:rect l="0" t="0" r="0" b="0"/>
                            <a:pathLst>
                              <a:path w="3840429" h="365417">
                                <a:moveTo>
                                  <a:pt x="0" y="0"/>
                                </a:moveTo>
                                <a:lnTo>
                                  <a:pt x="3840429" y="36541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49" name="Shape 6849"/>
                        <wps:cNvSpPr/>
                        <wps:spPr>
                          <a:xfrm>
                            <a:off x="5374699" y="3738257"/>
                            <a:ext cx="86500" cy="60845"/>
                          </a:xfrm>
                          <a:custGeom>
                            <a:avLst/>
                            <a:gdLst/>
                            <a:ahLst/>
                            <a:cxnLst/>
                            <a:rect l="0" t="0" r="0" b="0"/>
                            <a:pathLst>
                              <a:path w="86500" h="60845">
                                <a:moveTo>
                                  <a:pt x="5804" y="0"/>
                                </a:moveTo>
                                <a:lnTo>
                                  <a:pt x="86500" y="38379"/>
                                </a:lnTo>
                                <a:lnTo>
                                  <a:pt x="0" y="60845"/>
                                </a:lnTo>
                                <a:lnTo>
                                  <a:pt x="22822" y="32321"/>
                                </a:lnTo>
                                <a:lnTo>
                                  <a:pt x="5804"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50" name="Shape 6850"/>
                        <wps:cNvSpPr/>
                        <wps:spPr>
                          <a:xfrm>
                            <a:off x="4914380" y="3403324"/>
                            <a:ext cx="1134046" cy="371335"/>
                          </a:xfrm>
                          <a:custGeom>
                            <a:avLst/>
                            <a:gdLst/>
                            <a:ahLst/>
                            <a:cxnLst/>
                            <a:rect l="0" t="0" r="0" b="0"/>
                            <a:pathLst>
                              <a:path w="1134046" h="371335">
                                <a:moveTo>
                                  <a:pt x="0" y="0"/>
                                </a:moveTo>
                                <a:lnTo>
                                  <a:pt x="1134046" y="371335"/>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51" name="Shape 6851"/>
                        <wps:cNvSpPr/>
                        <wps:spPr>
                          <a:xfrm>
                            <a:off x="6019891" y="3739395"/>
                            <a:ext cx="89319" cy="58077"/>
                          </a:xfrm>
                          <a:custGeom>
                            <a:avLst/>
                            <a:gdLst/>
                            <a:ahLst/>
                            <a:cxnLst/>
                            <a:rect l="0" t="0" r="0" b="0"/>
                            <a:pathLst>
                              <a:path w="89319" h="58077">
                                <a:moveTo>
                                  <a:pt x="19025" y="0"/>
                                </a:moveTo>
                                <a:lnTo>
                                  <a:pt x="89319" y="55169"/>
                                </a:lnTo>
                                <a:lnTo>
                                  <a:pt x="0" y="58077"/>
                                </a:lnTo>
                                <a:lnTo>
                                  <a:pt x="28537" y="35268"/>
                                </a:lnTo>
                                <a:lnTo>
                                  <a:pt x="19025"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52" name="Shape 6852"/>
                        <wps:cNvSpPr/>
                        <wps:spPr>
                          <a:xfrm>
                            <a:off x="4404715" y="3403161"/>
                            <a:ext cx="508673" cy="357937"/>
                          </a:xfrm>
                          <a:custGeom>
                            <a:avLst/>
                            <a:gdLst/>
                            <a:ahLst/>
                            <a:cxnLst/>
                            <a:rect l="0" t="0" r="0" b="0"/>
                            <a:pathLst>
                              <a:path w="508673" h="357937">
                                <a:moveTo>
                                  <a:pt x="508673" y="0"/>
                                </a:moveTo>
                                <a:lnTo>
                                  <a:pt x="0" y="35793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53" name="Shape 6853"/>
                        <wps:cNvSpPr/>
                        <wps:spPr>
                          <a:xfrm>
                            <a:off x="4352405" y="3724589"/>
                            <a:ext cx="86258" cy="73317"/>
                          </a:xfrm>
                          <a:custGeom>
                            <a:avLst/>
                            <a:gdLst/>
                            <a:ahLst/>
                            <a:cxnLst/>
                            <a:rect l="0" t="0" r="0" b="0"/>
                            <a:pathLst>
                              <a:path w="86258" h="73317">
                                <a:moveTo>
                                  <a:pt x="51079" y="0"/>
                                </a:moveTo>
                                <a:lnTo>
                                  <a:pt x="52311" y="36513"/>
                                </a:lnTo>
                                <a:lnTo>
                                  <a:pt x="86258" y="49988"/>
                                </a:lnTo>
                                <a:lnTo>
                                  <a:pt x="0" y="73317"/>
                                </a:lnTo>
                                <a:lnTo>
                                  <a:pt x="51079"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54" name="Shape 6854"/>
                        <wps:cNvSpPr/>
                        <wps:spPr>
                          <a:xfrm>
                            <a:off x="2680323" y="3403374"/>
                            <a:ext cx="2233486" cy="367081"/>
                          </a:xfrm>
                          <a:custGeom>
                            <a:avLst/>
                            <a:gdLst/>
                            <a:ahLst/>
                            <a:cxnLst/>
                            <a:rect l="0" t="0" r="0" b="0"/>
                            <a:pathLst>
                              <a:path w="2233486" h="367081">
                                <a:moveTo>
                                  <a:pt x="2233486" y="0"/>
                                </a:moveTo>
                                <a:lnTo>
                                  <a:pt x="0" y="36708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55" name="Shape 6855"/>
                        <wps:cNvSpPr/>
                        <wps:spPr>
                          <a:xfrm>
                            <a:off x="2617205" y="3737048"/>
                            <a:ext cx="87820" cy="60313"/>
                          </a:xfrm>
                          <a:custGeom>
                            <a:avLst/>
                            <a:gdLst/>
                            <a:ahLst/>
                            <a:cxnLst/>
                            <a:rect l="0" t="0" r="0" b="0"/>
                            <a:pathLst>
                              <a:path w="87820" h="60313">
                                <a:moveTo>
                                  <a:pt x="77902" y="0"/>
                                </a:moveTo>
                                <a:lnTo>
                                  <a:pt x="63119" y="33401"/>
                                </a:lnTo>
                                <a:lnTo>
                                  <a:pt x="87820" y="60313"/>
                                </a:lnTo>
                                <a:lnTo>
                                  <a:pt x="0" y="43777"/>
                                </a:lnTo>
                                <a:lnTo>
                                  <a:pt x="77902"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56" name="Shape 6856"/>
                        <wps:cNvSpPr/>
                        <wps:spPr>
                          <a:xfrm>
                            <a:off x="756715" y="3403388"/>
                            <a:ext cx="4157180" cy="365252"/>
                          </a:xfrm>
                          <a:custGeom>
                            <a:avLst/>
                            <a:gdLst/>
                            <a:ahLst/>
                            <a:cxnLst/>
                            <a:rect l="0" t="0" r="0" b="0"/>
                            <a:pathLst>
                              <a:path w="4157180" h="365252">
                                <a:moveTo>
                                  <a:pt x="4157180" y="0"/>
                                </a:moveTo>
                                <a:lnTo>
                                  <a:pt x="0" y="365252"/>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57" name="Shape 6857"/>
                        <wps:cNvSpPr/>
                        <wps:spPr>
                          <a:xfrm>
                            <a:off x="693006" y="3736445"/>
                            <a:ext cx="86322" cy="60884"/>
                          </a:xfrm>
                          <a:custGeom>
                            <a:avLst/>
                            <a:gdLst/>
                            <a:ahLst/>
                            <a:cxnLst/>
                            <a:rect l="0" t="0" r="0" b="0"/>
                            <a:pathLst>
                              <a:path w="86322" h="60884">
                                <a:moveTo>
                                  <a:pt x="80975" y="0"/>
                                </a:moveTo>
                                <a:lnTo>
                                  <a:pt x="63716" y="32195"/>
                                </a:lnTo>
                                <a:lnTo>
                                  <a:pt x="86322" y="60884"/>
                                </a:lnTo>
                                <a:lnTo>
                                  <a:pt x="0" y="37795"/>
                                </a:lnTo>
                                <a:lnTo>
                                  <a:pt x="80975"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58" name="Shape 6858"/>
                        <wps:cNvSpPr/>
                        <wps:spPr>
                          <a:xfrm>
                            <a:off x="1061999" y="4018775"/>
                            <a:ext cx="246545" cy="0"/>
                          </a:xfrm>
                          <a:custGeom>
                            <a:avLst/>
                            <a:gdLst/>
                            <a:ahLst/>
                            <a:cxnLst/>
                            <a:rect l="0" t="0" r="0" b="0"/>
                            <a:pathLst>
                              <a:path w="246545">
                                <a:moveTo>
                                  <a:pt x="0" y="0"/>
                                </a:moveTo>
                                <a:lnTo>
                                  <a:pt x="246545"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59" name="Shape 6859"/>
                        <wps:cNvSpPr/>
                        <wps:spPr>
                          <a:xfrm>
                            <a:off x="1288527" y="3988218"/>
                            <a:ext cx="83972" cy="61113"/>
                          </a:xfrm>
                          <a:custGeom>
                            <a:avLst/>
                            <a:gdLst/>
                            <a:ahLst/>
                            <a:cxnLst/>
                            <a:rect l="0" t="0" r="0" b="0"/>
                            <a:pathLst>
                              <a:path w="83972" h="61113">
                                <a:moveTo>
                                  <a:pt x="0" y="0"/>
                                </a:moveTo>
                                <a:lnTo>
                                  <a:pt x="83972" y="30556"/>
                                </a:lnTo>
                                <a:lnTo>
                                  <a:pt x="0" y="61113"/>
                                </a:lnTo>
                                <a:lnTo>
                                  <a:pt x="20015" y="3055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60" name="Shape 6860"/>
                        <wps:cNvSpPr/>
                        <wps:spPr>
                          <a:xfrm>
                            <a:off x="4624254" y="4018775"/>
                            <a:ext cx="246545" cy="0"/>
                          </a:xfrm>
                          <a:custGeom>
                            <a:avLst/>
                            <a:gdLst/>
                            <a:ahLst/>
                            <a:cxnLst/>
                            <a:rect l="0" t="0" r="0" b="0"/>
                            <a:pathLst>
                              <a:path w="246545">
                                <a:moveTo>
                                  <a:pt x="246545" y="0"/>
                                </a:move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61" name="Shape 6861"/>
                        <wps:cNvSpPr/>
                        <wps:spPr>
                          <a:xfrm>
                            <a:off x="4560300" y="3988218"/>
                            <a:ext cx="83972" cy="61113"/>
                          </a:xfrm>
                          <a:custGeom>
                            <a:avLst/>
                            <a:gdLst/>
                            <a:ahLst/>
                            <a:cxnLst/>
                            <a:rect l="0" t="0" r="0" b="0"/>
                            <a:pathLst>
                              <a:path w="83972" h="61113">
                                <a:moveTo>
                                  <a:pt x="83972" y="0"/>
                                </a:moveTo>
                                <a:lnTo>
                                  <a:pt x="63957" y="30556"/>
                                </a:lnTo>
                                <a:lnTo>
                                  <a:pt x="83972" y="61113"/>
                                </a:lnTo>
                                <a:lnTo>
                                  <a:pt x="0" y="30556"/>
                                </a:lnTo>
                                <a:lnTo>
                                  <a:pt x="83972"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62" name="Shape 6862"/>
                        <wps:cNvSpPr/>
                        <wps:spPr>
                          <a:xfrm>
                            <a:off x="3049259" y="4018775"/>
                            <a:ext cx="192900" cy="0"/>
                          </a:xfrm>
                          <a:custGeom>
                            <a:avLst/>
                            <a:gdLst/>
                            <a:ahLst/>
                            <a:cxnLst/>
                            <a:rect l="0" t="0" r="0" b="0"/>
                            <a:pathLst>
                              <a:path w="192900">
                                <a:moveTo>
                                  <a:pt x="0" y="0"/>
                                </a:moveTo>
                                <a:lnTo>
                                  <a:pt x="19290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63" name="Shape 6863"/>
                        <wps:cNvSpPr/>
                        <wps:spPr>
                          <a:xfrm>
                            <a:off x="2985300" y="3988218"/>
                            <a:ext cx="83972" cy="61113"/>
                          </a:xfrm>
                          <a:custGeom>
                            <a:avLst/>
                            <a:gdLst/>
                            <a:ahLst/>
                            <a:cxnLst/>
                            <a:rect l="0" t="0" r="0" b="0"/>
                            <a:pathLst>
                              <a:path w="83972" h="61113">
                                <a:moveTo>
                                  <a:pt x="83972" y="0"/>
                                </a:moveTo>
                                <a:lnTo>
                                  <a:pt x="63957" y="30556"/>
                                </a:lnTo>
                                <a:lnTo>
                                  <a:pt x="83972" y="61113"/>
                                </a:lnTo>
                                <a:lnTo>
                                  <a:pt x="0" y="30556"/>
                                </a:lnTo>
                                <a:lnTo>
                                  <a:pt x="83972"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64" name="Shape 6864"/>
                        <wps:cNvSpPr/>
                        <wps:spPr>
                          <a:xfrm>
                            <a:off x="3222140" y="3988218"/>
                            <a:ext cx="83972" cy="61113"/>
                          </a:xfrm>
                          <a:custGeom>
                            <a:avLst/>
                            <a:gdLst/>
                            <a:ahLst/>
                            <a:cxnLst/>
                            <a:rect l="0" t="0" r="0" b="0"/>
                            <a:pathLst>
                              <a:path w="83972" h="61113">
                                <a:moveTo>
                                  <a:pt x="0" y="0"/>
                                </a:moveTo>
                                <a:lnTo>
                                  <a:pt x="83972" y="30556"/>
                                </a:lnTo>
                                <a:lnTo>
                                  <a:pt x="0" y="61113"/>
                                </a:lnTo>
                                <a:lnTo>
                                  <a:pt x="20015" y="3055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65" name="Shape 6865"/>
                        <wps:cNvSpPr/>
                        <wps:spPr>
                          <a:xfrm>
                            <a:off x="5674035" y="4304754"/>
                            <a:ext cx="0" cy="116307"/>
                          </a:xfrm>
                          <a:custGeom>
                            <a:avLst/>
                            <a:gdLst/>
                            <a:ahLst/>
                            <a:cxnLst/>
                            <a:rect l="0" t="0" r="0" b="0"/>
                            <a:pathLst>
                              <a:path h="116307">
                                <a:moveTo>
                                  <a:pt x="0" y="116307"/>
                                </a:move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66" name="Shape 6866"/>
                        <wps:cNvSpPr/>
                        <wps:spPr>
                          <a:xfrm>
                            <a:off x="5643479" y="4240801"/>
                            <a:ext cx="61113" cy="83972"/>
                          </a:xfrm>
                          <a:custGeom>
                            <a:avLst/>
                            <a:gdLst/>
                            <a:ahLst/>
                            <a:cxnLst/>
                            <a:rect l="0" t="0" r="0" b="0"/>
                            <a:pathLst>
                              <a:path w="61113" h="83972">
                                <a:moveTo>
                                  <a:pt x="30556" y="0"/>
                                </a:moveTo>
                                <a:lnTo>
                                  <a:pt x="61113" y="83972"/>
                                </a:lnTo>
                                <a:lnTo>
                                  <a:pt x="30556" y="63957"/>
                                </a:lnTo>
                                <a:lnTo>
                                  <a:pt x="0" y="83972"/>
                                </a:lnTo>
                                <a:lnTo>
                                  <a:pt x="30556"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67" name="Shape 6867"/>
                        <wps:cNvSpPr/>
                        <wps:spPr>
                          <a:xfrm>
                            <a:off x="4007235" y="4304754"/>
                            <a:ext cx="0" cy="116307"/>
                          </a:xfrm>
                          <a:custGeom>
                            <a:avLst/>
                            <a:gdLst/>
                            <a:ahLst/>
                            <a:cxnLst/>
                            <a:rect l="0" t="0" r="0" b="0"/>
                            <a:pathLst>
                              <a:path h="116307">
                                <a:moveTo>
                                  <a:pt x="0" y="116307"/>
                                </a:move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68" name="Shape 6868"/>
                        <wps:cNvSpPr/>
                        <wps:spPr>
                          <a:xfrm>
                            <a:off x="3976679" y="4240801"/>
                            <a:ext cx="61113" cy="83972"/>
                          </a:xfrm>
                          <a:custGeom>
                            <a:avLst/>
                            <a:gdLst/>
                            <a:ahLst/>
                            <a:cxnLst/>
                            <a:rect l="0" t="0" r="0" b="0"/>
                            <a:pathLst>
                              <a:path w="61113" h="83972">
                                <a:moveTo>
                                  <a:pt x="30556" y="0"/>
                                </a:moveTo>
                                <a:lnTo>
                                  <a:pt x="61113" y="83972"/>
                                </a:lnTo>
                                <a:lnTo>
                                  <a:pt x="30556" y="63957"/>
                                </a:lnTo>
                                <a:lnTo>
                                  <a:pt x="0" y="83972"/>
                                </a:lnTo>
                                <a:lnTo>
                                  <a:pt x="30556"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69" name="Shape 6869"/>
                        <wps:cNvSpPr/>
                        <wps:spPr>
                          <a:xfrm>
                            <a:off x="2171229" y="4304754"/>
                            <a:ext cx="0" cy="116307"/>
                          </a:xfrm>
                          <a:custGeom>
                            <a:avLst/>
                            <a:gdLst/>
                            <a:ahLst/>
                            <a:cxnLst/>
                            <a:rect l="0" t="0" r="0" b="0"/>
                            <a:pathLst>
                              <a:path h="116307">
                                <a:moveTo>
                                  <a:pt x="0" y="116307"/>
                                </a:move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70" name="Shape 6870"/>
                        <wps:cNvSpPr/>
                        <wps:spPr>
                          <a:xfrm>
                            <a:off x="2140673" y="4240801"/>
                            <a:ext cx="61113" cy="83972"/>
                          </a:xfrm>
                          <a:custGeom>
                            <a:avLst/>
                            <a:gdLst/>
                            <a:ahLst/>
                            <a:cxnLst/>
                            <a:rect l="0" t="0" r="0" b="0"/>
                            <a:pathLst>
                              <a:path w="61113" h="83972">
                                <a:moveTo>
                                  <a:pt x="30556" y="0"/>
                                </a:moveTo>
                                <a:lnTo>
                                  <a:pt x="61113" y="83972"/>
                                </a:lnTo>
                                <a:lnTo>
                                  <a:pt x="30556" y="63957"/>
                                </a:lnTo>
                                <a:lnTo>
                                  <a:pt x="0" y="83972"/>
                                </a:lnTo>
                                <a:lnTo>
                                  <a:pt x="30556"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6871" name="Shape 6871"/>
                        <wps:cNvSpPr/>
                        <wps:spPr>
                          <a:xfrm>
                            <a:off x="543174" y="4238397"/>
                            <a:ext cx="0" cy="182664"/>
                          </a:xfrm>
                          <a:custGeom>
                            <a:avLst/>
                            <a:gdLst/>
                            <a:ahLst/>
                            <a:cxnLst/>
                            <a:rect l="0" t="0" r="0" b="0"/>
                            <a:pathLst>
                              <a:path h="182664">
                                <a:moveTo>
                                  <a:pt x="0" y="182664"/>
                                </a:move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72" name="Shape 6872"/>
                        <wps:cNvSpPr/>
                        <wps:spPr>
                          <a:xfrm>
                            <a:off x="539999" y="4418093"/>
                            <a:ext cx="5137201" cy="0"/>
                          </a:xfrm>
                          <a:custGeom>
                            <a:avLst/>
                            <a:gdLst/>
                            <a:ahLst/>
                            <a:cxnLst/>
                            <a:rect l="0" t="0" r="0" b="0"/>
                            <a:pathLst>
                              <a:path w="5137201">
                                <a:moveTo>
                                  <a:pt x="0" y="0"/>
                                </a:moveTo>
                                <a:lnTo>
                                  <a:pt x="5137201"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7906" name="Shape 377906"/>
                        <wps:cNvSpPr/>
                        <wps:spPr>
                          <a:xfrm>
                            <a:off x="1637995" y="628244"/>
                            <a:ext cx="3131998" cy="430250"/>
                          </a:xfrm>
                          <a:custGeom>
                            <a:avLst/>
                            <a:gdLst/>
                            <a:ahLst/>
                            <a:cxnLst/>
                            <a:rect l="0" t="0" r="0" b="0"/>
                            <a:pathLst>
                              <a:path w="3131998" h="430250">
                                <a:moveTo>
                                  <a:pt x="0" y="0"/>
                                </a:moveTo>
                                <a:lnTo>
                                  <a:pt x="3131998" y="0"/>
                                </a:lnTo>
                                <a:lnTo>
                                  <a:pt x="3131998" y="430250"/>
                                </a:lnTo>
                                <a:lnTo>
                                  <a:pt x="0" y="430250"/>
                                </a:lnTo>
                                <a:lnTo>
                                  <a:pt x="0" y="0"/>
                                </a:lnTo>
                              </a:path>
                            </a:pathLst>
                          </a:custGeom>
                          <a:ln w="0" cap="flat">
                            <a:miter lim="100000"/>
                          </a:ln>
                        </wps:spPr>
                        <wps:style>
                          <a:lnRef idx="0">
                            <a:srgbClr val="000000">
                              <a:alpha val="0"/>
                            </a:srgbClr>
                          </a:lnRef>
                          <a:fillRef idx="1">
                            <a:srgbClr val="94C11E"/>
                          </a:fillRef>
                          <a:effectRef idx="0">
                            <a:scrgbClr r="0" g="0" b="0"/>
                          </a:effectRef>
                          <a:fontRef idx="none"/>
                        </wps:style>
                        <wps:bodyPr/>
                      </wps:wsp>
                      <wps:wsp>
                        <wps:cNvPr id="6874" name="Rectangle 6874"/>
                        <wps:cNvSpPr/>
                        <wps:spPr>
                          <a:xfrm>
                            <a:off x="1954216" y="643090"/>
                            <a:ext cx="3360228" cy="203030"/>
                          </a:xfrm>
                          <a:prstGeom prst="rect">
                            <a:avLst/>
                          </a:prstGeom>
                          <a:ln>
                            <a:noFill/>
                          </a:ln>
                        </wps:spPr>
                        <wps:txbx>
                          <w:txbxContent>
                            <w:p w:rsidR="00D27BC6" w:rsidRDefault="004D5071">
                              <w:pPr>
                                <w:spacing w:after="160" w:line="259" w:lineRule="auto"/>
                                <w:ind w:left="0" w:right="0" w:firstLine="0"/>
                                <w:jc w:val="left"/>
                              </w:pPr>
                              <w:r>
                                <w:rPr>
                                  <w:w w:val="103"/>
                                </w:rPr>
                                <w:t>При</w:t>
                              </w:r>
                              <w:r>
                                <w:rPr>
                                  <w:spacing w:val="-3"/>
                                  <w:w w:val="103"/>
                                </w:rPr>
                                <w:t xml:space="preserve"> </w:t>
                              </w:r>
                              <w:r>
                                <w:rPr>
                                  <w:w w:val="103"/>
                                </w:rPr>
                                <w:t>выраженной</w:t>
                              </w:r>
                              <w:r>
                                <w:rPr>
                                  <w:spacing w:val="-3"/>
                                  <w:w w:val="103"/>
                                </w:rPr>
                                <w:t xml:space="preserve"> </w:t>
                              </w:r>
                              <w:r>
                                <w:rPr>
                                  <w:w w:val="103"/>
                                </w:rPr>
                                <w:t>декомпенсации</w:t>
                              </w:r>
                              <w:r>
                                <w:rPr>
                                  <w:spacing w:val="-3"/>
                                  <w:w w:val="103"/>
                                </w:rPr>
                                <w:t xml:space="preserve"> </w:t>
                              </w:r>
                              <w:r>
                                <w:rPr>
                                  <w:w w:val="103"/>
                                </w:rPr>
                                <w:t>инициация</w:t>
                              </w:r>
                              <w:r>
                                <w:rPr>
                                  <w:spacing w:val="-3"/>
                                  <w:w w:val="103"/>
                                </w:rPr>
                                <w:t xml:space="preserve"> </w:t>
                              </w:r>
                            </w:p>
                          </w:txbxContent>
                        </wps:txbx>
                        <wps:bodyPr horzOverflow="overflow" vert="horz" lIns="0" tIns="0" rIns="0" bIns="0" rtlCol="0">
                          <a:noAutofit/>
                        </wps:bodyPr>
                      </wps:wsp>
                      <wps:wsp>
                        <wps:cNvPr id="6875" name="Rectangle 6875"/>
                        <wps:cNvSpPr/>
                        <wps:spPr>
                          <a:xfrm>
                            <a:off x="1885509" y="770090"/>
                            <a:ext cx="3542853" cy="203030"/>
                          </a:xfrm>
                          <a:prstGeom prst="rect">
                            <a:avLst/>
                          </a:prstGeom>
                          <a:ln>
                            <a:noFill/>
                          </a:ln>
                        </wps:spPr>
                        <wps:txbx>
                          <w:txbxContent>
                            <w:p w:rsidR="00D27BC6" w:rsidRDefault="004D5071">
                              <w:pPr>
                                <w:spacing w:after="160" w:line="259" w:lineRule="auto"/>
                                <w:ind w:left="0" w:right="0" w:firstLine="0"/>
                                <w:jc w:val="left"/>
                              </w:pPr>
                              <w:r>
                                <w:rPr>
                                  <w:w w:val="102"/>
                                </w:rPr>
                                <w:t>возможна</w:t>
                              </w:r>
                              <w:r>
                                <w:rPr>
                                  <w:spacing w:val="-3"/>
                                  <w:w w:val="102"/>
                                </w:rPr>
                                <w:t xml:space="preserve"> </w:t>
                              </w:r>
                              <w:r>
                                <w:rPr>
                                  <w:w w:val="102"/>
                                </w:rPr>
                                <w:t>с</w:t>
                              </w:r>
                              <w:r>
                                <w:rPr>
                                  <w:spacing w:val="-3"/>
                                  <w:w w:val="102"/>
                                </w:rPr>
                                <w:t xml:space="preserve"> </w:t>
                              </w:r>
                              <w:r>
                                <w:rPr>
                                  <w:w w:val="102"/>
                                </w:rPr>
                                <w:t>базис-болюсной</w:t>
                              </w:r>
                              <w:r>
                                <w:rPr>
                                  <w:spacing w:val="-3"/>
                                  <w:w w:val="102"/>
                                </w:rPr>
                                <w:t xml:space="preserve"> </w:t>
                              </w:r>
                              <w:r>
                                <w:rPr>
                                  <w:w w:val="102"/>
                                </w:rPr>
                                <w:t>инсулинотерапии*</w:t>
                              </w:r>
                              <w:r>
                                <w:rPr>
                                  <w:spacing w:val="-3"/>
                                  <w:w w:val="102"/>
                                </w:rPr>
                                <w:t xml:space="preserve"> </w:t>
                              </w:r>
                            </w:p>
                          </w:txbxContent>
                        </wps:txbx>
                        <wps:bodyPr horzOverflow="overflow" vert="horz" lIns="0" tIns="0" rIns="0" bIns="0" rtlCol="0">
                          <a:noAutofit/>
                        </wps:bodyPr>
                      </wps:wsp>
                      <wps:wsp>
                        <wps:cNvPr id="6876" name="Rectangle 6876"/>
                        <wps:cNvSpPr/>
                        <wps:spPr>
                          <a:xfrm>
                            <a:off x="1848679" y="897090"/>
                            <a:ext cx="3604996" cy="203030"/>
                          </a:xfrm>
                          <a:prstGeom prst="rect">
                            <a:avLst/>
                          </a:prstGeom>
                          <a:ln>
                            <a:noFill/>
                          </a:ln>
                        </wps:spPr>
                        <wps:txbx>
                          <w:txbxContent>
                            <w:p w:rsidR="00D27BC6" w:rsidRDefault="004D5071">
                              <w:pPr>
                                <w:spacing w:after="160" w:line="259" w:lineRule="auto"/>
                                <w:ind w:left="0" w:right="0" w:firstLine="0"/>
                                <w:jc w:val="left"/>
                              </w:pPr>
                              <w:r>
                                <w:rPr>
                                  <w:w w:val="102"/>
                                </w:rPr>
                                <w:t>На</w:t>
                              </w:r>
                              <w:r>
                                <w:rPr>
                                  <w:spacing w:val="-3"/>
                                  <w:w w:val="102"/>
                                </w:rPr>
                                <w:t xml:space="preserve"> </w:t>
                              </w:r>
                              <w:r>
                                <w:rPr>
                                  <w:w w:val="102"/>
                                </w:rPr>
                                <w:t>любом</w:t>
                              </w:r>
                              <w:r>
                                <w:rPr>
                                  <w:spacing w:val="-3"/>
                                  <w:w w:val="102"/>
                                </w:rPr>
                                <w:t xml:space="preserve"> </w:t>
                              </w:r>
                              <w:r>
                                <w:rPr>
                                  <w:w w:val="102"/>
                                </w:rPr>
                                <w:t>этапе</w:t>
                              </w:r>
                              <w:r>
                                <w:rPr>
                                  <w:spacing w:val="-3"/>
                                  <w:w w:val="102"/>
                                </w:rPr>
                                <w:t xml:space="preserve"> </w:t>
                              </w:r>
                              <w:r>
                                <w:rPr>
                                  <w:w w:val="102"/>
                                </w:rPr>
                                <w:t>возможна</w:t>
                              </w:r>
                              <w:r>
                                <w:rPr>
                                  <w:spacing w:val="-3"/>
                                  <w:w w:val="102"/>
                                </w:rPr>
                                <w:t xml:space="preserve"> </w:t>
                              </w:r>
                              <w:r>
                                <w:rPr>
                                  <w:w w:val="102"/>
                                </w:rPr>
                                <w:t>деинтенсификация</w:t>
                              </w:r>
                              <w:r>
                                <w:rPr>
                                  <w:spacing w:val="-3"/>
                                  <w:w w:val="102"/>
                                </w:rPr>
                                <w:t xml:space="preserve"> </w:t>
                              </w:r>
                              <w:r>
                                <w:rPr>
                                  <w:w w:val="102"/>
                                </w:rPr>
                                <w:t>ИТ</w:t>
                              </w:r>
                            </w:p>
                          </w:txbxContent>
                        </wps:txbx>
                        <wps:bodyPr horzOverflow="overflow" vert="horz" lIns="0" tIns="0" rIns="0" bIns="0" rtlCol="0">
                          <a:noAutofit/>
                        </wps:bodyPr>
                      </wps:wsp>
                      <wps:wsp>
                        <wps:cNvPr id="6877" name="Shape 6877"/>
                        <wps:cNvSpPr/>
                        <wps:spPr>
                          <a:xfrm>
                            <a:off x="1637995" y="628244"/>
                            <a:ext cx="3131998" cy="430250"/>
                          </a:xfrm>
                          <a:custGeom>
                            <a:avLst/>
                            <a:gdLst/>
                            <a:ahLst/>
                            <a:cxnLst/>
                            <a:rect l="0" t="0" r="0" b="0"/>
                            <a:pathLst>
                              <a:path w="3131998" h="430250">
                                <a:moveTo>
                                  <a:pt x="0" y="430250"/>
                                </a:moveTo>
                                <a:lnTo>
                                  <a:pt x="3131998" y="430250"/>
                                </a:lnTo>
                                <a:lnTo>
                                  <a:pt x="31319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78" name="Shape 6878"/>
                        <wps:cNvSpPr/>
                        <wps:spPr>
                          <a:xfrm>
                            <a:off x="3245446" y="424593"/>
                            <a:ext cx="0" cy="137592"/>
                          </a:xfrm>
                          <a:custGeom>
                            <a:avLst/>
                            <a:gdLst/>
                            <a:ahLst/>
                            <a:cxnLst/>
                            <a:rect l="0" t="0" r="0" b="0"/>
                            <a:pathLst>
                              <a:path h="137592">
                                <a:moveTo>
                                  <a:pt x="0" y="0"/>
                                </a:moveTo>
                                <a:lnTo>
                                  <a:pt x="0" y="137592"/>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6879" name="Shape 6879"/>
                        <wps:cNvSpPr/>
                        <wps:spPr>
                          <a:xfrm>
                            <a:off x="3214890" y="542171"/>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285664" style="width:510.237pt;height:348.115pt;position:absolute;mso-position-horizontal-relative:text;mso-position-horizontal:absolute;margin-left:0.44944pt;mso-position-vertical-relative:text;margin-top:-1.16931pt;" coordsize="64800,44210">
                <v:shape id="Shape 6778" style="position:absolute;width:0;height:11128;left:32454;top:10605;" coordsize="0,1112812" path="m0,0l0,1112812">
                  <v:stroke weight="0.709pt" endcap="flat" joinstyle="miter" miterlimit="4" on="true" color="#000000"/>
                  <v:fill on="false" color="#000000" opacity="0"/>
                </v:shape>
                <v:shape id="Shape 6779" style="position:absolute;width:611;height:839;left:32148;top:21533;" coordsize="61113,83972" path="m0,0l30556,20015l61113,0l30556,83972l0,0x">
                  <v:stroke weight="0pt" endcap="flat" joinstyle="miter" miterlimit="4" on="false" color="#000000" opacity="0"/>
                  <v:fill on="true" color="#000000"/>
                </v:shape>
                <v:shape id="Shape 377937" style="position:absolute;width:64782;height:4200;left:17;top:0;" coordsize="6478296,420091" path="m0,0l6478296,0l6478296,420091l0,420091l0,0">
                  <v:stroke weight="0pt" endcap="flat" joinstyle="miter" miterlimit="4" on="false" color="#000000" opacity="0"/>
                  <v:fill on="true" color="#ffed00"/>
                </v:shape>
                <v:rect id="Rectangle 6784" style="position:absolute;width:11470;height:1624;left:28096;top:2828;" filled="f" stroked="f">
                  <v:textbox inset="0,0,0,0">
                    <w:txbxContent>
                      <w:p>
                        <w:pPr>
                          <w:spacing w:before="0" w:after="160" w:line="259" w:lineRule="auto"/>
                          <w:ind w:left="0" w:right="0" w:firstLine="0"/>
                          <w:jc w:val="left"/>
                        </w:pPr>
                        <w:r>
                          <w:rPr>
                            <w:w w:val="103"/>
                            <w:sz w:val="16"/>
                          </w:rPr>
                          <w:t xml:space="preserve">или</w:t>
                        </w:r>
                        <w:r>
                          <w:rPr>
                            <w:spacing w:val="-2"/>
                            <w:w w:val="103"/>
                            <w:sz w:val="16"/>
                          </w:rPr>
                          <w:t xml:space="preserve"> </w:t>
                        </w:r>
                        <w:r>
                          <w:rPr>
                            <w:w w:val="103"/>
                            <w:sz w:val="16"/>
                          </w:rPr>
                          <w:t xml:space="preserve">их</w:t>
                        </w:r>
                        <w:r>
                          <w:rPr>
                            <w:spacing w:val="-2"/>
                            <w:w w:val="103"/>
                            <w:sz w:val="16"/>
                          </w:rPr>
                          <w:t xml:space="preserve"> </w:t>
                        </w:r>
                        <w:r>
                          <w:rPr>
                            <w:w w:val="103"/>
                            <w:sz w:val="16"/>
                          </w:rPr>
                          <w:t xml:space="preserve">комбинаций</w:t>
                        </w:r>
                      </w:p>
                    </w:txbxContent>
                  </v:textbox>
                </v:rect>
                <v:shape id="Shape 6785" style="position:absolute;width:64782;height:4200;left:17;top:0;" coordsize="6478296,420091" path="m0,420091l6478296,420091l6478296,0l0,0x">
                  <v:stroke weight="0.709pt" endcap="flat" joinstyle="miter" miterlimit="4" on="true" color="#000000"/>
                  <v:fill on="false" color="#000000" opacity="0"/>
                </v:shape>
                <v:shape id="Shape 6786" style="position:absolute;width:0;height:6777;left:15660;top:4245;" coordsize="0,677723" path="m0,0l0,677723">
                  <v:stroke weight="0.709pt" endcap="flat" joinstyle="miter" miterlimit="4" on="true" color="#000000"/>
                  <v:fill on="false" color="#000000" opacity="0"/>
                </v:shape>
                <v:shape id="Shape 6787" style="position:absolute;width:611;height:839;left:15354;top:10823;" coordsize="61113,83972" path="m0,0l30556,20015l61113,0l30556,83972l0,0x">
                  <v:stroke weight="0pt" endcap="flat" joinstyle="miter" miterlimit="4" on="false" color="#000000" opacity="0"/>
                  <v:fill on="true" color="#000000"/>
                </v:shape>
                <v:shape id="Shape 377944" style="position:absolute;width:31319;height:4200;left:0;top:11757;" coordsize="3131998,420091" path="m0,0l3131998,0l3131998,420091l0,420091l0,0">
                  <v:stroke weight="0pt" endcap="flat" joinstyle="miter" miterlimit="4" on="false" color="#000000" opacity="0"/>
                  <v:fill on="true" color="#94c11e"/>
                </v:shape>
                <v:rect id="Rectangle 6789" style="position:absolute;width:26852;height:2030;left:5834;top:11906;" filled="f" stroked="f">
                  <v:textbox inset="0,0,0,0">
                    <w:txbxContent>
                      <w:p>
                        <w:pPr>
                          <w:spacing w:before="0" w:after="160" w:line="259" w:lineRule="auto"/>
                          <w:ind w:left="0" w:right="0" w:firstLine="0"/>
                          <w:jc w:val="left"/>
                        </w:pPr>
                        <w:r>
                          <w:rPr>
                            <w:w w:val="103"/>
                          </w:rPr>
                          <w:t xml:space="preserve">Базальный</w:t>
                        </w:r>
                        <w:r>
                          <w:rPr>
                            <w:spacing w:val="-3"/>
                            <w:w w:val="103"/>
                          </w:rPr>
                          <w:t xml:space="preserve"> </w:t>
                        </w:r>
                        <w:r>
                          <w:rPr>
                            <w:w w:val="103"/>
                          </w:rPr>
                          <w:t xml:space="preserve">инсулин</w:t>
                        </w:r>
                        <w:r>
                          <w:rPr>
                            <w:spacing w:val="-3"/>
                            <w:w w:val="103"/>
                          </w:rPr>
                          <w:t xml:space="preserve"> </w:t>
                        </w:r>
                        <w:r>
                          <w:rPr>
                            <w:w w:val="103"/>
                          </w:rPr>
                          <w:t xml:space="preserve">1–2</w:t>
                        </w:r>
                        <w:r>
                          <w:rPr>
                            <w:spacing w:val="-3"/>
                            <w:w w:val="103"/>
                          </w:rPr>
                          <w:t xml:space="preserve"> </w:t>
                        </w:r>
                        <w:r>
                          <w:rPr>
                            <w:w w:val="103"/>
                          </w:rPr>
                          <w:t xml:space="preserve">раза</w:t>
                        </w:r>
                        <w:r>
                          <w:rPr>
                            <w:spacing w:val="-3"/>
                            <w:w w:val="103"/>
                          </w:rPr>
                          <w:t xml:space="preserve"> </w:t>
                        </w:r>
                        <w:r>
                          <w:rPr>
                            <w:w w:val="103"/>
                          </w:rPr>
                          <w:t xml:space="preserve">в</w:t>
                        </w:r>
                        <w:r>
                          <w:rPr>
                            <w:spacing w:val="-3"/>
                            <w:w w:val="103"/>
                          </w:rPr>
                          <w:t xml:space="preserve"> </w:t>
                        </w:r>
                        <w:r>
                          <w:rPr>
                            <w:w w:val="103"/>
                          </w:rPr>
                          <w:t xml:space="preserve">день</w:t>
                        </w:r>
                        <w:r>
                          <w:rPr>
                            <w:spacing w:val="-3"/>
                            <w:w w:val="103"/>
                          </w:rPr>
                          <w:t xml:space="preserve"> </w:t>
                        </w:r>
                        <w:r>
                          <w:rPr>
                            <w:spacing w:val="-3"/>
                            <w:w w:val="103"/>
                          </w:rPr>
                          <w:t xml:space="preserve"> </w:t>
                        </w:r>
                      </w:p>
                    </w:txbxContent>
                  </v:textbox>
                </v:rect>
                <v:rect id="Rectangle 259784" style="position:absolute;width:37501;height:1624;left:1813;top:13367;" filled="f" stroked="f">
                  <v:textbox inset="0,0,0,0">
                    <w:txbxContent>
                      <w:p>
                        <w:pPr>
                          <w:spacing w:before="0" w:after="160" w:line="259" w:lineRule="auto"/>
                          <w:ind w:left="0" w:right="0" w:firstLine="0"/>
                          <w:jc w:val="left"/>
                        </w:pPr>
                        <w:r>
                          <w:rPr>
                            <w:w w:val="103"/>
                            <w:sz w:val="16"/>
                          </w:rPr>
                          <w:t xml:space="preserve">возможный</w:t>
                        </w:r>
                        <w:r>
                          <w:rPr>
                            <w:spacing w:val="-2"/>
                            <w:w w:val="103"/>
                            <w:sz w:val="16"/>
                          </w:rPr>
                          <w:t xml:space="preserve"> </w:t>
                        </w:r>
                        <w:r>
                          <w:rPr>
                            <w:w w:val="103"/>
                            <w:sz w:val="16"/>
                          </w:rPr>
                          <w:t xml:space="preserve">вариант</w:t>
                        </w:r>
                        <w:r>
                          <w:rPr>
                            <w:spacing w:val="-2"/>
                            <w:w w:val="103"/>
                            <w:sz w:val="16"/>
                          </w:rPr>
                          <w:t xml:space="preserve"> </w:t>
                        </w:r>
                        <w:r>
                          <w:rPr>
                            <w:w w:val="103"/>
                            <w:sz w:val="16"/>
                          </w:rPr>
                          <w:t xml:space="preserve">–</w:t>
                        </w:r>
                        <w:r>
                          <w:rPr>
                            <w:spacing w:val="-2"/>
                            <w:w w:val="103"/>
                            <w:sz w:val="16"/>
                          </w:rPr>
                          <w:t xml:space="preserve"> </w:t>
                        </w:r>
                        <w:r>
                          <w:rPr>
                            <w:w w:val="103"/>
                            <w:sz w:val="16"/>
                          </w:rPr>
                          <w:t xml:space="preserve">в</w:t>
                        </w:r>
                        <w:r>
                          <w:rPr>
                            <w:spacing w:val="-2"/>
                            <w:w w:val="103"/>
                            <w:sz w:val="16"/>
                          </w:rPr>
                          <w:t xml:space="preserve"> </w:t>
                        </w:r>
                        <w:r>
                          <w:rPr>
                            <w:w w:val="103"/>
                            <w:sz w:val="16"/>
                          </w:rPr>
                          <w:t xml:space="preserve">фиксированной</w:t>
                        </w:r>
                        <w:r>
                          <w:rPr>
                            <w:spacing w:val="-2"/>
                            <w:w w:val="103"/>
                            <w:sz w:val="16"/>
                          </w:rPr>
                          <w:t xml:space="preserve"> </w:t>
                        </w:r>
                        <w:r>
                          <w:rPr>
                            <w:w w:val="103"/>
                            <w:sz w:val="16"/>
                          </w:rPr>
                          <w:t xml:space="preserve">комбинации</w:t>
                        </w:r>
                        <w:r>
                          <w:rPr>
                            <w:spacing w:val="-2"/>
                            <w:w w:val="103"/>
                            <w:sz w:val="16"/>
                          </w:rPr>
                          <w:t xml:space="preserve"> </w:t>
                        </w:r>
                        <w:r>
                          <w:rPr>
                            <w:w w:val="103"/>
                            <w:sz w:val="16"/>
                          </w:rPr>
                          <w:t xml:space="preserve">с</w:t>
                        </w:r>
                        <w:r>
                          <w:rPr>
                            <w:spacing w:val="-2"/>
                            <w:w w:val="103"/>
                            <w:sz w:val="16"/>
                          </w:rPr>
                          <w:t xml:space="preserve"> </w:t>
                        </w:r>
                        <w:r>
                          <w:rPr>
                            <w:w w:val="103"/>
                            <w:sz w:val="16"/>
                          </w:rPr>
                          <w:t xml:space="preserve">арГПП-1</w:t>
                        </w:r>
                        <w:r>
                          <w:rPr>
                            <w:spacing w:val="-2"/>
                            <w:w w:val="103"/>
                            <w:sz w:val="16"/>
                          </w:rPr>
                          <w:t xml:space="preserve"> </w:t>
                        </w:r>
                      </w:p>
                    </w:txbxContent>
                  </v:textbox>
                </v:rect>
                <v:rect id="Rectangle 259783" style="position:absolute;width:383;height:1624;left:1525;top:13367;" filled="f" stroked="f">
                  <v:textbox inset="0,0,0,0">
                    <w:txbxContent>
                      <w:p>
                        <w:pPr>
                          <w:spacing w:before="0" w:after="160" w:line="259" w:lineRule="auto"/>
                          <w:ind w:left="0" w:right="0" w:firstLine="0"/>
                          <w:jc w:val="left"/>
                        </w:pPr>
                        <w:r>
                          <w:rPr>
                            <w:w w:val="95"/>
                            <w:sz w:val="16"/>
                          </w:rPr>
                          <w:t xml:space="preserve">(</w:t>
                        </w:r>
                      </w:p>
                    </w:txbxContent>
                  </v:textbox>
                </v:rect>
                <v:rect id="Rectangle 259786" style="position:absolute;width:944;height:1624;left:18091;top:14586;" filled="f" stroked="f">
                  <v:textbox inset="0,0,0,0">
                    <w:txbxContent>
                      <w:p>
                        <w:pPr>
                          <w:spacing w:before="0" w:after="160" w:line="259" w:lineRule="auto"/>
                          <w:ind w:left="0" w:right="0" w:firstLine="0"/>
                          <w:jc w:val="left"/>
                        </w:pPr>
                        <w:r>
                          <w:rPr>
                            <w:w w:val="87"/>
                            <w:sz w:val="16"/>
                          </w:rPr>
                          <w:t xml:space="preserve">)*</w:t>
                        </w:r>
                      </w:p>
                    </w:txbxContent>
                  </v:textbox>
                </v:rect>
                <v:rect id="Rectangle 259787" style="position:absolute;width:6336;height:1624;left:13327;top:14586;" filled="f" stroked="f">
                  <v:textbox inset="0,0,0,0">
                    <w:txbxContent>
                      <w:p>
                        <w:pPr>
                          <w:spacing w:before="0" w:after="160" w:line="259" w:lineRule="auto"/>
                          <w:ind w:left="0" w:right="0" w:firstLine="0"/>
                          <w:jc w:val="left"/>
                        </w:pPr>
                        <w:r>
                          <w:rPr>
                            <w:spacing w:val="-2"/>
                            <w:w w:val="103"/>
                            <w:sz w:val="16"/>
                          </w:rPr>
                          <w:t xml:space="preserve"> </w:t>
                        </w:r>
                        <w:r>
                          <w:rPr>
                            <w:w w:val="103"/>
                            <w:sz w:val="16"/>
                          </w:rPr>
                          <w:t xml:space="preserve">раз</w:t>
                        </w:r>
                        <w:r>
                          <w:rPr>
                            <w:spacing w:val="-2"/>
                            <w:w w:val="103"/>
                            <w:sz w:val="16"/>
                          </w:rPr>
                          <w:t xml:space="preserve"> </w:t>
                        </w:r>
                        <w:r>
                          <w:rPr>
                            <w:w w:val="103"/>
                            <w:sz w:val="16"/>
                          </w:rPr>
                          <w:t xml:space="preserve">в</w:t>
                        </w:r>
                        <w:r>
                          <w:rPr>
                            <w:spacing w:val="-2"/>
                            <w:w w:val="103"/>
                            <w:sz w:val="16"/>
                          </w:rPr>
                          <w:t xml:space="preserve"> </w:t>
                        </w:r>
                        <w:r>
                          <w:rPr>
                            <w:w w:val="103"/>
                            <w:sz w:val="16"/>
                          </w:rPr>
                          <w:t xml:space="preserve">день</w:t>
                        </w:r>
                      </w:p>
                    </w:txbxContent>
                  </v:textbox>
                </v:rect>
                <v:rect id="Rectangle 259785" style="position:absolute;width:1076;height:1624;left:12518;top:14586;" filled="f" stroked="f">
                  <v:textbox inset="0,0,0,0">
                    <w:txbxContent>
                      <w:p>
                        <w:pPr>
                          <w:spacing w:before="0" w:after="160" w:line="259" w:lineRule="auto"/>
                          <w:ind w:left="0" w:right="0" w:firstLine="0"/>
                          <w:jc w:val="left"/>
                        </w:pPr>
                        <w:r>
                          <w:rPr>
                            <w:w w:val="98"/>
                            <w:sz w:val="16"/>
                          </w:rPr>
                          <w:t xml:space="preserve">(1</w:t>
                        </w:r>
                      </w:p>
                    </w:txbxContent>
                  </v:textbox>
                </v:rect>
                <v:shape id="Shape 6792" style="position:absolute;width:31319;height:4200;left:0;top:11757;" coordsize="3131998,420091" path="m0,420091l3131998,420091l3131998,0l0,0x">
                  <v:stroke weight="0.709pt" endcap="flat" joinstyle="miter" miterlimit="4" on="true" color="#000000"/>
                  <v:fill on="false" color="#000000" opacity="0"/>
                </v:shape>
                <v:shape id="Shape 377987" style="position:absolute;width:31319;height:4174;left:33480;top:11784;" coordsize="3131998,417436" path="m0,0l3131998,0l3131998,417436l0,417436l0,0">
                  <v:stroke weight="0pt" endcap="flat" joinstyle="miter" miterlimit="4" on="false" color="#000000" opacity="0"/>
                  <v:fill on="true" color="#94c11e"/>
                </v:shape>
                <v:rect id="Rectangle 6794" style="position:absolute;width:28045;height:2030;left:38731;top:12528;" filled="f" stroked="f">
                  <v:textbox inset="0,0,0,0">
                    <w:txbxContent>
                      <w:p>
                        <w:pPr>
                          <w:spacing w:before="0" w:after="160" w:line="259" w:lineRule="auto"/>
                          <w:ind w:left="0" w:right="0" w:firstLine="0"/>
                          <w:jc w:val="left"/>
                        </w:pPr>
                        <w:r>
                          <w:rPr>
                            <w:w w:val="102"/>
                          </w:rPr>
                          <w:t xml:space="preserve">Готовые</w:t>
                        </w:r>
                        <w:r>
                          <w:rPr>
                            <w:spacing w:val="-3"/>
                            <w:w w:val="102"/>
                          </w:rPr>
                          <w:t xml:space="preserve"> </w:t>
                        </w:r>
                        <w:r>
                          <w:rPr>
                            <w:w w:val="102"/>
                          </w:rPr>
                          <w:t xml:space="preserve">смеси/комбинации</w:t>
                        </w:r>
                        <w:r>
                          <w:rPr>
                            <w:spacing w:val="-3"/>
                            <w:w w:val="102"/>
                          </w:rPr>
                          <w:t xml:space="preserve"> </w:t>
                        </w:r>
                        <w:r>
                          <w:rPr>
                            <w:w w:val="102"/>
                          </w:rPr>
                          <w:t xml:space="preserve">инсулина</w:t>
                        </w:r>
                        <w:r>
                          <w:rPr>
                            <w:spacing w:val="-3"/>
                            <w:w w:val="102"/>
                          </w:rPr>
                          <w:t xml:space="preserve"> </w:t>
                        </w:r>
                      </w:p>
                    </w:txbxContent>
                  </v:textbox>
                </v:rect>
                <v:rect id="Rectangle 259789" style="position:absolute;width:8916;height:1624;left:46048;top:13989;" filled="f" stroked="f">
                  <v:textbox inset="0,0,0,0">
                    <w:txbxContent>
                      <w:p>
                        <w:pPr>
                          <w:spacing w:before="0" w:after="160" w:line="259" w:lineRule="auto"/>
                          <w:ind w:left="0" w:right="0" w:firstLine="0"/>
                          <w:jc w:val="left"/>
                        </w:pPr>
                        <w:r>
                          <w:rPr>
                            <w:w w:val="101"/>
                            <w:sz w:val="16"/>
                          </w:rPr>
                          <w:t xml:space="preserve">–2</w:t>
                        </w:r>
                        <w:r>
                          <w:rPr>
                            <w:spacing w:val="-2"/>
                            <w:w w:val="101"/>
                            <w:sz w:val="16"/>
                          </w:rPr>
                          <w:t xml:space="preserve"> </w:t>
                        </w:r>
                        <w:r>
                          <w:rPr>
                            <w:w w:val="101"/>
                            <w:sz w:val="16"/>
                          </w:rPr>
                          <w:t xml:space="preserve">раза</w:t>
                        </w:r>
                        <w:r>
                          <w:rPr>
                            <w:spacing w:val="-2"/>
                            <w:w w:val="101"/>
                            <w:sz w:val="16"/>
                          </w:rPr>
                          <w:t xml:space="preserve"> </w:t>
                        </w:r>
                        <w:r>
                          <w:rPr>
                            <w:w w:val="101"/>
                            <w:sz w:val="16"/>
                          </w:rPr>
                          <w:t xml:space="preserve">в</w:t>
                        </w:r>
                        <w:r>
                          <w:rPr>
                            <w:spacing w:val="-2"/>
                            <w:w w:val="101"/>
                            <w:sz w:val="16"/>
                          </w:rPr>
                          <w:t xml:space="preserve"> </w:t>
                        </w:r>
                        <w:r>
                          <w:rPr>
                            <w:w w:val="101"/>
                            <w:sz w:val="16"/>
                          </w:rPr>
                          <w:t xml:space="preserve">день*</w:t>
                        </w:r>
                      </w:p>
                    </w:txbxContent>
                  </v:textbox>
                </v:rect>
                <v:rect id="Rectangle 259788" style="position:absolute;width:693;height:1624;left:45527;top:13989;" filled="f" stroked="f">
                  <v:textbox inset="0,0,0,0">
                    <w:txbxContent>
                      <w:p>
                        <w:pPr>
                          <w:spacing w:before="0" w:after="160" w:line="259" w:lineRule="auto"/>
                          <w:ind w:left="0" w:right="0" w:firstLine="0"/>
                          <w:jc w:val="left"/>
                        </w:pPr>
                        <w:r>
                          <w:rPr>
                            <w:w w:val="101"/>
                            <w:sz w:val="16"/>
                          </w:rPr>
                          <w:t xml:space="preserve">1</w:t>
                        </w:r>
                      </w:p>
                    </w:txbxContent>
                  </v:textbox>
                </v:rect>
                <v:shape id="Shape 6796" style="position:absolute;width:31319;height:4174;left:33480;top:11784;" coordsize="3131998,417436" path="m0,417436l3131998,417436l3131998,0l0,0x">
                  <v:stroke weight="0.709pt" endcap="flat" joinstyle="miter" miterlimit="4" on="true" color="#000000"/>
                  <v:fill on="false" color="#000000" opacity="0"/>
                </v:shape>
                <v:shape id="Shape 378003" style="position:absolute;width:30119;height:3286;left:17357;top:17023;" coordsize="3011996,328650" path="m0,0l3011996,0l3011996,328650l0,328650l0,0">
                  <v:stroke weight="0pt" endcap="flat" joinstyle="miter" miterlimit="4" on="false" color="#000000" opacity="0"/>
                  <v:fill on="true" color="#f39200"/>
                </v:shape>
                <v:rect id="Rectangle 6798" style="position:absolute;width:35435;height:2030;left:19231;top:17171;" filled="f" stroked="f">
                  <v:textbox inset="0,0,0,0">
                    <w:txbxContent>
                      <w:p>
                        <w:pPr>
                          <w:spacing w:before="0" w:after="160" w:line="259" w:lineRule="auto"/>
                          <w:ind w:left="0" w:right="0" w:firstLine="0"/>
                          <w:jc w:val="left"/>
                        </w:pPr>
                        <w:r>
                          <w:rPr>
                            <w:w w:val="103"/>
                          </w:rPr>
                          <w:t xml:space="preserve">Отсутствие</w:t>
                        </w:r>
                        <w:r>
                          <w:rPr>
                            <w:spacing w:val="-3"/>
                            <w:w w:val="103"/>
                          </w:rPr>
                          <w:t xml:space="preserve"> </w:t>
                        </w:r>
                        <w:r>
                          <w:rPr>
                            <w:w w:val="103"/>
                          </w:rPr>
                          <w:t xml:space="preserve">достижения</w:t>
                        </w:r>
                        <w:r>
                          <w:rPr>
                            <w:spacing w:val="-3"/>
                            <w:w w:val="103"/>
                          </w:rPr>
                          <w:t xml:space="preserve"> </w:t>
                        </w:r>
                        <w:r>
                          <w:rPr>
                            <w:w w:val="103"/>
                          </w:rPr>
                          <w:t xml:space="preserve">индивидуальных</w:t>
                        </w:r>
                        <w:r>
                          <w:rPr>
                            <w:spacing w:val="-3"/>
                            <w:w w:val="103"/>
                          </w:rPr>
                          <w:t xml:space="preserve"> </w:t>
                        </w:r>
                        <w:r>
                          <w:rPr>
                            <w:w w:val="103"/>
                          </w:rPr>
                          <w:t xml:space="preserve">целей</w:t>
                        </w:r>
                        <w:r>
                          <w:rPr>
                            <w:spacing w:val="-3"/>
                            <w:w w:val="103"/>
                          </w:rPr>
                          <w:t xml:space="preserve"> </w:t>
                        </w:r>
                      </w:p>
                    </w:txbxContent>
                  </v:textbox>
                </v:rect>
                <v:rect id="Rectangle 6799" style="position:absolute;width:27792;height:2030;left:21969;top:18695;" filled="f" stroked="f">
                  <v:textbox inset="0,0,0,0">
                    <w:txbxContent>
                      <w:p>
                        <w:pPr>
                          <w:spacing w:before="0" w:after="160" w:line="259" w:lineRule="auto"/>
                          <w:ind w:left="0" w:right="0" w:firstLine="0"/>
                          <w:jc w:val="left"/>
                        </w:pPr>
                        <w:r>
                          <w:rPr>
                            <w:w w:val="103"/>
                          </w:rPr>
                          <w:t xml:space="preserve">терапии</w:t>
                        </w:r>
                        <w:r>
                          <w:rPr>
                            <w:spacing w:val="-3"/>
                            <w:w w:val="103"/>
                          </w:rPr>
                          <w:t xml:space="preserve"> </w:t>
                        </w:r>
                        <w:r>
                          <w:rPr>
                            <w:w w:val="103"/>
                          </w:rPr>
                          <w:t xml:space="preserve">на</w:t>
                        </w:r>
                        <w:r>
                          <w:rPr>
                            <w:spacing w:val="-3"/>
                            <w:w w:val="103"/>
                          </w:rPr>
                          <w:t xml:space="preserve"> </w:t>
                        </w:r>
                        <w:r>
                          <w:rPr>
                            <w:w w:val="103"/>
                          </w:rPr>
                          <w:t xml:space="preserve">фоне</w:t>
                        </w:r>
                        <w:r>
                          <w:rPr>
                            <w:spacing w:val="-3"/>
                            <w:w w:val="103"/>
                          </w:rPr>
                          <w:t xml:space="preserve"> </w:t>
                        </w:r>
                        <w:r>
                          <w:rPr>
                            <w:w w:val="103"/>
                          </w:rPr>
                          <w:t xml:space="preserve">начальной</w:t>
                        </w:r>
                        <w:r>
                          <w:rPr>
                            <w:spacing w:val="-3"/>
                            <w:w w:val="103"/>
                          </w:rPr>
                          <w:t xml:space="preserve"> </w:t>
                        </w:r>
                        <w:r>
                          <w:rPr>
                            <w:w w:val="103"/>
                          </w:rPr>
                          <w:t xml:space="preserve">схемы</w:t>
                        </w:r>
                        <w:r>
                          <w:rPr>
                            <w:spacing w:val="-3"/>
                            <w:w w:val="103"/>
                          </w:rPr>
                          <w:t xml:space="preserve"> </w:t>
                        </w:r>
                        <w:r>
                          <w:rPr>
                            <w:w w:val="103"/>
                          </w:rPr>
                          <w:t xml:space="preserve">ИТ</w:t>
                        </w:r>
                      </w:p>
                    </w:txbxContent>
                  </v:textbox>
                </v:rect>
                <v:shape id="Shape 6800" style="position:absolute;width:30119;height:3286;left:17357;top:17023;" coordsize="3011996,328650" path="m0,328650l3011996,328650l3011996,0l0,0x">
                  <v:stroke weight="0.709pt" endcap="flat" joinstyle="miter" miterlimit="4" on="true" color="#000000"/>
                  <v:fill on="false" color="#000000" opacity="0"/>
                </v:shape>
                <v:shape id="Shape 378025" style="position:absolute;width:51390;height:2981;left:6767;top:22418;" coordsize="5139004,298171" path="m0,0l5139004,0l5139004,298171l0,298171l0,0">
                  <v:stroke weight="0pt" endcap="flat" joinstyle="miter" miterlimit="4" on="false" color="#000000" opacity="0"/>
                  <v:fill on="true" color="#ffed00"/>
                </v:shape>
                <v:rect id="Rectangle 260145" style="position:absolute;width:12266;height:2030;left:27851;top:22567;" filled="f" stroked="f">
                  <v:textbox inset="0,0,0,0">
                    <w:txbxContent>
                      <w:p>
                        <w:pPr>
                          <w:spacing w:before="0" w:after="160" w:line="259" w:lineRule="auto"/>
                          <w:ind w:left="0" w:right="0" w:firstLine="0"/>
                          <w:jc w:val="left"/>
                        </w:pPr>
                        <w:r>
                          <w:rPr>
                            <w:w w:val="103"/>
                            <w:u w:val="single" w:color="000000"/>
                          </w:rPr>
                          <w:t xml:space="preserve">Оптимизация</w:t>
                        </w:r>
                        <w:r>
                          <w:rPr>
                            <w:spacing w:val="-3"/>
                            <w:w w:val="103"/>
                            <w:u w:val="single" w:color="000000"/>
                          </w:rPr>
                          <w:t xml:space="preserve"> </w:t>
                        </w:r>
                        <w:r>
                          <w:rPr>
                            <w:w w:val="103"/>
                            <w:u w:val="single" w:color="000000"/>
                          </w:rPr>
                          <w:t xml:space="preserve">ИТ</w:t>
                        </w:r>
                      </w:p>
                    </w:txbxContent>
                  </v:textbox>
                </v:rect>
                <v:rect id="Rectangle 6804" style="position:absolute;width:41745;height:1624;left:16769;top:24028;" filled="f" stroked="f">
                  <v:textbox inset="0,0,0,0">
                    <w:txbxContent>
                      <w:p>
                        <w:pPr>
                          <w:spacing w:before="0" w:after="160" w:line="259" w:lineRule="auto"/>
                          <w:ind w:left="0" w:right="0" w:firstLine="0"/>
                          <w:jc w:val="left"/>
                        </w:pPr>
                        <w:r>
                          <w:rPr>
                            <w:w w:val="103"/>
                            <w:sz w:val="16"/>
                          </w:rPr>
                          <w:t xml:space="preserve">Титрация</w:t>
                        </w:r>
                        <w:r>
                          <w:rPr>
                            <w:spacing w:val="-2"/>
                            <w:w w:val="103"/>
                            <w:sz w:val="16"/>
                          </w:rPr>
                          <w:t xml:space="preserve"> </w:t>
                        </w:r>
                        <w:r>
                          <w:rPr>
                            <w:w w:val="103"/>
                            <w:sz w:val="16"/>
                          </w:rPr>
                          <w:t xml:space="preserve">дозы</w:t>
                        </w:r>
                        <w:r>
                          <w:rPr>
                            <w:spacing w:val="-2"/>
                            <w:w w:val="103"/>
                            <w:sz w:val="16"/>
                          </w:rPr>
                          <w:t xml:space="preserve"> </w:t>
                        </w:r>
                        <w:r>
                          <w:rPr>
                            <w:w w:val="103"/>
                            <w:sz w:val="16"/>
                          </w:rPr>
                          <w:t xml:space="preserve">инсулина</w:t>
                        </w:r>
                        <w:r>
                          <w:rPr>
                            <w:spacing w:val="-2"/>
                            <w:w w:val="103"/>
                            <w:sz w:val="16"/>
                          </w:rPr>
                          <w:t xml:space="preserve"> </w:t>
                        </w:r>
                        <w:r>
                          <w:rPr>
                            <w:w w:val="103"/>
                            <w:sz w:val="16"/>
                          </w:rPr>
                          <w:t xml:space="preserve">до</w:t>
                        </w:r>
                        <w:r>
                          <w:rPr>
                            <w:spacing w:val="-2"/>
                            <w:w w:val="103"/>
                            <w:sz w:val="16"/>
                          </w:rPr>
                          <w:t xml:space="preserve"> </w:t>
                        </w:r>
                        <w:r>
                          <w:rPr>
                            <w:w w:val="103"/>
                            <w:sz w:val="16"/>
                          </w:rPr>
                          <w:t xml:space="preserve">оптимальной</w:t>
                        </w:r>
                        <w:r>
                          <w:rPr>
                            <w:spacing w:val="-2"/>
                            <w:w w:val="103"/>
                            <w:sz w:val="16"/>
                          </w:rPr>
                          <w:t xml:space="preserve"> </w:t>
                        </w:r>
                        <w:r>
                          <w:rPr>
                            <w:w w:val="103"/>
                            <w:sz w:val="16"/>
                          </w:rPr>
                          <w:t xml:space="preserve">(по</w:t>
                        </w:r>
                        <w:r>
                          <w:rPr>
                            <w:spacing w:val="-2"/>
                            <w:w w:val="103"/>
                            <w:sz w:val="16"/>
                          </w:rPr>
                          <w:t xml:space="preserve"> </w:t>
                        </w:r>
                        <w:r>
                          <w:rPr>
                            <w:w w:val="103"/>
                            <w:sz w:val="16"/>
                          </w:rPr>
                          <w:t xml:space="preserve">уровню</w:t>
                        </w:r>
                        <w:r>
                          <w:rPr>
                            <w:spacing w:val="-2"/>
                            <w:w w:val="103"/>
                            <w:sz w:val="16"/>
                          </w:rPr>
                          <w:t xml:space="preserve"> </w:t>
                        </w:r>
                        <w:r>
                          <w:rPr>
                            <w:w w:val="103"/>
                            <w:sz w:val="16"/>
                          </w:rPr>
                          <w:t xml:space="preserve">глюкозы</w:t>
                        </w:r>
                        <w:r>
                          <w:rPr>
                            <w:spacing w:val="-2"/>
                            <w:w w:val="103"/>
                            <w:sz w:val="16"/>
                          </w:rPr>
                          <w:t xml:space="preserve"> </w:t>
                        </w:r>
                        <w:r>
                          <w:rPr>
                            <w:w w:val="103"/>
                            <w:sz w:val="16"/>
                          </w:rPr>
                          <w:t xml:space="preserve">плазмы)</w:t>
                        </w:r>
                      </w:p>
                    </w:txbxContent>
                  </v:textbox>
                </v:rect>
                <v:shape id="Shape 6805" style="position:absolute;width:51390;height:2981;left:6767;top:22418;" coordsize="5139004,298171" path="m0,298171l5139004,298171l5139004,0l0,0x">
                  <v:stroke weight="0.709pt" endcap="flat" joinstyle="miter" miterlimit="4" on="true" color="#000000"/>
                  <v:fill on="false" color="#000000" opacity="0"/>
                </v:shape>
                <v:shape id="Shape 378048" style="position:absolute;width:30178;height:3286;left:17328;top:26515;" coordsize="3017825,328650" path="m0,0l3017825,0l3017825,328650l0,328650l0,0">
                  <v:stroke weight="0pt" endcap="flat" joinstyle="miter" miterlimit="4" on="false" color="#000000" opacity="0"/>
                  <v:fill on="true" color="#f39200"/>
                </v:shape>
                <v:rect id="Rectangle 6807" style="position:absolute;width:35435;height:2030;left:19231;top:26664;" filled="f" stroked="f">
                  <v:textbox inset="0,0,0,0">
                    <w:txbxContent>
                      <w:p>
                        <w:pPr>
                          <w:spacing w:before="0" w:after="160" w:line="259" w:lineRule="auto"/>
                          <w:ind w:left="0" w:right="0" w:firstLine="0"/>
                          <w:jc w:val="left"/>
                        </w:pPr>
                        <w:r>
                          <w:rPr>
                            <w:w w:val="103"/>
                          </w:rPr>
                          <w:t xml:space="preserve">Отсутствие</w:t>
                        </w:r>
                        <w:r>
                          <w:rPr>
                            <w:spacing w:val="-3"/>
                            <w:w w:val="103"/>
                          </w:rPr>
                          <w:t xml:space="preserve"> </w:t>
                        </w:r>
                        <w:r>
                          <w:rPr>
                            <w:w w:val="103"/>
                          </w:rPr>
                          <w:t xml:space="preserve">достижения</w:t>
                        </w:r>
                        <w:r>
                          <w:rPr>
                            <w:spacing w:val="-3"/>
                            <w:w w:val="103"/>
                          </w:rPr>
                          <w:t xml:space="preserve"> </w:t>
                        </w:r>
                        <w:r>
                          <w:rPr>
                            <w:w w:val="103"/>
                          </w:rPr>
                          <w:t xml:space="preserve">индивидуальных</w:t>
                        </w:r>
                        <w:r>
                          <w:rPr>
                            <w:spacing w:val="-3"/>
                            <w:w w:val="103"/>
                          </w:rPr>
                          <w:t xml:space="preserve"> </w:t>
                        </w:r>
                        <w:r>
                          <w:rPr>
                            <w:w w:val="103"/>
                          </w:rPr>
                          <w:t xml:space="preserve">целей</w:t>
                        </w:r>
                        <w:r>
                          <w:rPr>
                            <w:spacing w:val="-3"/>
                            <w:w w:val="103"/>
                          </w:rPr>
                          <w:t xml:space="preserve"> </w:t>
                        </w:r>
                      </w:p>
                    </w:txbxContent>
                  </v:textbox>
                </v:rect>
                <v:rect id="Rectangle 6808" style="position:absolute;width:27749;height:2030;left:21985;top:28188;" filled="f" stroked="f">
                  <v:textbox inset="0,0,0,0">
                    <w:txbxContent>
                      <w:p>
                        <w:pPr>
                          <w:spacing w:before="0" w:after="160" w:line="259" w:lineRule="auto"/>
                          <w:ind w:left="0" w:right="0" w:firstLine="0"/>
                          <w:jc w:val="left"/>
                        </w:pPr>
                        <w:r>
                          <w:rPr>
                            <w:w w:val="103"/>
                          </w:rPr>
                          <w:t xml:space="preserve">терапии</w:t>
                        </w:r>
                        <w:r>
                          <w:rPr>
                            <w:spacing w:val="-3"/>
                            <w:w w:val="103"/>
                          </w:rPr>
                          <w:t xml:space="preserve"> </w:t>
                        </w:r>
                        <w:r>
                          <w:rPr>
                            <w:w w:val="103"/>
                          </w:rPr>
                          <w:t xml:space="preserve">на</w:t>
                        </w:r>
                        <w:r>
                          <w:rPr>
                            <w:spacing w:val="-3"/>
                            <w:w w:val="103"/>
                          </w:rPr>
                          <w:t xml:space="preserve"> </w:t>
                        </w:r>
                        <w:r>
                          <w:rPr>
                            <w:w w:val="103"/>
                          </w:rPr>
                          <w:t xml:space="preserve">фоне</w:t>
                        </w:r>
                        <w:r>
                          <w:rPr>
                            <w:spacing w:val="-3"/>
                            <w:w w:val="103"/>
                          </w:rPr>
                          <w:t xml:space="preserve"> </w:t>
                        </w:r>
                        <w:r>
                          <w:rPr>
                            <w:w w:val="103"/>
                          </w:rPr>
                          <w:t xml:space="preserve">оптимальных</w:t>
                        </w:r>
                        <w:r>
                          <w:rPr>
                            <w:spacing w:val="-3"/>
                            <w:w w:val="103"/>
                          </w:rPr>
                          <w:t xml:space="preserve"> </w:t>
                        </w:r>
                        <w:r>
                          <w:rPr>
                            <w:w w:val="103"/>
                          </w:rPr>
                          <w:t xml:space="preserve">доз</w:t>
                        </w:r>
                        <w:r>
                          <w:rPr>
                            <w:spacing w:val="-3"/>
                            <w:w w:val="103"/>
                          </w:rPr>
                          <w:t xml:space="preserve"> </w:t>
                        </w:r>
                        <w:r>
                          <w:rPr>
                            <w:w w:val="103"/>
                          </w:rPr>
                          <w:t xml:space="preserve">ИТ</w:t>
                        </w:r>
                      </w:p>
                    </w:txbxContent>
                  </v:textbox>
                </v:rect>
                <v:shape id="Shape 6809" style="position:absolute;width:30178;height:3286;left:17328;top:26515;" coordsize="3017825,328650" path="m0,328650l3017825,328650l3017825,0l0,0x">
                  <v:stroke weight="0.709pt" endcap="flat" joinstyle="miter" miterlimit="4" on="true" color="#000000"/>
                  <v:fill on="false" color="#000000" opacity="0"/>
                </v:shape>
                <v:shape id="Shape 378070" style="position:absolute;width:50706;height:2981;left:7002;top:31058;" coordsize="5070602,298170" path="m0,0l5070602,0l5070602,298170l0,298170l0,0">
                  <v:stroke weight="0pt" endcap="flat" joinstyle="miter" miterlimit="4" on="false" color="#000000" opacity="0"/>
                  <v:fill on="true" color="#ffed00"/>
                </v:shape>
                <v:rect id="Rectangle 260147" style="position:absolute;width:14826;height:2030;left:26781;top:31206;" filled="f" stroked="f">
                  <v:textbox inset="0,0,0,0">
                    <w:txbxContent>
                      <w:p>
                        <w:pPr>
                          <w:spacing w:before="0" w:after="160" w:line="259" w:lineRule="auto"/>
                          <w:ind w:left="0" w:right="0" w:firstLine="0"/>
                          <w:jc w:val="left"/>
                        </w:pPr>
                        <w:r>
                          <w:rPr>
                            <w:w w:val="104"/>
                            <w:u w:val="single" w:color="000000"/>
                          </w:rPr>
                          <w:t xml:space="preserve">Интенсификация</w:t>
                        </w:r>
                        <w:r>
                          <w:rPr>
                            <w:spacing w:val="-3"/>
                            <w:w w:val="104"/>
                            <w:u w:val="single" w:color="000000"/>
                          </w:rPr>
                          <w:t xml:space="preserve"> </w:t>
                        </w:r>
                        <w:r>
                          <w:rPr>
                            <w:w w:val="104"/>
                            <w:u w:val="single" w:color="000000"/>
                          </w:rPr>
                          <w:t xml:space="preserve">ИТ</w:t>
                        </w:r>
                      </w:p>
                    </w:txbxContent>
                  </v:textbox>
                </v:rect>
                <v:rect id="Rectangle 6813" style="position:absolute;width:52788;height:1624;left:12509;top:32667;" filled="f" stroked="f">
                  <v:textbox inset="0,0,0,0">
                    <w:txbxContent>
                      <w:p>
                        <w:pPr>
                          <w:spacing w:before="0" w:after="160" w:line="259" w:lineRule="auto"/>
                          <w:ind w:left="0" w:right="0" w:firstLine="0"/>
                          <w:jc w:val="left"/>
                        </w:pPr>
                        <w:r>
                          <w:rPr>
                            <w:w w:val="103"/>
                            <w:sz w:val="16"/>
                          </w:rPr>
                          <w:t xml:space="preserve">Увеличение</w:t>
                        </w:r>
                        <w:r>
                          <w:rPr>
                            <w:spacing w:val="-2"/>
                            <w:w w:val="103"/>
                            <w:sz w:val="16"/>
                          </w:rPr>
                          <w:t xml:space="preserve"> </w:t>
                        </w:r>
                        <w:r>
                          <w:rPr>
                            <w:w w:val="103"/>
                            <w:sz w:val="16"/>
                          </w:rPr>
                          <w:t xml:space="preserve">кратности</w:t>
                        </w:r>
                        <w:r>
                          <w:rPr>
                            <w:spacing w:val="-2"/>
                            <w:w w:val="103"/>
                            <w:sz w:val="16"/>
                          </w:rPr>
                          <w:t xml:space="preserve"> </w:t>
                        </w:r>
                        <w:r>
                          <w:rPr>
                            <w:w w:val="103"/>
                            <w:sz w:val="16"/>
                          </w:rPr>
                          <w:t xml:space="preserve">инъекций</w:t>
                        </w:r>
                        <w:r>
                          <w:rPr>
                            <w:spacing w:val="-2"/>
                            <w:w w:val="103"/>
                            <w:sz w:val="16"/>
                          </w:rPr>
                          <w:t xml:space="preserve"> </w:t>
                        </w:r>
                        <w:r>
                          <w:rPr>
                            <w:w w:val="103"/>
                            <w:sz w:val="16"/>
                          </w:rPr>
                          <w:t xml:space="preserve">инсулина</w:t>
                        </w:r>
                        <w:r>
                          <w:rPr>
                            <w:spacing w:val="-2"/>
                            <w:w w:val="103"/>
                            <w:sz w:val="16"/>
                          </w:rPr>
                          <w:t xml:space="preserve"> </w:t>
                        </w:r>
                        <w:r>
                          <w:rPr>
                            <w:w w:val="103"/>
                            <w:sz w:val="16"/>
                          </w:rPr>
                          <w:t xml:space="preserve">или</w:t>
                        </w:r>
                        <w:r>
                          <w:rPr>
                            <w:spacing w:val="-2"/>
                            <w:w w:val="103"/>
                            <w:sz w:val="16"/>
                          </w:rPr>
                          <w:t xml:space="preserve"> </w:t>
                        </w:r>
                        <w:r>
                          <w:rPr>
                            <w:w w:val="103"/>
                            <w:sz w:val="16"/>
                          </w:rPr>
                          <w:t xml:space="preserve">добавление</w:t>
                        </w:r>
                        <w:r>
                          <w:rPr>
                            <w:spacing w:val="-2"/>
                            <w:w w:val="103"/>
                            <w:sz w:val="16"/>
                          </w:rPr>
                          <w:t xml:space="preserve"> </w:t>
                        </w:r>
                        <w:r>
                          <w:rPr>
                            <w:w w:val="103"/>
                            <w:sz w:val="16"/>
                          </w:rPr>
                          <w:t xml:space="preserve">арГПП-1</w:t>
                        </w:r>
                        <w:r>
                          <w:rPr>
                            <w:spacing w:val="-2"/>
                            <w:w w:val="103"/>
                            <w:sz w:val="16"/>
                          </w:rPr>
                          <w:t xml:space="preserve"> </w:t>
                        </w:r>
                        <w:r>
                          <w:rPr>
                            <w:w w:val="103"/>
                            <w:sz w:val="16"/>
                          </w:rPr>
                          <w:t xml:space="preserve">(если</w:t>
                        </w:r>
                        <w:r>
                          <w:rPr>
                            <w:spacing w:val="-2"/>
                            <w:w w:val="103"/>
                            <w:sz w:val="16"/>
                          </w:rPr>
                          <w:t xml:space="preserve"> </w:t>
                        </w:r>
                        <w:r>
                          <w:rPr>
                            <w:w w:val="103"/>
                            <w:sz w:val="16"/>
                          </w:rPr>
                          <w:t xml:space="preserve">не</w:t>
                        </w:r>
                        <w:r>
                          <w:rPr>
                            <w:spacing w:val="-2"/>
                            <w:w w:val="103"/>
                            <w:sz w:val="16"/>
                          </w:rPr>
                          <w:t xml:space="preserve"> </w:t>
                        </w:r>
                        <w:r>
                          <w:rPr>
                            <w:w w:val="103"/>
                            <w:sz w:val="16"/>
                          </w:rPr>
                          <w:t xml:space="preserve">было</w:t>
                        </w:r>
                        <w:r>
                          <w:rPr>
                            <w:spacing w:val="-2"/>
                            <w:w w:val="103"/>
                            <w:sz w:val="16"/>
                          </w:rPr>
                          <w:t xml:space="preserve"> </w:t>
                        </w:r>
                        <w:r>
                          <w:rPr>
                            <w:w w:val="103"/>
                            <w:sz w:val="16"/>
                          </w:rPr>
                          <w:t xml:space="preserve">ранее)</w:t>
                        </w:r>
                      </w:p>
                    </w:txbxContent>
                  </v:textbox>
                </v:rect>
                <v:shape id="Shape 6814" style="position:absolute;width:50706;height:2981;left:7002;top:31058;" coordsize="5070602,298170" path="m0,298170l5070602,298170l5070602,0l0,0x">
                  <v:stroke weight="0.709pt" endcap="flat" joinstyle="miter" miterlimit="4" on="true" color="#000000"/>
                  <v:fill on="false" color="#000000" opacity="0"/>
                </v:shape>
                <v:shape id="Shape 378097" style="position:absolute;width:10619;height:4302;left:0;top:38036;" coordsize="1061999,430251" path="m0,0l1061999,0l1061999,430251l0,430251l0,0">
                  <v:stroke weight="0pt" endcap="flat" joinstyle="miter" miterlimit="4" on="false" color="#000000" opacity="0"/>
                  <v:fill on="true" color="#94c11e"/>
                </v:shape>
                <v:rect id="Rectangle 6816" style="position:absolute;width:5555;height:2030;left:3490;top:38692;" filled="f" stroked="f">
                  <v:textbox inset="0,0,0,0">
                    <w:txbxContent>
                      <w:p>
                        <w:pPr>
                          <w:spacing w:before="0" w:after="160" w:line="259" w:lineRule="auto"/>
                          <w:ind w:left="0" w:right="0" w:firstLine="0"/>
                          <w:jc w:val="left"/>
                        </w:pPr>
                        <w:r>
                          <w:rPr>
                            <w:w w:val="100"/>
                          </w:rPr>
                          <w:t xml:space="preserve">Режим</w:t>
                        </w:r>
                        <w:r>
                          <w:rPr>
                            <w:spacing w:val="-3"/>
                            <w:w w:val="100"/>
                          </w:rPr>
                          <w:t xml:space="preserve"> </w:t>
                        </w:r>
                        <w:r>
                          <w:rPr>
                            <w:spacing w:val="-3"/>
                            <w:w w:val="100"/>
                          </w:rPr>
                          <w:t xml:space="preserve"> </w:t>
                        </w:r>
                      </w:p>
                    </w:txbxContent>
                  </v:textbox>
                </v:rect>
                <v:rect id="Rectangle 6817" style="position:absolute;width:8898;height:2030;left:1965;top:40216;" filled="f" stroked="f">
                  <v:textbox inset="0,0,0,0">
                    <w:txbxContent>
                      <w:p>
                        <w:pPr>
                          <w:spacing w:before="0" w:after="160" w:line="259" w:lineRule="auto"/>
                          <w:ind w:left="0" w:right="0" w:firstLine="0"/>
                          <w:jc w:val="left"/>
                        </w:pPr>
                        <w:r>
                          <w:rPr>
                            <w:w w:val="100"/>
                          </w:rPr>
                          <w:t xml:space="preserve">базал</w:t>
                        </w:r>
                        <w:r>
                          <w:rPr>
                            <w:spacing w:val="-3"/>
                            <w:w w:val="100"/>
                          </w:rPr>
                          <w:t xml:space="preserve"> </w:t>
                        </w:r>
                        <w:r>
                          <w:rPr>
                            <w:w w:val="100"/>
                          </w:rPr>
                          <w:t xml:space="preserve">плюс*</w:t>
                        </w:r>
                      </w:p>
                    </w:txbxContent>
                  </v:textbox>
                </v:rect>
                <v:shape id="Shape 6818" style="position:absolute;width:10619;height:4302;left:0;top:38036;" coordsize="1061999,430251" path="m0,430251l1061999,430251l1061999,0l0,0x">
                  <v:stroke weight="0.709pt" endcap="flat" joinstyle="miter" miterlimit="4" on="true" color="#000000"/>
                  <v:fill on="false" color="#000000" opacity="0"/>
                </v:shape>
                <v:shape id="Shape 378106" style="position:absolute;width:15986;height:4302;left:13769;top:38036;" coordsize="1598600,430251" path="m0,0l1598600,0l1598600,430251l0,430251l0,0">
                  <v:stroke weight="0pt" endcap="flat" joinstyle="miter" miterlimit="4" on="false" color="#000000" opacity="0"/>
                  <v:fill on="true" color="#94c11e"/>
                </v:shape>
                <v:rect id="Rectangle 6820" style="position:absolute;width:16189;height:2030;left:15811;top:38184;" filled="f" stroked="f">
                  <v:textbox inset="0,0,0,0">
                    <w:txbxContent>
                      <w:p>
                        <w:pPr>
                          <w:spacing w:before="0" w:after="160" w:line="259" w:lineRule="auto"/>
                          <w:ind w:left="0" w:right="0" w:firstLine="0"/>
                          <w:jc w:val="left"/>
                        </w:pPr>
                        <w:r>
                          <w:rPr>
                            <w:w w:val="104"/>
                          </w:rPr>
                          <w:t xml:space="preserve">Базальный</w:t>
                        </w:r>
                        <w:r>
                          <w:rPr>
                            <w:spacing w:val="-3"/>
                            <w:w w:val="104"/>
                          </w:rPr>
                          <w:t xml:space="preserve"> </w:t>
                        </w:r>
                        <w:r>
                          <w:rPr>
                            <w:w w:val="104"/>
                          </w:rPr>
                          <w:t xml:space="preserve">инсулин</w:t>
                        </w:r>
                        <w:r>
                          <w:rPr>
                            <w:spacing w:val="-3"/>
                            <w:w w:val="104"/>
                          </w:rPr>
                          <w:t xml:space="preserve"> </w:t>
                        </w:r>
                        <w:r>
                          <w:rPr>
                            <w:w w:val="104"/>
                          </w:rPr>
                          <w:t xml:space="preserve">+</w:t>
                        </w:r>
                        <w:r>
                          <w:rPr>
                            <w:spacing w:val="-3"/>
                            <w:w w:val="104"/>
                          </w:rPr>
                          <w:t xml:space="preserve"> </w:t>
                        </w:r>
                      </w:p>
                    </w:txbxContent>
                  </v:textbox>
                </v:rect>
                <v:rect id="Rectangle 6821" style="position:absolute;width:19733;height:2030;left:14479;top:39454;" filled="f" stroked="f">
                  <v:textbox inset="0,0,0,0">
                    <w:txbxContent>
                      <w:p>
                        <w:pPr>
                          <w:spacing w:before="0" w:after="160" w:line="259" w:lineRule="auto"/>
                          <w:ind w:left="0" w:right="0" w:firstLine="0"/>
                          <w:jc w:val="left"/>
                        </w:pPr>
                        <w:r>
                          <w:rPr>
                            <w:w w:val="104"/>
                          </w:rPr>
                          <w:t xml:space="preserve">арГПП-1</w:t>
                        </w:r>
                        <w:r>
                          <w:rPr>
                            <w:spacing w:val="-3"/>
                            <w:w w:val="104"/>
                          </w:rPr>
                          <w:t xml:space="preserve"> </w:t>
                        </w:r>
                        <w:r>
                          <w:rPr>
                            <w:w w:val="104"/>
                          </w:rPr>
                          <w:t xml:space="preserve">в</w:t>
                        </w:r>
                        <w:r>
                          <w:rPr>
                            <w:spacing w:val="-3"/>
                            <w:w w:val="104"/>
                          </w:rPr>
                          <w:t xml:space="preserve"> </w:t>
                        </w:r>
                        <w:r>
                          <w:rPr>
                            <w:w w:val="104"/>
                          </w:rPr>
                          <w:t xml:space="preserve">фиксированной</w:t>
                        </w:r>
                        <w:r>
                          <w:rPr>
                            <w:spacing w:val="-3"/>
                            <w:w w:val="104"/>
                          </w:rPr>
                          <w:t xml:space="preserve"> </w:t>
                        </w:r>
                      </w:p>
                    </w:txbxContent>
                  </v:textbox>
                </v:rect>
                <v:rect id="Rectangle 6822" style="position:absolute;width:9871;height:2030;left:18051;top:40724;" filled="f" stroked="f">
                  <v:textbox inset="0,0,0,0">
                    <w:txbxContent>
                      <w:p>
                        <w:pPr>
                          <w:spacing w:before="0" w:after="160" w:line="259" w:lineRule="auto"/>
                          <w:ind w:left="0" w:right="0" w:firstLine="0"/>
                          <w:jc w:val="left"/>
                        </w:pPr>
                        <w:r>
                          <w:rPr>
                            <w:w w:val="101"/>
                          </w:rPr>
                          <w:t xml:space="preserve">комбинации*</w:t>
                        </w:r>
                      </w:p>
                    </w:txbxContent>
                  </v:textbox>
                </v:rect>
                <v:shape id="Shape 6823" style="position:absolute;width:15986;height:4302;left:13769;top:38036;" coordsize="1598600,430251" path="m0,430251l1598600,430251l1598600,0l0,0x">
                  <v:stroke weight="0.709pt" endcap="flat" joinstyle="miter" miterlimit="4" on="true" color="#000000"/>
                  <v:fill on="false" color="#000000" opacity="0"/>
                </v:shape>
                <v:shape id="Shape 378123" style="position:absolute;width:12510;height:4302;left:33047;top:38036;" coordsize="1251001,430251" path="m0,0l1251001,0l1251001,430251l0,430251l0,0">
                  <v:stroke weight="0pt" endcap="flat" joinstyle="miter" miterlimit="4" on="false" color="#000000" opacity="0"/>
                  <v:fill on="true" color="#94c11e"/>
                </v:shape>
                <v:rect id="Rectangle 6825" style="position:absolute;width:12249;height:2030;left:34832;top:38692;" filled="f" stroked="f">
                  <v:textbox inset="0,0,0,0">
                    <w:txbxContent>
                      <w:p>
                        <w:pPr>
                          <w:spacing w:before="0" w:after="160" w:line="259" w:lineRule="auto"/>
                          <w:ind w:left="0" w:right="0" w:firstLine="0"/>
                          <w:jc w:val="left"/>
                        </w:pPr>
                        <w:r>
                          <w:rPr>
                            <w:w w:val="102"/>
                          </w:rPr>
                          <w:t xml:space="preserve">Базис-болюсная</w:t>
                        </w:r>
                        <w:r>
                          <w:rPr>
                            <w:spacing w:val="-3"/>
                            <w:w w:val="102"/>
                          </w:rPr>
                          <w:t xml:space="preserve"> </w:t>
                        </w:r>
                      </w:p>
                    </w:txbxContent>
                  </v:textbox>
                </v:rect>
                <v:rect id="Rectangle 6826" style="position:absolute;width:13732;height:2030;left:34140;top:40216;" filled="f" stroked="f">
                  <v:textbox inset="0,0,0,0">
                    <w:txbxContent>
                      <w:p>
                        <w:pPr>
                          <w:spacing w:before="0" w:after="160" w:line="259" w:lineRule="auto"/>
                          <w:ind w:left="0" w:right="0" w:firstLine="0"/>
                          <w:jc w:val="left"/>
                        </w:pPr>
                        <w:r>
                          <w:rPr>
                            <w:w w:val="102"/>
                          </w:rPr>
                          <w:t xml:space="preserve">инсулинотерапия*</w:t>
                        </w:r>
                      </w:p>
                    </w:txbxContent>
                  </v:textbox>
                </v:rect>
                <v:shape id="Shape 6827" style="position:absolute;width:12510;height:4302;left:33047;top:38036;" coordsize="1251001,430251" path="m0,430251l1251001,430251l1251001,0l0,0x">
                  <v:stroke weight="0.709pt" endcap="flat" joinstyle="miter" miterlimit="4" on="true" color="#000000"/>
                  <v:fill on="false" color="#000000" opacity="0"/>
                </v:shape>
                <v:shape id="Shape 378129" style="position:absolute;width:16092;height:4302;left:48708;top:38036;" coordsize="1609205,430251" path="m0,0l1609205,0l1609205,430251l0,430251l0,0">
                  <v:stroke weight="0pt" endcap="flat" joinstyle="miter" miterlimit="4" on="false" color="#000000" opacity="0"/>
                  <v:fill on="true" color="#94c11e"/>
                </v:shape>
                <v:rect id="Rectangle 6829" style="position:absolute;width:20731;height:2030;left:49094;top:38692;" filled="f" stroked="f">
                  <v:textbox inset="0,0,0,0">
                    <w:txbxContent>
                      <w:p>
                        <w:pPr>
                          <w:spacing w:before="0" w:after="160" w:line="259" w:lineRule="auto"/>
                          <w:ind w:left="0" w:right="0" w:firstLine="0"/>
                          <w:jc w:val="left"/>
                        </w:pPr>
                        <w:r>
                          <w:rPr>
                            <w:w w:val="101"/>
                          </w:rPr>
                          <w:t xml:space="preserve">Готовые</w:t>
                        </w:r>
                        <w:r>
                          <w:rPr>
                            <w:spacing w:val="-3"/>
                            <w:w w:val="101"/>
                          </w:rPr>
                          <w:t xml:space="preserve"> </w:t>
                        </w:r>
                        <w:r>
                          <w:rPr>
                            <w:w w:val="101"/>
                          </w:rPr>
                          <w:t xml:space="preserve">смеси/комбинации</w:t>
                        </w:r>
                        <w:r>
                          <w:rPr>
                            <w:spacing w:val="-3"/>
                            <w:w w:val="101"/>
                          </w:rPr>
                          <w:t xml:space="preserve"> </w:t>
                        </w:r>
                      </w:p>
                    </w:txbxContent>
                  </v:textbox>
                </v:rect>
                <v:rect id="Rectangle 6830" style="position:absolute;width:19326;height:2030;left:49488;top:40216;" filled="f" stroked="f">
                  <v:textbox inset="0,0,0,0">
                    <w:txbxContent>
                      <w:p>
                        <w:pPr>
                          <w:spacing w:before="0" w:after="160" w:line="259" w:lineRule="auto"/>
                          <w:ind w:left="0" w:right="0" w:firstLine="0"/>
                          <w:jc w:val="left"/>
                        </w:pPr>
                        <w:r>
                          <w:rPr>
                            <w:w w:val="102"/>
                          </w:rPr>
                          <w:t xml:space="preserve">инсулина</w:t>
                        </w:r>
                        <w:r>
                          <w:rPr>
                            <w:spacing w:val="-3"/>
                            <w:w w:val="102"/>
                          </w:rPr>
                          <w:t xml:space="preserve"> </w:t>
                        </w:r>
                        <w:r>
                          <w:rPr>
                            <w:w w:val="102"/>
                          </w:rPr>
                          <w:t xml:space="preserve">2–3</w:t>
                        </w:r>
                        <w:r>
                          <w:rPr>
                            <w:spacing w:val="-3"/>
                            <w:w w:val="102"/>
                          </w:rPr>
                          <w:t xml:space="preserve"> </w:t>
                        </w:r>
                        <w:r>
                          <w:rPr>
                            <w:w w:val="102"/>
                          </w:rPr>
                          <w:t xml:space="preserve">раза</w:t>
                        </w:r>
                        <w:r>
                          <w:rPr>
                            <w:spacing w:val="-3"/>
                            <w:w w:val="102"/>
                          </w:rPr>
                          <w:t xml:space="preserve"> </w:t>
                        </w:r>
                        <w:r>
                          <w:rPr>
                            <w:w w:val="102"/>
                          </w:rPr>
                          <w:t xml:space="preserve">в</w:t>
                        </w:r>
                        <w:r>
                          <w:rPr>
                            <w:spacing w:val="-3"/>
                            <w:w w:val="102"/>
                          </w:rPr>
                          <w:t xml:space="preserve"> </w:t>
                        </w:r>
                        <w:r>
                          <w:rPr>
                            <w:w w:val="102"/>
                          </w:rPr>
                          <w:t xml:space="preserve">день*</w:t>
                        </w:r>
                      </w:p>
                    </w:txbxContent>
                  </v:textbox>
                </v:rect>
                <v:shape id="Shape 6831" style="position:absolute;width:16092;height:4302;left:48708;top:38036;" coordsize="1609205,430251" path="m0,430251l1609205,430251l1609205,0l0,0x">
                  <v:stroke weight="0.709pt" endcap="flat" joinstyle="miter" miterlimit="4" on="true" color="#000000"/>
                  <v:fill on="false" color="#000000" opacity="0"/>
                </v:shape>
                <v:shape id="Shape 6832" style="position:absolute;width:0;height:6853;left:49140;top:4245;" coordsize="0,685355" path="m0,0l0,685355">
                  <v:stroke weight="0.709pt" endcap="flat" joinstyle="miter" miterlimit="4" on="true" color="#000000"/>
                  <v:fill on="false" color="#000000" opacity="0"/>
                </v:shape>
                <v:shape id="Shape 6833" style="position:absolute;width:611;height:839;left:48834;top:10899;" coordsize="61113,83972" path="m0,0l30556,20015l61113,0l30556,83972l0,0x">
                  <v:stroke weight="0pt" endcap="flat" joinstyle="miter" miterlimit="4" on="false" color="#000000" opacity="0"/>
                  <v:fill on="true" color="#000000"/>
                </v:shape>
                <v:shape id="Shape 6834" style="position:absolute;width:0;height:5807;left:15660;top:16003;" coordsize="0,580746" path="m0,0l0,580746">
                  <v:stroke weight="0.709pt" endcap="flat" joinstyle="miter" miterlimit="4" on="true" color="#000000"/>
                  <v:fill on="false" color="#000000" opacity="0"/>
                </v:shape>
                <v:shape id="Shape 6835" style="position:absolute;width:611;height:839;left:15354;top:21610;" coordsize="61113,83972" path="m0,0l30556,20015l61113,0l30556,83972l0,0x">
                  <v:stroke weight="0pt" endcap="flat" joinstyle="miter" miterlimit="4" on="false" color="#000000" opacity="0"/>
                  <v:fill on="true" color="#000000"/>
                </v:shape>
                <v:shape id="Shape 6836" style="position:absolute;width:0;height:5807;left:49140;top:16003;" coordsize="0,580746" path="m0,0l0,580746">
                  <v:stroke weight="0.709pt" endcap="flat" joinstyle="miter" miterlimit="4" on="true" color="#000000"/>
                  <v:fill on="false" color="#000000" opacity="0"/>
                </v:shape>
                <v:shape id="Shape 6837" style="position:absolute;width:611;height:839;left:48834;top:21610;" coordsize="61113,83972" path="m0,0l30556,20015l61113,0l30556,83972l0,0x">
                  <v:stroke weight="0pt" endcap="flat" joinstyle="miter" miterlimit="4" on="false" color="#000000" opacity="0"/>
                  <v:fill on="true" color="#000000"/>
                </v:shape>
                <v:shape id="Shape 6838" style="position:absolute;width:0;height:4928;left:15660;top:25445;" coordsize="0,492837" path="m0,0l0,492837">
                  <v:stroke weight="0.709pt" endcap="flat" joinstyle="miter" miterlimit="4" on="true" color="#000000"/>
                  <v:fill on="false" color="#000000" opacity="0"/>
                </v:shape>
                <v:shape id="Shape 6839" style="position:absolute;width:611;height:839;left:15354;top:30173;" coordsize="61113,83972" path="m0,0l30556,20015l61113,0l30556,83972l0,0x">
                  <v:stroke weight="0pt" endcap="flat" joinstyle="miter" miterlimit="4" on="false" color="#000000" opacity="0"/>
                  <v:fill on="true" color="#000000"/>
                </v:shape>
                <v:shape id="Shape 6840" style="position:absolute;width:0;height:4928;left:49140;top:25445;" coordsize="0,492837" path="m0,0l0,492837">
                  <v:stroke weight="0.709pt" endcap="flat" joinstyle="miter" miterlimit="4" on="true" color="#000000"/>
                  <v:fill on="false" color="#000000" opacity="0"/>
                </v:shape>
                <v:shape id="Shape 6841" style="position:absolute;width:611;height:839;left:48834;top:30173;" coordsize="61113,83972" path="m0,0l30556,20015l61113,0l30556,83972l0,0x">
                  <v:stroke weight="0pt" endcap="flat" joinstyle="miter" miterlimit="4" on="false" color="#000000" opacity="0"/>
                  <v:fill on="true" color="#000000"/>
                </v:shape>
                <v:shape id="Shape 6842" style="position:absolute;width:13186;height:3699;left:2379;top:34051;" coordsize="1318692,369977" path="m1318692,0l0,369977">
                  <v:stroke weight="0.709pt" endcap="flat" joinstyle="miter" miterlimit="4" on="true" color="#000000"/>
                  <v:fill on="false" color="#000000" opacity="0"/>
                </v:shape>
                <v:shape id="Shape 6843" style="position:absolute;width:891;height:588;left:1763;top:37402;" coordsize="89103,58852" path="m72593,0l61582,34837l89103,58852l0,52108l72593,0x">
                  <v:stroke weight="0pt" endcap="flat" joinstyle="miter" miterlimit="4" on="false" color="#000000" opacity="0"/>
                  <v:fill on="true" color="#000000"/>
                </v:shape>
                <v:shape id="Shape 6844" style="position:absolute;width:927;height:3320;left:15571;top:34054;" coordsize="92773,332054" path="m0,0l92773,332054">
                  <v:stroke weight="0.709pt" endcap="flat" joinstyle="miter" miterlimit="4" on="true" color="#000000"/>
                  <v:fill on="false" color="#000000" opacity="0"/>
                </v:shape>
                <v:shape id="Shape 6845" style="position:absolute;width:588;height:891;left:16151;top:37100;" coordsize="58864,89103" path="m58864,0l52032,89103l0,16446l34823,27508l58864,0x">
                  <v:stroke weight="0pt" endcap="flat" joinstyle="miter" miterlimit="4" on="false" color="#000000" opacity="0"/>
                  <v:fill on="true" color="#000000"/>
                </v:shape>
                <v:shape id="Shape 6846" style="position:absolute;width:19259;height:3677;left:15572;top:34051;" coordsize="1925955,367741" path="m0,0l1925955,367741">
                  <v:stroke weight="0.709pt" endcap="flat" joinstyle="miter" miterlimit="4" on="true" color="#000000"/>
                  <v:fill on="false" color="#000000" opacity="0"/>
                </v:shape>
                <v:shape id="Shape 6847" style="position:absolute;width:882;height:600;left:34577;top:37391;" coordsize="88202,60020" path="m11456,0l88202,45758l0,60020l25387,33757l11456,0x">
                  <v:stroke weight="0pt" endcap="flat" joinstyle="miter" miterlimit="4" on="false" color="#000000" opacity="0"/>
                  <v:fill on="true" color="#000000"/>
                </v:shape>
                <v:shape id="Shape 6848" style="position:absolute;width:38404;height:3654;left:15571;top:34051;" coordsize="3840429,365417" path="m0,0l3840429,365417">
                  <v:stroke weight="0.709pt" endcap="flat" joinstyle="miter" miterlimit="4" on="true" color="#000000"/>
                  <v:fill on="false" color="#000000" opacity="0"/>
                </v:shape>
                <v:shape id="Shape 6849" style="position:absolute;width:865;height:608;left:53746;top:37382;" coordsize="86500,60845" path="m5804,0l86500,38379l0,60845l22822,32321l5804,0x">
                  <v:stroke weight="0pt" endcap="flat" joinstyle="miter" miterlimit="4" on="false" color="#000000" opacity="0"/>
                  <v:fill on="true" color="#000000"/>
                </v:shape>
                <v:shape id="Shape 6850" style="position:absolute;width:11340;height:3713;left:49143;top:34033;" coordsize="1134046,371335" path="m0,0l1134046,371335">
                  <v:stroke weight="0.709pt" endcap="flat" joinstyle="miter" miterlimit="4" on="true" color="#000000"/>
                  <v:fill on="false" color="#000000" opacity="0"/>
                </v:shape>
                <v:shape id="Shape 6851" style="position:absolute;width:893;height:580;left:60198;top:37393;" coordsize="89319,58077" path="m19025,0l89319,55169l0,58077l28537,35268l19025,0x">
                  <v:stroke weight="0pt" endcap="flat" joinstyle="miter" miterlimit="4" on="false" color="#000000" opacity="0"/>
                  <v:fill on="true" color="#000000"/>
                </v:shape>
                <v:shape id="Shape 6852" style="position:absolute;width:5086;height:3579;left:44047;top:34031;" coordsize="508673,357937" path="m508673,0l0,357937">
                  <v:stroke weight="0.709pt" endcap="flat" joinstyle="miter" miterlimit="4" on="true" color="#000000"/>
                  <v:fill on="false" color="#000000" opacity="0"/>
                </v:shape>
                <v:shape id="Shape 6853" style="position:absolute;width:862;height:733;left:43524;top:37245;" coordsize="86258,73317" path="m51079,0l52311,36513l86258,49988l0,73317l51079,0x">
                  <v:stroke weight="0pt" endcap="flat" joinstyle="miter" miterlimit="4" on="false" color="#000000" opacity="0"/>
                  <v:fill on="true" color="#000000"/>
                </v:shape>
                <v:shape id="Shape 6854" style="position:absolute;width:22334;height:3670;left:26803;top:34033;" coordsize="2233486,367081" path="m2233486,0l0,367081">
                  <v:stroke weight="0.709pt" endcap="flat" joinstyle="miter" miterlimit="4" on="true" color="#000000"/>
                  <v:fill on="false" color="#000000" opacity="0"/>
                </v:shape>
                <v:shape id="Shape 6855" style="position:absolute;width:878;height:603;left:26172;top:37370;" coordsize="87820,60313" path="m77902,0l63119,33401l87820,60313l0,43777l77902,0x">
                  <v:stroke weight="0pt" endcap="flat" joinstyle="miter" miterlimit="4" on="false" color="#000000" opacity="0"/>
                  <v:fill on="true" color="#000000"/>
                </v:shape>
                <v:shape id="Shape 6856" style="position:absolute;width:41571;height:3652;left:7567;top:34033;" coordsize="4157180,365252" path="m4157180,0l0,365252">
                  <v:stroke weight="0.709pt" endcap="flat" joinstyle="miter" miterlimit="4" on="true" color="#000000"/>
                  <v:fill on="false" color="#000000" opacity="0"/>
                </v:shape>
                <v:shape id="Shape 6857" style="position:absolute;width:863;height:608;left:6930;top:37364;" coordsize="86322,60884" path="m80975,0l63716,32195l86322,60884l0,37795l80975,0x">
                  <v:stroke weight="0pt" endcap="flat" joinstyle="miter" miterlimit="4" on="false" color="#000000" opacity="0"/>
                  <v:fill on="true" color="#000000"/>
                </v:shape>
                <v:shape id="Shape 6858" style="position:absolute;width:2465;height:0;left:10619;top:40187;" coordsize="246545,0" path="m0,0l246545,0">
                  <v:stroke weight="0.709pt" endcap="flat" joinstyle="miter" miterlimit="4" on="true" color="#000000"/>
                  <v:fill on="false" color="#000000" opacity="0"/>
                </v:shape>
                <v:shape id="Shape 6859" style="position:absolute;width:839;height:611;left:12885;top:39882;" coordsize="83972,61113" path="m0,0l83972,30556l0,61113l20015,30556l0,0x">
                  <v:stroke weight="0pt" endcap="flat" joinstyle="miter" miterlimit="4" on="false" color="#000000" opacity="0"/>
                  <v:fill on="true" color="#000000"/>
                </v:shape>
                <v:shape id="Shape 6860" style="position:absolute;width:2465;height:0;left:46242;top:40187;" coordsize="246545,0" path="m246545,0l0,0">
                  <v:stroke weight="0.709pt" endcap="flat" joinstyle="miter" miterlimit="4" on="true" color="#000000"/>
                  <v:fill on="false" color="#000000" opacity="0"/>
                </v:shape>
                <v:shape id="Shape 6861" style="position:absolute;width:839;height:611;left:45603;top:39882;" coordsize="83972,61113" path="m83972,0l63957,30556l83972,61113l0,30556l83972,0x">
                  <v:stroke weight="0pt" endcap="flat" joinstyle="miter" miterlimit="4" on="false" color="#000000" opacity="0"/>
                  <v:fill on="true" color="#000000"/>
                </v:shape>
                <v:shape id="Shape 6862" style="position:absolute;width:1929;height:0;left:30492;top:40187;" coordsize="192900,0" path="m0,0l192900,0">
                  <v:stroke weight="0.709pt" endcap="flat" joinstyle="miter" miterlimit="4" on="true" color="#000000"/>
                  <v:fill on="false" color="#000000" opacity="0"/>
                </v:shape>
                <v:shape id="Shape 6863" style="position:absolute;width:839;height:611;left:29853;top:39882;" coordsize="83972,61113" path="m83972,0l63957,30556l83972,61113l0,30556l83972,0x">
                  <v:stroke weight="0pt" endcap="flat" joinstyle="miter" miterlimit="4" on="false" color="#000000" opacity="0"/>
                  <v:fill on="true" color="#000000"/>
                </v:shape>
                <v:shape id="Shape 6864" style="position:absolute;width:839;height:611;left:32221;top:39882;" coordsize="83972,61113" path="m0,0l83972,30556l0,61113l20015,30556l0,0x">
                  <v:stroke weight="0pt" endcap="flat" joinstyle="miter" miterlimit="4" on="false" color="#000000" opacity="0"/>
                  <v:fill on="true" color="#000000"/>
                </v:shape>
                <v:shape id="Shape 6865" style="position:absolute;width:0;height:1163;left:56740;top:43047;" coordsize="0,116307" path="m0,116307l0,0">
                  <v:stroke weight="0.709pt" endcap="flat" joinstyle="miter" miterlimit="4" on="true" color="#000000"/>
                  <v:fill on="false" color="#000000" opacity="0"/>
                </v:shape>
                <v:shape id="Shape 6866" style="position:absolute;width:611;height:839;left:56434;top:42408;" coordsize="61113,83972" path="m30556,0l61113,83972l30556,63957l0,83972l30556,0x">
                  <v:stroke weight="0pt" endcap="flat" joinstyle="miter" miterlimit="4" on="false" color="#000000" opacity="0"/>
                  <v:fill on="true" color="#000000"/>
                </v:shape>
                <v:shape id="Shape 6867" style="position:absolute;width:0;height:1163;left:40072;top:43047;" coordsize="0,116307" path="m0,116307l0,0">
                  <v:stroke weight="0.709pt" endcap="flat" joinstyle="miter" miterlimit="4" on="true" color="#000000"/>
                  <v:fill on="false" color="#000000" opacity="0"/>
                </v:shape>
                <v:shape id="Shape 6868" style="position:absolute;width:611;height:839;left:39766;top:42408;" coordsize="61113,83972" path="m30556,0l61113,83972l30556,63957l0,83972l30556,0x">
                  <v:stroke weight="0pt" endcap="flat" joinstyle="miter" miterlimit="4" on="false" color="#000000" opacity="0"/>
                  <v:fill on="true" color="#000000"/>
                </v:shape>
                <v:shape id="Shape 6869" style="position:absolute;width:0;height:1163;left:21712;top:43047;" coordsize="0,116307" path="m0,116307l0,0">
                  <v:stroke weight="0.709pt" endcap="flat" joinstyle="miter" miterlimit="4" on="true" color="#000000"/>
                  <v:fill on="false" color="#000000" opacity="0"/>
                </v:shape>
                <v:shape id="Shape 6870" style="position:absolute;width:611;height:839;left:21406;top:42408;" coordsize="61113,83972" path="m30556,0l61113,83972l30556,63957l0,83972l30556,0x">
                  <v:stroke weight="0pt" endcap="flat" joinstyle="miter" miterlimit="4" on="false" color="#000000" opacity="0"/>
                  <v:fill on="true" color="#000000"/>
                </v:shape>
                <v:shape id="Shape 6871" style="position:absolute;width:0;height:1826;left:5431;top:42383;" coordsize="0,182664" path="m0,182664l0,0">
                  <v:stroke weight="0.709pt" endcap="flat" joinstyle="miter" miterlimit="4" on="true" color="#000000"/>
                  <v:fill on="false" color="#000000" opacity="0"/>
                </v:shape>
                <v:shape id="Shape 6872" style="position:absolute;width:51372;height:0;left:5399;top:44180;" coordsize="5137201,0" path="m0,0l5137201,0">
                  <v:stroke weight="0.709pt" endcap="flat" joinstyle="miter" miterlimit="4" on="true" color="#000000"/>
                  <v:fill on="false" color="#000000" opacity="0"/>
                </v:shape>
                <v:shape id="Shape 378145" style="position:absolute;width:31319;height:4302;left:16379;top:6282;" coordsize="3131998,430250" path="m0,0l3131998,0l3131998,430250l0,430250l0,0">
                  <v:stroke weight="0pt" endcap="flat" joinstyle="miter" miterlimit="4" on="false" color="#000000" opacity="0"/>
                  <v:fill on="true" color="#94c11e"/>
                </v:shape>
                <v:rect id="Rectangle 6874" style="position:absolute;width:33602;height:2030;left:19542;top:6430;" filled="f" stroked="f">
                  <v:textbox inset="0,0,0,0">
                    <w:txbxContent>
                      <w:p>
                        <w:pPr>
                          <w:spacing w:before="0" w:after="160" w:line="259" w:lineRule="auto"/>
                          <w:ind w:left="0" w:right="0" w:firstLine="0"/>
                          <w:jc w:val="left"/>
                        </w:pPr>
                        <w:r>
                          <w:rPr>
                            <w:w w:val="103"/>
                          </w:rPr>
                          <w:t xml:space="preserve">При</w:t>
                        </w:r>
                        <w:r>
                          <w:rPr>
                            <w:spacing w:val="-3"/>
                            <w:w w:val="103"/>
                          </w:rPr>
                          <w:t xml:space="preserve"> </w:t>
                        </w:r>
                        <w:r>
                          <w:rPr>
                            <w:w w:val="103"/>
                          </w:rPr>
                          <w:t xml:space="preserve">выраженной</w:t>
                        </w:r>
                        <w:r>
                          <w:rPr>
                            <w:spacing w:val="-3"/>
                            <w:w w:val="103"/>
                          </w:rPr>
                          <w:t xml:space="preserve"> </w:t>
                        </w:r>
                        <w:r>
                          <w:rPr>
                            <w:w w:val="103"/>
                          </w:rPr>
                          <w:t xml:space="preserve">декомпенсации</w:t>
                        </w:r>
                        <w:r>
                          <w:rPr>
                            <w:spacing w:val="-3"/>
                            <w:w w:val="103"/>
                          </w:rPr>
                          <w:t xml:space="preserve"> </w:t>
                        </w:r>
                        <w:r>
                          <w:rPr>
                            <w:w w:val="103"/>
                          </w:rPr>
                          <w:t xml:space="preserve">инициация</w:t>
                        </w:r>
                        <w:r>
                          <w:rPr>
                            <w:spacing w:val="-3"/>
                            <w:w w:val="103"/>
                          </w:rPr>
                          <w:t xml:space="preserve"> </w:t>
                        </w:r>
                      </w:p>
                    </w:txbxContent>
                  </v:textbox>
                </v:rect>
                <v:rect id="Rectangle 6875" style="position:absolute;width:35428;height:2030;left:18855;top:7700;" filled="f" stroked="f">
                  <v:textbox inset="0,0,0,0">
                    <w:txbxContent>
                      <w:p>
                        <w:pPr>
                          <w:spacing w:before="0" w:after="160" w:line="259" w:lineRule="auto"/>
                          <w:ind w:left="0" w:right="0" w:firstLine="0"/>
                          <w:jc w:val="left"/>
                        </w:pPr>
                        <w:r>
                          <w:rPr>
                            <w:w w:val="102"/>
                          </w:rPr>
                          <w:t xml:space="preserve">возможна</w:t>
                        </w:r>
                        <w:r>
                          <w:rPr>
                            <w:spacing w:val="-3"/>
                            <w:w w:val="102"/>
                          </w:rPr>
                          <w:t xml:space="preserve"> </w:t>
                        </w:r>
                        <w:r>
                          <w:rPr>
                            <w:w w:val="102"/>
                          </w:rPr>
                          <w:t xml:space="preserve">с</w:t>
                        </w:r>
                        <w:r>
                          <w:rPr>
                            <w:spacing w:val="-3"/>
                            <w:w w:val="102"/>
                          </w:rPr>
                          <w:t xml:space="preserve"> </w:t>
                        </w:r>
                        <w:r>
                          <w:rPr>
                            <w:w w:val="102"/>
                          </w:rPr>
                          <w:t xml:space="preserve">базис-болюсной</w:t>
                        </w:r>
                        <w:r>
                          <w:rPr>
                            <w:spacing w:val="-3"/>
                            <w:w w:val="102"/>
                          </w:rPr>
                          <w:t xml:space="preserve"> </w:t>
                        </w:r>
                        <w:r>
                          <w:rPr>
                            <w:w w:val="102"/>
                          </w:rPr>
                          <w:t xml:space="preserve">инсулинотерапии*</w:t>
                        </w:r>
                        <w:r>
                          <w:rPr>
                            <w:spacing w:val="-3"/>
                            <w:w w:val="102"/>
                          </w:rPr>
                          <w:t xml:space="preserve"> </w:t>
                        </w:r>
                      </w:p>
                    </w:txbxContent>
                  </v:textbox>
                </v:rect>
                <v:rect id="Rectangle 6876" style="position:absolute;width:36049;height:2030;left:18486;top:8970;" filled="f" stroked="f">
                  <v:textbox inset="0,0,0,0">
                    <w:txbxContent>
                      <w:p>
                        <w:pPr>
                          <w:spacing w:before="0" w:after="160" w:line="259" w:lineRule="auto"/>
                          <w:ind w:left="0" w:right="0" w:firstLine="0"/>
                          <w:jc w:val="left"/>
                        </w:pPr>
                        <w:r>
                          <w:rPr>
                            <w:w w:val="102"/>
                          </w:rPr>
                          <w:t xml:space="preserve">На</w:t>
                        </w:r>
                        <w:r>
                          <w:rPr>
                            <w:spacing w:val="-3"/>
                            <w:w w:val="102"/>
                          </w:rPr>
                          <w:t xml:space="preserve"> </w:t>
                        </w:r>
                        <w:r>
                          <w:rPr>
                            <w:w w:val="102"/>
                          </w:rPr>
                          <w:t xml:space="preserve">любом</w:t>
                        </w:r>
                        <w:r>
                          <w:rPr>
                            <w:spacing w:val="-3"/>
                            <w:w w:val="102"/>
                          </w:rPr>
                          <w:t xml:space="preserve"> </w:t>
                        </w:r>
                        <w:r>
                          <w:rPr>
                            <w:w w:val="102"/>
                          </w:rPr>
                          <w:t xml:space="preserve">этапе</w:t>
                        </w:r>
                        <w:r>
                          <w:rPr>
                            <w:spacing w:val="-3"/>
                            <w:w w:val="102"/>
                          </w:rPr>
                          <w:t xml:space="preserve"> </w:t>
                        </w:r>
                        <w:r>
                          <w:rPr>
                            <w:w w:val="102"/>
                          </w:rPr>
                          <w:t xml:space="preserve">возможна</w:t>
                        </w:r>
                        <w:r>
                          <w:rPr>
                            <w:spacing w:val="-3"/>
                            <w:w w:val="102"/>
                          </w:rPr>
                          <w:t xml:space="preserve"> </w:t>
                        </w:r>
                        <w:r>
                          <w:rPr>
                            <w:w w:val="102"/>
                          </w:rPr>
                          <w:t xml:space="preserve">деинтенсификация</w:t>
                        </w:r>
                        <w:r>
                          <w:rPr>
                            <w:spacing w:val="-3"/>
                            <w:w w:val="102"/>
                          </w:rPr>
                          <w:t xml:space="preserve"> </w:t>
                        </w:r>
                        <w:r>
                          <w:rPr>
                            <w:w w:val="102"/>
                          </w:rPr>
                          <w:t xml:space="preserve">ИТ</w:t>
                        </w:r>
                      </w:p>
                    </w:txbxContent>
                  </v:textbox>
                </v:rect>
                <v:shape id="Shape 6877" style="position:absolute;width:31319;height:4302;left:16379;top:6282;" coordsize="3131998,430250" path="m0,430250l3131998,430250l3131998,0l0,0x">
                  <v:stroke weight="0.709pt" endcap="flat" joinstyle="miter" miterlimit="4" on="true" color="#000000"/>
                  <v:fill on="false" color="#000000" opacity="0"/>
                </v:shape>
                <v:shape id="Shape 6878" style="position:absolute;width:0;height:1375;left:32454;top:4245;" coordsize="0,137592" path="m0,0l0,137592">
                  <v:stroke weight="0.709pt" endcap="flat" joinstyle="miter" miterlimit="4" on="true" color="#000000"/>
                  <v:fill on="false" color="#000000" opacity="0"/>
                </v:shape>
                <v:shape id="Shape 6879" style="position:absolute;width:611;height:839;left:32148;top:5421;" coordsize="61113,83972" path="m0,0l30556,20015l61113,0l30556,83972l0,0x">
                  <v:stroke weight="0pt" endcap="flat" joinstyle="miter" miterlimit="4" on="false" color="#000000" opacity="0"/>
                  <v:fill on="true" color="#000000"/>
                </v:shape>
                <w10:wrap type="square"/>
              </v:group>
            </w:pict>
          </mc:Fallback>
        </mc:AlternateContent>
      </w:r>
      <w:r>
        <w:t>Инициация ИТ</w:t>
      </w:r>
    </w:p>
    <w:p w:rsidR="00D27BC6" w:rsidRDefault="004D5071">
      <w:pPr>
        <w:spacing w:after="6604"/>
        <w:ind w:left="242" w:right="219"/>
        <w:jc w:val="center"/>
      </w:pPr>
      <w:r>
        <w:rPr>
          <w:sz w:val="16"/>
        </w:rPr>
        <w:t xml:space="preserve">Отсутствие достижения индивидуальных целей терапии на фоне лечения оптимальными дозами других сахароснижающих препаратов </w:t>
      </w:r>
    </w:p>
    <w:p w:rsidR="00D27BC6" w:rsidRDefault="004D5071">
      <w:pPr>
        <w:spacing w:after="4"/>
        <w:ind w:left="-3" w:right="0"/>
      </w:pPr>
      <w:r>
        <w:rPr>
          <w:sz w:val="16"/>
        </w:rPr>
        <w:t>*</w:t>
      </w:r>
      <w:r>
        <w:rPr>
          <w:sz w:val="14"/>
          <w:vertAlign w:val="superscript"/>
        </w:rPr>
        <w:t xml:space="preserve"> </w:t>
      </w:r>
      <w:r>
        <w:rPr>
          <w:sz w:val="16"/>
        </w:rPr>
        <w:t>Любой режим ИТ может сочетаться с другими сахароснижающими препаратами, кроме нерациональных комбинаций.</w:t>
      </w:r>
    </w:p>
    <w:p w:rsidR="00D27BC6" w:rsidRDefault="004D5071">
      <w:pPr>
        <w:spacing w:after="242" w:line="261" w:lineRule="auto"/>
        <w:ind w:left="10" w:right="6"/>
        <w:jc w:val="center"/>
      </w:pPr>
      <w:r>
        <w:rPr>
          <w:b/>
          <w:sz w:val="18"/>
        </w:rPr>
        <w:t>6.1.8. ТЕХНИКА ИНЪЕКЦИЙ САХ</w:t>
      </w:r>
      <w:r>
        <w:rPr>
          <w:b/>
          <w:sz w:val="18"/>
        </w:rPr>
        <w:t>АРОСНИЖАЮЩИХ ПРЕПАРАТОВ</w:t>
      </w:r>
    </w:p>
    <w:p w:rsidR="00D27BC6" w:rsidRDefault="004D5071">
      <w:pPr>
        <w:numPr>
          <w:ilvl w:val="0"/>
          <w:numId w:val="31"/>
        </w:numPr>
        <w:ind w:right="0" w:hanging="283"/>
      </w:pPr>
      <w:r>
        <w:t>Техника инъекций инсулина не отличается от описанной для СД 1 типа (см. раздел 5.1.3).</w:t>
      </w:r>
    </w:p>
    <w:p w:rsidR="00D27BC6" w:rsidRDefault="004D5071">
      <w:pPr>
        <w:numPr>
          <w:ilvl w:val="0"/>
          <w:numId w:val="31"/>
        </w:numPr>
        <w:spacing w:after="230"/>
        <w:ind w:right="0" w:hanging="283"/>
      </w:pPr>
      <w:r>
        <w:t xml:space="preserve">Пациенты, использующие арГПП-1, должны следовать уже установленным рекомендациям по технике инъекций инсулина (относительно длины иглы, выбора и </w:t>
      </w:r>
      <w:r>
        <w:t>чередования мест инъекций).</w:t>
      </w:r>
    </w:p>
    <w:p w:rsidR="00D27BC6" w:rsidRDefault="004D5071">
      <w:pPr>
        <w:spacing w:after="12"/>
        <w:ind w:left="290" w:right="286"/>
        <w:jc w:val="center"/>
      </w:pPr>
      <w:r>
        <w:rPr>
          <w:b/>
        </w:rPr>
        <w:t>6.2. МОНИТОРИНГ БОЛЬНЫХ СД 2 ТИПА БЕЗ ОСЛОЖНЕНИЙ</w:t>
      </w:r>
    </w:p>
    <w:tbl>
      <w:tblPr>
        <w:tblStyle w:val="TableGrid"/>
        <w:tblW w:w="10195" w:type="dxa"/>
        <w:tblInd w:w="9" w:type="dxa"/>
        <w:tblCellMar>
          <w:top w:w="9" w:type="dxa"/>
          <w:left w:w="56" w:type="dxa"/>
          <w:bottom w:w="0" w:type="dxa"/>
          <w:right w:w="14" w:type="dxa"/>
        </w:tblCellMar>
        <w:tblLook w:val="04A0" w:firstRow="1" w:lastRow="0" w:firstColumn="1" w:lastColumn="0" w:noHBand="0" w:noVBand="1"/>
      </w:tblPr>
      <w:tblGrid>
        <w:gridCol w:w="5097"/>
        <w:gridCol w:w="5097"/>
      </w:tblGrid>
      <w:tr w:rsidR="00D27BC6">
        <w:trPr>
          <w:trHeight w:val="32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2" w:firstLine="0"/>
              <w:jc w:val="center"/>
            </w:pPr>
            <w:r>
              <w:rPr>
                <w:b/>
              </w:rPr>
              <w:t>Показатель</w:t>
            </w:r>
          </w:p>
        </w:tc>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2" w:firstLine="0"/>
              <w:jc w:val="center"/>
            </w:pPr>
            <w:r>
              <w:rPr>
                <w:b/>
              </w:rPr>
              <w:t>Частота обследования</w:t>
            </w:r>
          </w:p>
        </w:tc>
      </w:tr>
      <w:tr w:rsidR="00D27BC6">
        <w:trPr>
          <w:trHeight w:val="320"/>
        </w:trPr>
        <w:tc>
          <w:tcPr>
            <w:tcW w:w="10195" w:type="dxa"/>
            <w:gridSpan w:val="2"/>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42" w:firstLine="0"/>
              <w:jc w:val="center"/>
            </w:pPr>
            <w:r>
              <w:rPr>
                <w:b/>
              </w:rPr>
              <w:t>Самоконтроль гликемии</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 xml:space="preserve">• в дебюте заболевания </w:t>
            </w:r>
          </w:p>
        </w:tc>
        <w:tc>
          <w:tcPr>
            <w:tcW w:w="5097"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firstLine="0"/>
              <w:jc w:val="left"/>
            </w:pPr>
            <w:r>
              <w:t>не менее 4 раз в сутки (до еды, через 2 часа после еды, на ночь, периодически ночью)*</w:t>
            </w:r>
          </w:p>
        </w:tc>
      </w:tr>
      <w:tr w:rsidR="00D27BC6">
        <w:trPr>
          <w:trHeight w:val="56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1" w:right="0" w:hanging="170"/>
              <w:jc w:val="left"/>
            </w:pPr>
            <w:r>
              <w:t xml:space="preserve">• </w:t>
            </w:r>
            <w:r>
              <w:t>при недостижении целевых уровней гликемического контроля</w:t>
            </w: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320"/>
        </w:trPr>
        <w:tc>
          <w:tcPr>
            <w:tcW w:w="10195"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rPr>
                <w:i/>
              </w:rPr>
              <w:t>В дальнейшем в зависимости от вида сахароснижающей терапии</w:t>
            </w:r>
          </w:p>
        </w:tc>
      </w:tr>
      <w:tr w:rsidR="00D27BC6">
        <w:trPr>
          <w:trHeight w:val="56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 на интенсифицированной инсулинотерапии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firstLine="0"/>
              <w:jc w:val="left"/>
            </w:pPr>
            <w:r>
              <w:t>не менее 4 раз в сутки (до еды, через 2 часа после еды, на ночь, периодически ночью)*</w:t>
            </w:r>
          </w:p>
        </w:tc>
      </w:tr>
      <w:tr w:rsidR="00D27BC6">
        <w:trPr>
          <w:trHeight w:val="128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71" w:right="0" w:hanging="170"/>
              <w:jc w:val="left"/>
            </w:pPr>
            <w:r>
              <w:t xml:space="preserve">• </w:t>
            </w:r>
            <w:r>
              <w:t>на пероральной сахароснижающей терапии и/или арГПП-1 и/или базальном инсулине</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не менее 1 раза в сутки в разное время + </w:t>
            </w:r>
          </w:p>
          <w:p w:rsidR="00D27BC6" w:rsidRDefault="004D5071">
            <w:pPr>
              <w:spacing w:after="0" w:line="259" w:lineRule="auto"/>
              <w:ind w:left="0" w:right="477" w:firstLine="0"/>
              <w:jc w:val="left"/>
            </w:pPr>
            <w:r>
              <w:t>1 гликемический профиль (не менее 4 раз в сутки) в неделю*; возможно уменьшение частоты при использовании только препаратов с низким риском гипогликемии</w:t>
            </w:r>
          </w:p>
        </w:tc>
      </w:tr>
      <w:tr w:rsidR="00D27BC6">
        <w:trPr>
          <w:trHeight w:val="56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на готовых смесях инсулина</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не менее 2 раз в сутки в разное время + 1 гликемический профиль (не менее 4 раз в сутки) в неделю*</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на диетотерапии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не менее 1 раза в неделю в разное время суток</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Гликированный гемоглобин НbА1с</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раз в 3 мес.</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Непрерывное мониторирование глюкозы</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По показаниям</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Общий анализ крови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раз в год</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Общий анализ мочи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раз в год</w:t>
            </w:r>
          </w:p>
        </w:tc>
      </w:tr>
      <w:tr w:rsidR="00D27BC6">
        <w:trPr>
          <w:trHeight w:val="56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pPr>
            <w:r>
              <w:t>Микроальбуминурия, соотношение альбумин/креатинин в утренней порции мочи</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1 раз в год</w:t>
            </w:r>
          </w:p>
        </w:tc>
      </w:tr>
      <w:tr w:rsidR="00D27BC6">
        <w:trPr>
          <w:trHeight w:val="104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Биохимический анализ крови (белок, общий холестерин, ХЛВП, ХЛНП, триглицериды, билирубин, АСТ, АЛТ, мочевая кислота, мочевина, креатинин, калий, натрий, расчет СКФ)</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Не менее 1 раза в год (при отсутствии изменений)</w:t>
            </w:r>
          </w:p>
        </w:tc>
      </w:tr>
      <w:tr w:rsidR="00D27BC6">
        <w:trPr>
          <w:trHeight w:val="56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Контроль АД</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При каждом посещении врача. П</w:t>
            </w:r>
            <w:r>
              <w:t>ри наличии артериальной гипертензии – самоконтроль 2–3 раза в сутки</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ЭКГ</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раз в год</w:t>
            </w:r>
          </w:p>
        </w:tc>
      </w:tr>
      <w:tr w:rsidR="00D27BC6">
        <w:trPr>
          <w:trHeight w:val="56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ЭКГ (с нагрузочными тестами при наличии &gt; 2 факторов риска)</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1 раз в год</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Консультация кардиолога</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раз в год</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Осмотр ног</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При каждом посещении врача</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Оценка чувствительности стоп</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Не реже 1 раза в год, по показаниям – чаще</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Проверка техники и осмотр мест инъекций инсулина</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Не реже 1 раза в 6 мес.</w:t>
            </w:r>
          </w:p>
        </w:tc>
      </w:tr>
      <w:tr w:rsidR="00D27BC6">
        <w:trPr>
          <w:trHeight w:val="56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Осмотр офтальмологом (офтальмоскопия с широким зрачком)</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Не реже 1 раза в год, по показаниям – чаще</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Консультация невролога</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По показаниям</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Рентгенография грудной клетки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раз в год</w:t>
            </w:r>
          </w:p>
        </w:tc>
      </w:tr>
    </w:tbl>
    <w:p w:rsidR="00D27BC6" w:rsidRDefault="004D5071">
      <w:pPr>
        <w:spacing w:after="4"/>
        <w:ind w:left="-3" w:right="0"/>
      </w:pPr>
      <w:r>
        <w:rPr>
          <w:sz w:val="16"/>
        </w:rPr>
        <w:t xml:space="preserve">* Дополнительно перед физическими нагрузками и после них, при подозрении на гипогликемию и после ее лечения, при сопутствующих заболеваниях, если предстоят какие-то действия, потенциально опасные для пациента и окружающих (например, вождение транспортного </w:t>
      </w:r>
      <w:r>
        <w:rPr>
          <w:sz w:val="16"/>
        </w:rPr>
        <w:t>средства или управление сложными механизмами).</w:t>
      </w:r>
    </w:p>
    <w:p w:rsidR="00D27BC6" w:rsidRDefault="004D5071">
      <w:pPr>
        <w:spacing w:after="4"/>
        <w:ind w:left="-3" w:right="0"/>
      </w:pPr>
      <w:r>
        <w:rPr>
          <w:b/>
          <w:sz w:val="16"/>
        </w:rPr>
        <w:t xml:space="preserve">Примечания: </w:t>
      </w:r>
      <w:r>
        <w:rPr>
          <w:sz w:val="16"/>
        </w:rPr>
        <w:t xml:space="preserve">при наличии признаков осложнений СД, присоединении сопутствующих заболеваний, появлении дополнительных факторов риска вопрос о частоте обследований решается индивидуально. </w:t>
      </w:r>
    </w:p>
    <w:p w:rsidR="00D27BC6" w:rsidRDefault="004D5071">
      <w:pPr>
        <w:spacing w:after="4"/>
        <w:ind w:left="-3" w:right="0"/>
      </w:pPr>
      <w:r>
        <w:rPr>
          <w:sz w:val="16"/>
        </w:rPr>
        <w:t xml:space="preserve">Рекомендации по частоте </w:t>
      </w:r>
      <w:r>
        <w:rPr>
          <w:sz w:val="16"/>
        </w:rPr>
        <w:t xml:space="preserve">самоконтроля гликемии при СД 2 типа могут быть распространены на больных с другими специфическими типами СД. </w:t>
      </w:r>
    </w:p>
    <w:p w:rsidR="00D27BC6" w:rsidRDefault="004D5071">
      <w:pPr>
        <w:spacing w:after="226"/>
        <w:ind w:left="290" w:right="286"/>
        <w:jc w:val="center"/>
      </w:pPr>
      <w:r>
        <w:rPr>
          <w:b/>
        </w:rPr>
        <w:t>6.3. ВОПРОСЫ ПРОФИЛАКТИКИ САХАРНОГО ДИАБЕТА 2 ТИПА</w:t>
      </w:r>
    </w:p>
    <w:p w:rsidR="00D27BC6" w:rsidRDefault="004D5071">
      <w:pPr>
        <w:pStyle w:val="Heading2"/>
        <w:ind w:left="-3"/>
      </w:pPr>
      <w:r>
        <w:t>Факторы риска развития СД 2 типа</w:t>
      </w:r>
    </w:p>
    <w:tbl>
      <w:tblPr>
        <w:tblStyle w:val="TableGrid"/>
        <w:tblW w:w="10185" w:type="dxa"/>
        <w:tblInd w:w="12" w:type="dxa"/>
        <w:tblCellMar>
          <w:top w:w="0" w:type="dxa"/>
          <w:left w:w="0" w:type="dxa"/>
          <w:bottom w:w="0" w:type="dxa"/>
          <w:right w:w="115" w:type="dxa"/>
        </w:tblCellMar>
        <w:tblLook w:val="04A0" w:firstRow="1" w:lastRow="0" w:firstColumn="1" w:lastColumn="0" w:noHBand="0" w:noVBand="1"/>
      </w:tblPr>
      <w:tblGrid>
        <w:gridCol w:w="397"/>
        <w:gridCol w:w="9788"/>
      </w:tblGrid>
      <w:tr w:rsidR="00D27BC6">
        <w:trPr>
          <w:trHeight w:val="313"/>
        </w:trPr>
        <w:tc>
          <w:tcPr>
            <w:tcW w:w="397" w:type="dxa"/>
            <w:tcBorders>
              <w:top w:val="single" w:sz="8" w:space="0" w:color="000000"/>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single" w:sz="8" w:space="0" w:color="000000"/>
              <w:left w:val="nil"/>
              <w:bottom w:val="nil"/>
              <w:right w:val="single" w:sz="8" w:space="0" w:color="000000"/>
            </w:tcBorders>
          </w:tcPr>
          <w:p w:rsidR="00D27BC6" w:rsidRDefault="004D5071">
            <w:pPr>
              <w:spacing w:after="0" w:line="259" w:lineRule="auto"/>
              <w:ind w:left="0" w:right="0" w:firstLine="0"/>
              <w:jc w:val="left"/>
            </w:pPr>
            <w:r>
              <w:t>Возраст ≥ 45 лет.</w:t>
            </w:r>
          </w:p>
        </w:tc>
      </w:tr>
      <w:tr w:rsidR="00D27BC6">
        <w:trPr>
          <w:trHeight w:val="240"/>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nil"/>
              <w:right w:val="single" w:sz="8" w:space="0" w:color="000000"/>
            </w:tcBorders>
          </w:tcPr>
          <w:p w:rsidR="00D27BC6" w:rsidRDefault="004D5071">
            <w:pPr>
              <w:spacing w:after="0" w:line="259" w:lineRule="auto"/>
              <w:ind w:left="0" w:right="0" w:firstLine="0"/>
              <w:jc w:val="left"/>
            </w:pPr>
            <w:r>
              <w:t>Избыточная масса тела и ожирение (ИМТ ≥ 25 кг/м</w:t>
            </w:r>
            <w:r>
              <w:rPr>
                <w:sz w:val="18"/>
                <w:vertAlign w:val="superscript"/>
              </w:rPr>
              <w:t>2</w:t>
            </w:r>
            <w:r>
              <w:t>*).</w:t>
            </w:r>
          </w:p>
        </w:tc>
      </w:tr>
      <w:tr w:rsidR="00D27BC6">
        <w:trPr>
          <w:trHeight w:val="240"/>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nil"/>
              <w:right w:val="single" w:sz="8" w:space="0" w:color="000000"/>
            </w:tcBorders>
          </w:tcPr>
          <w:p w:rsidR="00D27BC6" w:rsidRDefault="004D5071">
            <w:pPr>
              <w:spacing w:after="0" w:line="259" w:lineRule="auto"/>
              <w:ind w:left="0" w:right="0" w:firstLine="0"/>
              <w:jc w:val="left"/>
            </w:pPr>
            <w:r>
              <w:t>Семейный анамнез СД (родители или сибсы с СД 2 типа).</w:t>
            </w:r>
          </w:p>
        </w:tc>
      </w:tr>
      <w:tr w:rsidR="00D27BC6">
        <w:trPr>
          <w:trHeight w:val="240"/>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nil"/>
              <w:right w:val="single" w:sz="8" w:space="0" w:color="000000"/>
            </w:tcBorders>
          </w:tcPr>
          <w:p w:rsidR="00D27BC6" w:rsidRDefault="004D5071">
            <w:pPr>
              <w:spacing w:after="0" w:line="259" w:lineRule="auto"/>
              <w:ind w:left="0" w:right="0" w:firstLine="0"/>
              <w:jc w:val="left"/>
            </w:pPr>
            <w:r>
              <w:t>Привычно низкая физическая активность.</w:t>
            </w:r>
          </w:p>
        </w:tc>
      </w:tr>
      <w:tr w:rsidR="00D27BC6">
        <w:trPr>
          <w:trHeight w:val="240"/>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nil"/>
              <w:right w:val="single" w:sz="8" w:space="0" w:color="000000"/>
            </w:tcBorders>
          </w:tcPr>
          <w:p w:rsidR="00D27BC6" w:rsidRDefault="004D5071">
            <w:pPr>
              <w:spacing w:after="0" w:line="259" w:lineRule="auto"/>
              <w:ind w:left="0" w:right="0" w:firstLine="0"/>
              <w:jc w:val="left"/>
            </w:pPr>
            <w:r>
              <w:t>Нарушенная гликемия натощак или нарушенная толерантность к глюкозе в анамнезе.</w:t>
            </w:r>
          </w:p>
        </w:tc>
      </w:tr>
      <w:tr w:rsidR="00D27BC6">
        <w:trPr>
          <w:trHeight w:val="240"/>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nil"/>
              <w:right w:val="single" w:sz="8" w:space="0" w:color="000000"/>
            </w:tcBorders>
          </w:tcPr>
          <w:p w:rsidR="00D27BC6" w:rsidRDefault="004D5071">
            <w:pPr>
              <w:spacing w:after="0" w:line="259" w:lineRule="auto"/>
              <w:ind w:left="0" w:right="0" w:firstLine="0"/>
              <w:jc w:val="left"/>
            </w:pPr>
            <w:r>
              <w:t xml:space="preserve">Гестационный СД </w:t>
            </w:r>
            <w:r>
              <w:t>или рождение крупного плода в анамнезе.</w:t>
            </w:r>
          </w:p>
        </w:tc>
      </w:tr>
      <w:tr w:rsidR="00D27BC6">
        <w:trPr>
          <w:trHeight w:val="240"/>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nil"/>
              <w:right w:val="single" w:sz="8" w:space="0" w:color="000000"/>
            </w:tcBorders>
          </w:tcPr>
          <w:p w:rsidR="00D27BC6" w:rsidRDefault="004D5071">
            <w:pPr>
              <w:spacing w:after="0" w:line="259" w:lineRule="auto"/>
              <w:ind w:left="0" w:right="0" w:firstLine="0"/>
              <w:jc w:val="left"/>
            </w:pPr>
            <w:r>
              <w:t>Артериальная гипертензия (≥ 140/90 мм рт.ст. или медикаментозная антигипертензивная терапия).</w:t>
            </w:r>
          </w:p>
        </w:tc>
      </w:tr>
      <w:tr w:rsidR="00D27BC6">
        <w:trPr>
          <w:trHeight w:val="240"/>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nil"/>
              <w:right w:val="single" w:sz="8" w:space="0" w:color="000000"/>
            </w:tcBorders>
          </w:tcPr>
          <w:p w:rsidR="00D27BC6" w:rsidRDefault="004D5071">
            <w:pPr>
              <w:spacing w:after="0" w:line="259" w:lineRule="auto"/>
              <w:ind w:left="0" w:right="0" w:firstLine="0"/>
              <w:jc w:val="left"/>
            </w:pPr>
            <w:r>
              <w:t>Уровень ХЛВП ≤ 0,9 ммоль/л и/или уровень триглицеридов ≥ 2,82 ммоль/л.</w:t>
            </w:r>
          </w:p>
        </w:tc>
      </w:tr>
      <w:tr w:rsidR="00D27BC6">
        <w:trPr>
          <w:trHeight w:val="240"/>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nil"/>
              <w:right w:val="single" w:sz="8" w:space="0" w:color="000000"/>
            </w:tcBorders>
          </w:tcPr>
          <w:p w:rsidR="00D27BC6" w:rsidRDefault="004D5071">
            <w:pPr>
              <w:spacing w:after="0" w:line="259" w:lineRule="auto"/>
              <w:ind w:left="0" w:right="0" w:firstLine="0"/>
              <w:jc w:val="left"/>
            </w:pPr>
            <w:r>
              <w:t>Синдром поликистозных яичников.</w:t>
            </w:r>
          </w:p>
        </w:tc>
      </w:tr>
      <w:tr w:rsidR="00D27BC6">
        <w:trPr>
          <w:trHeight w:val="360"/>
        </w:trPr>
        <w:tc>
          <w:tcPr>
            <w:tcW w:w="397" w:type="dxa"/>
            <w:tcBorders>
              <w:top w:val="nil"/>
              <w:left w:val="single" w:sz="8" w:space="0" w:color="000000"/>
              <w:bottom w:val="single" w:sz="8" w:space="0" w:color="000000"/>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single" w:sz="8" w:space="0" w:color="000000"/>
              <w:right w:val="single" w:sz="8" w:space="0" w:color="000000"/>
            </w:tcBorders>
          </w:tcPr>
          <w:p w:rsidR="00D27BC6" w:rsidRDefault="004D5071">
            <w:pPr>
              <w:spacing w:after="0" w:line="259" w:lineRule="auto"/>
              <w:ind w:left="0" w:right="0" w:firstLine="0"/>
              <w:jc w:val="left"/>
            </w:pPr>
            <w:r>
              <w:t>Наличие сердечно-сосудистых заболеваний.</w:t>
            </w:r>
          </w:p>
        </w:tc>
      </w:tr>
    </w:tbl>
    <w:p w:rsidR="00D27BC6" w:rsidRDefault="004D5071">
      <w:pPr>
        <w:spacing w:after="349"/>
        <w:ind w:left="-3" w:right="0"/>
      </w:pPr>
      <w:r>
        <w:t>*</w:t>
      </w:r>
      <w:r>
        <w:rPr>
          <w:sz w:val="16"/>
          <w:vertAlign w:val="superscript"/>
        </w:rPr>
        <w:t xml:space="preserve"> </w:t>
      </w:r>
      <w:r>
        <w:rPr>
          <w:sz w:val="16"/>
        </w:rPr>
        <w:t>Применимо к лицам европеоидной расы (≥23 кг/м</w:t>
      </w:r>
      <w:r>
        <w:rPr>
          <w:sz w:val="16"/>
          <w:vertAlign w:val="superscript"/>
        </w:rPr>
        <w:t>2</w:t>
      </w:r>
      <w:r>
        <w:rPr>
          <w:sz w:val="16"/>
        </w:rPr>
        <w:t xml:space="preserve"> для азиатской популяции).</w:t>
      </w:r>
    </w:p>
    <w:p w:rsidR="00D27BC6" w:rsidRDefault="004D5071">
      <w:pPr>
        <w:pStyle w:val="Heading2"/>
        <w:spacing w:after="203"/>
        <w:ind w:left="-3"/>
      </w:pPr>
      <w:r>
        <w:t>Предиабет</w:t>
      </w:r>
    </w:p>
    <w:p w:rsidR="00D27BC6" w:rsidRDefault="004D5071">
      <w:pPr>
        <w:pBdr>
          <w:top w:val="single" w:sz="8" w:space="0" w:color="000000"/>
          <w:left w:val="single" w:sz="8" w:space="0" w:color="000000"/>
          <w:bottom w:val="single" w:sz="8" w:space="0" w:color="000000"/>
          <w:right w:val="single" w:sz="8" w:space="0" w:color="000000"/>
        </w:pBdr>
        <w:spacing w:after="45"/>
        <w:ind w:left="120" w:right="3024"/>
      </w:pPr>
      <w:r>
        <w:t>Любое из ранних нарушений углеводного обмена:</w:t>
      </w:r>
    </w:p>
    <w:p w:rsidR="00D27BC6" w:rsidRDefault="004D5071">
      <w:pPr>
        <w:pBdr>
          <w:top w:val="single" w:sz="8" w:space="0" w:color="000000"/>
          <w:left w:val="single" w:sz="8" w:space="0" w:color="000000"/>
          <w:bottom w:val="single" w:sz="8" w:space="0" w:color="000000"/>
          <w:right w:val="single" w:sz="8" w:space="0" w:color="000000"/>
        </w:pBdr>
        <w:spacing w:after="183"/>
        <w:ind w:left="120" w:right="3024"/>
      </w:pPr>
      <w:r>
        <w:t xml:space="preserve">• </w:t>
      </w:r>
      <w:r>
        <w:tab/>
        <w:t xml:space="preserve">Нарушенная гликемия натощак (НГН)* • </w:t>
      </w:r>
      <w:r>
        <w:tab/>
        <w:t>Нарушенная толерантность к глюкозе (НТГ)*</w:t>
      </w:r>
    </w:p>
    <w:p w:rsidR="00D27BC6" w:rsidRDefault="004D5071">
      <w:pPr>
        <w:spacing w:after="208"/>
        <w:ind w:left="-3" w:right="0"/>
      </w:pPr>
      <w:r>
        <w:t>*</w:t>
      </w:r>
      <w:r>
        <w:rPr>
          <w:sz w:val="16"/>
        </w:rPr>
        <w:t xml:space="preserve"> Критерии диагностики см. раздел 2.1.</w:t>
      </w:r>
    </w:p>
    <w:p w:rsidR="00D27BC6" w:rsidRDefault="004D5071">
      <w:pPr>
        <w:pStyle w:val="Heading2"/>
        <w:ind w:left="-3"/>
      </w:pPr>
      <w:r>
        <w:t>Скрининг</w:t>
      </w:r>
    </w:p>
    <w:tbl>
      <w:tblPr>
        <w:tblStyle w:val="TableGrid"/>
        <w:tblW w:w="10191" w:type="dxa"/>
        <w:tblInd w:w="9" w:type="dxa"/>
        <w:tblCellMar>
          <w:top w:w="9" w:type="dxa"/>
          <w:left w:w="57" w:type="dxa"/>
          <w:bottom w:w="0" w:type="dxa"/>
          <w:right w:w="115" w:type="dxa"/>
        </w:tblCellMar>
        <w:tblLook w:val="04A0" w:firstRow="1" w:lastRow="0" w:firstColumn="1" w:lastColumn="0" w:noHBand="0" w:noVBand="1"/>
      </w:tblPr>
      <w:tblGrid>
        <w:gridCol w:w="2346"/>
        <w:gridCol w:w="4337"/>
        <w:gridCol w:w="3508"/>
      </w:tblGrid>
      <w:tr w:rsidR="00D27BC6">
        <w:trPr>
          <w:trHeight w:val="560"/>
        </w:trPr>
        <w:tc>
          <w:tcPr>
            <w:tcW w:w="2346"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Возраст начала скрининга</w:t>
            </w:r>
          </w:p>
        </w:tc>
        <w:tc>
          <w:tcPr>
            <w:tcW w:w="4337"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59" w:right="0" w:firstLine="0"/>
              <w:jc w:val="center"/>
            </w:pPr>
            <w:r>
              <w:rPr>
                <w:b/>
              </w:rPr>
              <w:t>Группы, в которых проводится скрининг</w:t>
            </w:r>
          </w:p>
        </w:tc>
        <w:tc>
          <w:tcPr>
            <w:tcW w:w="3508"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58" w:right="0" w:firstLine="0"/>
              <w:jc w:val="center"/>
            </w:pPr>
            <w:r>
              <w:rPr>
                <w:b/>
              </w:rPr>
              <w:t>Частота обследования</w:t>
            </w:r>
          </w:p>
        </w:tc>
      </w:tr>
      <w:tr w:rsidR="00D27BC6">
        <w:trPr>
          <w:trHeight w:val="320"/>
        </w:trPr>
        <w:tc>
          <w:tcPr>
            <w:tcW w:w="234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Любой взрослый</w:t>
            </w:r>
          </w:p>
        </w:tc>
        <w:tc>
          <w:tcPr>
            <w:tcW w:w="433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 ИМТ&gt;25 кг/м</w:t>
            </w:r>
            <w:r>
              <w:rPr>
                <w:sz w:val="18"/>
                <w:vertAlign w:val="superscript"/>
              </w:rPr>
              <w:t>2</w:t>
            </w:r>
            <w:r>
              <w:t xml:space="preserve"> + 1 из факторов риска</w:t>
            </w:r>
          </w:p>
        </w:tc>
        <w:tc>
          <w:tcPr>
            <w:tcW w:w="3508" w:type="dxa"/>
            <w:vMerge w:val="restart"/>
            <w:tcBorders>
              <w:top w:val="single" w:sz="6" w:space="0" w:color="000000"/>
              <w:left w:val="single" w:sz="6" w:space="0" w:color="000000"/>
              <w:bottom w:val="single" w:sz="6" w:space="0" w:color="000000"/>
              <w:right w:val="single" w:sz="6" w:space="0" w:color="000000"/>
            </w:tcBorders>
          </w:tcPr>
          <w:p w:rsidR="00D27BC6" w:rsidRDefault="004D5071">
            <w:pPr>
              <w:spacing w:after="240" w:line="236" w:lineRule="auto"/>
              <w:ind w:left="0" w:right="570" w:firstLine="0"/>
              <w:jc w:val="left"/>
            </w:pPr>
            <w:r>
              <w:t>При нормальном результате – 1 раз в 3 года</w:t>
            </w:r>
          </w:p>
          <w:p w:rsidR="00D27BC6" w:rsidRDefault="004D5071">
            <w:pPr>
              <w:spacing w:after="0" w:line="259" w:lineRule="auto"/>
              <w:ind w:left="0" w:right="0" w:firstLine="0"/>
              <w:jc w:val="left"/>
            </w:pPr>
            <w:r>
              <w:t>Лица с предиабетом – 1 раз в год</w:t>
            </w:r>
          </w:p>
        </w:tc>
      </w:tr>
      <w:tr w:rsidR="00D27BC6">
        <w:trPr>
          <w:trHeight w:val="560"/>
        </w:trPr>
        <w:tc>
          <w:tcPr>
            <w:tcW w:w="234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Любой взрослый</w:t>
            </w:r>
          </w:p>
        </w:tc>
        <w:tc>
          <w:tcPr>
            <w:tcW w:w="433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Высокий риск при проведении анкетирования (результат опросника FINDRISC* ≥ 12)</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r>
      <w:tr w:rsidR="00D27BC6">
        <w:trPr>
          <w:trHeight w:val="320"/>
        </w:trPr>
        <w:tc>
          <w:tcPr>
            <w:tcW w:w="234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&gt; 45 лет</w:t>
            </w:r>
          </w:p>
        </w:tc>
        <w:tc>
          <w:tcPr>
            <w:tcW w:w="433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 нормальной массой тела в отсутствие ФР</w:t>
            </w: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bl>
    <w:p w:rsidR="00D27BC6" w:rsidRDefault="004D5071">
      <w:pPr>
        <w:spacing w:after="198"/>
        <w:ind w:left="-3" w:right="0"/>
      </w:pPr>
      <w:r>
        <w:t>* С</w:t>
      </w:r>
      <w:r>
        <w:rPr>
          <w:sz w:val="16"/>
        </w:rPr>
        <w:t xml:space="preserve">м. приложение </w:t>
      </w:r>
      <w:r>
        <w:t>6.</w:t>
      </w:r>
    </w:p>
    <w:p w:rsidR="00D27BC6" w:rsidRDefault="004D5071">
      <w:pPr>
        <w:ind w:left="281" w:right="51"/>
        <w:jc w:val="left"/>
      </w:pPr>
      <w:r>
        <w:rPr>
          <w:b/>
        </w:rPr>
        <w:t>Скрининговые тесты:</w:t>
      </w:r>
    </w:p>
    <w:p w:rsidR="00D27BC6" w:rsidRDefault="004D5071">
      <w:pPr>
        <w:numPr>
          <w:ilvl w:val="0"/>
          <w:numId w:val="32"/>
        </w:numPr>
        <w:ind w:right="7344" w:hanging="283"/>
      </w:pPr>
      <w:r>
        <w:t xml:space="preserve">глюкоза плазмы натощак* или </w:t>
      </w:r>
    </w:p>
    <w:p w:rsidR="00D27BC6" w:rsidRDefault="004D5071">
      <w:pPr>
        <w:numPr>
          <w:ilvl w:val="0"/>
          <w:numId w:val="32"/>
        </w:numPr>
        <w:ind w:right="7344" w:hanging="283"/>
      </w:pPr>
      <w:r>
        <w:t>ПГТТ с 75 г глюкозы* или</w:t>
      </w:r>
    </w:p>
    <w:p w:rsidR="00D27BC6" w:rsidRDefault="004D5071">
      <w:pPr>
        <w:numPr>
          <w:ilvl w:val="0"/>
          <w:numId w:val="32"/>
        </w:numPr>
        <w:spacing w:after="67"/>
        <w:ind w:right="7344" w:hanging="283"/>
      </w:pPr>
      <w:r>
        <w:t>HbA1c 6,0–6,4%* (целесообразно с последующим выполнением ПГТТ либо определением глюкозы плазмы натощак).</w:t>
      </w:r>
    </w:p>
    <w:p w:rsidR="00D27BC6" w:rsidRDefault="004D5071">
      <w:pPr>
        <w:spacing w:after="191"/>
        <w:ind w:left="-3" w:right="0"/>
      </w:pPr>
      <w:r>
        <w:t>*</w:t>
      </w:r>
      <w:r>
        <w:rPr>
          <w:sz w:val="16"/>
          <w:vertAlign w:val="superscript"/>
        </w:rPr>
        <w:t xml:space="preserve"> </w:t>
      </w:r>
      <w:r>
        <w:rPr>
          <w:sz w:val="16"/>
        </w:rPr>
        <w:t>Критерии диагностики и правила проведения ПГТТ см. разделы 2.1 и 2.2.</w:t>
      </w:r>
    </w:p>
    <w:p w:rsidR="00D27BC6" w:rsidRDefault="004D5071">
      <w:pPr>
        <w:ind w:left="281" w:right="51"/>
        <w:jc w:val="left"/>
      </w:pPr>
      <w:r>
        <w:rPr>
          <w:b/>
        </w:rPr>
        <w:t xml:space="preserve">При выборе теста для скрининга следует учитывать преимущества и недостатки каждого из них: </w:t>
      </w:r>
    </w:p>
    <w:p w:rsidR="00D27BC6" w:rsidRDefault="004D5071">
      <w:pPr>
        <w:numPr>
          <w:ilvl w:val="0"/>
          <w:numId w:val="33"/>
        </w:numPr>
        <w:ind w:right="0" w:hanging="283"/>
      </w:pPr>
      <w:r>
        <w:t>ПГТТ является единственным способом выявления НТГ. Однако, как скрининговый метод имеет существенные недостатки, ограничивающие его использование: является время- и</w:t>
      </w:r>
      <w:r>
        <w:t xml:space="preserve"> трудозатратным (требует подготовки в течение нескольких дней перед его проведением и 2 часов времени непосредственно для выполнения, необходима явка пациента натощак и соблюдение определенных правил при его выполнении, рутинное соблюдение которых затрудни</w:t>
      </w:r>
      <w:r>
        <w:t>тельно в медицинских организациях (см. раздел 2.2). Кроме того, ПГТТ имеет высокую вариабельность.</w:t>
      </w:r>
    </w:p>
    <w:p w:rsidR="00D27BC6" w:rsidRDefault="004D5071">
      <w:pPr>
        <w:numPr>
          <w:ilvl w:val="0"/>
          <w:numId w:val="33"/>
        </w:numPr>
        <w:spacing w:after="230"/>
        <w:ind w:right="0" w:hanging="283"/>
      </w:pPr>
      <w:r>
        <w:t xml:space="preserve">Анализ на HbA1c в качестве скринингового метода обладает определенными преимуществами: не требует предварительного голодания и может быть проведен в любое время, имеет низкую вариабельность, характеризует метаболизм глюкозы за длительный период времени (с </w:t>
      </w:r>
      <w:r>
        <w:t>учетом этого выполнение анализа на HbA1c у лиц с предиабетом предпочтительно в условиях проведения диспансеризации). Возможно искажение результатов при некоторых заболеваниях (гемоглобинопатии, анемии, выраженная печеночная и почечная недостаточность и др.</w:t>
      </w:r>
      <w:r>
        <w:t xml:space="preserve">). </w:t>
      </w:r>
    </w:p>
    <w:p w:rsidR="00D27BC6" w:rsidRDefault="004D5071">
      <w:pPr>
        <w:ind w:left="281" w:right="51"/>
        <w:jc w:val="left"/>
      </w:pPr>
      <w:r>
        <w:rPr>
          <w:b/>
        </w:rPr>
        <w:t>Принципы профилактики</w:t>
      </w:r>
    </w:p>
    <w:p w:rsidR="00D27BC6" w:rsidRDefault="004D5071">
      <w:pPr>
        <w:numPr>
          <w:ilvl w:val="0"/>
          <w:numId w:val="33"/>
        </w:numPr>
        <w:ind w:right="0" w:hanging="283"/>
      </w:pPr>
      <w:r>
        <w:t>Активное выявление групп риска</w:t>
      </w:r>
    </w:p>
    <w:p w:rsidR="00D27BC6" w:rsidRDefault="004D5071">
      <w:pPr>
        <w:numPr>
          <w:ilvl w:val="0"/>
          <w:numId w:val="33"/>
        </w:numPr>
        <w:ind w:right="0" w:hanging="283"/>
      </w:pPr>
      <w:r>
        <w:t>Активное изменение образа жизни</w:t>
      </w:r>
    </w:p>
    <w:p w:rsidR="00D27BC6" w:rsidRDefault="004D5071">
      <w:pPr>
        <w:numPr>
          <w:ilvl w:val="0"/>
          <w:numId w:val="33"/>
        </w:numPr>
        <w:ind w:right="0" w:hanging="283"/>
      </w:pPr>
      <w:r>
        <w:t xml:space="preserve">Медикаментозная терапия </w:t>
      </w:r>
    </w:p>
    <w:p w:rsidR="00D27BC6" w:rsidRDefault="004D5071">
      <w:pPr>
        <w:pStyle w:val="Heading3"/>
        <w:ind w:left="162" w:right="156"/>
      </w:pPr>
      <w:r>
        <w:t>Изменение образа жизни</w:t>
      </w:r>
    </w:p>
    <w:p w:rsidR="00D27BC6" w:rsidRDefault="004D5071">
      <w:pPr>
        <w:numPr>
          <w:ilvl w:val="0"/>
          <w:numId w:val="34"/>
        </w:numPr>
        <w:ind w:right="0" w:hanging="283"/>
      </w:pPr>
      <w:r>
        <w:rPr>
          <w:b/>
        </w:rPr>
        <w:t xml:space="preserve">Снижение массы тела: </w:t>
      </w:r>
      <w:r>
        <w:t>умеренно гипокалорийное питание с преимущественным ограничением жиров и простых углеводов. Очень н</w:t>
      </w:r>
      <w:r>
        <w:t xml:space="preserve">изкокалорийные диеты дают кратковременные результаты и не рекомендуются. Голодание противопоказано. У лиц с предиабетом целевым является снижение массы тела на 5–7% от исходной. </w:t>
      </w:r>
    </w:p>
    <w:p w:rsidR="00D27BC6" w:rsidRDefault="004D5071">
      <w:pPr>
        <w:numPr>
          <w:ilvl w:val="0"/>
          <w:numId w:val="34"/>
        </w:numPr>
        <w:ind w:right="0" w:hanging="283"/>
      </w:pPr>
      <w:r>
        <w:rPr>
          <w:b/>
        </w:rPr>
        <w:t>Регулярная физическая активность умеренной интенсивности</w:t>
      </w:r>
      <w:r>
        <w:t xml:space="preserve"> (быстрая ходьба, пла</w:t>
      </w:r>
      <w:r>
        <w:t xml:space="preserve">вание, велосипед, танцы) длительностью не менее 30 мин в большинство дней недели (не менее 150 мин в неделю). </w:t>
      </w:r>
    </w:p>
    <w:p w:rsidR="00D27BC6" w:rsidRDefault="004D5071">
      <w:pPr>
        <w:ind w:left="295" w:right="0"/>
      </w:pPr>
      <w:r>
        <w:t xml:space="preserve">Физическая активность подбирается индивидуально, с учетом возраста пациента, осложнений, сопутствующих заболеваний, а также переносимости. </w:t>
      </w:r>
    </w:p>
    <w:p w:rsidR="00D27BC6" w:rsidRDefault="004D5071">
      <w:pPr>
        <w:numPr>
          <w:ilvl w:val="0"/>
          <w:numId w:val="34"/>
        </w:numPr>
        <w:spacing w:after="230"/>
        <w:ind w:right="0" w:hanging="283"/>
      </w:pPr>
      <w:r>
        <w:t>Крупн</w:t>
      </w:r>
      <w:r>
        <w:t xml:space="preserve">ые международные ассоциации отмечают </w:t>
      </w:r>
      <w:r>
        <w:rPr>
          <w:b/>
        </w:rPr>
        <w:t>характеристики сна</w:t>
      </w:r>
      <w:r>
        <w:t xml:space="preserve"> наряду с питанием и физической активностью как центральный компонент профилактики СД 2 типа. Существует U-образная связь между продолжительностью сна и заболеваемостью СД 2 типа. И малая (&lt;6 часов) и </w:t>
      </w:r>
      <w:r>
        <w:t>большая (&gt; 9 часов) продолжительность сна увеличивает СД 2 типа до 50%. У хронотипа «совы» риск развития заболевания в 2,5 раза выше, чем у «жаворонков», независимо от продолжительности сна.</w:t>
      </w:r>
    </w:p>
    <w:p w:rsidR="00D27BC6" w:rsidRDefault="004D5071">
      <w:pPr>
        <w:spacing w:line="472" w:lineRule="auto"/>
        <w:ind w:left="285" w:right="3745" w:firstLine="3563"/>
      </w:pPr>
      <w:r>
        <w:rPr>
          <w:b/>
          <w:color w:val="1E5D99"/>
        </w:rPr>
        <w:t xml:space="preserve">Рекомендации по питанию </w:t>
      </w:r>
      <w:r>
        <w:t>В целом не отличаются от таковых при СД 2</w:t>
      </w:r>
      <w:r>
        <w:t xml:space="preserve"> типа (см. раздел 6.1.1)</w:t>
      </w:r>
    </w:p>
    <w:p w:rsidR="00D27BC6" w:rsidRDefault="004D5071">
      <w:pPr>
        <w:pStyle w:val="Heading3"/>
        <w:ind w:left="162" w:right="156"/>
      </w:pPr>
      <w:r>
        <w:t>Медикаментозная терапия</w:t>
      </w:r>
    </w:p>
    <w:p w:rsidR="00D27BC6" w:rsidRDefault="004D5071">
      <w:pPr>
        <w:numPr>
          <w:ilvl w:val="0"/>
          <w:numId w:val="35"/>
        </w:numPr>
        <w:ind w:right="0" w:hanging="283"/>
      </w:pPr>
      <w:r>
        <w:t>Медикаментозная терапия возможна (при отсутствии противопоказаний), если мероприятия по изменению образа жизни не привели к нормализации показателей углеводного обмена или ранее эти попытки уже были неуспешн</w:t>
      </w:r>
      <w:r>
        <w:t>ы.</w:t>
      </w:r>
    </w:p>
    <w:p w:rsidR="00D27BC6" w:rsidRDefault="004D5071">
      <w:pPr>
        <w:numPr>
          <w:ilvl w:val="0"/>
          <w:numId w:val="35"/>
        </w:numPr>
        <w:ind w:right="0" w:hanging="283"/>
      </w:pPr>
      <w:r>
        <w:t xml:space="preserve">Показание профилактика СД 2 типа зарегистрировано в РФ у метформина. </w:t>
      </w:r>
    </w:p>
    <w:p w:rsidR="00D27BC6" w:rsidRDefault="004D5071">
      <w:pPr>
        <w:ind w:left="295" w:right="0"/>
      </w:pPr>
      <w:r>
        <w:t>Применение метформина с профилактической целью по 500–850 мг 2 раза в сутки или метформина с пролонгированным высвобождением 500–750 мг по 2 таб. 1 раз в сутки (в зависимости от перен</w:t>
      </w:r>
      <w:r>
        <w:t>осимости) может быть рассмотрено у лиц с предиабетом – особенно у лиц моложе 60 лет, у лиц с ИМТ ≥ 35 кг/м</w:t>
      </w:r>
      <w:r>
        <w:rPr>
          <w:sz w:val="18"/>
          <w:vertAlign w:val="superscript"/>
        </w:rPr>
        <w:t>2</w:t>
      </w:r>
      <w:r>
        <w:t>, показателем HbA1c ≥ 6,0%, и у женщин с ГСД в анамнезе. При длительном приеме следует учитывать возможность развития дефицита витамина B12.</w:t>
      </w:r>
    </w:p>
    <w:p w:rsidR="00D27BC6" w:rsidRDefault="004D5071">
      <w:pPr>
        <w:numPr>
          <w:ilvl w:val="0"/>
          <w:numId w:val="35"/>
        </w:numPr>
        <w:ind w:right="0" w:hanging="283"/>
      </w:pPr>
      <w:r>
        <w:t>В крупных РКИ показано снижение риска трансформации в явный СД 2 типа и на фоне применения препаратов, снижающих массу тела (например, арГПП-1, арГИП/ГПП-1), однако в инструкции показание профилактика СД 2 на настоящий момент отсутствует.</w:t>
      </w:r>
    </w:p>
    <w:p w:rsidR="00D27BC6" w:rsidRDefault="004D5071">
      <w:pPr>
        <w:numPr>
          <w:ilvl w:val="0"/>
          <w:numId w:val="35"/>
        </w:numPr>
        <w:spacing w:after="226"/>
        <w:ind w:right="0" w:hanging="283"/>
      </w:pPr>
      <w:r>
        <w:t>Длительность пров</w:t>
      </w:r>
      <w:r>
        <w:t>едения медикаментозной терапии определяется индивидуально.</w:t>
      </w:r>
    </w:p>
    <w:p w:rsidR="00D27BC6" w:rsidRDefault="004D5071">
      <w:pPr>
        <w:spacing w:after="12"/>
        <w:ind w:left="290" w:right="283"/>
        <w:jc w:val="center"/>
      </w:pPr>
      <w:r>
        <w:rPr>
          <w:b/>
        </w:rPr>
        <w:t xml:space="preserve">Необходимо проводить оценку и коррекцию других сердечно-сосудистых ФР  </w:t>
      </w:r>
    </w:p>
    <w:p w:rsidR="00D27BC6" w:rsidRDefault="004D5071">
      <w:pPr>
        <w:spacing w:after="317"/>
        <w:ind w:left="290" w:right="283"/>
        <w:jc w:val="center"/>
      </w:pPr>
      <w:r>
        <w:rPr>
          <w:b/>
        </w:rPr>
        <w:t>(в т.ч. курение, АГ, дислипидемия), особенно у лиц с предиабетом (!)</w:t>
      </w:r>
    </w:p>
    <w:p w:rsidR="00D27BC6" w:rsidRDefault="004D5071">
      <w:pPr>
        <w:pStyle w:val="Heading1"/>
        <w:spacing w:after="324"/>
        <w:ind w:left="313" w:right="309"/>
      </w:pPr>
      <w:r>
        <w:t xml:space="preserve">7. ТЕРАПЕВТИЧЕСКОЕ ОБУЧЕНИЕ И ПСИХОСОЦИАЛЬНАЯ ПОДДЕРЖКА </w:t>
      </w:r>
    </w:p>
    <w:p w:rsidR="00D27BC6" w:rsidRDefault="004D5071">
      <w:pPr>
        <w:spacing w:after="226"/>
        <w:ind w:left="290" w:right="286"/>
        <w:jc w:val="center"/>
      </w:pPr>
      <w:r>
        <w:rPr>
          <w:b/>
        </w:rPr>
        <w:t>7.1. ТЕРАПЕВТИЧЕСКОЕ ОБУЧЕНИЕ БОЛЬНЫХ СД</w:t>
      </w:r>
    </w:p>
    <w:p w:rsidR="00D27BC6" w:rsidRDefault="004D5071">
      <w:pPr>
        <w:numPr>
          <w:ilvl w:val="0"/>
          <w:numId w:val="36"/>
        </w:numPr>
        <w:ind w:right="0" w:hanging="283"/>
      </w:pPr>
      <w:r>
        <w:t>Обучение больных СД принципам управления заболеванием является интегрирующим компонентом лечебного процесса. Оно должно обеспечивать больных знаниями и навыками, способствующими достижению конкретных терапевтически</w:t>
      </w:r>
      <w:r>
        <w:t>х целей (самоуправление заболеванием).</w:t>
      </w:r>
    </w:p>
    <w:p w:rsidR="00D27BC6" w:rsidRDefault="004D5071">
      <w:pPr>
        <w:numPr>
          <w:ilvl w:val="0"/>
          <w:numId w:val="36"/>
        </w:numPr>
        <w:ind w:right="0" w:hanging="283"/>
      </w:pPr>
      <w:r>
        <w:t>Обучающие мероприятия следует проводить со всеми больными СД от момента выявления заболевания и на всем его протяжении. Цели и задачи обучения должны быть конкретизированы в соответствии с актуальным состоянием пациен</w:t>
      </w:r>
      <w:r>
        <w:t>та.</w:t>
      </w:r>
    </w:p>
    <w:p w:rsidR="00D27BC6" w:rsidRDefault="004D5071">
      <w:pPr>
        <w:numPr>
          <w:ilvl w:val="0"/>
          <w:numId w:val="36"/>
        </w:numPr>
        <w:ind w:right="0" w:hanging="283"/>
      </w:pPr>
      <w:r>
        <w:t>Кабинет «Школа для пациентов с сахарным диабетом» является структурным подразделением медицинской организации, оказывающей первичную медико-санитарную и специализированную медицинскую помощь по профилю «эндокринология» в виде группового терапевтическог</w:t>
      </w:r>
      <w:r>
        <w:t>о обучения больных СД по структурированным программам в зависимости от типа СД и метода лечения, с обязательной практической отработкой навыков, необходимых для самостоятельного управления заболеванием.</w:t>
      </w:r>
    </w:p>
    <w:p w:rsidR="00D27BC6" w:rsidRDefault="004D5071">
      <w:pPr>
        <w:numPr>
          <w:ilvl w:val="0"/>
          <w:numId w:val="36"/>
        </w:numPr>
        <w:ind w:right="0" w:hanging="283"/>
      </w:pPr>
      <w:r>
        <w:t>В «Школу для пациентов с сахарным диабетом» направляю</w:t>
      </w:r>
      <w:r>
        <w:t>тся больные, не проходившие обучения (первичный цикл), или больные, уже прошедшие обучение (повторные циклы), для поддержания уровня знаний и мотивации или при появлении новых терапевтических целей.</w:t>
      </w:r>
    </w:p>
    <w:p w:rsidR="00D27BC6" w:rsidRDefault="004D5071">
      <w:pPr>
        <w:numPr>
          <w:ilvl w:val="0"/>
          <w:numId w:val="36"/>
        </w:numPr>
        <w:ind w:right="0" w:hanging="283"/>
      </w:pPr>
      <w:r>
        <w:t>Для обучения используются специально разрабатываемые стру</w:t>
      </w:r>
      <w:r>
        <w:t>ктурированные программы, адресованные конкретному контингенту больных: СД 1 типа, СД 2 типа, не получающих инсулина, СД 2 типа на инсулинотерапии, детей с СД и их родителей, беременных женщин с СД, больных СД на помповой инсулинотерапии.</w:t>
      </w:r>
    </w:p>
    <w:p w:rsidR="00D27BC6" w:rsidRDefault="004D5071">
      <w:pPr>
        <w:numPr>
          <w:ilvl w:val="0"/>
          <w:numId w:val="36"/>
        </w:numPr>
        <w:ind w:right="0" w:hanging="283"/>
      </w:pPr>
      <w:r>
        <w:t>Содержание обучающ</w:t>
      </w:r>
      <w:r>
        <w:t>их программ должно соответствовать принятым стандартам диагностики и лечения СД, а их структура – учитывать основные принципы педагогики. Программы подразумевают строго практическую направленность и доступность для восприятия. Обязательные разделы обучающи</w:t>
      </w:r>
      <w:r>
        <w:t xml:space="preserve">х программ: </w:t>
      </w:r>
      <w:r>
        <w:rPr>
          <w:rFonts w:ascii="Wingdings" w:eastAsia="Wingdings" w:hAnsi="Wingdings" w:cs="Wingdings"/>
        </w:rPr>
        <w:t></w:t>
      </w:r>
      <w:r>
        <w:t xml:space="preserve"> общие сведения о СД;</w:t>
      </w:r>
    </w:p>
    <w:p w:rsidR="00D27BC6" w:rsidRDefault="004D5071">
      <w:pPr>
        <w:numPr>
          <w:ilvl w:val="2"/>
          <w:numId w:val="40"/>
        </w:numPr>
        <w:ind w:left="568" w:right="0" w:hanging="283"/>
      </w:pPr>
      <w:r>
        <w:t>питание;</w:t>
      </w:r>
    </w:p>
    <w:p w:rsidR="00D27BC6" w:rsidRDefault="004D5071">
      <w:pPr>
        <w:numPr>
          <w:ilvl w:val="2"/>
          <w:numId w:val="40"/>
        </w:numPr>
        <w:ind w:left="568" w:right="0" w:hanging="283"/>
      </w:pPr>
      <w:r>
        <w:t>физическая активность;</w:t>
      </w:r>
    </w:p>
    <w:p w:rsidR="00D27BC6" w:rsidRDefault="004D5071">
      <w:pPr>
        <w:numPr>
          <w:ilvl w:val="2"/>
          <w:numId w:val="40"/>
        </w:numPr>
        <w:ind w:left="568" w:right="0" w:hanging="283"/>
      </w:pPr>
      <w:r>
        <w:t>самоконтроль гликемии;</w:t>
      </w:r>
    </w:p>
    <w:p w:rsidR="00D27BC6" w:rsidRDefault="004D5071">
      <w:pPr>
        <w:numPr>
          <w:ilvl w:val="2"/>
          <w:numId w:val="40"/>
        </w:numPr>
        <w:ind w:left="568" w:right="0" w:hanging="283"/>
      </w:pPr>
      <w:r>
        <w:t>сахароснижающие препараты;</w:t>
      </w:r>
    </w:p>
    <w:p w:rsidR="00D27BC6" w:rsidRDefault="004D5071">
      <w:pPr>
        <w:numPr>
          <w:ilvl w:val="2"/>
          <w:numId w:val="40"/>
        </w:numPr>
        <w:ind w:left="568" w:right="0" w:hanging="283"/>
      </w:pPr>
      <w:r>
        <w:t>инсулинотерапия (подробно для больных, получающих инсулин, включая правила самостоятельной коррекции дозы инсулина);</w:t>
      </w:r>
    </w:p>
    <w:p w:rsidR="00D27BC6" w:rsidRDefault="004D5071">
      <w:pPr>
        <w:numPr>
          <w:ilvl w:val="2"/>
          <w:numId w:val="40"/>
        </w:numPr>
        <w:ind w:left="568" w:right="0" w:hanging="283"/>
      </w:pPr>
      <w:r>
        <w:t>гипогликемия;</w:t>
      </w:r>
    </w:p>
    <w:p w:rsidR="00D27BC6" w:rsidRDefault="004D5071">
      <w:pPr>
        <w:numPr>
          <w:ilvl w:val="2"/>
          <w:numId w:val="40"/>
        </w:numPr>
        <w:ind w:left="568" w:right="0" w:hanging="283"/>
      </w:pPr>
      <w:r>
        <w:t>кетоацидоз;</w:t>
      </w:r>
    </w:p>
    <w:p w:rsidR="00D27BC6" w:rsidRDefault="004D5071">
      <w:pPr>
        <w:numPr>
          <w:ilvl w:val="2"/>
          <w:numId w:val="40"/>
        </w:numPr>
        <w:ind w:left="568" w:right="0" w:hanging="283"/>
      </w:pPr>
      <w:r>
        <w:t>поздние осложнения СД;</w:t>
      </w:r>
    </w:p>
    <w:p w:rsidR="00D27BC6" w:rsidRDefault="004D5071">
      <w:pPr>
        <w:numPr>
          <w:ilvl w:val="2"/>
          <w:numId w:val="40"/>
        </w:numPr>
        <w:ind w:left="568" w:right="0" w:hanging="283"/>
      </w:pPr>
      <w:r>
        <w:t>контрольные обследования при СД.</w:t>
      </w:r>
    </w:p>
    <w:p w:rsidR="00D27BC6" w:rsidRDefault="004D5071">
      <w:pPr>
        <w:numPr>
          <w:ilvl w:val="0"/>
          <w:numId w:val="36"/>
        </w:numPr>
        <w:ind w:right="0" w:hanging="283"/>
      </w:pPr>
      <w:r>
        <w:t>Большая часть времени в процессе обучения должна быть посвящена практической отработке навыков, необходимых для самостоятельного управления заболеванием. Прежде всего это касается самоконт</w:t>
      </w:r>
      <w:r>
        <w:t>роля глюкозы крови, подсчета ХЕ, техники инъекций инсулина, правил коррекции доз инсулина, ухода за ногами, самостоятельного измерения АД.</w:t>
      </w:r>
    </w:p>
    <w:p w:rsidR="00D27BC6" w:rsidRDefault="004D5071">
      <w:pPr>
        <w:numPr>
          <w:ilvl w:val="0"/>
          <w:numId w:val="36"/>
        </w:numPr>
        <w:ind w:right="0" w:hanging="283"/>
      </w:pPr>
      <w:r>
        <w:t>Обучение должно быть центрировано на пациенте, но может проводиться как в индивидуальном порядке, так и в группах бол</w:t>
      </w:r>
      <w:r>
        <w:t>ьных. Оптимальное количество больных в группе – 5–7. Групповое обучение требует отдельного помещения, в котором могут быть обеспечены тишина и достаточное освещение.</w:t>
      </w:r>
    </w:p>
    <w:p w:rsidR="00D27BC6" w:rsidRDefault="004D5071">
      <w:pPr>
        <w:numPr>
          <w:ilvl w:val="0"/>
          <w:numId w:val="36"/>
        </w:numPr>
        <w:ind w:right="0" w:hanging="283"/>
      </w:pPr>
      <w:r>
        <w:t>Индивидуальное обучение может проводиться с любым пациентом. Кроме того, оно показано неко</w:t>
      </w:r>
      <w:r>
        <w:t>торым особым категориям больных: с впервые выявленным СД 1 типа, с выраженными стадиями осложнений СД, с тяжелыми сопутствующими заболеваниями и/или существенными ограничениями в физической и умственной деятельности. Индивидуальное обучение также может быт</w:t>
      </w:r>
      <w:r>
        <w:t>ь целесообразно у детей и беременных женщин с СД. В ряде случаев к процессу обучения желательно привлекать родственников больных или их доверенных лиц.</w:t>
      </w:r>
    </w:p>
    <w:p w:rsidR="00D27BC6" w:rsidRDefault="004D5071">
      <w:pPr>
        <w:numPr>
          <w:ilvl w:val="0"/>
          <w:numId w:val="36"/>
        </w:numPr>
        <w:ind w:right="0" w:hanging="283"/>
      </w:pPr>
      <w:r>
        <w:t>«Школы для пациентов с сахарным диабетом» создаются на базе поликлиник, стационаров и консультативнодиаг</w:t>
      </w:r>
      <w:r>
        <w:t xml:space="preserve">ностических центров по территориальному принципу. В каждом эндокринологическом отделении стационара создается 1 «Школа для пациентов с сахарным диабетом». В амбулаторно-поликлиническом учреждении, в том числе центре эндокринологии и диабетологии, 1 «Школа </w:t>
      </w:r>
      <w:r>
        <w:t>для пациентов с сахарным диабетом» создается на 2500 взрослых и 200 детей с СД. При меньшем количестве больных 1 «Школа для пациентов с сахарным диабетом» создается на несколько амбулаторно-поликлинических учреждений.</w:t>
      </w:r>
    </w:p>
    <w:p w:rsidR="00D27BC6" w:rsidRDefault="004D5071">
      <w:pPr>
        <w:numPr>
          <w:ilvl w:val="0"/>
          <w:numId w:val="36"/>
        </w:numPr>
        <w:ind w:right="0" w:hanging="283"/>
      </w:pPr>
      <w:r>
        <w:t>Штатная численность медицинского персо</w:t>
      </w:r>
      <w:r>
        <w:t>нала: в каждой «Школе для пациентов с сахарным диабетом» выделяется 0,5 ставки врача-эндокринолога (1 ставка врача-детского эндокринолога) и 1 ставка медицинской сестры. Дополнительные ставки (психолог, диетолог, эндокринолог, медицинская сестра) устанавли</w:t>
      </w:r>
      <w:r>
        <w:t>ваются руководителем лечебно-профилактического учреждения, в составе которого создана «Школа для пациентов с сахарным диабетом», исходя из потребностей, объема проводимой работы и численности обслуживаемого населения.</w:t>
      </w:r>
    </w:p>
    <w:p w:rsidR="00D27BC6" w:rsidRDefault="004D5071">
      <w:pPr>
        <w:numPr>
          <w:ilvl w:val="0"/>
          <w:numId w:val="36"/>
        </w:numPr>
        <w:ind w:right="0" w:hanging="283"/>
      </w:pPr>
      <w:r>
        <w:t xml:space="preserve">Базисное техническое оснащение «Школы </w:t>
      </w:r>
      <w:r>
        <w:t>для пациентов с сахарным диабетом»:</w:t>
      </w:r>
    </w:p>
    <w:p w:rsidR="00D27BC6" w:rsidRDefault="004D5071">
      <w:pPr>
        <w:numPr>
          <w:ilvl w:val="2"/>
          <w:numId w:val="41"/>
        </w:numPr>
        <w:ind w:left="568" w:right="0" w:hanging="283"/>
      </w:pPr>
      <w:r>
        <w:t>структурированные программы обучения с набором наглядных пособий (плакаты, карточки с изображением продуктов);</w:t>
      </w:r>
    </w:p>
    <w:p w:rsidR="00D27BC6" w:rsidRDefault="004D5071">
      <w:pPr>
        <w:numPr>
          <w:ilvl w:val="2"/>
          <w:numId w:val="41"/>
        </w:numPr>
        <w:ind w:left="568" w:right="0" w:hanging="283"/>
      </w:pPr>
      <w:r>
        <w:t>интерактивная панель или доска маркерная;</w:t>
      </w:r>
    </w:p>
    <w:p w:rsidR="00D27BC6" w:rsidRDefault="004D5071">
      <w:pPr>
        <w:numPr>
          <w:ilvl w:val="2"/>
          <w:numId w:val="41"/>
        </w:numPr>
        <w:ind w:left="568" w:right="0" w:hanging="283"/>
      </w:pPr>
      <w:r>
        <w:t>глюкометры и тест-полоски;</w:t>
      </w:r>
    </w:p>
    <w:p w:rsidR="00D27BC6" w:rsidRDefault="004D5071">
      <w:pPr>
        <w:numPr>
          <w:ilvl w:val="2"/>
          <w:numId w:val="41"/>
        </w:numPr>
        <w:ind w:left="568" w:right="0" w:hanging="283"/>
      </w:pPr>
      <w:r>
        <w:t>образцы препаратов и средства введения и</w:t>
      </w:r>
      <w:r>
        <w:t xml:space="preserve">нсулина; </w:t>
      </w:r>
      <w:r>
        <w:rPr>
          <w:rFonts w:ascii="Wingdings" w:eastAsia="Wingdings" w:hAnsi="Wingdings" w:cs="Wingdings"/>
        </w:rPr>
        <w:t></w:t>
      </w:r>
      <w:r>
        <w:t xml:space="preserve"> </w:t>
      </w:r>
      <w:r>
        <w:tab/>
        <w:t>весы для взвешивания продуктов.</w:t>
      </w:r>
    </w:p>
    <w:p w:rsidR="00D27BC6" w:rsidRDefault="004D5071">
      <w:pPr>
        <w:numPr>
          <w:ilvl w:val="0"/>
          <w:numId w:val="36"/>
        </w:numPr>
        <w:ind w:right="0" w:hanging="283"/>
      </w:pPr>
      <w:r>
        <w:t>Обучение больных проводится специально подготовленными медицинскими работниками: эндокринологом, медицинской сестрой. При имеющейся возможности желательно участие клинического психолога и диетолога.</w:t>
      </w:r>
    </w:p>
    <w:p w:rsidR="00D27BC6" w:rsidRDefault="004D5071">
      <w:pPr>
        <w:numPr>
          <w:ilvl w:val="0"/>
          <w:numId w:val="36"/>
        </w:numPr>
        <w:spacing w:after="226"/>
        <w:ind w:right="0" w:hanging="283"/>
      </w:pPr>
      <w:r>
        <w:t>Обучение прив</w:t>
      </w:r>
      <w:r>
        <w:t>одит к улучшению клинических исходов и экономии ресурсов здравоохранения.</w:t>
      </w:r>
    </w:p>
    <w:p w:rsidR="00D27BC6" w:rsidRDefault="004D5071">
      <w:pPr>
        <w:spacing w:after="226"/>
        <w:ind w:left="290" w:right="287"/>
        <w:jc w:val="center"/>
      </w:pPr>
      <w:r>
        <w:rPr>
          <w:b/>
        </w:rPr>
        <w:t>7.2. ПСИХОСОЦИАЛЬНАЯ ПОДДЕРЖКА БОЛЬНЫХ СД</w:t>
      </w:r>
    </w:p>
    <w:p w:rsidR="00D27BC6" w:rsidRDefault="004D5071">
      <w:pPr>
        <w:numPr>
          <w:ilvl w:val="0"/>
          <w:numId w:val="36"/>
        </w:numPr>
        <w:ind w:right="0" w:hanging="283"/>
      </w:pPr>
      <w:r>
        <w:t xml:space="preserve">При СД психосоциальную поддержку (ПП) следует включать в терапевтический процесс, ее целью является сохранение и повышение психологического </w:t>
      </w:r>
      <w:r>
        <w:t xml:space="preserve">благополучия пациентов, предупреждение их психологической инвалидизации, улучшение качества жизни, а также повышение эффективности терапии СД. </w:t>
      </w:r>
    </w:p>
    <w:p w:rsidR="00D27BC6" w:rsidRDefault="004D5071">
      <w:pPr>
        <w:numPr>
          <w:ilvl w:val="0"/>
          <w:numId w:val="36"/>
        </w:numPr>
        <w:ind w:right="0" w:hanging="283"/>
      </w:pPr>
      <w:r>
        <w:t>Желательно периодическое предоставление ПП всем пациентам с СД, в ряде случаев требуется особое внимание и обяза</w:t>
      </w:r>
      <w:r>
        <w:t>тельное оказание ПП:</w:t>
      </w:r>
    </w:p>
    <w:p w:rsidR="00D27BC6" w:rsidRDefault="004D5071">
      <w:pPr>
        <w:numPr>
          <w:ilvl w:val="2"/>
          <w:numId w:val="38"/>
        </w:numPr>
        <w:ind w:right="0" w:hanging="283"/>
      </w:pPr>
      <w:r>
        <w:t>жалобы пациента на неблагополучие психологического характера, снижение качества жизни;</w:t>
      </w:r>
    </w:p>
    <w:p w:rsidR="00D27BC6" w:rsidRDefault="004D5071">
      <w:pPr>
        <w:numPr>
          <w:ilvl w:val="2"/>
          <w:numId w:val="38"/>
        </w:numPr>
        <w:ind w:right="0" w:hanging="283"/>
      </w:pPr>
      <w:r>
        <w:t>наличие состояния психологического дистресса, обусловленного СД, в т.ч. субъективных ощущений усталости от заболевания и выполнения необходимых действий по его контролю и лечению;</w:t>
      </w:r>
    </w:p>
    <w:p w:rsidR="00D27BC6" w:rsidRDefault="004D5071">
      <w:pPr>
        <w:numPr>
          <w:ilvl w:val="2"/>
          <w:numId w:val="38"/>
        </w:numPr>
        <w:ind w:right="0" w:hanging="283"/>
      </w:pPr>
      <w:r>
        <w:t>низкая приверженность лечению, в т.ч. грубые нарушения режима питания, приём</w:t>
      </w:r>
      <w:r>
        <w:t>а медикаментов и самоконтроля гликемии;</w:t>
      </w:r>
    </w:p>
    <w:p w:rsidR="00D27BC6" w:rsidRDefault="004D5071">
      <w:pPr>
        <w:numPr>
          <w:ilvl w:val="2"/>
          <w:numId w:val="38"/>
        </w:numPr>
        <w:ind w:right="0" w:hanging="283"/>
      </w:pPr>
      <w:r>
        <w:t>признаки выраженной тревоги и/или депрессии;</w:t>
      </w:r>
    </w:p>
    <w:p w:rsidR="00D27BC6" w:rsidRDefault="004D5071">
      <w:pPr>
        <w:numPr>
          <w:ilvl w:val="2"/>
          <w:numId w:val="38"/>
        </w:numPr>
        <w:ind w:right="0" w:hanging="283"/>
      </w:pPr>
      <w:r>
        <w:t>признаки психических расстройств;</w:t>
      </w:r>
    </w:p>
    <w:p w:rsidR="00D27BC6" w:rsidRDefault="004D5071">
      <w:pPr>
        <w:numPr>
          <w:ilvl w:val="2"/>
          <w:numId w:val="38"/>
        </w:numPr>
        <w:ind w:right="0" w:hanging="283"/>
      </w:pPr>
      <w:r>
        <w:t>выраженные признаки когнитивного снижения.</w:t>
      </w:r>
    </w:p>
    <w:p w:rsidR="00D27BC6" w:rsidRDefault="004D5071">
      <w:pPr>
        <w:numPr>
          <w:ilvl w:val="0"/>
          <w:numId w:val="36"/>
        </w:numPr>
        <w:ind w:right="0" w:hanging="283"/>
      </w:pPr>
      <w:r>
        <w:t>ПП включает в себя:</w:t>
      </w:r>
    </w:p>
    <w:p w:rsidR="00D27BC6" w:rsidRDefault="004D5071">
      <w:pPr>
        <w:ind w:left="295" w:right="2056"/>
      </w:pPr>
      <w:r>
        <w:rPr>
          <w:rFonts w:ascii="Wingdings" w:eastAsia="Wingdings" w:hAnsi="Wingdings" w:cs="Wingdings"/>
        </w:rPr>
        <w:t></w:t>
      </w:r>
      <w:r>
        <w:t xml:space="preserve"> </w:t>
      </w:r>
      <w:r>
        <w:tab/>
        <w:t>диагностику различных аспектов психологического благополучия пациентов;</w:t>
      </w:r>
      <w:r>
        <w:t xml:space="preserve"> </w:t>
      </w:r>
      <w:r>
        <w:rPr>
          <w:rFonts w:ascii="Wingdings" w:eastAsia="Wingdings" w:hAnsi="Wingdings" w:cs="Wingdings"/>
        </w:rPr>
        <w:t></w:t>
      </w:r>
      <w:r>
        <w:t xml:space="preserve"> </w:t>
      </w:r>
      <w:r>
        <w:tab/>
        <w:t xml:space="preserve">оказание им необходимой помощи в зависимости от специфики выявленных проблем. </w:t>
      </w:r>
    </w:p>
    <w:p w:rsidR="00D27BC6" w:rsidRDefault="004D5071">
      <w:pPr>
        <w:numPr>
          <w:ilvl w:val="0"/>
          <w:numId w:val="36"/>
        </w:numPr>
        <w:ind w:right="0" w:hanging="283"/>
      </w:pPr>
      <w:r>
        <w:t xml:space="preserve">Оценка психологического статуса необходима в следующих клинических ситуациях: </w:t>
      </w:r>
      <w:r>
        <w:rPr>
          <w:rFonts w:ascii="Wingdings" w:eastAsia="Wingdings" w:hAnsi="Wingdings" w:cs="Wingdings"/>
        </w:rPr>
        <w:t></w:t>
      </w:r>
      <w:r>
        <w:t xml:space="preserve"> </w:t>
      </w:r>
      <w:r>
        <w:tab/>
        <w:t>дебют заболевания;</w:t>
      </w:r>
    </w:p>
    <w:p w:rsidR="00D27BC6" w:rsidRDefault="004D5071">
      <w:pPr>
        <w:numPr>
          <w:ilvl w:val="2"/>
          <w:numId w:val="39"/>
        </w:numPr>
        <w:ind w:right="0" w:hanging="283"/>
      </w:pPr>
      <w:r>
        <w:t>появление или значительное прогрессирование осложнений СД;</w:t>
      </w:r>
    </w:p>
    <w:p w:rsidR="00D27BC6" w:rsidRDefault="004D5071">
      <w:pPr>
        <w:numPr>
          <w:ilvl w:val="2"/>
          <w:numId w:val="39"/>
        </w:numPr>
        <w:ind w:right="0" w:hanging="283"/>
      </w:pPr>
      <w:r>
        <w:t>изменение тера</w:t>
      </w:r>
      <w:r>
        <w:t>певтического режима (перевод с ПССП на инсулин, перевод с инъекционного способа введения инсулина на непрерывную подкожную инфузию инсулина (помповую терапию).</w:t>
      </w:r>
    </w:p>
    <w:p w:rsidR="00D27BC6" w:rsidRDefault="004D5071">
      <w:pPr>
        <w:numPr>
          <w:ilvl w:val="0"/>
          <w:numId w:val="36"/>
        </w:numPr>
        <w:ind w:right="0" w:hanging="283"/>
      </w:pPr>
      <w:r>
        <w:t>В зависимости от специфики психологических и социальных проблем в оказании ПП участвуют разные с</w:t>
      </w:r>
      <w:r>
        <w:t>пециалисты:</w:t>
      </w:r>
    </w:p>
    <w:p w:rsidR="00D27BC6" w:rsidRDefault="004D5071">
      <w:pPr>
        <w:numPr>
          <w:ilvl w:val="2"/>
          <w:numId w:val="37"/>
        </w:numPr>
        <w:ind w:right="0" w:hanging="283"/>
      </w:pPr>
      <w:r>
        <w:t>Врачи - эндокринологи – при наличии низкой приверженности лечению, обусловленного заболеванием дистресса, умеренно повышенной тревоги;</w:t>
      </w:r>
    </w:p>
    <w:p w:rsidR="00D27BC6" w:rsidRDefault="004D5071">
      <w:pPr>
        <w:numPr>
          <w:ilvl w:val="2"/>
          <w:numId w:val="37"/>
        </w:numPr>
        <w:ind w:right="0" w:hanging="283"/>
      </w:pPr>
      <w:r>
        <w:t xml:space="preserve">Врачи - психиатры/психотерапевты – при наличии признаков психических расстройств, в т.ч. клинически значимой </w:t>
      </w:r>
      <w:r>
        <w:t>тревоги и депрессии, расстройства приема пищи, выраженных когнитивных нарушений;</w:t>
      </w:r>
    </w:p>
    <w:p w:rsidR="00D27BC6" w:rsidRDefault="004D5071">
      <w:pPr>
        <w:numPr>
          <w:ilvl w:val="2"/>
          <w:numId w:val="37"/>
        </w:numPr>
        <w:ind w:right="0" w:hanging="283"/>
      </w:pPr>
      <w:r>
        <w:t>Врачи - психотерапевты/психологи – при наличии признаков психосоциальной дезадаптации, умеренно выраженных состояний тревоги и/или депрессии, обусловленного заболеванием дистр</w:t>
      </w:r>
      <w:r>
        <w:t>есса, низкой приверженности лечению и других психологических проблем, в т.ч. тех, о которых сообщает сам пациент.</w:t>
      </w:r>
    </w:p>
    <w:p w:rsidR="00D27BC6" w:rsidRDefault="004D5071">
      <w:pPr>
        <w:numPr>
          <w:ilvl w:val="0"/>
          <w:numId w:val="36"/>
        </w:numPr>
        <w:ind w:right="0" w:hanging="283"/>
      </w:pPr>
      <w:r>
        <w:t>Оказание ПП включает в себя также работу с семьей пациента с СД (ПП имеет особую важность, если пациентом является ребенок):</w:t>
      </w:r>
    </w:p>
    <w:p w:rsidR="00D27BC6" w:rsidRDefault="004D5071">
      <w:pPr>
        <w:numPr>
          <w:ilvl w:val="2"/>
          <w:numId w:val="42"/>
        </w:numPr>
        <w:ind w:right="0" w:hanging="283"/>
      </w:pPr>
      <w:r>
        <w:t>оценка психологич</w:t>
      </w:r>
      <w:r>
        <w:t>еского состояния членов семьи и оказание им по необходимости психологической помощи;</w:t>
      </w:r>
    </w:p>
    <w:p w:rsidR="00D27BC6" w:rsidRDefault="004D5071">
      <w:pPr>
        <w:numPr>
          <w:ilvl w:val="2"/>
          <w:numId w:val="42"/>
        </w:numPr>
        <w:ind w:right="0" w:hanging="283"/>
      </w:pPr>
      <w:r>
        <w:t>оценка семейных по характеру аспектов, способных повлиять на психосоциальное благополучие пациентов с СД (внутрисемейных отношений и конфликтов, поддержки пациента со стор</w:t>
      </w:r>
      <w:r>
        <w:t>оны членов семьи);</w:t>
      </w:r>
    </w:p>
    <w:p w:rsidR="00D27BC6" w:rsidRDefault="004D5071">
      <w:pPr>
        <w:numPr>
          <w:ilvl w:val="2"/>
          <w:numId w:val="42"/>
        </w:numPr>
        <w:ind w:right="0" w:hanging="283"/>
      </w:pPr>
      <w:r>
        <w:t xml:space="preserve">оценка представлений членов семьи о СД и формирование у них правильного понимания своей роли во внутрисемейной ПП пациента с СД; </w:t>
      </w:r>
    </w:p>
    <w:p w:rsidR="00D27BC6" w:rsidRDefault="004D5071">
      <w:pPr>
        <w:numPr>
          <w:ilvl w:val="0"/>
          <w:numId w:val="36"/>
        </w:numPr>
        <w:spacing w:after="322"/>
        <w:ind w:right="0" w:hanging="283"/>
      </w:pPr>
      <w:r>
        <w:t>Специалисты психологи и психотерапевты могут участвовать в программах обучения, в т.ч. в рамках «Школы для пациентов с сахарным диабетом», с целью профилактики психосоциального неблагополучия пациентов, улучшения навыков управления заболеванием.</w:t>
      </w:r>
    </w:p>
    <w:p w:rsidR="00D27BC6" w:rsidRDefault="004D5071">
      <w:pPr>
        <w:pStyle w:val="Heading1"/>
        <w:spacing w:after="324"/>
        <w:ind w:left="313" w:right="309"/>
      </w:pPr>
      <w:r>
        <w:t xml:space="preserve">8. ОСТРЫЕ </w:t>
      </w:r>
      <w:r>
        <w:t>ОСЛОЖНЕНИЯ САХАРНОГО ДИАБЕТА</w:t>
      </w:r>
    </w:p>
    <w:p w:rsidR="00D27BC6" w:rsidRDefault="004D5071">
      <w:pPr>
        <w:spacing w:after="12"/>
        <w:ind w:left="290" w:right="286"/>
        <w:jc w:val="center"/>
      </w:pPr>
      <w:r>
        <w:rPr>
          <w:b/>
        </w:rPr>
        <w:t xml:space="preserve">8.1. ДИАБЕТИЧЕСКИЙ КЕТОАЦИДОЗ  </w:t>
      </w:r>
    </w:p>
    <w:p w:rsidR="00D27BC6" w:rsidRDefault="004D5071">
      <w:pPr>
        <w:spacing w:after="220"/>
        <w:ind w:left="290" w:right="283"/>
        <w:jc w:val="center"/>
      </w:pPr>
      <w:r>
        <w:rPr>
          <w:b/>
        </w:rPr>
        <w:t>(ДКА, ДИАБЕТИЧЕСКАЯ КЕТОАЦИДОТИЧЕСКАЯ КОМА)</w:t>
      </w:r>
    </w:p>
    <w:p w:rsidR="00D27BC6" w:rsidRDefault="004D5071">
      <w:pPr>
        <w:pBdr>
          <w:top w:val="single" w:sz="8" w:space="0" w:color="000000"/>
          <w:left w:val="single" w:sz="8" w:space="0" w:color="000000"/>
          <w:bottom w:val="single" w:sz="8" w:space="0" w:color="000000"/>
          <w:right w:val="single" w:sz="8" w:space="0" w:color="000000"/>
        </w:pBdr>
        <w:spacing w:after="156"/>
        <w:ind w:left="120" w:right="114"/>
      </w:pPr>
      <w:r>
        <w:rPr>
          <w:b/>
        </w:rPr>
        <w:t>ДКА</w:t>
      </w:r>
      <w:r>
        <w:t xml:space="preserve"> – требующая экстренной госпитализации острая декомпенсация СД, с гипергликемией (уровень глюкозы плазмы &gt; 11,1 ммоль/л* (или любой гликемией, если диагноз СД уже известен), гиперкетонемией (&gt; 5 ммоль/л), кетонурией (≥ ++), метаболическим ацидозом (рН &lt; 7,</w:t>
      </w:r>
      <w:r>
        <w:t>3 или уровень бикарбоната &lt; 18 ммоль/л) и различной степенью нарушения сознания или без нее.</w:t>
      </w:r>
    </w:p>
    <w:p w:rsidR="00D27BC6" w:rsidRDefault="004D5071">
      <w:pPr>
        <w:spacing w:after="176"/>
        <w:ind w:left="-3" w:right="0"/>
      </w:pPr>
      <w:r>
        <w:rPr>
          <w:sz w:val="16"/>
        </w:rPr>
        <w:t>* В редких случаях возможно развитие эугликемического кетоацидоза (на фоне длительного злоупотребления алкоголем, приема иНГЛТ-2, недостаточного потребления углево</w:t>
      </w:r>
      <w:r>
        <w:rPr>
          <w:sz w:val="16"/>
        </w:rPr>
        <w:t>дов).</w:t>
      </w:r>
    </w:p>
    <w:p w:rsidR="00D27BC6" w:rsidRDefault="004D5071">
      <w:pPr>
        <w:spacing w:after="230"/>
        <w:ind w:left="295" w:right="3329"/>
      </w:pPr>
      <w:r>
        <w:rPr>
          <w:b/>
        </w:rPr>
        <w:t xml:space="preserve">Основная причина: </w:t>
      </w:r>
      <w:r>
        <w:t>абсолютная или выраженная относительная инсулиновая недостаточность.</w:t>
      </w:r>
    </w:p>
    <w:p w:rsidR="00D27BC6" w:rsidRDefault="004D5071">
      <w:pPr>
        <w:ind w:left="281" w:right="51"/>
        <w:jc w:val="left"/>
      </w:pPr>
      <w:r>
        <w:rPr>
          <w:b/>
        </w:rPr>
        <w:t>Провоцирующие факторы:</w:t>
      </w:r>
    </w:p>
    <w:p w:rsidR="00D27BC6" w:rsidRDefault="004D5071">
      <w:pPr>
        <w:numPr>
          <w:ilvl w:val="0"/>
          <w:numId w:val="43"/>
        </w:numPr>
        <w:ind w:right="0" w:hanging="283"/>
      </w:pPr>
      <w:r>
        <w:t>интеркуррентные заболевания, операции и травмы;</w:t>
      </w:r>
    </w:p>
    <w:p w:rsidR="00D27BC6" w:rsidRDefault="004D5071">
      <w:pPr>
        <w:numPr>
          <w:ilvl w:val="0"/>
          <w:numId w:val="43"/>
        </w:numPr>
        <w:ind w:right="0" w:hanging="283"/>
      </w:pPr>
      <w:r>
        <w:t>пропуск или отмена инсулина больными, ошибки в технике инъекций, неисправность средств для в</w:t>
      </w:r>
      <w:r>
        <w:t>ведения инсулина;</w:t>
      </w:r>
    </w:p>
    <w:p w:rsidR="00D27BC6" w:rsidRDefault="004D5071">
      <w:pPr>
        <w:numPr>
          <w:ilvl w:val="0"/>
          <w:numId w:val="43"/>
        </w:numPr>
        <w:ind w:right="0" w:hanging="283"/>
      </w:pPr>
      <w:r>
        <w:t>недостаточный самоконтроль гликемии, невыполнение больными правил самостоятельного повышения дозы инсулина;</w:t>
      </w:r>
    </w:p>
    <w:p w:rsidR="00D27BC6" w:rsidRDefault="004D5071">
      <w:pPr>
        <w:numPr>
          <w:ilvl w:val="0"/>
          <w:numId w:val="43"/>
        </w:numPr>
        <w:ind w:right="0" w:hanging="283"/>
      </w:pPr>
      <w:r>
        <w:t>манифестация СД, особенно 1 типа;</w:t>
      </w:r>
    </w:p>
    <w:p w:rsidR="00D27BC6" w:rsidRDefault="004D5071">
      <w:pPr>
        <w:numPr>
          <w:ilvl w:val="0"/>
          <w:numId w:val="43"/>
        </w:numPr>
        <w:ind w:right="0" w:hanging="283"/>
      </w:pPr>
      <w:r>
        <w:t>врачебные ошибки: несвоевременное назначение или неадекватная коррекция дозы инсулина;</w:t>
      </w:r>
    </w:p>
    <w:p w:rsidR="00D27BC6" w:rsidRDefault="004D5071">
      <w:pPr>
        <w:numPr>
          <w:ilvl w:val="0"/>
          <w:numId w:val="43"/>
        </w:numPr>
        <w:ind w:right="0" w:hanging="283"/>
      </w:pPr>
      <w:r>
        <w:t>хроническая терапия стероидами, атипичными нейролептиками, некоторыми таргетными противоопухолевыми препаратами, иНГЛТ-2 и др.;</w:t>
      </w:r>
    </w:p>
    <w:p w:rsidR="00D27BC6" w:rsidRDefault="004D5071">
      <w:pPr>
        <w:numPr>
          <w:ilvl w:val="0"/>
          <w:numId w:val="43"/>
        </w:numPr>
        <w:ind w:right="0" w:hanging="283"/>
      </w:pPr>
      <w:r>
        <w:t>беременность;</w:t>
      </w:r>
    </w:p>
    <w:p w:rsidR="00D27BC6" w:rsidRDefault="004D5071">
      <w:pPr>
        <w:numPr>
          <w:ilvl w:val="0"/>
          <w:numId w:val="43"/>
        </w:numPr>
        <w:ind w:right="0" w:hanging="283"/>
      </w:pPr>
      <w:r>
        <w:t>употребление кокаина, каннабиса (марихуаны).</w:t>
      </w:r>
    </w:p>
    <w:p w:rsidR="00D27BC6" w:rsidRDefault="004D5071">
      <w:pPr>
        <w:ind w:left="281" w:right="51"/>
        <w:jc w:val="left"/>
      </w:pPr>
      <w:r>
        <w:rPr>
          <w:b/>
        </w:rPr>
        <w:t>Клиническая картина</w:t>
      </w:r>
    </w:p>
    <w:p w:rsidR="00D27BC6" w:rsidRDefault="004D5071">
      <w:pPr>
        <w:ind w:left="-11" w:right="0" w:firstLine="283"/>
      </w:pPr>
      <w:r>
        <w:t>Полиурия, жажда, признаки дегидратации и гиповоле</w:t>
      </w:r>
      <w:r>
        <w:t>мии (снижение АД, возможна олиго- и анурия), слабость, отсутствие аппетита, тошнота, рвота, запах ацетона в выдыхаемом воздухе, головная боль, одышка, в терминальном состоянии дыхание Куссмауля, нарушения сознания – от сонливости, заторможенности до комы.</w:t>
      </w:r>
    </w:p>
    <w:p w:rsidR="00D27BC6" w:rsidRDefault="004D5071">
      <w:pPr>
        <w:spacing w:after="230"/>
        <w:ind w:left="-11" w:right="0" w:firstLine="283"/>
      </w:pPr>
      <w:r>
        <w:t>Часто – абдоминальный синдром (ложный «острый живот», диабетический псевдоперитонит) – боли в животе, рвота, напряжение и болезненность брюшной стенки, парез перистальтики или диарея.</w:t>
      </w:r>
    </w:p>
    <w:p w:rsidR="00D27BC6" w:rsidRDefault="004D5071">
      <w:pPr>
        <w:pStyle w:val="Heading2"/>
        <w:ind w:left="-3"/>
      </w:pPr>
      <w:r>
        <w:t>Лабораторные изменения: диагностика и дифференциальная диагностика</w:t>
      </w:r>
    </w:p>
    <w:tbl>
      <w:tblPr>
        <w:tblStyle w:val="TableGrid"/>
        <w:tblW w:w="10191" w:type="dxa"/>
        <w:tblInd w:w="9" w:type="dxa"/>
        <w:tblCellMar>
          <w:top w:w="9" w:type="dxa"/>
          <w:left w:w="57" w:type="dxa"/>
          <w:bottom w:w="0" w:type="dxa"/>
          <w:right w:w="115" w:type="dxa"/>
        </w:tblCellMar>
        <w:tblLook w:val="04A0" w:firstRow="1" w:lastRow="0" w:firstColumn="1" w:lastColumn="0" w:noHBand="0" w:noVBand="1"/>
      </w:tblPr>
      <w:tblGrid>
        <w:gridCol w:w="2676"/>
        <w:gridCol w:w="7514"/>
      </w:tblGrid>
      <w:tr w:rsidR="00D27BC6">
        <w:trPr>
          <w:trHeight w:val="560"/>
        </w:trPr>
        <w:tc>
          <w:tcPr>
            <w:tcW w:w="2676"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Общий</w:t>
            </w:r>
            <w:r>
              <w:rPr>
                <w:b/>
              </w:rPr>
              <w:t xml:space="preserve"> клинический анализ крови</w:t>
            </w:r>
          </w:p>
        </w:tc>
        <w:tc>
          <w:tcPr>
            <w:tcW w:w="751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Лейкоцитоз: &lt; 15000 – стрессовый, &gt; 25000 – инфекция</w:t>
            </w:r>
          </w:p>
        </w:tc>
      </w:tr>
      <w:tr w:rsidR="00D27BC6">
        <w:trPr>
          <w:trHeight w:val="320"/>
        </w:trPr>
        <w:tc>
          <w:tcPr>
            <w:tcW w:w="2676"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Общий анализ мочи</w:t>
            </w:r>
          </w:p>
        </w:tc>
        <w:tc>
          <w:tcPr>
            <w:tcW w:w="751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Глюкозурия, кетонурия, протеинурия (непостоянно)</w:t>
            </w:r>
          </w:p>
        </w:tc>
      </w:tr>
      <w:tr w:rsidR="00D27BC6">
        <w:trPr>
          <w:trHeight w:val="1987"/>
        </w:trPr>
        <w:tc>
          <w:tcPr>
            <w:tcW w:w="2676"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Биохимический анализ крови</w:t>
            </w:r>
          </w:p>
        </w:tc>
        <w:tc>
          <w:tcPr>
            <w:tcW w:w="7514"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61"/>
              </w:numPr>
              <w:spacing w:after="33" w:line="259" w:lineRule="auto"/>
              <w:ind w:right="0" w:hanging="170"/>
              <w:jc w:val="left"/>
            </w:pPr>
            <w:r>
              <w:t>Гипергликемия, гиперкетонемия</w:t>
            </w:r>
          </w:p>
          <w:p w:rsidR="00D27BC6" w:rsidRDefault="004D5071">
            <w:pPr>
              <w:numPr>
                <w:ilvl w:val="0"/>
                <w:numId w:val="261"/>
              </w:numPr>
              <w:spacing w:after="0" w:line="259" w:lineRule="auto"/>
              <w:ind w:right="0" w:hanging="170"/>
              <w:jc w:val="left"/>
            </w:pPr>
            <w:r>
              <w:t xml:space="preserve">Повышение креатинина (непостоянно; чаще указывает на транзиторную </w:t>
            </w:r>
          </w:p>
          <w:p w:rsidR="00D27BC6" w:rsidRDefault="004D5071">
            <w:pPr>
              <w:spacing w:after="33" w:line="259" w:lineRule="auto"/>
              <w:ind w:left="170" w:right="0" w:firstLine="0"/>
              <w:jc w:val="left"/>
            </w:pPr>
            <w:r>
              <w:t>«преренальную» почечную недостаточность, вызванную гиповолемией)</w:t>
            </w:r>
          </w:p>
          <w:p w:rsidR="00D27BC6" w:rsidRDefault="004D5071">
            <w:pPr>
              <w:numPr>
                <w:ilvl w:val="0"/>
                <w:numId w:val="261"/>
              </w:numPr>
              <w:spacing w:after="20" w:line="259" w:lineRule="auto"/>
              <w:ind w:right="0" w:hanging="170"/>
              <w:jc w:val="left"/>
            </w:pPr>
            <w:r>
              <w:t xml:space="preserve">Транзиторное повышение трансаминаз и креатинфосфокиназы (протеолиз) </w:t>
            </w:r>
          </w:p>
          <w:p w:rsidR="00D27BC6" w:rsidRDefault="004D5071">
            <w:pPr>
              <w:numPr>
                <w:ilvl w:val="0"/>
                <w:numId w:val="261"/>
              </w:numPr>
              <w:spacing w:after="35" w:line="259" w:lineRule="auto"/>
              <w:ind w:right="0" w:hanging="170"/>
              <w:jc w:val="left"/>
            </w:pPr>
            <w:r>
              <w:t>Уровень Na</w:t>
            </w:r>
            <w:r>
              <w:rPr>
                <w:sz w:val="18"/>
                <w:vertAlign w:val="superscript"/>
              </w:rPr>
              <w:t>+</w:t>
            </w:r>
            <w:r>
              <w:t xml:space="preserve"> чаще нормальный, реже снижен или повышен</w:t>
            </w:r>
          </w:p>
          <w:p w:rsidR="00D27BC6" w:rsidRDefault="004D5071">
            <w:pPr>
              <w:numPr>
                <w:ilvl w:val="0"/>
                <w:numId w:val="261"/>
              </w:numPr>
              <w:spacing w:after="0" w:line="259" w:lineRule="auto"/>
              <w:ind w:right="0" w:hanging="170"/>
              <w:jc w:val="left"/>
            </w:pPr>
            <w:r>
              <w:t>Ур</w:t>
            </w:r>
            <w:r>
              <w:t>овень К</w:t>
            </w:r>
            <w:r>
              <w:rPr>
                <w:sz w:val="18"/>
                <w:vertAlign w:val="superscript"/>
              </w:rPr>
              <w:t>+</w:t>
            </w:r>
            <w:r>
              <w:t xml:space="preserve"> чаще нормальный, реже снижен, при ХБП C3-5 и «преренальной» (гиповолемической) почечной недостаточности может быть повышен</w:t>
            </w:r>
          </w:p>
        </w:tc>
      </w:tr>
      <w:tr w:rsidR="00D27BC6">
        <w:trPr>
          <w:trHeight w:val="320"/>
        </w:trPr>
        <w:tc>
          <w:tcPr>
            <w:tcW w:w="2676"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КЩС</w:t>
            </w:r>
          </w:p>
        </w:tc>
        <w:tc>
          <w:tcPr>
            <w:tcW w:w="751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Декомпенсированный метаболический ацидоз</w:t>
            </w:r>
          </w:p>
        </w:tc>
      </w:tr>
    </w:tbl>
    <w:p w:rsidR="00D27BC6" w:rsidRDefault="004D5071">
      <w:pPr>
        <w:pStyle w:val="Heading2"/>
        <w:ind w:left="-3"/>
      </w:pPr>
      <w:r>
        <w:t>Классификация ДКА по степени тяжести</w:t>
      </w:r>
    </w:p>
    <w:tbl>
      <w:tblPr>
        <w:tblStyle w:val="TableGrid"/>
        <w:tblW w:w="10195" w:type="dxa"/>
        <w:tblInd w:w="9" w:type="dxa"/>
        <w:tblCellMar>
          <w:top w:w="0" w:type="dxa"/>
          <w:left w:w="0" w:type="dxa"/>
          <w:bottom w:w="0" w:type="dxa"/>
          <w:right w:w="72" w:type="dxa"/>
        </w:tblCellMar>
        <w:tblLook w:val="04A0" w:firstRow="1" w:lastRow="0" w:firstColumn="1" w:lastColumn="0" w:noHBand="0" w:noVBand="1"/>
      </w:tblPr>
      <w:tblGrid>
        <w:gridCol w:w="5"/>
        <w:gridCol w:w="400"/>
        <w:gridCol w:w="2425"/>
        <w:gridCol w:w="2455"/>
        <w:gridCol w:w="2455"/>
        <w:gridCol w:w="2455"/>
        <w:gridCol w:w="5"/>
      </w:tblGrid>
      <w:tr w:rsidR="00D27BC6">
        <w:trPr>
          <w:gridAfter w:val="1"/>
          <w:trHeight w:val="320"/>
        </w:trPr>
        <w:tc>
          <w:tcPr>
            <w:tcW w:w="2830" w:type="dxa"/>
            <w:gridSpan w:val="3"/>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58" w:right="0" w:firstLine="0"/>
              <w:jc w:val="center"/>
            </w:pPr>
            <w:r>
              <w:rPr>
                <w:b/>
              </w:rPr>
              <w:t>Показатели</w:t>
            </w:r>
          </w:p>
        </w:tc>
        <w:tc>
          <w:tcPr>
            <w:tcW w:w="2455" w:type="dxa"/>
            <w:tcBorders>
              <w:top w:val="single" w:sz="6" w:space="0" w:color="000000"/>
              <w:left w:val="single" w:sz="6" w:space="0" w:color="000000"/>
              <w:bottom w:val="single" w:sz="6" w:space="0" w:color="000000"/>
              <w:right w:val="nil"/>
            </w:tcBorders>
            <w:shd w:val="clear" w:color="auto" w:fill="DADAD9"/>
          </w:tcPr>
          <w:p w:rsidR="00D27BC6" w:rsidRDefault="00D27BC6">
            <w:pPr>
              <w:spacing w:after="160" w:line="259" w:lineRule="auto"/>
              <w:ind w:left="0" w:right="0" w:firstLine="0"/>
              <w:jc w:val="left"/>
            </w:pPr>
          </w:p>
        </w:tc>
        <w:tc>
          <w:tcPr>
            <w:tcW w:w="2455" w:type="dxa"/>
            <w:tcBorders>
              <w:top w:val="single" w:sz="6" w:space="0" w:color="000000"/>
              <w:left w:val="nil"/>
              <w:bottom w:val="single" w:sz="6" w:space="0" w:color="000000"/>
              <w:right w:val="nil"/>
            </w:tcBorders>
            <w:shd w:val="clear" w:color="auto" w:fill="DADAD9"/>
          </w:tcPr>
          <w:p w:rsidR="00D27BC6" w:rsidRDefault="004D5071">
            <w:pPr>
              <w:spacing w:after="0" w:line="259" w:lineRule="auto"/>
              <w:ind w:left="58" w:right="0" w:firstLine="0"/>
              <w:jc w:val="center"/>
            </w:pPr>
            <w:r>
              <w:rPr>
                <w:b/>
              </w:rPr>
              <w:t>Степень тяжести ДКА</w:t>
            </w:r>
          </w:p>
        </w:tc>
        <w:tc>
          <w:tcPr>
            <w:tcW w:w="2455" w:type="dxa"/>
            <w:tcBorders>
              <w:top w:val="single" w:sz="6" w:space="0" w:color="000000"/>
              <w:left w:val="nil"/>
              <w:bottom w:val="single" w:sz="6" w:space="0" w:color="000000"/>
              <w:right w:val="single" w:sz="6" w:space="0" w:color="000000"/>
            </w:tcBorders>
            <w:shd w:val="clear" w:color="auto" w:fill="DADAD9"/>
          </w:tcPr>
          <w:p w:rsidR="00D27BC6" w:rsidRDefault="00D27BC6">
            <w:pPr>
              <w:spacing w:after="160" w:line="259" w:lineRule="auto"/>
              <w:ind w:left="0" w:right="0" w:firstLine="0"/>
              <w:jc w:val="left"/>
            </w:pPr>
          </w:p>
        </w:tc>
      </w:tr>
      <w:tr w:rsidR="00D27BC6">
        <w:trPr>
          <w:gridAfter w:val="1"/>
          <w:trHeight w:val="320"/>
        </w:trPr>
        <w:tc>
          <w:tcPr>
            <w:tcW w:w="0" w:type="auto"/>
            <w:gridSpan w:val="3"/>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45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легкая</w:t>
            </w:r>
          </w:p>
        </w:tc>
        <w:tc>
          <w:tcPr>
            <w:tcW w:w="245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умеренная</w:t>
            </w:r>
          </w:p>
        </w:tc>
        <w:tc>
          <w:tcPr>
            <w:tcW w:w="245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тяжелая</w:t>
            </w:r>
          </w:p>
        </w:tc>
      </w:tr>
      <w:tr w:rsidR="00D27BC6">
        <w:trPr>
          <w:gridAfter w:val="1"/>
          <w:trHeight w:val="320"/>
        </w:trPr>
        <w:tc>
          <w:tcPr>
            <w:tcW w:w="2830"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Глюкоза плазмы, ммоль/л</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 xml:space="preserve">&gt;11,1 </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&gt;11,1</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&gt;11,1</w:t>
            </w:r>
          </w:p>
        </w:tc>
      </w:tr>
      <w:tr w:rsidR="00D27BC6">
        <w:trPr>
          <w:gridAfter w:val="1"/>
          <w:trHeight w:val="560"/>
        </w:trPr>
        <w:tc>
          <w:tcPr>
            <w:tcW w:w="2830"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Калий плазмы до начала лечения, ммоль/л</w:t>
            </w:r>
          </w:p>
        </w:tc>
        <w:tc>
          <w:tcPr>
            <w:tcW w:w="245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&gt;3.5</w:t>
            </w:r>
          </w:p>
        </w:tc>
        <w:tc>
          <w:tcPr>
            <w:tcW w:w="245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&gt;3.5</w:t>
            </w:r>
          </w:p>
        </w:tc>
        <w:tc>
          <w:tcPr>
            <w:tcW w:w="245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&lt;3.5</w:t>
            </w:r>
          </w:p>
        </w:tc>
      </w:tr>
      <w:tr w:rsidR="00D27BC6">
        <w:trPr>
          <w:gridAfter w:val="1"/>
          <w:trHeight w:val="320"/>
        </w:trPr>
        <w:tc>
          <w:tcPr>
            <w:tcW w:w="2830"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рН артериальной крови</w:t>
            </w:r>
            <w:r>
              <w:rPr>
                <w:sz w:val="18"/>
                <w:vertAlign w:val="superscript"/>
              </w:rPr>
              <w:footnoteReference w:id="11"/>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7.25–7.3</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7.0–7.24</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&lt;7.0</w:t>
            </w:r>
          </w:p>
        </w:tc>
      </w:tr>
      <w:tr w:rsidR="00D27BC6">
        <w:trPr>
          <w:gridAfter w:val="1"/>
          <w:trHeight w:val="320"/>
        </w:trPr>
        <w:tc>
          <w:tcPr>
            <w:tcW w:w="2830"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Бикарбонат плазмы, ммоль/л</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15–18</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10–&lt;15</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&lt;10</w:t>
            </w:r>
          </w:p>
        </w:tc>
      </w:tr>
      <w:tr w:rsidR="00D27BC6">
        <w:trPr>
          <w:gridAfter w:val="1"/>
          <w:trHeight w:val="320"/>
        </w:trPr>
        <w:tc>
          <w:tcPr>
            <w:tcW w:w="2830"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Кетоновые тела в моче</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60" w:right="0" w:firstLine="0"/>
              <w:jc w:val="center"/>
            </w:pPr>
            <w:r>
              <w:t>++</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60" w:right="0" w:firstLine="0"/>
              <w:jc w:val="center"/>
            </w:pPr>
            <w:r>
              <w:t>+++</w:t>
            </w:r>
          </w:p>
        </w:tc>
      </w:tr>
      <w:tr w:rsidR="00D27BC6">
        <w:trPr>
          <w:gridAfter w:val="1"/>
          <w:trHeight w:val="800"/>
        </w:trPr>
        <w:tc>
          <w:tcPr>
            <w:tcW w:w="2830" w:type="dxa"/>
            <w:gridSpan w:val="3"/>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Кетоновые тела сыворотки</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60" w:right="0" w:firstLine="0"/>
              <w:jc w:val="center"/>
            </w:pPr>
            <w:r>
              <w:rPr>
                <w:rFonts w:ascii="Times New Roman" w:eastAsia="Times New Roman" w:hAnsi="Times New Roman" w:cs="Times New Roman"/>
              </w:rPr>
              <w:t>↑↑</w:t>
            </w:r>
          </w:p>
          <w:p w:rsidR="00D27BC6" w:rsidRDefault="004D5071">
            <w:pPr>
              <w:spacing w:after="0" w:line="259" w:lineRule="auto"/>
              <w:ind w:left="60" w:right="0" w:firstLine="0"/>
              <w:jc w:val="center"/>
            </w:pPr>
            <w:r>
              <w:t xml:space="preserve">β-гидроксибутират </w:t>
            </w:r>
          </w:p>
          <w:p w:rsidR="00D27BC6" w:rsidRDefault="004D5071">
            <w:pPr>
              <w:spacing w:after="0" w:line="259" w:lineRule="auto"/>
              <w:ind w:left="60" w:right="0" w:firstLine="0"/>
              <w:jc w:val="center"/>
            </w:pPr>
            <w:r>
              <w:t>3.0–6.0 ммоль/л</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60" w:right="0" w:firstLine="0"/>
              <w:jc w:val="center"/>
            </w:pPr>
            <w:r>
              <w:rPr>
                <w:rFonts w:ascii="Times New Roman" w:eastAsia="Times New Roman" w:hAnsi="Times New Roman" w:cs="Times New Roman"/>
              </w:rPr>
              <w:t>↑↑</w:t>
            </w:r>
          </w:p>
          <w:p w:rsidR="00D27BC6" w:rsidRDefault="004D5071">
            <w:pPr>
              <w:spacing w:after="0" w:line="259" w:lineRule="auto"/>
              <w:ind w:left="60" w:right="0" w:firstLine="0"/>
              <w:jc w:val="center"/>
            </w:pPr>
            <w:r>
              <w:t xml:space="preserve">β-гидроксибутират </w:t>
            </w:r>
          </w:p>
          <w:p w:rsidR="00D27BC6" w:rsidRDefault="004D5071">
            <w:pPr>
              <w:spacing w:after="0" w:line="259" w:lineRule="auto"/>
              <w:ind w:left="60" w:right="0" w:firstLine="0"/>
              <w:jc w:val="center"/>
            </w:pPr>
            <w:r>
              <w:t>3.0–6.0 ммоль/л</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36" w:lineRule="auto"/>
              <w:ind w:left="186" w:right="126" w:firstLine="0"/>
              <w:jc w:val="center"/>
            </w:pPr>
            <w:r>
              <w:rPr>
                <w:rFonts w:ascii="Times New Roman" w:eastAsia="Times New Roman" w:hAnsi="Times New Roman" w:cs="Times New Roman"/>
              </w:rPr>
              <w:t xml:space="preserve">↑↑↑ </w:t>
            </w:r>
            <w:r>
              <w:t xml:space="preserve">β-гидроксибутират </w:t>
            </w:r>
          </w:p>
          <w:p w:rsidR="00D27BC6" w:rsidRDefault="004D5071">
            <w:pPr>
              <w:spacing w:after="0" w:line="259" w:lineRule="auto"/>
              <w:ind w:left="60" w:right="0" w:firstLine="0"/>
              <w:jc w:val="center"/>
            </w:pPr>
            <w:r>
              <w:t>&gt;6.0 ммоль/л</w:t>
            </w:r>
          </w:p>
        </w:tc>
      </w:tr>
      <w:tr w:rsidR="00D27BC6">
        <w:trPr>
          <w:gridAfter w:val="1"/>
          <w:trHeight w:val="560"/>
        </w:trPr>
        <w:tc>
          <w:tcPr>
            <w:tcW w:w="2830"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Эффективная осмолярность плазмы</w:t>
            </w:r>
            <w:r>
              <w:rPr>
                <w:sz w:val="18"/>
                <w:vertAlign w:val="superscript"/>
              </w:rPr>
              <w:footnoteReference w:id="12"/>
            </w:r>
          </w:p>
        </w:tc>
        <w:tc>
          <w:tcPr>
            <w:tcW w:w="245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8" w:right="0" w:firstLine="0"/>
              <w:jc w:val="center"/>
            </w:pPr>
            <w:r>
              <w:t>Вариабельна</w:t>
            </w:r>
          </w:p>
        </w:tc>
        <w:tc>
          <w:tcPr>
            <w:tcW w:w="245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Вариабельна</w:t>
            </w:r>
          </w:p>
        </w:tc>
        <w:tc>
          <w:tcPr>
            <w:tcW w:w="245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Вариабельна</w:t>
            </w:r>
          </w:p>
        </w:tc>
      </w:tr>
      <w:tr w:rsidR="00D27BC6">
        <w:trPr>
          <w:gridAfter w:val="1"/>
          <w:trHeight w:val="320"/>
        </w:trPr>
        <w:tc>
          <w:tcPr>
            <w:tcW w:w="2830"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Анионная разница, ммоль/л</w:t>
            </w:r>
            <w:r>
              <w:rPr>
                <w:sz w:val="18"/>
                <w:vertAlign w:val="superscript"/>
              </w:rPr>
              <w:footnoteReference w:id="13"/>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10–12</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 xml:space="preserve">&gt;12 </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&gt;12</w:t>
            </w:r>
          </w:p>
        </w:tc>
      </w:tr>
      <w:tr w:rsidR="00D27BC6">
        <w:trPr>
          <w:gridAfter w:val="1"/>
          <w:trHeight w:val="320"/>
        </w:trPr>
        <w:tc>
          <w:tcPr>
            <w:tcW w:w="2830"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САД, мм рт.ст.</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&gt;90</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&gt;90</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&lt;90</w:t>
            </w:r>
          </w:p>
        </w:tc>
      </w:tr>
      <w:tr w:rsidR="00D27BC6">
        <w:trPr>
          <w:gridAfter w:val="1"/>
          <w:trHeight w:val="320"/>
        </w:trPr>
        <w:tc>
          <w:tcPr>
            <w:tcW w:w="2830"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ЧСС</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60–100</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60–100</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&lt;60 или &gt;100</w:t>
            </w:r>
          </w:p>
        </w:tc>
      </w:tr>
      <w:tr w:rsidR="00D27BC6">
        <w:trPr>
          <w:gridAfter w:val="1"/>
          <w:trHeight w:val="320"/>
        </w:trPr>
        <w:tc>
          <w:tcPr>
            <w:tcW w:w="2830"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Нарушение сознания</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 xml:space="preserve">Нет </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Нет или сонливость</w:t>
            </w:r>
          </w:p>
        </w:tc>
        <w:tc>
          <w:tcPr>
            <w:tcW w:w="245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60" w:right="0" w:firstLine="0"/>
              <w:jc w:val="center"/>
            </w:pPr>
            <w:r>
              <w:t>Сопор или кома</w:t>
            </w:r>
          </w:p>
        </w:tc>
      </w:tr>
      <w:tr w:rsidR="00D27BC6">
        <w:trPr>
          <w:gridBefore w:val="1"/>
          <w:trHeight w:val="326"/>
        </w:trPr>
        <w:tc>
          <w:tcPr>
            <w:tcW w:w="400" w:type="dxa"/>
            <w:tcBorders>
              <w:top w:val="single" w:sz="8" w:space="0" w:color="000000"/>
              <w:left w:val="single" w:sz="8" w:space="0" w:color="000000"/>
              <w:bottom w:val="nil"/>
              <w:right w:val="nil"/>
            </w:tcBorders>
          </w:tcPr>
          <w:p w:rsidR="00D27BC6" w:rsidRDefault="00D27BC6">
            <w:pPr>
              <w:spacing w:after="160" w:line="259" w:lineRule="auto"/>
              <w:ind w:left="0" w:right="0" w:firstLine="0"/>
              <w:jc w:val="left"/>
            </w:pPr>
          </w:p>
        </w:tc>
        <w:tc>
          <w:tcPr>
            <w:tcW w:w="9795" w:type="dxa"/>
            <w:gridSpan w:val="5"/>
            <w:tcBorders>
              <w:top w:val="single" w:sz="8" w:space="0" w:color="000000"/>
              <w:left w:val="nil"/>
              <w:bottom w:val="nil"/>
              <w:right w:val="single" w:sz="8" w:space="0" w:color="000000"/>
            </w:tcBorders>
          </w:tcPr>
          <w:p w:rsidR="00D27BC6" w:rsidRDefault="004D5071">
            <w:pPr>
              <w:spacing w:after="0" w:line="259" w:lineRule="auto"/>
              <w:ind w:left="0" w:right="0" w:firstLine="0"/>
              <w:jc w:val="left"/>
            </w:pPr>
            <w:r>
              <w:rPr>
                <w:b/>
              </w:rPr>
              <w:t>Основные компоненты:</w:t>
            </w:r>
          </w:p>
        </w:tc>
      </w:tr>
      <w:tr w:rsidR="00D27BC6">
        <w:trPr>
          <w:gridBefore w:val="1"/>
          <w:trHeight w:val="268"/>
        </w:trPr>
        <w:tc>
          <w:tcPr>
            <w:tcW w:w="400"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95" w:type="dxa"/>
            <w:gridSpan w:val="5"/>
            <w:tcBorders>
              <w:top w:val="nil"/>
              <w:left w:val="nil"/>
              <w:bottom w:val="nil"/>
              <w:right w:val="single" w:sz="8" w:space="0" w:color="000000"/>
            </w:tcBorders>
          </w:tcPr>
          <w:p w:rsidR="00D27BC6" w:rsidRDefault="004D5071">
            <w:pPr>
              <w:spacing w:after="0" w:line="259" w:lineRule="auto"/>
              <w:ind w:left="0" w:right="0" w:firstLine="0"/>
              <w:jc w:val="left"/>
            </w:pPr>
            <w:r>
              <w:t>устранение инсулиновой недостаточности;</w:t>
            </w:r>
          </w:p>
        </w:tc>
      </w:tr>
      <w:tr w:rsidR="00D27BC6">
        <w:trPr>
          <w:gridBefore w:val="1"/>
          <w:trHeight w:val="297"/>
        </w:trPr>
        <w:tc>
          <w:tcPr>
            <w:tcW w:w="400"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95" w:type="dxa"/>
            <w:gridSpan w:val="5"/>
            <w:tcBorders>
              <w:top w:val="nil"/>
              <w:left w:val="nil"/>
              <w:bottom w:val="nil"/>
              <w:right w:val="single" w:sz="8" w:space="0" w:color="000000"/>
            </w:tcBorders>
          </w:tcPr>
          <w:p w:rsidR="00D27BC6" w:rsidRDefault="004D5071">
            <w:pPr>
              <w:spacing w:after="0" w:line="259" w:lineRule="auto"/>
              <w:ind w:left="0" w:right="0" w:firstLine="0"/>
              <w:jc w:val="left"/>
            </w:pPr>
            <w:r>
              <w:t>борьба с дегидратацией и гиповолемией;</w:t>
            </w:r>
          </w:p>
        </w:tc>
      </w:tr>
      <w:tr w:rsidR="00D27BC6">
        <w:trPr>
          <w:gridBefore w:val="1"/>
          <w:trHeight w:val="297"/>
        </w:trPr>
        <w:tc>
          <w:tcPr>
            <w:tcW w:w="400"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95" w:type="dxa"/>
            <w:gridSpan w:val="5"/>
            <w:tcBorders>
              <w:top w:val="nil"/>
              <w:left w:val="nil"/>
              <w:bottom w:val="nil"/>
              <w:right w:val="single" w:sz="8" w:space="0" w:color="000000"/>
            </w:tcBorders>
          </w:tcPr>
          <w:p w:rsidR="00D27BC6" w:rsidRDefault="004D5071">
            <w:pPr>
              <w:spacing w:after="0" w:line="259" w:lineRule="auto"/>
              <w:ind w:left="0" w:right="0" w:firstLine="0"/>
              <w:jc w:val="left"/>
            </w:pPr>
            <w:r>
              <w:t>восстановление электролитного баланса и КЩС;</w:t>
            </w:r>
          </w:p>
        </w:tc>
      </w:tr>
      <w:tr w:rsidR="00D27BC6">
        <w:trPr>
          <w:gridBefore w:val="1"/>
          <w:trHeight w:val="791"/>
        </w:trPr>
        <w:tc>
          <w:tcPr>
            <w:tcW w:w="400" w:type="dxa"/>
            <w:tcBorders>
              <w:top w:val="nil"/>
              <w:left w:val="single" w:sz="8" w:space="0" w:color="000000"/>
              <w:bottom w:val="single" w:sz="8" w:space="0" w:color="000000"/>
              <w:right w:val="nil"/>
            </w:tcBorders>
          </w:tcPr>
          <w:p w:rsidR="00D27BC6" w:rsidRDefault="004D5071">
            <w:pPr>
              <w:spacing w:after="0" w:line="259" w:lineRule="auto"/>
              <w:ind w:left="113" w:right="0" w:firstLine="0"/>
              <w:jc w:val="left"/>
            </w:pPr>
            <w:r>
              <w:t xml:space="preserve">• </w:t>
            </w:r>
          </w:p>
        </w:tc>
        <w:tc>
          <w:tcPr>
            <w:tcW w:w="9795" w:type="dxa"/>
            <w:gridSpan w:val="5"/>
            <w:tcBorders>
              <w:top w:val="nil"/>
              <w:left w:val="nil"/>
              <w:bottom w:val="single" w:sz="8" w:space="0" w:color="000000"/>
              <w:right w:val="single" w:sz="8" w:space="0" w:color="000000"/>
            </w:tcBorders>
          </w:tcPr>
          <w:p w:rsidR="00D27BC6" w:rsidRDefault="004D5071">
            <w:pPr>
              <w:spacing w:after="0" w:line="259" w:lineRule="auto"/>
              <w:ind w:left="0" w:right="0" w:firstLine="0"/>
            </w:pPr>
            <w:r>
              <w:t>выявление и лечение сопутствующих заболеваний и состояний (спровоцировавших ДКА или развившихся как его осложнение).</w:t>
            </w:r>
          </w:p>
        </w:tc>
      </w:tr>
    </w:tbl>
    <w:p w:rsidR="00D27BC6" w:rsidRDefault="004D5071">
      <w:pPr>
        <w:spacing w:after="0" w:line="259" w:lineRule="auto"/>
        <w:ind w:left="280" w:right="0"/>
        <w:jc w:val="left"/>
      </w:pPr>
      <w:r>
        <w:rPr>
          <w:b/>
          <w:u w:val="single" w:color="000000"/>
        </w:rPr>
        <w:t>На догоспитальном этапе или в приемном отделении:</w:t>
      </w:r>
    </w:p>
    <w:p w:rsidR="00D27BC6" w:rsidRDefault="004D5071">
      <w:pPr>
        <w:numPr>
          <w:ilvl w:val="0"/>
          <w:numId w:val="44"/>
        </w:numPr>
        <w:ind w:right="0" w:hanging="283"/>
      </w:pPr>
      <w:r>
        <w:t>Экспресс-анализ гликемии и анализ любой порции мочи на кетоновые тела;</w:t>
      </w:r>
    </w:p>
    <w:p w:rsidR="00D27BC6" w:rsidRDefault="004D5071">
      <w:pPr>
        <w:numPr>
          <w:ilvl w:val="0"/>
          <w:numId w:val="44"/>
        </w:numPr>
        <w:spacing w:after="226"/>
        <w:ind w:right="0" w:hanging="283"/>
      </w:pPr>
      <w:r>
        <w:t>0,9% раствор NaCl в/в капельно со скоростью 1 л/ч.</w:t>
      </w:r>
    </w:p>
    <w:p w:rsidR="00D27BC6" w:rsidRDefault="004D5071">
      <w:pPr>
        <w:spacing w:after="0" w:line="259" w:lineRule="auto"/>
        <w:ind w:left="280" w:right="0"/>
        <w:jc w:val="left"/>
      </w:pPr>
      <w:r>
        <w:rPr>
          <w:b/>
          <w:u w:val="single" w:color="000000"/>
        </w:rPr>
        <w:t>В реанимационном отделении или отделении интенсивной терапии</w:t>
      </w:r>
    </w:p>
    <w:p w:rsidR="00D27BC6" w:rsidRDefault="004D5071">
      <w:pPr>
        <w:spacing w:after="226"/>
        <w:ind w:left="295" w:right="0"/>
      </w:pPr>
      <w:r>
        <w:t>(лечение ДКА легкой степени проводится в эндокринологическом / терапевтич</w:t>
      </w:r>
      <w:r>
        <w:t>еском отделении):</w:t>
      </w:r>
    </w:p>
    <w:p w:rsidR="00D27BC6" w:rsidRDefault="004D5071">
      <w:pPr>
        <w:ind w:left="281" w:right="51"/>
        <w:jc w:val="left"/>
      </w:pPr>
      <w:r>
        <w:rPr>
          <w:b/>
        </w:rPr>
        <w:t>Лабораторный мониторинг:</w:t>
      </w:r>
    </w:p>
    <w:p w:rsidR="00D27BC6" w:rsidRDefault="004D5071">
      <w:pPr>
        <w:numPr>
          <w:ilvl w:val="0"/>
          <w:numId w:val="45"/>
        </w:numPr>
        <w:ind w:right="0" w:hanging="283"/>
      </w:pPr>
      <w:r>
        <w:t>Экспресс-анализ гликемии – ежечасно до снижения уровня глюкозы плазмы (ГП) до 13 ммоль/л, затем, при условии стабильности, 1 раз в 3 часа.</w:t>
      </w:r>
    </w:p>
    <w:p w:rsidR="00D27BC6" w:rsidRDefault="004D5071">
      <w:pPr>
        <w:numPr>
          <w:ilvl w:val="0"/>
          <w:numId w:val="45"/>
        </w:numPr>
        <w:ind w:right="0" w:hanging="283"/>
      </w:pPr>
      <w:r>
        <w:t>Анализ мочи или плазмы на кетоновые тела – 2 раза в сутки в первые 2 суток</w:t>
      </w:r>
      <w:r>
        <w:t>, затем 1 раз в сутки.</w:t>
      </w:r>
    </w:p>
    <w:p w:rsidR="00D27BC6" w:rsidRDefault="004D5071">
      <w:pPr>
        <w:numPr>
          <w:ilvl w:val="0"/>
          <w:numId w:val="45"/>
        </w:numPr>
        <w:ind w:right="0" w:hanging="283"/>
      </w:pPr>
      <w:r>
        <w:t>Общий анализ крови и мочи: исходно, затем 1 раз в 2 суток.</w:t>
      </w:r>
    </w:p>
    <w:p w:rsidR="00D27BC6" w:rsidRDefault="004D5071">
      <w:pPr>
        <w:numPr>
          <w:ilvl w:val="0"/>
          <w:numId w:val="45"/>
        </w:numPr>
        <w:ind w:right="0" w:hanging="283"/>
      </w:pPr>
      <w:r>
        <w:t>Na+: минимум 2 раза в сутки до разрешения ДКА, оптимально – каждые 2 часа в первые 6 часов.</w:t>
      </w:r>
    </w:p>
    <w:p w:rsidR="00D27BC6" w:rsidRDefault="004D5071">
      <w:pPr>
        <w:numPr>
          <w:ilvl w:val="0"/>
          <w:numId w:val="45"/>
        </w:numPr>
        <w:ind w:right="0" w:hanging="283"/>
      </w:pPr>
      <w:r>
        <w:t>К+ плазмы: исходно, через 2 часа после начала инсулинотерапии, далее каждые 4 часа до разрешения ДКА.</w:t>
      </w:r>
    </w:p>
    <w:p w:rsidR="00D27BC6" w:rsidRDefault="004D5071">
      <w:pPr>
        <w:numPr>
          <w:ilvl w:val="0"/>
          <w:numId w:val="45"/>
        </w:numPr>
        <w:ind w:right="0" w:hanging="283"/>
      </w:pPr>
      <w:r>
        <w:t>Расчет эффективной осмолярности.</w:t>
      </w:r>
    </w:p>
    <w:p w:rsidR="00D27BC6" w:rsidRDefault="004D5071">
      <w:pPr>
        <w:numPr>
          <w:ilvl w:val="0"/>
          <w:numId w:val="45"/>
        </w:numPr>
        <w:ind w:right="0" w:hanging="283"/>
      </w:pPr>
      <w:r>
        <w:t>Биохимический анализ крови: мочевина, креатинин, хлориды, бикарбонат, желательно лактат – исходно, затем 1 раз в 3 суток,</w:t>
      </w:r>
      <w:r>
        <w:t xml:space="preserve"> при необходимости – чаще.</w:t>
      </w:r>
    </w:p>
    <w:p w:rsidR="00D27BC6" w:rsidRDefault="004D5071">
      <w:pPr>
        <w:numPr>
          <w:ilvl w:val="0"/>
          <w:numId w:val="45"/>
        </w:numPr>
        <w:spacing w:after="226"/>
        <w:ind w:right="0" w:hanging="283"/>
      </w:pPr>
      <w:r>
        <w:t>Газоанализ и рН (можно венозной крови): 1–2 раза в сутки до нормализации КЩС.</w:t>
      </w:r>
    </w:p>
    <w:p w:rsidR="00D27BC6" w:rsidRDefault="004D5071">
      <w:pPr>
        <w:ind w:left="281" w:right="51"/>
        <w:jc w:val="left"/>
      </w:pPr>
      <w:r>
        <w:rPr>
          <w:b/>
        </w:rPr>
        <w:t>Инструментальные исследования и мероприятия:</w:t>
      </w:r>
    </w:p>
    <w:p w:rsidR="00D27BC6" w:rsidRDefault="004D5071">
      <w:pPr>
        <w:numPr>
          <w:ilvl w:val="0"/>
          <w:numId w:val="45"/>
        </w:numPr>
        <w:ind w:right="0" w:hanging="283"/>
      </w:pPr>
      <w:r>
        <w:t>катетеризация центральной вены.</w:t>
      </w:r>
    </w:p>
    <w:p w:rsidR="00D27BC6" w:rsidRDefault="004D5071">
      <w:pPr>
        <w:numPr>
          <w:ilvl w:val="0"/>
          <w:numId w:val="45"/>
        </w:numPr>
        <w:ind w:right="0" w:hanging="283"/>
      </w:pPr>
      <w:r>
        <w:t>почасовой контроль диуреза; контроль центрального венозного давления (ЦВД)</w:t>
      </w:r>
      <w:r>
        <w:t xml:space="preserve"> (или другой метод оценки волемии), АД, пульса и t° тела каждые 2 часа; ЭКГ не реже 1 раза в сутки или ЭКГ-мониторинг; пульсоксиметрия.</w:t>
      </w:r>
    </w:p>
    <w:p w:rsidR="00D27BC6" w:rsidRDefault="004D5071">
      <w:pPr>
        <w:numPr>
          <w:ilvl w:val="0"/>
          <w:numId w:val="45"/>
        </w:numPr>
        <w:spacing w:after="226"/>
        <w:ind w:right="0" w:hanging="283"/>
      </w:pPr>
      <w:r>
        <w:t>поиск возможного очага инфекции по общим стандартам.</w:t>
      </w:r>
    </w:p>
    <w:p w:rsidR="00D27BC6" w:rsidRDefault="004D5071">
      <w:pPr>
        <w:pStyle w:val="Heading3"/>
        <w:spacing w:after="265"/>
        <w:ind w:left="162" w:right="156"/>
      </w:pPr>
      <w:r>
        <w:t>Терапевтические мероприятия</w:t>
      </w:r>
    </w:p>
    <w:p w:rsidR="00D27BC6" w:rsidRDefault="004D5071">
      <w:pPr>
        <w:pBdr>
          <w:top w:val="single" w:sz="8" w:space="0" w:color="000000"/>
          <w:left w:val="single" w:sz="8" w:space="0" w:color="000000"/>
          <w:bottom w:val="single" w:sz="8" w:space="0" w:color="000000"/>
          <w:right w:val="single" w:sz="8" w:space="0" w:color="000000"/>
        </w:pBdr>
        <w:spacing w:after="441" w:line="236" w:lineRule="auto"/>
        <w:ind w:left="120" w:right="104"/>
      </w:pPr>
      <w:r>
        <w:rPr>
          <w:b/>
        </w:rPr>
        <w:t>Инсулинотерапия – режим малых доз (лучш</w:t>
      </w:r>
      <w:r>
        <w:rPr>
          <w:b/>
        </w:rPr>
        <w:t>ее управление гликемией и меньший риск гипогликемии и гипокалиемии, чем в режиме больших доз).</w:t>
      </w:r>
    </w:p>
    <w:p w:rsidR="00D27BC6" w:rsidRDefault="004D5071">
      <w:pPr>
        <w:spacing w:after="0" w:line="259" w:lineRule="auto"/>
        <w:ind w:left="280" w:right="0"/>
        <w:jc w:val="left"/>
      </w:pPr>
      <w:r>
        <w:rPr>
          <w:b/>
          <w:u w:val="single" w:color="000000"/>
        </w:rPr>
        <w:t>Внутривенная (в/в) инсулинотерапия:</w:t>
      </w:r>
    </w:p>
    <w:p w:rsidR="00D27BC6" w:rsidRDefault="004D5071">
      <w:pPr>
        <w:numPr>
          <w:ilvl w:val="0"/>
          <w:numId w:val="46"/>
        </w:numPr>
        <w:spacing w:after="8" w:line="231" w:lineRule="auto"/>
        <w:ind w:right="0" w:hanging="283"/>
        <w:jc w:val="left"/>
      </w:pPr>
      <w:r>
        <w:t>Начальная доза ИКД (ИУКД, ИСБД): 0,1–0,15 ЕД/кг реальной массы тела в/в болюсно. Необходимую дозу набирают в инсулиновый шпри</w:t>
      </w:r>
      <w:r>
        <w:t xml:space="preserve">ц, добирают 0,9% раствором NaCl до 1 мл и вводят </w:t>
      </w:r>
      <w:r>
        <w:rPr>
          <w:u w:val="single" w:color="000000"/>
        </w:rPr>
        <w:t>очень медленно</w:t>
      </w:r>
      <w:r>
        <w:t xml:space="preserve"> (2–3 мин). Если болюсная доза инсулина не вводится, то начальная скорость непрерывной инфузии должна составлять 0,1–0,15 ЕД/кг/ч.</w:t>
      </w:r>
    </w:p>
    <w:p w:rsidR="00D27BC6" w:rsidRDefault="004D5071">
      <w:pPr>
        <w:numPr>
          <w:ilvl w:val="0"/>
          <w:numId w:val="46"/>
        </w:numPr>
        <w:ind w:right="0" w:hanging="283"/>
        <w:jc w:val="left"/>
      </w:pPr>
      <w:r>
        <w:t>В последующие часы: ИКД (ИУКД, ИСБД) по 0,1 ЕД/кг/ч в одном из вариантов:</w:t>
      </w:r>
    </w:p>
    <w:p w:rsidR="00D27BC6" w:rsidRDefault="004D5071">
      <w:pPr>
        <w:numPr>
          <w:ilvl w:val="1"/>
          <w:numId w:val="46"/>
        </w:numPr>
        <w:ind w:left="568" w:right="0" w:hanging="283"/>
      </w:pPr>
      <w:r>
        <w:rPr>
          <w:b/>
          <w:u w:val="single" w:color="000000"/>
        </w:rPr>
        <w:t>Вариант 1 (через инфузомат):</w:t>
      </w:r>
      <w:r>
        <w:t xml:space="preserve"> непрерывная инфузия 0,1 ЕД/кг/ч. Приготовление инфузионной смеси: 50 ЕД ИКД (ИУКД, ИСБД) + 2 мл 20% раствора альбумина или 1 мл крови пациента (для предо</w:t>
      </w:r>
      <w:r>
        <w:t>твращения сорбции инсулина в системе, которая составляет 10–50% дозы); объем доводят до 50 мл 0,9% раствором NaCl.</w:t>
      </w:r>
    </w:p>
    <w:p w:rsidR="00D27BC6" w:rsidRDefault="004D5071">
      <w:pPr>
        <w:numPr>
          <w:ilvl w:val="1"/>
          <w:numId w:val="46"/>
        </w:numPr>
        <w:ind w:left="568" w:right="0" w:hanging="283"/>
      </w:pPr>
      <w:r>
        <w:rPr>
          <w:b/>
          <w:u w:val="single" w:color="000000"/>
        </w:rPr>
        <w:t>Вариант 2 (в отсутствие инфузомата):</w:t>
      </w:r>
      <w:r>
        <w:t xml:space="preserve"> раствор с концентрацией ИКД (ИУКД, ИСБД) 1 ЕД/мл или 1 ЕД/10 мл 0,9% раствора NaCl в/в капельно (+ 4 мл </w:t>
      </w:r>
      <w:r>
        <w:t>20% раствора альбумина/100 мл раствора для предотвращения сорбции инсулина). Недостатки: коррекция доз ИКД (ИУКД, ИСБД) по числу капель или мл смеси требует постоянного присутствия персонала и тщательного подсчета; трудно титровать малые дозы.</w:t>
      </w:r>
    </w:p>
    <w:p w:rsidR="00D27BC6" w:rsidRDefault="004D5071">
      <w:pPr>
        <w:numPr>
          <w:ilvl w:val="1"/>
          <w:numId w:val="46"/>
        </w:numPr>
        <w:ind w:left="568" w:right="0" w:hanging="283"/>
      </w:pPr>
      <w:r>
        <w:rPr>
          <w:b/>
          <w:u w:val="single" w:color="000000"/>
        </w:rPr>
        <w:t>Вариант 3 (б</w:t>
      </w:r>
      <w:r>
        <w:rPr>
          <w:b/>
          <w:u w:val="single" w:color="000000"/>
        </w:rPr>
        <w:t>олее удобен в отсутствие инфузомата):</w:t>
      </w:r>
      <w:r>
        <w:t xml:space="preserve"> ИКД (ИУКД, ИСБД) в/в болюсно (медленно) 1 раз/час шприцем в инъекционный порт инфузионной системы. Длительность фармакодинамического эффекта ИКД (ИУКД, ИСБД) при этом – до 60 мин. Преимущества: нет сорбции инсулина (до</w:t>
      </w:r>
      <w:r>
        <w:t>бавлять альбумин или кровь в раствор не нужно), точный учет и коррекция введенной дозы, меньшая занятость персонала, чем в варианте 2.</w:t>
      </w:r>
    </w:p>
    <w:p w:rsidR="00D27BC6" w:rsidRDefault="004D5071">
      <w:pPr>
        <w:ind w:left="-11" w:right="0" w:firstLine="284"/>
      </w:pPr>
      <w:r>
        <w:rPr>
          <w:b/>
          <w:u w:val="single" w:color="000000"/>
        </w:rPr>
        <w:t>Внутримышечная (в/м) инсулинотерапия проводится при невозможности в/в доступа:</w:t>
      </w:r>
      <w:r>
        <w:t xml:space="preserve"> нагрузочная доза ИКД (ИУКД, ИСБД) – 0,2 ЕД</w:t>
      </w:r>
      <w:r>
        <w:t>/кг, затем в/м по 5–10 ЕД/ч. Недостатки: при нарушении микроциркуляции (коллапс, кома) ИКД (ИУКД, ИСБД) хуже всасывается; малая длина иглы инсулинового шприца затрудняет в/м инъекцию; 24 в/м инъекции в сутки дискомфортны для больного. Если через 2 часа пос</w:t>
      </w:r>
      <w:r>
        <w:t>ле начала в/м терапии гликемия не снижается, переходят на в/в введение.</w:t>
      </w:r>
    </w:p>
    <w:p w:rsidR="00D27BC6" w:rsidRDefault="004D5071">
      <w:pPr>
        <w:ind w:left="-11" w:right="0" w:firstLine="283"/>
      </w:pPr>
      <w:r>
        <w:rPr>
          <w:b/>
          <w:u w:val="single" w:color="000000"/>
        </w:rPr>
        <w:t>При легкой форме ДКА</w:t>
      </w:r>
      <w:r>
        <w:t xml:space="preserve"> в отсутствие нарушений гемодинамики и сознания и при возможности оставлении больного в обычном (не реанимационном) отделении в некоторых случаях допустимо п/к введ</w:t>
      </w:r>
      <w:r>
        <w:t>ение инсулина по принципу базально-болюсной терапии, с введением инсулина продленного действия 1 или 2 раза в сутки и ИКД (ИУКД, ИСБД) не реже 1 раза в 4 часа.</w:t>
      </w:r>
    </w:p>
    <w:p w:rsidR="00D27BC6" w:rsidRDefault="004D5071">
      <w:pPr>
        <w:ind w:left="-11" w:right="0" w:firstLine="283"/>
      </w:pPr>
      <w:r>
        <w:t>Скорость снижения ГП – оптимально 3 ммоль/л/ч и не более 4 ммоль/л/ч (опасность обратного осмоти</w:t>
      </w:r>
      <w:r>
        <w:t>ческого градиента между внутри- и внеклеточным пространством и отека мозга); в первые сутки следует не снижать уровень ГП менее 13–15 ммоль/л.</w:t>
      </w:r>
    </w:p>
    <w:p w:rsidR="00D27BC6" w:rsidRDefault="004D5071">
      <w:pPr>
        <w:spacing w:after="0" w:line="259" w:lineRule="auto"/>
        <w:ind w:left="-3" w:right="0"/>
        <w:jc w:val="left"/>
      </w:pPr>
      <w:r>
        <w:rPr>
          <w:b/>
          <w:color w:val="6F6F6E"/>
        </w:rPr>
        <w:t>Правила коррекции дозы инсулина при проведении непрерывной внутривенной инфузии:</w:t>
      </w:r>
    </w:p>
    <w:tbl>
      <w:tblPr>
        <w:tblStyle w:val="TableGrid"/>
        <w:tblW w:w="10195" w:type="dxa"/>
        <w:tblInd w:w="9" w:type="dxa"/>
        <w:tblCellMar>
          <w:top w:w="9" w:type="dxa"/>
          <w:left w:w="57" w:type="dxa"/>
          <w:bottom w:w="0" w:type="dxa"/>
          <w:right w:w="115" w:type="dxa"/>
        </w:tblCellMar>
        <w:tblLook w:val="04A0" w:firstRow="1" w:lastRow="0" w:firstColumn="1" w:lastColumn="0" w:noHBand="0" w:noVBand="1"/>
      </w:tblPr>
      <w:tblGrid>
        <w:gridCol w:w="5097"/>
        <w:gridCol w:w="5097"/>
      </w:tblGrid>
      <w:tr w:rsidR="00D27BC6">
        <w:trPr>
          <w:trHeight w:val="32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Динамика ГП</w:t>
            </w:r>
          </w:p>
        </w:tc>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Ежечасная коррекция дозы инсулина</w:t>
            </w:r>
          </w:p>
        </w:tc>
      </w:tr>
      <w:tr w:rsidR="00D27BC6">
        <w:trPr>
          <w:trHeight w:val="56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9" w:firstLine="0"/>
              <w:jc w:val="left"/>
            </w:pPr>
            <w:r>
              <w:t>Если в первые 2–3 часа ГП не снижается минимум на 3 ммоль от исходной</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888" w:firstLine="0"/>
              <w:jc w:val="left"/>
            </w:pPr>
            <w:r>
              <w:t>• Удвоить следующую дозу ИКД (ИУКД, ИСБД) • Проверить адекватность гидратации</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Если ГП снижается на 3–4 ммоль/л/ч</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Продолжать в той же дозе</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Если скорость снижения ГП &gt;4, но ≤ 5 ммоль/л/ч</w:t>
            </w:r>
          </w:p>
        </w:tc>
        <w:tc>
          <w:tcPr>
            <w:tcW w:w="5097"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Следующую дозу ИКД (ИУКД, ИСБД) уменьшить вдвое</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При снижении ГП до 13–14 ммоль/л</w:t>
            </w: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553"/>
        </w:trPr>
        <w:tc>
          <w:tcPr>
            <w:tcW w:w="5097" w:type="dxa"/>
            <w:tcBorders>
              <w:top w:val="single" w:sz="6" w:space="0" w:color="000000"/>
              <w:left w:val="single" w:sz="6" w:space="0" w:color="000000"/>
              <w:bottom w:val="nil"/>
              <w:right w:val="single" w:sz="6" w:space="0" w:color="000000"/>
            </w:tcBorders>
            <w:vAlign w:val="center"/>
          </w:tcPr>
          <w:p w:rsidR="00D27BC6" w:rsidRDefault="004D5071">
            <w:pPr>
              <w:spacing w:after="0" w:line="259" w:lineRule="auto"/>
              <w:ind w:left="0" w:right="0" w:firstLine="0"/>
              <w:jc w:val="left"/>
            </w:pPr>
            <w:r>
              <w:t>Если скорость снижения ГП &gt;5 ммоль/л/ч</w:t>
            </w:r>
          </w:p>
        </w:tc>
        <w:tc>
          <w:tcPr>
            <w:tcW w:w="5097" w:type="dxa"/>
            <w:tcBorders>
              <w:top w:val="single" w:sz="6" w:space="0" w:color="000000"/>
              <w:left w:val="single" w:sz="6" w:space="0" w:color="000000"/>
              <w:bottom w:val="nil"/>
              <w:right w:val="single" w:sz="6" w:space="0" w:color="000000"/>
            </w:tcBorders>
          </w:tcPr>
          <w:p w:rsidR="00D27BC6" w:rsidRDefault="004D5071">
            <w:pPr>
              <w:numPr>
                <w:ilvl w:val="0"/>
                <w:numId w:val="262"/>
              </w:numPr>
              <w:spacing w:after="0" w:line="259" w:lineRule="auto"/>
              <w:ind w:right="0" w:hanging="170"/>
              <w:jc w:val="left"/>
            </w:pPr>
            <w:r>
              <w:t>Следующую дозу ИКД (ИУКД, ИСБД) пропустить</w:t>
            </w:r>
          </w:p>
          <w:p w:rsidR="00D27BC6" w:rsidRDefault="004D5071">
            <w:pPr>
              <w:numPr>
                <w:ilvl w:val="0"/>
                <w:numId w:val="262"/>
              </w:numPr>
              <w:spacing w:after="0" w:line="259" w:lineRule="auto"/>
              <w:ind w:right="0" w:hanging="170"/>
              <w:jc w:val="left"/>
            </w:pPr>
            <w:r>
              <w:t>Продолжать ежечасное определение ГП</w:t>
            </w:r>
          </w:p>
        </w:tc>
      </w:tr>
    </w:tbl>
    <w:p w:rsidR="00D27BC6" w:rsidRDefault="004D5071">
      <w:pPr>
        <w:spacing w:after="236" w:line="259" w:lineRule="auto"/>
        <w:ind w:left="2" w:right="-36" w:firstLine="0"/>
        <w:jc w:val="left"/>
      </w:pPr>
      <w:r>
        <w:rPr>
          <w:noProof/>
        </w:rPr>
        <w:drawing>
          <wp:inline distT="0" distB="0" distL="0" distR="0">
            <wp:extent cx="6489192" cy="515112"/>
            <wp:effectExtent l="0" t="0" r="0" b="0"/>
            <wp:docPr id="358178" name="Picture 358178"/>
            <wp:cNvGraphicFramePr/>
            <a:graphic xmlns:a="http://schemas.openxmlformats.org/drawingml/2006/main">
              <a:graphicData uri="http://schemas.openxmlformats.org/drawingml/2006/picture">
                <pic:pic xmlns:pic="http://schemas.openxmlformats.org/drawingml/2006/picture">
                  <pic:nvPicPr>
                    <pic:cNvPr id="358178" name="Picture 358178"/>
                    <pic:cNvPicPr/>
                  </pic:nvPicPr>
                  <pic:blipFill>
                    <a:blip r:embed="rId74"/>
                    <a:stretch>
                      <a:fillRect/>
                    </a:stretch>
                  </pic:blipFill>
                  <pic:spPr>
                    <a:xfrm>
                      <a:off x="0" y="0"/>
                      <a:ext cx="6489192" cy="515112"/>
                    </a:xfrm>
                    <a:prstGeom prst="rect">
                      <a:avLst/>
                    </a:prstGeom>
                  </pic:spPr>
                </pic:pic>
              </a:graphicData>
            </a:graphic>
          </wp:inline>
        </w:drawing>
      </w:r>
    </w:p>
    <w:p w:rsidR="00D27BC6" w:rsidRDefault="004D5071">
      <w:pPr>
        <w:pStyle w:val="Heading2"/>
        <w:spacing w:after="203"/>
        <w:ind w:left="-3"/>
      </w:pPr>
      <w:r>
        <w:t>Регидратация</w:t>
      </w:r>
    </w:p>
    <w:p w:rsidR="00D27BC6" w:rsidRDefault="004D5071">
      <w:pPr>
        <w:pBdr>
          <w:top w:val="single" w:sz="8" w:space="0" w:color="000000"/>
          <w:left w:val="single" w:sz="8" w:space="0" w:color="000000"/>
          <w:bottom w:val="single" w:sz="8" w:space="0" w:color="000000"/>
          <w:right w:val="single" w:sz="8" w:space="0" w:color="000000"/>
        </w:pBdr>
        <w:spacing w:after="45"/>
        <w:ind w:left="120" w:right="114"/>
      </w:pPr>
      <w:r>
        <w:t>Растворы:</w:t>
      </w:r>
    </w:p>
    <w:p w:rsidR="00D27BC6" w:rsidRDefault="004D5071">
      <w:pPr>
        <w:numPr>
          <w:ilvl w:val="0"/>
          <w:numId w:val="47"/>
        </w:numPr>
        <w:pBdr>
          <w:top w:val="single" w:sz="8" w:space="0" w:color="000000"/>
          <w:left w:val="single" w:sz="8" w:space="0" w:color="000000"/>
          <w:bottom w:val="single" w:sz="8" w:space="0" w:color="000000"/>
          <w:right w:val="single" w:sz="8" w:space="0" w:color="000000"/>
        </w:pBdr>
        <w:spacing w:after="74"/>
        <w:ind w:left="393" w:right="114" w:hanging="283"/>
      </w:pPr>
      <w:r>
        <w:t>0,9% раствор NaCl (при уровне скорректированного Na</w:t>
      </w:r>
      <w:r>
        <w:rPr>
          <w:sz w:val="18"/>
          <w:vertAlign w:val="superscript"/>
        </w:rPr>
        <w:t>+</w:t>
      </w:r>
      <w:r>
        <w:t xml:space="preserve"> плазмы* &lt; 145 ммоль/л); при более высоком уровне Na</w:t>
      </w:r>
      <w:r>
        <w:rPr>
          <w:sz w:val="18"/>
          <w:vertAlign w:val="superscript"/>
        </w:rPr>
        <w:t>+</w:t>
      </w:r>
      <w:r>
        <w:t xml:space="preserve"> – см. раздел 8.2.</w:t>
      </w:r>
    </w:p>
    <w:p w:rsidR="00D27BC6" w:rsidRDefault="004D5071">
      <w:pPr>
        <w:numPr>
          <w:ilvl w:val="0"/>
          <w:numId w:val="47"/>
        </w:numPr>
        <w:pBdr>
          <w:top w:val="single" w:sz="8" w:space="0" w:color="000000"/>
          <w:left w:val="single" w:sz="8" w:space="0" w:color="000000"/>
          <w:bottom w:val="single" w:sz="8" w:space="0" w:color="000000"/>
          <w:right w:val="single" w:sz="8" w:space="0" w:color="000000"/>
        </w:pBdr>
        <w:spacing w:after="45"/>
        <w:ind w:left="393" w:right="114" w:hanging="283"/>
      </w:pPr>
      <w:r>
        <w:t>При уровне ГП ≤ 13 ммоль/л: 5–10% раствор глюкозы (+ 3–4 ЕД ИКД (ИУКД, ИСБД) на каждые 20 г глюкозы).</w:t>
      </w:r>
    </w:p>
    <w:p w:rsidR="00D27BC6" w:rsidRDefault="004D5071">
      <w:pPr>
        <w:numPr>
          <w:ilvl w:val="0"/>
          <w:numId w:val="47"/>
        </w:numPr>
        <w:pBdr>
          <w:top w:val="single" w:sz="8" w:space="0" w:color="000000"/>
          <w:left w:val="single" w:sz="8" w:space="0" w:color="000000"/>
          <w:bottom w:val="single" w:sz="8" w:space="0" w:color="000000"/>
          <w:right w:val="single" w:sz="8" w:space="0" w:color="000000"/>
        </w:pBdr>
        <w:spacing w:after="45"/>
        <w:ind w:left="393" w:right="114" w:hanging="283"/>
      </w:pPr>
      <w:r>
        <w:t>Коллоидные плазмозаменители (при гиповолемии – систолическое АД ниже 80 мм рт.ст. или ЦВД ниже 4 см водн. ст.).</w:t>
      </w:r>
    </w:p>
    <w:p w:rsidR="00D27BC6" w:rsidRDefault="004D5071">
      <w:pPr>
        <w:numPr>
          <w:ilvl w:val="0"/>
          <w:numId w:val="47"/>
        </w:numPr>
        <w:pBdr>
          <w:top w:val="single" w:sz="8" w:space="0" w:color="000000"/>
          <w:left w:val="single" w:sz="8" w:space="0" w:color="000000"/>
          <w:bottom w:val="single" w:sz="8" w:space="0" w:color="000000"/>
          <w:right w:val="single" w:sz="8" w:space="0" w:color="000000"/>
        </w:pBdr>
        <w:spacing w:after="135"/>
        <w:ind w:left="393" w:right="114" w:hanging="283"/>
      </w:pPr>
      <w:r>
        <w:t xml:space="preserve">Сбалансированные кристаллоидные растворы (раствор Рингер-лактат, Плазмалит) могут ускорить разрешение ДКА и снизить частоту гиперхлоремического </w:t>
      </w:r>
      <w:r>
        <w:t>метаболического ацидоза, в сравнении с применением 0,9% раствора NaCl. Преимущества других кристаллоидных растворов перед 0,9% раствором NaCl при лечении ДКА не доказаны.</w:t>
      </w:r>
    </w:p>
    <w:p w:rsidR="00D27BC6" w:rsidRDefault="004D5071">
      <w:pPr>
        <w:spacing w:after="164"/>
        <w:ind w:left="-3" w:right="0"/>
      </w:pPr>
      <w:r>
        <w:rPr>
          <w:sz w:val="16"/>
        </w:rPr>
        <w:t>* Скорректированный Na</w:t>
      </w:r>
      <w:r>
        <w:rPr>
          <w:sz w:val="14"/>
          <w:vertAlign w:val="superscript"/>
        </w:rPr>
        <w:t>+</w:t>
      </w:r>
      <w:r>
        <w:rPr>
          <w:sz w:val="16"/>
        </w:rPr>
        <w:t xml:space="preserve"> = измеренный Na</w:t>
      </w:r>
      <w:r>
        <w:rPr>
          <w:sz w:val="14"/>
          <w:vertAlign w:val="superscript"/>
        </w:rPr>
        <w:t>+</w:t>
      </w:r>
      <w:r>
        <w:rPr>
          <w:sz w:val="16"/>
        </w:rPr>
        <w:t xml:space="preserve"> + 1,6 (глюкоза ммоль/л – 5,5) / 5,5</w:t>
      </w:r>
    </w:p>
    <w:p w:rsidR="00D27BC6" w:rsidRDefault="004D5071">
      <w:pPr>
        <w:ind w:left="-11" w:right="0" w:firstLine="283"/>
      </w:pPr>
      <w:r>
        <w:rPr>
          <w:b/>
          <w:u w:val="single" w:color="000000"/>
        </w:rPr>
        <w:t>Скорость</w:t>
      </w:r>
      <w:r>
        <w:rPr>
          <w:b/>
          <w:u w:val="single" w:color="000000"/>
        </w:rPr>
        <w:t xml:space="preserve"> регидратации:</w:t>
      </w:r>
      <w:r>
        <w:t xml:space="preserve"> Суммарный дефицит воды в организме при ДКА: 5–10% массы тела, или 50–100 мл/кг реальной массы тела. Этот объем жидкости следует возместить за 24–48 ч. В 1-е сутки следует восполнить не менее половины дефицита жидкости. Начальная скорость рег</w:t>
      </w:r>
      <w:r>
        <w:t xml:space="preserve">идратации с помощью 0.9% раствора NaCl: в 1-й час – 1–1.5 л, или 15–20 мл/кг массы тела. Дальнейшая скорость регидратации корректируется в зависимости от клинических признаков дегидратации, АД, почасового диуреза и ЦВД (или в соответствии с данными прямых </w:t>
      </w:r>
      <w:r>
        <w:t>методов оценки центральной гемодинамики). При ЦВД &lt; 4 см водн. ст. вводится 1 л жидкости в час, при ЦВД 5–12 см водн. ст. – 0.5 л/ч, выше 12 см водн. ст. – 250– 300 мл/ч.</w:t>
      </w:r>
    </w:p>
    <w:p w:rsidR="00D27BC6" w:rsidRDefault="004D5071">
      <w:pPr>
        <w:ind w:left="-11" w:right="0" w:firstLine="283"/>
      </w:pPr>
      <w:r>
        <w:t>Возможно применение режима более медленной регидратации: 2 л в первые 4 часа, еще 2 л</w:t>
      </w:r>
      <w:r>
        <w:t xml:space="preserve"> в следующие 8 часов, в дальнейшем – по 1 л за каждые 8 часов.</w:t>
      </w:r>
    </w:p>
    <w:p w:rsidR="00D27BC6" w:rsidRDefault="004D5071">
      <w:pPr>
        <w:spacing w:after="230"/>
        <w:ind w:left="-11" w:right="0" w:firstLine="283"/>
      </w:pPr>
      <w:r>
        <w:t>Если регидратацию при ДКА начинают с 0,45% раствора NaCl (при гипернатриемии &gt; 145 ммоль/л), то скорость инфузии меньше, около 4–14 мл/кг в час.</w:t>
      </w:r>
    </w:p>
    <w:p w:rsidR="00D27BC6" w:rsidRDefault="004D5071">
      <w:pPr>
        <w:pStyle w:val="Heading3"/>
        <w:spacing w:after="10"/>
        <w:ind w:left="162" w:right="156"/>
      </w:pPr>
      <w:r>
        <w:t>Восстановление электролитных нарушений</w:t>
      </w:r>
    </w:p>
    <w:p w:rsidR="00D27BC6" w:rsidRDefault="004D5071">
      <w:pPr>
        <w:ind w:left="-11" w:right="0" w:firstLine="283"/>
      </w:pPr>
      <w:r>
        <w:t>На фоне р</w:t>
      </w:r>
      <w:r>
        <w:t>егидратации и инсулинотерапии можно ожидать резкого снижения уровня К</w:t>
      </w:r>
      <w:r>
        <w:rPr>
          <w:sz w:val="18"/>
          <w:vertAlign w:val="superscript"/>
        </w:rPr>
        <w:t>+</w:t>
      </w:r>
      <w:r>
        <w:t>, в том числе, при исходной гиперкалиемии. По этой причине в/в инфузию калия начинают одновременно с введением инсулина со следующей скоростью:</w:t>
      </w:r>
    </w:p>
    <w:tbl>
      <w:tblPr>
        <w:tblStyle w:val="TableGrid"/>
        <w:tblW w:w="10195" w:type="dxa"/>
        <w:tblInd w:w="9" w:type="dxa"/>
        <w:tblCellMar>
          <w:top w:w="9" w:type="dxa"/>
          <w:left w:w="115" w:type="dxa"/>
          <w:bottom w:w="0" w:type="dxa"/>
          <w:right w:w="115" w:type="dxa"/>
        </w:tblCellMar>
        <w:tblLook w:val="04A0" w:firstRow="1" w:lastRow="0" w:firstColumn="1" w:lastColumn="0" w:noHBand="0" w:noVBand="1"/>
      </w:tblPr>
      <w:tblGrid>
        <w:gridCol w:w="5097"/>
        <w:gridCol w:w="5097"/>
      </w:tblGrid>
      <w:tr w:rsidR="00D27BC6">
        <w:trPr>
          <w:trHeight w:val="32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Уровень К</w:t>
            </w:r>
            <w:r>
              <w:rPr>
                <w:b/>
                <w:sz w:val="18"/>
                <w:vertAlign w:val="superscript"/>
              </w:rPr>
              <w:t>+</w:t>
            </w:r>
            <w:r>
              <w:rPr>
                <w:b/>
              </w:rPr>
              <w:t xml:space="preserve"> в плазме, ммоль/л</w:t>
            </w:r>
          </w:p>
        </w:tc>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Скорость введения KCl</w:t>
            </w:r>
          </w:p>
        </w:tc>
      </w:tr>
      <w:tr w:rsidR="00D27BC6">
        <w:trPr>
          <w:trHeight w:val="72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center"/>
            </w:pPr>
            <w:r>
              <w:t>Неизвестен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16" w:lineRule="auto"/>
              <w:ind w:left="0" w:right="0" w:firstLine="0"/>
              <w:jc w:val="center"/>
            </w:pPr>
            <w:r>
              <w:t xml:space="preserve">Начать не позднее, чем через 2 часа после начала инсулинотерапии, под контролем ЭКГ и диуреза, </w:t>
            </w:r>
          </w:p>
          <w:p w:rsidR="00D27BC6" w:rsidRDefault="004D5071">
            <w:pPr>
              <w:spacing w:after="0" w:line="259" w:lineRule="auto"/>
              <w:ind w:left="0" w:right="0" w:firstLine="0"/>
              <w:jc w:val="center"/>
            </w:pPr>
            <w:r>
              <w:t>со скоростью 1,5 г в час</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&lt; 3*</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2,5–3 г в час, остановить введение инсулина на 1 час</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3–3,9</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2 г в час</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4–4,9</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1,5 г в час</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5–5,5</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1 г в час</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&gt; 5,5</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Препараты калия не вводить</w:t>
            </w:r>
          </w:p>
        </w:tc>
      </w:tr>
    </w:tbl>
    <w:p w:rsidR="00D27BC6" w:rsidRDefault="004D5071">
      <w:pPr>
        <w:spacing w:after="197"/>
        <w:ind w:left="-3" w:right="0"/>
      </w:pPr>
      <w:r>
        <w:rPr>
          <w:sz w:val="16"/>
        </w:rPr>
        <w:t>*При уровне К+ &lt; 3,3 ммоль/л вначале проводят коррекцию уровня К+, затем начинают вводить инсулин.</w:t>
      </w:r>
    </w:p>
    <w:p w:rsidR="00D27BC6" w:rsidRDefault="004D5071">
      <w:pPr>
        <w:ind w:left="295" w:right="0"/>
      </w:pPr>
      <w:r>
        <w:t>Инфузию калия, требующую высокой скорости введения, следует осуществлять в центральную вену.</w:t>
      </w:r>
    </w:p>
    <w:p w:rsidR="00D27BC6" w:rsidRDefault="004D5071">
      <w:pPr>
        <w:pStyle w:val="Heading3"/>
        <w:ind w:left="162" w:right="156"/>
      </w:pPr>
      <w:r>
        <w:t>Коррекция метаболического ацидоза</w:t>
      </w:r>
    </w:p>
    <w:p w:rsidR="00D27BC6" w:rsidRDefault="004D5071">
      <w:pPr>
        <w:ind w:left="295" w:right="0"/>
      </w:pPr>
      <w:r>
        <w:t>Этиологическое лечение метаболического ацидоза при ДКА – инсулин.</w:t>
      </w:r>
    </w:p>
    <w:p w:rsidR="00D27BC6" w:rsidRDefault="004D5071">
      <w:pPr>
        <w:spacing w:after="457"/>
        <w:ind w:left="-11" w:right="0" w:firstLine="283"/>
      </w:pPr>
      <w:r>
        <w:rPr>
          <w:b/>
          <w:u w:val="single" w:color="000000"/>
        </w:rPr>
        <w:t>Показания к введению бикарбоната натрия:</w:t>
      </w:r>
      <w:r>
        <w:t xml:space="preserve"> рН артериальной крови ≤ 7,0. Вводится 4 г бикарбоната натрия (200 мл 2% раствора в/в медленно за 1 ч), максимальная</w:t>
      </w:r>
      <w:r>
        <w:t xml:space="preserve"> доза – не более 8 г бикарбоната (400 мл 2% раствора за 2 ч).</w:t>
      </w:r>
    </w:p>
    <w:p w:rsidR="00D27BC6" w:rsidRDefault="004D5071">
      <w:pPr>
        <w:pBdr>
          <w:top w:val="single" w:sz="8" w:space="0" w:color="000000"/>
          <w:left w:val="single" w:sz="8" w:space="0" w:color="000000"/>
          <w:bottom w:val="single" w:sz="8" w:space="0" w:color="000000"/>
          <w:right w:val="single" w:sz="8" w:space="0" w:color="000000"/>
        </w:pBdr>
        <w:spacing w:after="485"/>
        <w:ind w:left="159" w:right="144"/>
        <w:jc w:val="center"/>
      </w:pPr>
      <w:r>
        <w:rPr>
          <w:b/>
        </w:rPr>
        <w:t>Без определения рН/КЩС введение бикарбоната противопоказано!</w:t>
      </w:r>
    </w:p>
    <w:p w:rsidR="00D27BC6" w:rsidRDefault="004D5071">
      <w:pPr>
        <w:spacing w:after="230"/>
        <w:ind w:left="-11" w:right="0" w:firstLine="283"/>
      </w:pPr>
      <w:r>
        <w:rPr>
          <w:b/>
        </w:rPr>
        <w:t>Критерии разрешения ДКА:</w:t>
      </w:r>
      <w:r>
        <w:t xml:space="preserve"> уровень ГП &lt; 11 ммоль/л и как минимум два из трех показателей КЩС: бикарбонат ≥ 18 ммоль/л, венозный рН ≥ 7,</w:t>
      </w:r>
      <w:r>
        <w:t>3, анионная разница ≤ 12 ммоль/л. Небольшая кетонурия может некоторое время сохраняться.</w:t>
      </w:r>
    </w:p>
    <w:p w:rsidR="00D27BC6" w:rsidRDefault="004D5071">
      <w:pPr>
        <w:ind w:left="281" w:right="51"/>
        <w:jc w:val="left"/>
      </w:pPr>
      <w:r>
        <w:rPr>
          <w:b/>
        </w:rPr>
        <w:t>Питание</w:t>
      </w:r>
    </w:p>
    <w:p w:rsidR="00D27BC6" w:rsidRDefault="004D5071">
      <w:pPr>
        <w:spacing w:after="230"/>
        <w:ind w:left="-11" w:right="0" w:firstLine="283"/>
      </w:pPr>
      <w:r>
        <w:t>После полного восстановления сознания, способности глотать, в отсутствие тошноты и рвоты – дробное щадящее питание с достаточным количеством углеводов и умерен</w:t>
      </w:r>
      <w:r>
        <w:t>ным количеством белка (каши, картофельное пюре, хлеб, бульон, омлет, фрикадельки из нежирного мяса, разведенные соки без добавления сахара), с дополнительным п/к введением ИКД (ИУКД, ИСБД) по 1–2 ЕД на 1 ХЕ. Через 1–2 суток от начала приема пищи, в отсутст</w:t>
      </w:r>
      <w:r>
        <w:t>вие острой патологии ЖКТ, – переход на обычное питание.</w:t>
      </w:r>
    </w:p>
    <w:p w:rsidR="00D27BC6" w:rsidRDefault="004D5071">
      <w:pPr>
        <w:ind w:left="281" w:right="51"/>
        <w:jc w:val="left"/>
      </w:pPr>
      <w:r>
        <w:rPr>
          <w:b/>
        </w:rPr>
        <w:t>Частая сопутствующая терапия</w:t>
      </w:r>
    </w:p>
    <w:p w:rsidR="00D27BC6" w:rsidRDefault="004D5071">
      <w:pPr>
        <w:numPr>
          <w:ilvl w:val="0"/>
          <w:numId w:val="48"/>
        </w:numPr>
        <w:ind w:right="0" w:hanging="283"/>
      </w:pPr>
      <w:r>
        <w:t>Антибиотики широкого спектра действия (высокая вероятность инфекций как причины ДКА).</w:t>
      </w:r>
    </w:p>
    <w:p w:rsidR="00D27BC6" w:rsidRDefault="004D5071">
      <w:pPr>
        <w:numPr>
          <w:ilvl w:val="0"/>
          <w:numId w:val="48"/>
        </w:numPr>
        <w:spacing w:after="231"/>
        <w:ind w:right="0" w:hanging="283"/>
      </w:pPr>
      <w:r>
        <w:t>Введение низкомолекулярного гепарина в профилактической дозе при отсутствии противопо</w:t>
      </w:r>
      <w:r>
        <w:t>казаний (высокая вероятность тромбозов на фоне дегидратации)</w:t>
      </w:r>
    </w:p>
    <w:p w:rsidR="00D27BC6" w:rsidRDefault="004D5071">
      <w:pPr>
        <w:spacing w:after="226"/>
        <w:ind w:left="281" w:right="51"/>
        <w:jc w:val="left"/>
      </w:pPr>
      <w:r>
        <w:rPr>
          <w:b/>
        </w:rPr>
        <w:t>Особенности лечения ДКА у детей и подростков</w:t>
      </w:r>
      <w:r>
        <w:t xml:space="preserve"> см. раздел 20.1.</w:t>
      </w:r>
    </w:p>
    <w:p w:rsidR="00D27BC6" w:rsidRDefault="004D5071">
      <w:pPr>
        <w:spacing w:after="333"/>
        <w:ind w:left="290" w:right="286"/>
        <w:jc w:val="center"/>
      </w:pPr>
      <w:r>
        <w:rPr>
          <w:b/>
        </w:rPr>
        <w:t>8.2. ГИПЕРОСМОЛЯРНОЕ ГИПЕРГЛИКЕМИЧЕСКОЕ СОСТОЯНИЕ (ГГС)</w:t>
      </w:r>
    </w:p>
    <w:p w:rsidR="00D27BC6" w:rsidRDefault="004D5071">
      <w:pPr>
        <w:pBdr>
          <w:top w:val="single" w:sz="8" w:space="0" w:color="000000"/>
          <w:left w:val="single" w:sz="8" w:space="0" w:color="000000"/>
          <w:bottom w:val="single" w:sz="8" w:space="0" w:color="000000"/>
          <w:right w:val="single" w:sz="8" w:space="0" w:color="000000"/>
        </w:pBdr>
        <w:spacing w:after="376"/>
        <w:ind w:left="120" w:right="114"/>
      </w:pPr>
      <w:r>
        <w:rPr>
          <w:b/>
        </w:rPr>
        <w:t>ГГС</w:t>
      </w:r>
      <w:r>
        <w:t xml:space="preserve"> – острая декомпенсация СД, с резко выраженной гипергликемией (как правило, уровень глюкозы плазмы &gt; 35 ммоль/л), высокой осмолярностью плазмы и резко выраженной дегидратацией, при отсутствии кетоза и ацидоза.</w:t>
      </w:r>
    </w:p>
    <w:p w:rsidR="00D27BC6" w:rsidRDefault="004D5071">
      <w:pPr>
        <w:spacing w:after="226"/>
        <w:ind w:left="295" w:right="0"/>
      </w:pPr>
      <w:r>
        <w:rPr>
          <w:b/>
        </w:rPr>
        <w:t xml:space="preserve">Основная причина: </w:t>
      </w:r>
      <w:r>
        <w:t>выраженная относительная инс</w:t>
      </w:r>
      <w:r>
        <w:t>улиновая недостаточность + резкая дегидратация.</w:t>
      </w:r>
    </w:p>
    <w:p w:rsidR="00D27BC6" w:rsidRDefault="004D5071">
      <w:pPr>
        <w:ind w:left="295" w:right="0"/>
      </w:pPr>
      <w:r>
        <w:rPr>
          <w:b/>
        </w:rPr>
        <w:t>Провоцирующие факторы:</w:t>
      </w:r>
    </w:p>
    <w:p w:rsidR="00D27BC6" w:rsidRDefault="004D5071">
      <w:pPr>
        <w:ind w:left="295" w:right="0"/>
      </w:pPr>
      <w:r>
        <w:t xml:space="preserve">рвота, диарея, лихорадка, другие острые заболевания (инфаркт миокарда, тромбоэмболия легочной артерии, </w:t>
      </w:r>
    </w:p>
    <w:p w:rsidR="00D27BC6" w:rsidRDefault="004D5071">
      <w:pPr>
        <w:spacing w:after="230"/>
        <w:ind w:left="-1" w:right="0"/>
      </w:pPr>
      <w:r>
        <w:t>инсульт, массивные кровотечения, обширные ожоги, почечная недостаточность, диализ</w:t>
      </w:r>
      <w:r>
        <w:t>, операции, травмы, тепловой и солнечный удар, применение диуретиков, сопутствующий несахарный диабет; неправильные медицинские рекомендации (запрещение достаточного потребления жидкости при жажде); пожилой возраст; прием глюкокортикоидов, половых гормонов</w:t>
      </w:r>
      <w:r>
        <w:t>, аналогов соматостатина и т.д., эндокринопатии (акромегалия, тиреотоксикоз, болезнь Кушинга).</w:t>
      </w:r>
    </w:p>
    <w:p w:rsidR="00D27BC6" w:rsidRDefault="004D5071">
      <w:pPr>
        <w:ind w:left="295" w:right="0"/>
      </w:pPr>
      <w:r>
        <w:rPr>
          <w:b/>
        </w:rPr>
        <w:t>Клиническая картина:</w:t>
      </w:r>
    </w:p>
    <w:p w:rsidR="00D27BC6" w:rsidRDefault="004D5071">
      <w:pPr>
        <w:spacing w:after="233"/>
        <w:ind w:left="-11" w:right="0" w:firstLine="283"/>
      </w:pPr>
      <w:r>
        <w:t>выраженная полиурия (впоследствии часто олиго- и анурия), выраженная жажда (у пожилых может отсутствовать), слабость, головные боли; выражен</w:t>
      </w:r>
      <w:r>
        <w:t>ные симптомы дегидратации и гиповолемии: сниженный тургор кожи, мягкость глазных яблок при пальпации, тахикардия, позднее – артериальная гипотензия, затем нарастание недостаточности кровообращения, вплоть до коллапса и гиповолемического шока; сонливость, с</w:t>
      </w:r>
      <w:r>
        <w:t>опор и кома. Запаха ацетона и дыхания Куссмауля нет.</w:t>
      </w:r>
    </w:p>
    <w:p w:rsidR="00D27BC6" w:rsidRDefault="004D5071">
      <w:pPr>
        <w:spacing w:after="439"/>
        <w:ind w:left="-1" w:right="0"/>
      </w:pPr>
      <w:r>
        <w:rPr>
          <w:b/>
        </w:rPr>
        <w:t xml:space="preserve">Особенность клиники ГГС – полиморфная неврологическая симптоматика </w:t>
      </w:r>
      <w:r>
        <w:t>(судороги, дизартрия, двусторонний спонтанный нистагм, гипер- или гипотонус мышц, парезы и параличи; гемианопсия, вестибулярные нарушени</w:t>
      </w:r>
      <w:r>
        <w:t>я и др.), которая не укладывается в какой-либо четкий синдром, изменчива и исчезает при нормализации осмолярности.</w:t>
      </w:r>
    </w:p>
    <w:p w:rsidR="00D27BC6" w:rsidRDefault="004D5071">
      <w:pPr>
        <w:pBdr>
          <w:top w:val="single" w:sz="8" w:space="0" w:color="000000"/>
          <w:left w:val="single" w:sz="8" w:space="0" w:color="000000"/>
          <w:bottom w:val="single" w:sz="8" w:space="0" w:color="000000"/>
          <w:right w:val="single" w:sz="8" w:space="0" w:color="000000"/>
        </w:pBdr>
        <w:spacing w:after="12"/>
        <w:ind w:left="159" w:right="154"/>
        <w:jc w:val="center"/>
      </w:pPr>
      <w:r>
        <w:rPr>
          <w:b/>
        </w:rPr>
        <w:t xml:space="preserve">Крайне важен дифференциальный диагноз с отеком мозга во избежание  </w:t>
      </w:r>
    </w:p>
    <w:p w:rsidR="00D27BC6" w:rsidRDefault="004D5071">
      <w:pPr>
        <w:pBdr>
          <w:top w:val="single" w:sz="8" w:space="0" w:color="000000"/>
          <w:left w:val="single" w:sz="8" w:space="0" w:color="000000"/>
          <w:bottom w:val="single" w:sz="8" w:space="0" w:color="000000"/>
          <w:right w:val="single" w:sz="8" w:space="0" w:color="000000"/>
        </w:pBdr>
        <w:spacing w:after="12"/>
        <w:ind w:left="159" w:right="154"/>
        <w:jc w:val="center"/>
      </w:pPr>
      <w:r>
        <w:rPr>
          <w:b/>
        </w:rPr>
        <w:t>ОШИБОЧНОГО назначения мочегонных ВМЕСТО РЕГИДРАТАЦИИ</w:t>
      </w:r>
    </w:p>
    <w:p w:rsidR="00D27BC6" w:rsidRDefault="004D5071">
      <w:pPr>
        <w:pStyle w:val="Heading2"/>
        <w:ind w:left="-3"/>
      </w:pPr>
      <w:r>
        <w:t>Лабораторные изменения: диагностика и дифференциальная диагностика</w:t>
      </w:r>
    </w:p>
    <w:tbl>
      <w:tblPr>
        <w:tblStyle w:val="TableGrid"/>
        <w:tblW w:w="10195" w:type="dxa"/>
        <w:tblInd w:w="9" w:type="dxa"/>
        <w:tblCellMar>
          <w:top w:w="9" w:type="dxa"/>
          <w:left w:w="57" w:type="dxa"/>
          <w:bottom w:w="0" w:type="dxa"/>
          <w:right w:w="16" w:type="dxa"/>
        </w:tblCellMar>
        <w:tblLook w:val="04A0" w:firstRow="1" w:lastRow="0" w:firstColumn="1" w:lastColumn="0" w:noHBand="0" w:noVBand="1"/>
      </w:tblPr>
      <w:tblGrid>
        <w:gridCol w:w="1571"/>
        <w:gridCol w:w="8624"/>
      </w:tblGrid>
      <w:tr w:rsidR="00D27BC6">
        <w:trPr>
          <w:trHeight w:val="760"/>
        </w:trPr>
        <w:tc>
          <w:tcPr>
            <w:tcW w:w="1571"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Общий клинический анализ крови</w:t>
            </w:r>
          </w:p>
        </w:tc>
        <w:tc>
          <w:tcPr>
            <w:tcW w:w="86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Лейкоцитоз: &lt; 15000 – стрессовый, &gt; 25000 – инфекция</w:t>
            </w:r>
          </w:p>
        </w:tc>
      </w:tr>
      <w:tr w:rsidR="00D27BC6">
        <w:trPr>
          <w:trHeight w:val="540"/>
        </w:trPr>
        <w:tc>
          <w:tcPr>
            <w:tcW w:w="1571"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Общий анализ мочи</w:t>
            </w:r>
          </w:p>
        </w:tc>
        <w:tc>
          <w:tcPr>
            <w:tcW w:w="86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Массивная глюкозурия, протеинурия (непостоянно); кетонурии нет</w:t>
            </w:r>
          </w:p>
        </w:tc>
      </w:tr>
      <w:tr w:rsidR="00D27BC6">
        <w:trPr>
          <w:trHeight w:val="1760"/>
        </w:trPr>
        <w:tc>
          <w:tcPr>
            <w:tcW w:w="157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Биохимический анализ крови</w:t>
            </w:r>
          </w:p>
        </w:tc>
        <w:tc>
          <w:tcPr>
            <w:tcW w:w="8624"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63"/>
              </w:numPr>
              <w:spacing w:after="0" w:line="259" w:lineRule="auto"/>
              <w:ind w:right="0" w:hanging="170"/>
              <w:jc w:val="left"/>
            </w:pPr>
            <w:r>
              <w:t>Крайне высокая гипергликемия, гиперкетонемии нет</w:t>
            </w:r>
          </w:p>
          <w:p w:rsidR="00D27BC6" w:rsidRDefault="004D5071">
            <w:pPr>
              <w:numPr>
                <w:ilvl w:val="0"/>
                <w:numId w:val="263"/>
              </w:numPr>
              <w:spacing w:after="0" w:line="259" w:lineRule="auto"/>
              <w:ind w:right="0" w:hanging="170"/>
              <w:jc w:val="left"/>
            </w:pPr>
            <w:r>
              <w:t>Высокая осмолярность плазмы: &gt; 320 мосмоль/л</w:t>
            </w:r>
            <w:r>
              <w:rPr>
                <w:sz w:val="18"/>
                <w:vertAlign w:val="superscript"/>
              </w:rPr>
              <w:t>1</w:t>
            </w:r>
          </w:p>
          <w:p w:rsidR="00D27BC6" w:rsidRDefault="004D5071">
            <w:pPr>
              <w:numPr>
                <w:ilvl w:val="0"/>
                <w:numId w:val="263"/>
              </w:numPr>
              <w:spacing w:after="0" w:line="236" w:lineRule="auto"/>
              <w:ind w:right="0" w:hanging="170"/>
              <w:jc w:val="left"/>
            </w:pPr>
            <w:r>
              <w:t>Повышение креатинина (непостоянно; чаще всего указывает на транзиторную почечную недостаточность, вызванную гиповолемией)</w:t>
            </w:r>
          </w:p>
          <w:p w:rsidR="00D27BC6" w:rsidRDefault="004D5071">
            <w:pPr>
              <w:numPr>
                <w:ilvl w:val="0"/>
                <w:numId w:val="263"/>
              </w:numPr>
              <w:spacing w:after="0" w:line="259" w:lineRule="auto"/>
              <w:ind w:right="0" w:hanging="170"/>
              <w:jc w:val="left"/>
            </w:pPr>
            <w:r>
              <w:t>Уровень скорректированного Na</w:t>
            </w:r>
            <w:r>
              <w:rPr>
                <w:sz w:val="18"/>
                <w:vertAlign w:val="superscript"/>
              </w:rPr>
              <w:t>+</w:t>
            </w:r>
            <w:r>
              <w:t xml:space="preserve"> повышен</w:t>
            </w:r>
            <w:r>
              <w:rPr>
                <w:sz w:val="18"/>
                <w:vertAlign w:val="superscript"/>
              </w:rPr>
              <w:t>2</w:t>
            </w:r>
          </w:p>
          <w:p w:rsidR="00D27BC6" w:rsidRDefault="004D5071">
            <w:pPr>
              <w:numPr>
                <w:ilvl w:val="0"/>
                <w:numId w:val="263"/>
              </w:numPr>
              <w:spacing w:after="0" w:line="259" w:lineRule="auto"/>
              <w:ind w:right="0" w:hanging="170"/>
              <w:jc w:val="left"/>
            </w:pPr>
            <w:r>
              <w:t>Уровень К</w:t>
            </w:r>
            <w:r>
              <w:rPr>
                <w:sz w:val="18"/>
                <w:vertAlign w:val="superscript"/>
              </w:rPr>
              <w:t>+</w:t>
            </w:r>
            <w:r>
              <w:t xml:space="preserve"> нормальный, реже снижен, при ХБП C3-5 и «преренальной» (гиповолемической) почечной недостаточности может быть повышен</w:t>
            </w:r>
          </w:p>
        </w:tc>
      </w:tr>
      <w:tr w:rsidR="00D27BC6">
        <w:trPr>
          <w:trHeight w:val="320"/>
        </w:trPr>
        <w:tc>
          <w:tcPr>
            <w:tcW w:w="1571"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КЩС</w:t>
            </w:r>
          </w:p>
        </w:tc>
        <w:tc>
          <w:tcPr>
            <w:tcW w:w="86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Ацидоза нет: рН &gt; 7,3, бикарбонат &gt; 15 ммоль/л, анионная разница &lt; 12 ммоль/л</w:t>
            </w:r>
          </w:p>
        </w:tc>
      </w:tr>
    </w:tbl>
    <w:p w:rsidR="00D27BC6" w:rsidRDefault="004D5071">
      <w:pPr>
        <w:numPr>
          <w:ilvl w:val="0"/>
          <w:numId w:val="49"/>
        </w:numPr>
        <w:spacing w:after="4"/>
        <w:ind w:right="0" w:hanging="82"/>
      </w:pPr>
      <w:r>
        <w:rPr>
          <w:sz w:val="16"/>
        </w:rPr>
        <w:t>Осмолярность плазмы = 2 (Na</w:t>
      </w:r>
      <w:r>
        <w:rPr>
          <w:sz w:val="14"/>
          <w:vertAlign w:val="superscript"/>
        </w:rPr>
        <w:t>+</w:t>
      </w:r>
      <w:r>
        <w:rPr>
          <w:sz w:val="16"/>
        </w:rPr>
        <w:t>, ммоль/л + К</w:t>
      </w:r>
      <w:r>
        <w:rPr>
          <w:sz w:val="14"/>
          <w:vertAlign w:val="superscript"/>
        </w:rPr>
        <w:t>+</w:t>
      </w:r>
      <w:r>
        <w:rPr>
          <w:sz w:val="16"/>
        </w:rPr>
        <w:t>, ммоль/л) + глюкоза, ммоль/л (норма 285–295 мосмоль/л).</w:t>
      </w:r>
    </w:p>
    <w:p w:rsidR="00D27BC6" w:rsidRDefault="004D5071">
      <w:pPr>
        <w:numPr>
          <w:ilvl w:val="0"/>
          <w:numId w:val="49"/>
        </w:numPr>
        <w:spacing w:after="532"/>
        <w:ind w:right="0" w:hanging="82"/>
      </w:pPr>
      <w:r>
        <w:rPr>
          <w:sz w:val="16"/>
        </w:rPr>
        <w:t>Скорректированный Na</w:t>
      </w:r>
      <w:r>
        <w:rPr>
          <w:sz w:val="14"/>
          <w:vertAlign w:val="superscript"/>
        </w:rPr>
        <w:t>+</w:t>
      </w:r>
      <w:r>
        <w:rPr>
          <w:sz w:val="16"/>
        </w:rPr>
        <w:t xml:space="preserve"> = измеренный Na</w:t>
      </w:r>
      <w:r>
        <w:rPr>
          <w:sz w:val="14"/>
          <w:vertAlign w:val="superscript"/>
        </w:rPr>
        <w:t>+</w:t>
      </w:r>
      <w:r>
        <w:rPr>
          <w:sz w:val="16"/>
        </w:rPr>
        <w:t xml:space="preserve"> + 1,6 (глюкоза ммоль/л – 5,5) / 5,5.</w:t>
      </w:r>
    </w:p>
    <w:p w:rsidR="00D27BC6" w:rsidRDefault="004D5071">
      <w:pPr>
        <w:pBdr>
          <w:top w:val="single" w:sz="8" w:space="0" w:color="000000"/>
          <w:left w:val="single" w:sz="8" w:space="0" w:color="000000"/>
          <w:bottom w:val="single" w:sz="8" w:space="0" w:color="000000"/>
          <w:right w:val="single" w:sz="8" w:space="0" w:color="000000"/>
        </w:pBdr>
        <w:spacing w:after="12"/>
        <w:ind w:left="159" w:right="113"/>
        <w:jc w:val="center"/>
      </w:pPr>
      <w:r>
        <w:rPr>
          <w:b/>
        </w:rPr>
        <w:t xml:space="preserve">! Возможно сочетание ГГС с ДКА у одного и того же пациента.  </w:t>
      </w:r>
    </w:p>
    <w:p w:rsidR="00D27BC6" w:rsidRDefault="004D5071">
      <w:pPr>
        <w:pBdr>
          <w:top w:val="single" w:sz="8" w:space="0" w:color="000000"/>
          <w:left w:val="single" w:sz="8" w:space="0" w:color="000000"/>
          <w:bottom w:val="single" w:sz="8" w:space="0" w:color="000000"/>
          <w:right w:val="single" w:sz="8" w:space="0" w:color="000000"/>
        </w:pBdr>
        <w:spacing w:after="318"/>
        <w:ind w:left="159" w:right="113"/>
        <w:jc w:val="center"/>
      </w:pPr>
      <w:r>
        <w:rPr>
          <w:b/>
        </w:rPr>
        <w:t>В таком случае одновременно с повышением осмолярности плазмы и гипернатриемией выявляется ацидоз и кетоновые тела</w:t>
      </w:r>
    </w:p>
    <w:p w:rsidR="00D27BC6" w:rsidRDefault="004D5071">
      <w:pPr>
        <w:spacing w:after="243" w:line="259" w:lineRule="auto"/>
        <w:ind w:left="10" w:right="4"/>
        <w:jc w:val="center"/>
      </w:pPr>
      <w:r>
        <w:rPr>
          <w:b/>
          <w:color w:val="6F6F6E"/>
          <w:sz w:val="18"/>
          <w:u w:val="single" w:color="6F6F6E"/>
        </w:rPr>
        <w:t>ЛЕЧЕНИЕ</w:t>
      </w:r>
    </w:p>
    <w:p w:rsidR="00D27BC6" w:rsidRDefault="004D5071">
      <w:pPr>
        <w:numPr>
          <w:ilvl w:val="0"/>
          <w:numId w:val="50"/>
        </w:numPr>
        <w:ind w:right="0" w:hanging="283"/>
      </w:pPr>
      <w:r>
        <w:t>восстановление электролитного баланса.</w:t>
      </w:r>
    </w:p>
    <w:p w:rsidR="00D27BC6" w:rsidRDefault="004D5071">
      <w:pPr>
        <w:numPr>
          <w:ilvl w:val="0"/>
          <w:numId w:val="50"/>
        </w:numPr>
        <w:spacing w:after="226"/>
        <w:ind w:right="0" w:hanging="283"/>
      </w:pPr>
      <w:r>
        <w:t>выявление и лечение заболеваний, спровоцировавших ГГС, и его осложнений.</w:t>
      </w:r>
    </w:p>
    <w:p w:rsidR="00D27BC6" w:rsidRDefault="004D5071">
      <w:pPr>
        <w:spacing w:after="216" w:line="259" w:lineRule="auto"/>
        <w:ind w:left="280" w:right="0"/>
        <w:jc w:val="left"/>
      </w:pPr>
      <w:r>
        <w:rPr>
          <w:b/>
          <w:u w:val="single" w:color="000000"/>
        </w:rPr>
        <w:t>На догоспитальном этап</w:t>
      </w:r>
      <w:r>
        <w:rPr>
          <w:b/>
          <w:u w:val="single" w:color="000000"/>
        </w:rPr>
        <w:t>е или в приемном отделении:</w:t>
      </w:r>
    </w:p>
    <w:p w:rsidR="00D27BC6" w:rsidRDefault="004D5071">
      <w:pPr>
        <w:numPr>
          <w:ilvl w:val="0"/>
          <w:numId w:val="51"/>
        </w:numPr>
        <w:ind w:right="0" w:hanging="283"/>
      </w:pPr>
      <w:r>
        <w:t>Экспресс-анализ ГП и любой порции мочи на кетоновые тела;</w:t>
      </w:r>
    </w:p>
    <w:p w:rsidR="00D27BC6" w:rsidRDefault="004D5071">
      <w:pPr>
        <w:numPr>
          <w:ilvl w:val="0"/>
          <w:numId w:val="51"/>
        </w:numPr>
        <w:spacing w:after="226"/>
        <w:ind w:right="0" w:hanging="283"/>
      </w:pPr>
      <w:r>
        <w:t>0,9% раствор NaCl в/в капельно со скоростью 1 л/ч.</w:t>
      </w:r>
    </w:p>
    <w:p w:rsidR="00D27BC6" w:rsidRDefault="004D5071">
      <w:pPr>
        <w:spacing w:after="216" w:line="259" w:lineRule="auto"/>
        <w:ind w:left="280" w:right="0"/>
        <w:jc w:val="left"/>
      </w:pPr>
      <w:r>
        <w:rPr>
          <w:b/>
          <w:u w:val="single" w:color="000000"/>
        </w:rPr>
        <w:t>В реанимационном отделении или отделении интенсивной терапии:</w:t>
      </w:r>
    </w:p>
    <w:p w:rsidR="00D27BC6" w:rsidRDefault="004D5071">
      <w:pPr>
        <w:ind w:left="281" w:right="51"/>
        <w:jc w:val="left"/>
      </w:pPr>
      <w:r>
        <w:rPr>
          <w:b/>
        </w:rPr>
        <w:t>Лабораторный мониторинг</w:t>
      </w:r>
    </w:p>
    <w:p w:rsidR="00D27BC6" w:rsidRDefault="004D5071">
      <w:pPr>
        <w:ind w:left="295" w:right="0"/>
      </w:pPr>
      <w:r>
        <w:t>Как при ДКА, со следующими особенностями:</w:t>
      </w:r>
    </w:p>
    <w:p w:rsidR="00D27BC6" w:rsidRDefault="004D5071">
      <w:pPr>
        <w:numPr>
          <w:ilvl w:val="0"/>
          <w:numId w:val="52"/>
        </w:numPr>
        <w:ind w:right="0" w:hanging="283"/>
      </w:pPr>
      <w:r>
        <w:t>Расчет скорректированного Na+ (для выбора раствора для инфузии).</w:t>
      </w:r>
    </w:p>
    <w:p w:rsidR="00D27BC6" w:rsidRDefault="004D5071">
      <w:pPr>
        <w:numPr>
          <w:ilvl w:val="0"/>
          <w:numId w:val="52"/>
        </w:numPr>
        <w:ind w:right="0" w:hanging="283"/>
      </w:pPr>
      <w:r>
        <w:rPr>
          <w:b/>
        </w:rPr>
        <w:t>Желательно – определение уровня лактата (частое сочетанное наличие лактатацидоза).</w:t>
      </w:r>
    </w:p>
    <w:p w:rsidR="00D27BC6" w:rsidRDefault="004D5071">
      <w:pPr>
        <w:numPr>
          <w:ilvl w:val="0"/>
          <w:numId w:val="52"/>
        </w:numPr>
        <w:spacing w:after="226"/>
        <w:ind w:right="0" w:hanging="283"/>
      </w:pPr>
      <w:r>
        <w:t>Коагулограмма (минимум – протромбиновое время).</w:t>
      </w:r>
    </w:p>
    <w:p w:rsidR="00D27BC6" w:rsidRDefault="004D5071">
      <w:pPr>
        <w:ind w:left="281" w:right="51"/>
        <w:jc w:val="left"/>
      </w:pPr>
      <w:r>
        <w:rPr>
          <w:b/>
        </w:rPr>
        <w:t>Инструментальные и</w:t>
      </w:r>
      <w:r>
        <w:rPr>
          <w:b/>
        </w:rPr>
        <w:t>сследования</w:t>
      </w:r>
    </w:p>
    <w:p w:rsidR="00D27BC6" w:rsidRDefault="004D5071">
      <w:pPr>
        <w:spacing w:after="120" w:line="354" w:lineRule="auto"/>
        <w:ind w:left="-11" w:right="0" w:firstLine="283"/>
      </w:pPr>
      <w:r>
        <w:t xml:space="preserve">Как при ДКА. Если после явного снижения гиперосмолярности неврологические симптомы не уменьшаются, показана компьютерная томография головного мозга. </w:t>
      </w:r>
      <w:r>
        <w:rPr>
          <w:b/>
          <w:u w:val="single" w:color="000000"/>
        </w:rPr>
        <w:t>Терапевтические мероприятия</w:t>
      </w:r>
    </w:p>
    <w:p w:rsidR="00D27BC6" w:rsidRDefault="004D5071">
      <w:pPr>
        <w:ind w:left="281" w:right="51"/>
        <w:jc w:val="left"/>
      </w:pPr>
      <w:r>
        <w:rPr>
          <w:b/>
        </w:rPr>
        <w:t>Особенности регидратации:</w:t>
      </w:r>
    </w:p>
    <w:p w:rsidR="00D27BC6" w:rsidRDefault="004D5071">
      <w:pPr>
        <w:ind w:left="295" w:right="0"/>
      </w:pPr>
      <w:r>
        <w:t>Как при ДКА, со следующими особенностями:</w:t>
      </w:r>
    </w:p>
    <w:p w:rsidR="00D27BC6" w:rsidRDefault="004D5071">
      <w:pPr>
        <w:numPr>
          <w:ilvl w:val="0"/>
          <w:numId w:val="53"/>
        </w:numPr>
        <w:ind w:right="0" w:hanging="283"/>
      </w:pPr>
      <w:r>
        <w:t>в первый час – 1 л 0,9% раствора NaCl, затем – в зависимости от уровня Na</w:t>
      </w:r>
      <w:r>
        <w:rPr>
          <w:sz w:val="18"/>
          <w:vertAlign w:val="superscript"/>
        </w:rPr>
        <w:t>+</w:t>
      </w:r>
      <w:r>
        <w:t>:</w:t>
      </w:r>
    </w:p>
    <w:p w:rsidR="00D27BC6" w:rsidRDefault="004D5071">
      <w:pPr>
        <w:numPr>
          <w:ilvl w:val="2"/>
          <w:numId w:val="54"/>
        </w:numPr>
        <w:ind w:left="568" w:right="0" w:hanging="283"/>
      </w:pPr>
      <w:r>
        <w:t>при скорректированном Na</w:t>
      </w:r>
      <w:r>
        <w:rPr>
          <w:sz w:val="18"/>
          <w:vertAlign w:val="superscript"/>
        </w:rPr>
        <w:t>+</w:t>
      </w:r>
      <w:r>
        <w:t xml:space="preserve"> &gt;165 ммоль/л: солевые растворы противопоказаны, регидратацию начинают с 2,5% раствора глюкозы;</w:t>
      </w:r>
    </w:p>
    <w:p w:rsidR="00D27BC6" w:rsidRDefault="004D5071">
      <w:pPr>
        <w:numPr>
          <w:ilvl w:val="2"/>
          <w:numId w:val="54"/>
        </w:numPr>
        <w:ind w:left="568" w:right="0" w:hanging="283"/>
      </w:pPr>
      <w:r>
        <w:t>при скорректированном Na</w:t>
      </w:r>
      <w:r>
        <w:rPr>
          <w:sz w:val="18"/>
          <w:vertAlign w:val="superscript"/>
        </w:rPr>
        <w:t>+</w:t>
      </w:r>
      <w:r>
        <w:t xml:space="preserve"> 145–165 ммоль/л: регидратацию проводят 0,45% (гипотоническим) раствором NaCl; </w:t>
      </w:r>
      <w:r>
        <w:rPr>
          <w:rFonts w:ascii="Wingdings" w:eastAsia="Wingdings" w:hAnsi="Wingdings" w:cs="Wingdings"/>
        </w:rPr>
        <w:t></w:t>
      </w:r>
      <w:r>
        <w:t xml:space="preserve"> при снижении скорректированного Na</w:t>
      </w:r>
      <w:r>
        <w:rPr>
          <w:sz w:val="18"/>
          <w:vertAlign w:val="superscript"/>
        </w:rPr>
        <w:t>+</w:t>
      </w:r>
      <w:r>
        <w:t xml:space="preserve"> до &lt; 145 ммоль/л переходят на 0,9% раствор NaCl.</w:t>
      </w:r>
    </w:p>
    <w:p w:rsidR="00D27BC6" w:rsidRDefault="004D5071">
      <w:pPr>
        <w:numPr>
          <w:ilvl w:val="0"/>
          <w:numId w:val="53"/>
        </w:numPr>
        <w:ind w:right="0" w:hanging="283"/>
      </w:pPr>
      <w:r>
        <w:t>При гиповолемическом шоке (АД &lt; 80/50 мм рт.ст.) вначале в/в очень быстро вводят 1 л 0,9% раствора NaCl или коллоидные растворы.</w:t>
      </w:r>
    </w:p>
    <w:p w:rsidR="00D27BC6" w:rsidRDefault="004D5071">
      <w:pPr>
        <w:ind w:left="-11" w:right="0" w:firstLine="283"/>
      </w:pPr>
      <w:r>
        <w:t>Скорость регидратации: 1-й час – 1–1,5 л жидкости, 2-й и 3-й час – по 0,5–1 л, затем по 0,25–0,5 л (под контролем ЦВД или с при</w:t>
      </w:r>
      <w:r>
        <w:t>менением других методов мониторинга центральной гемодинамики; объем вводимой за час жидкости не должен превышать часового диуреза более, чем на 0,5–1 л).</w:t>
      </w:r>
    </w:p>
    <w:p w:rsidR="00D27BC6" w:rsidRDefault="004D5071">
      <w:pPr>
        <w:ind w:left="281" w:right="51"/>
        <w:jc w:val="left"/>
      </w:pPr>
      <w:r>
        <w:rPr>
          <w:b/>
        </w:rPr>
        <w:t>Особенности инсулинотерапии:</w:t>
      </w:r>
    </w:p>
    <w:p w:rsidR="00D27BC6" w:rsidRDefault="004D5071">
      <w:pPr>
        <w:numPr>
          <w:ilvl w:val="0"/>
          <w:numId w:val="53"/>
        </w:numPr>
        <w:ind w:right="0" w:hanging="283"/>
      </w:pPr>
      <w:r>
        <w:t>С учетом высокой чувствительности к инсулину при ГГС, в начале инфузионно</w:t>
      </w:r>
      <w:r>
        <w:t>й терапии инсулин не вводят или вводят в очень малых дозах – 0,5–2 ЕД/ч, максимум 4 ЕД/ч в/в.</w:t>
      </w:r>
    </w:p>
    <w:p w:rsidR="00D27BC6" w:rsidRDefault="004D5071">
      <w:pPr>
        <w:numPr>
          <w:ilvl w:val="0"/>
          <w:numId w:val="53"/>
        </w:numPr>
        <w:ind w:right="0" w:hanging="283"/>
      </w:pPr>
      <w:r>
        <w:t>Техника в/в введения инсулина – см. раздел 8.1.</w:t>
      </w:r>
    </w:p>
    <w:p w:rsidR="00D27BC6" w:rsidRDefault="004D5071">
      <w:pPr>
        <w:numPr>
          <w:ilvl w:val="0"/>
          <w:numId w:val="53"/>
        </w:numPr>
        <w:ind w:right="0" w:hanging="283"/>
      </w:pPr>
      <w:r>
        <w:t>Если через 4–5 ч от начала инфузии, после частичной регидратации и снижения уровня Na+ сохраняется выраженная гипе</w:t>
      </w:r>
      <w:r>
        <w:t>ргликемия, переходят на режим дозирования инсулина, рекомендованный для лечения ДКА.</w:t>
      </w:r>
    </w:p>
    <w:p w:rsidR="00D27BC6" w:rsidRDefault="004D5071">
      <w:pPr>
        <w:numPr>
          <w:ilvl w:val="0"/>
          <w:numId w:val="53"/>
        </w:numPr>
        <w:ind w:right="0" w:hanging="283"/>
      </w:pPr>
      <w:r>
        <w:t xml:space="preserve">Если одновременно с началом регидратации 0,45% (гипотоническим) раствором NaCl ошибочно вводятся более высокие дозы ИКД (ИУКД, ИСБД) (≥ 6 ЕД/ч), возможно быстрое снижение </w:t>
      </w:r>
      <w:r>
        <w:t>осмолярности плазмы с развитием отека легких и отека мозга.</w:t>
      </w:r>
    </w:p>
    <w:p w:rsidR="00D27BC6" w:rsidRDefault="004D5071">
      <w:pPr>
        <w:spacing w:after="230"/>
        <w:ind w:left="-11" w:right="0" w:firstLine="283"/>
      </w:pPr>
      <w:r>
        <w:t>Для сведения к минимуму риска неврологических осложнений (отек мозга) уровень ГП не следует снижать быстрее, чем на 5 ммоль/л/ч, осмолярность плазмы – не более, чем на 3–8 мосмоль/л/ч, а уровень н</w:t>
      </w:r>
      <w:r>
        <w:t>атрия – не более, чем на 10 ммоль/л в сутки.</w:t>
      </w:r>
    </w:p>
    <w:p w:rsidR="00D27BC6" w:rsidRDefault="004D5071">
      <w:pPr>
        <w:ind w:left="281" w:right="51"/>
        <w:jc w:val="left"/>
      </w:pPr>
      <w:r>
        <w:rPr>
          <w:b/>
        </w:rPr>
        <w:t>Восстановление дефицита калия</w:t>
      </w:r>
    </w:p>
    <w:p w:rsidR="00D27BC6" w:rsidRDefault="004D5071">
      <w:pPr>
        <w:spacing w:after="226"/>
        <w:ind w:left="295" w:right="0"/>
      </w:pPr>
      <w:r>
        <w:t>Проводится по тем же принципам, что при ДКА. Обычно дефицит калия более выражен, чем при ДКА.</w:t>
      </w:r>
    </w:p>
    <w:p w:rsidR="00D27BC6" w:rsidRDefault="004D5071">
      <w:pPr>
        <w:spacing w:after="230"/>
        <w:ind w:left="281" w:right="6792"/>
        <w:jc w:val="left"/>
      </w:pPr>
      <w:r>
        <w:rPr>
          <w:b/>
        </w:rPr>
        <w:t xml:space="preserve">Частая сопутствующая терапия </w:t>
      </w:r>
      <w:r>
        <w:t>Как при ДКА.</w:t>
      </w:r>
    </w:p>
    <w:p w:rsidR="00D27BC6" w:rsidRDefault="004D5071">
      <w:pPr>
        <w:spacing w:after="333"/>
        <w:ind w:left="290" w:right="286"/>
        <w:jc w:val="center"/>
      </w:pPr>
      <w:r>
        <w:rPr>
          <w:b/>
        </w:rPr>
        <w:t>8.3. МОЛОЧНОКИСЛЫЙ АЦИДОЗ (ЛАКТАТАЦИДОЗ)</w:t>
      </w:r>
    </w:p>
    <w:p w:rsidR="00D27BC6" w:rsidRDefault="004D5071">
      <w:pPr>
        <w:pBdr>
          <w:top w:val="single" w:sz="8" w:space="0" w:color="000000"/>
          <w:left w:val="single" w:sz="8" w:space="0" w:color="000000"/>
          <w:bottom w:val="single" w:sz="8" w:space="0" w:color="000000"/>
          <w:right w:val="single" w:sz="8" w:space="0" w:color="000000"/>
        </w:pBdr>
        <w:spacing w:after="376"/>
        <w:ind w:left="120" w:right="114"/>
      </w:pPr>
      <w:r>
        <w:rPr>
          <w:b/>
        </w:rPr>
        <w:t>Лактатацидоз</w:t>
      </w:r>
      <w:r>
        <w:t xml:space="preserve"> – метаболический ацидоз с большой анионной разницей (≥10 ммоль/л) и уровнем молочной кислоты в крови &gt; 4 ммоль/л (по некоторым определениям &gt; 2 ммоль/л).</w:t>
      </w:r>
    </w:p>
    <w:p w:rsidR="00D27BC6" w:rsidRDefault="004D5071">
      <w:pPr>
        <w:spacing w:after="226"/>
        <w:ind w:left="295" w:right="0"/>
      </w:pPr>
      <w:r>
        <w:rPr>
          <w:b/>
        </w:rPr>
        <w:t>Основная причина</w:t>
      </w:r>
      <w:r>
        <w:t xml:space="preserve"> – повышенное образование и снижение утилизации лактата и гипоксия.</w:t>
      </w:r>
    </w:p>
    <w:p w:rsidR="00D27BC6" w:rsidRDefault="004D5071">
      <w:pPr>
        <w:ind w:left="281" w:right="51"/>
        <w:jc w:val="left"/>
      </w:pPr>
      <w:r>
        <w:rPr>
          <w:b/>
        </w:rPr>
        <w:t>Прово</w:t>
      </w:r>
      <w:r>
        <w:rPr>
          <w:b/>
        </w:rPr>
        <w:t>цирующие факторы:</w:t>
      </w:r>
    </w:p>
    <w:p w:rsidR="00D27BC6" w:rsidRDefault="004D5071">
      <w:pPr>
        <w:numPr>
          <w:ilvl w:val="0"/>
          <w:numId w:val="53"/>
        </w:numPr>
        <w:ind w:right="0" w:hanging="283"/>
      </w:pPr>
      <w:r>
        <w:t>Прием бигуанидов, выраженная декомпенсация СД, любой ацидоз, включая ДКА.</w:t>
      </w:r>
    </w:p>
    <w:p w:rsidR="00D27BC6" w:rsidRDefault="004D5071">
      <w:pPr>
        <w:numPr>
          <w:ilvl w:val="0"/>
          <w:numId w:val="53"/>
        </w:numPr>
        <w:ind w:right="0" w:hanging="283"/>
      </w:pPr>
      <w:r>
        <w:t>Почечная или печеночная недостаточность.</w:t>
      </w:r>
    </w:p>
    <w:p w:rsidR="00D27BC6" w:rsidRDefault="004D5071">
      <w:pPr>
        <w:numPr>
          <w:ilvl w:val="0"/>
          <w:numId w:val="53"/>
        </w:numPr>
        <w:ind w:right="0" w:hanging="283"/>
      </w:pPr>
      <w:r>
        <w:t>Злоупотребление алкоголем.</w:t>
      </w:r>
    </w:p>
    <w:p w:rsidR="00D27BC6" w:rsidRDefault="004D5071">
      <w:pPr>
        <w:numPr>
          <w:ilvl w:val="0"/>
          <w:numId w:val="53"/>
        </w:numPr>
        <w:ind w:right="0" w:hanging="283"/>
      </w:pPr>
      <w:r>
        <w:t>В/в введение рентгеноконтрастных средств.</w:t>
      </w:r>
    </w:p>
    <w:p w:rsidR="00D27BC6" w:rsidRDefault="004D5071">
      <w:pPr>
        <w:numPr>
          <w:ilvl w:val="0"/>
          <w:numId w:val="53"/>
        </w:numPr>
        <w:ind w:right="0" w:hanging="283"/>
      </w:pPr>
      <w:r>
        <w:t>Тканевая гипоксия (ХСН, кардиогенный шок, гиповолемиче</w:t>
      </w:r>
      <w:r>
        <w:t>ский шок, облитерирующие заболевания периферических артерий, отравление СО; синдром сдавления, ожоги, травмы, обширные гнойно-некротические процессы в мягких тканях, тяжелые заболевания органов дыхания, анемии, острая мезентериальная ишемия, асфиксия).</w:t>
      </w:r>
    </w:p>
    <w:p w:rsidR="00D27BC6" w:rsidRDefault="004D5071">
      <w:pPr>
        <w:numPr>
          <w:ilvl w:val="0"/>
          <w:numId w:val="53"/>
        </w:numPr>
        <w:ind w:right="0" w:hanging="283"/>
      </w:pPr>
      <w:r>
        <w:t>Ост</w:t>
      </w:r>
      <w:r>
        <w:t>рый стресс, выраженные поздние осложнения СД, старческий возраст, тяжелое общее состояние, запущенные стадии злокачественных новообразований и гемобластозов.</w:t>
      </w:r>
    </w:p>
    <w:p w:rsidR="00D27BC6" w:rsidRDefault="004D5071">
      <w:pPr>
        <w:numPr>
          <w:ilvl w:val="0"/>
          <w:numId w:val="53"/>
        </w:numPr>
        <w:ind w:right="0" w:hanging="283"/>
      </w:pPr>
      <w:r>
        <w:t>Передозировка нуклеозидных аналогов, β-адреномиметиков, кокаина, диэтилового эфира, пропофола, изо</w:t>
      </w:r>
      <w:r>
        <w:t>ниазида, стрихнина, сульфасалазина, вальпроевой кислоты, линезолида, парацетамола, салицилатов; отравление спиртами, гликолями; избыточное парентеральное введение фруктозы, ксилита или сорбита.</w:t>
      </w:r>
    </w:p>
    <w:p w:rsidR="00D27BC6" w:rsidRDefault="004D5071">
      <w:pPr>
        <w:numPr>
          <w:ilvl w:val="0"/>
          <w:numId w:val="53"/>
        </w:numPr>
        <w:spacing w:after="226"/>
        <w:ind w:right="0" w:hanging="283"/>
      </w:pPr>
      <w:r>
        <w:t>Беременность.</w:t>
      </w:r>
    </w:p>
    <w:p w:rsidR="00D27BC6" w:rsidRDefault="004D5071">
      <w:pPr>
        <w:ind w:left="295" w:right="0"/>
      </w:pPr>
      <w:r>
        <w:rPr>
          <w:b/>
        </w:rPr>
        <w:t xml:space="preserve">Клиническая картина: </w:t>
      </w:r>
    </w:p>
    <w:p w:rsidR="00D27BC6" w:rsidRDefault="004D5071">
      <w:pPr>
        <w:ind w:left="295" w:right="0"/>
      </w:pPr>
      <w:r>
        <w:t>миалгии, не купирующиеся а</w:t>
      </w:r>
      <w:r>
        <w:t xml:space="preserve">нальгетиками, боли в сердце, не купирующиеся антиангинальными средствами, боли </w:t>
      </w:r>
    </w:p>
    <w:p w:rsidR="00D27BC6" w:rsidRDefault="004D5071">
      <w:pPr>
        <w:spacing w:after="230"/>
        <w:ind w:left="-1" w:right="0"/>
      </w:pPr>
      <w:r>
        <w:t>в животе, головные боли, тошнота, рвота, слабость, адинамия, артериальная гипотензия, тахикардия, одышка, впоследствии дыхание Куссмауля, нарушение сознания от сонливости до ко</w:t>
      </w:r>
      <w:r>
        <w:t>мы.</w:t>
      </w:r>
    </w:p>
    <w:p w:rsidR="00D27BC6" w:rsidRDefault="004D5071">
      <w:pPr>
        <w:pStyle w:val="Heading2"/>
        <w:ind w:left="-3"/>
      </w:pPr>
      <w:r>
        <w:t>Лабораторные изменения: диагностика и дифференциальная диагностика</w:t>
      </w:r>
    </w:p>
    <w:tbl>
      <w:tblPr>
        <w:tblStyle w:val="TableGrid"/>
        <w:tblW w:w="10195" w:type="dxa"/>
        <w:tblInd w:w="9" w:type="dxa"/>
        <w:tblCellMar>
          <w:top w:w="16" w:type="dxa"/>
          <w:left w:w="57" w:type="dxa"/>
          <w:bottom w:w="0" w:type="dxa"/>
          <w:right w:w="115" w:type="dxa"/>
        </w:tblCellMar>
        <w:tblLook w:val="04A0" w:firstRow="1" w:lastRow="0" w:firstColumn="1" w:lastColumn="0" w:noHBand="0" w:noVBand="1"/>
      </w:tblPr>
      <w:tblGrid>
        <w:gridCol w:w="1701"/>
        <w:gridCol w:w="8494"/>
      </w:tblGrid>
      <w:tr w:rsidR="00D27BC6">
        <w:trPr>
          <w:trHeight w:val="1393"/>
        </w:trPr>
        <w:tc>
          <w:tcPr>
            <w:tcW w:w="170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Биохимический анализ крови</w:t>
            </w:r>
          </w:p>
        </w:tc>
        <w:tc>
          <w:tcPr>
            <w:tcW w:w="8494"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64"/>
              </w:numPr>
              <w:spacing w:after="57" w:line="236" w:lineRule="auto"/>
              <w:ind w:right="0" w:hanging="170"/>
              <w:jc w:val="left"/>
            </w:pPr>
            <w:r>
              <w:t>Диагноз лактатацидоза подтверждён при концентрации лактата &gt;5,0 ммоль/л и рН &lt;7,35 и весьма вероятен при концентрации лактата 2,2–5 ммоль/л в сочетании с рН артериальной крови &lt;7,25. Кровь для определения лактата хранят на холоде не более 4 ч.</w:t>
            </w:r>
          </w:p>
          <w:p w:rsidR="00D27BC6" w:rsidRDefault="004D5071">
            <w:pPr>
              <w:numPr>
                <w:ilvl w:val="0"/>
                <w:numId w:val="264"/>
              </w:numPr>
              <w:spacing w:after="33" w:line="259" w:lineRule="auto"/>
              <w:ind w:right="0" w:hanging="170"/>
              <w:jc w:val="left"/>
            </w:pPr>
            <w:r>
              <w:t>Гликемия: лю</w:t>
            </w:r>
            <w:r>
              <w:t>бая, чаще гипергликемия</w:t>
            </w:r>
          </w:p>
          <w:p w:rsidR="00D27BC6" w:rsidRDefault="004D5071">
            <w:pPr>
              <w:numPr>
                <w:ilvl w:val="0"/>
                <w:numId w:val="264"/>
              </w:numPr>
              <w:spacing w:after="0" w:line="259" w:lineRule="auto"/>
              <w:ind w:right="0" w:hanging="170"/>
              <w:jc w:val="left"/>
            </w:pPr>
            <w:r>
              <w:t>Часто – повышение креатинина, гиперкалиемия</w:t>
            </w:r>
          </w:p>
        </w:tc>
      </w:tr>
      <w:tr w:rsidR="00D27BC6">
        <w:trPr>
          <w:trHeight w:val="1043"/>
        </w:trPr>
        <w:tc>
          <w:tcPr>
            <w:tcW w:w="170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КЩС</w:t>
            </w:r>
          </w:p>
        </w:tc>
        <w:tc>
          <w:tcPr>
            <w:tcW w:w="8494" w:type="dxa"/>
            <w:tcBorders>
              <w:top w:val="single" w:sz="6" w:space="0" w:color="000000"/>
              <w:left w:val="single" w:sz="6" w:space="0" w:color="000000"/>
              <w:bottom w:val="single" w:sz="6" w:space="0" w:color="000000"/>
              <w:right w:val="single" w:sz="6" w:space="0" w:color="000000"/>
            </w:tcBorders>
          </w:tcPr>
          <w:p w:rsidR="00D27BC6" w:rsidRDefault="004D5071">
            <w:pPr>
              <w:spacing w:after="90" w:line="259" w:lineRule="auto"/>
              <w:ind w:left="0" w:right="0" w:firstLine="0"/>
              <w:jc w:val="left"/>
            </w:pPr>
            <w:r>
              <w:t>Декомпенсированный метаболический ацидоз:</w:t>
            </w:r>
          </w:p>
          <w:p w:rsidR="00D27BC6" w:rsidRDefault="004D5071">
            <w:pPr>
              <w:spacing w:after="0" w:line="259" w:lineRule="auto"/>
              <w:ind w:left="0" w:right="558" w:firstLine="0"/>
              <w:jc w:val="left"/>
            </w:pPr>
            <w:r>
              <w:t>рН &lt; 7,3, уровень бикарбоната плазмы ≤ 18 ммоль/л, анионная разница 10–15 ммоль/л (с коррекцией на гипоальбуминемию)</w:t>
            </w:r>
          </w:p>
        </w:tc>
      </w:tr>
    </w:tbl>
    <w:p w:rsidR="00D27BC6" w:rsidRDefault="004D5071">
      <w:pPr>
        <w:spacing w:after="343" w:line="259" w:lineRule="auto"/>
        <w:ind w:left="10" w:right="4"/>
        <w:jc w:val="center"/>
      </w:pPr>
      <w:r>
        <w:rPr>
          <w:b/>
          <w:color w:val="6F6F6E"/>
          <w:sz w:val="18"/>
          <w:u w:val="single" w:color="6F6F6E"/>
        </w:rPr>
        <w:t>ЛЕЧЕНИЕ</w:t>
      </w:r>
    </w:p>
    <w:p w:rsidR="00D27BC6" w:rsidRDefault="004D5071">
      <w:pPr>
        <w:pBdr>
          <w:top w:val="single" w:sz="8" w:space="0" w:color="000000"/>
          <w:left w:val="single" w:sz="8" w:space="0" w:color="000000"/>
          <w:bottom w:val="single" w:sz="8" w:space="0" w:color="000000"/>
          <w:right w:val="single" w:sz="8" w:space="0" w:color="000000"/>
        </w:pBdr>
        <w:spacing w:after="45"/>
        <w:ind w:left="120" w:right="114"/>
      </w:pPr>
      <w:r>
        <w:t>Основные компоненты:</w:t>
      </w:r>
    </w:p>
    <w:p w:rsidR="00D27BC6" w:rsidRDefault="004D5071">
      <w:pPr>
        <w:numPr>
          <w:ilvl w:val="0"/>
          <w:numId w:val="55"/>
        </w:numPr>
        <w:pBdr>
          <w:top w:val="single" w:sz="8" w:space="0" w:color="000000"/>
          <w:left w:val="single" w:sz="8" w:space="0" w:color="000000"/>
          <w:bottom w:val="single" w:sz="8" w:space="0" w:color="000000"/>
          <w:right w:val="single" w:sz="8" w:space="0" w:color="000000"/>
        </w:pBdr>
        <w:spacing w:after="10"/>
        <w:ind w:left="393" w:right="114" w:hanging="283"/>
      </w:pPr>
      <w:r>
        <w:t xml:space="preserve">Уменьшение образования лактата. </w:t>
      </w:r>
    </w:p>
    <w:p w:rsidR="00D27BC6" w:rsidRDefault="004D5071">
      <w:pPr>
        <w:numPr>
          <w:ilvl w:val="0"/>
          <w:numId w:val="55"/>
        </w:numPr>
        <w:pBdr>
          <w:top w:val="single" w:sz="8" w:space="0" w:color="000000"/>
          <w:left w:val="single" w:sz="8" w:space="0" w:color="000000"/>
          <w:bottom w:val="single" w:sz="8" w:space="0" w:color="000000"/>
          <w:right w:val="single" w:sz="8" w:space="0" w:color="000000"/>
        </w:pBdr>
        <w:spacing w:after="10"/>
        <w:ind w:left="393" w:right="114" w:hanging="283"/>
      </w:pPr>
      <w:r>
        <w:t>Выведение из организма лактата и метформина.</w:t>
      </w:r>
    </w:p>
    <w:p w:rsidR="00D27BC6" w:rsidRDefault="004D5071">
      <w:pPr>
        <w:numPr>
          <w:ilvl w:val="0"/>
          <w:numId w:val="55"/>
        </w:numPr>
        <w:pBdr>
          <w:top w:val="single" w:sz="8" w:space="0" w:color="000000"/>
          <w:left w:val="single" w:sz="8" w:space="0" w:color="000000"/>
          <w:bottom w:val="single" w:sz="8" w:space="0" w:color="000000"/>
          <w:right w:val="single" w:sz="8" w:space="0" w:color="000000"/>
        </w:pBdr>
        <w:spacing w:after="10"/>
        <w:ind w:left="393" w:right="114" w:hanging="283"/>
      </w:pPr>
      <w:r>
        <w:t>Борьба с шоком, гипоксией, ацидозом, электролитными нарушениями.</w:t>
      </w:r>
    </w:p>
    <w:p w:rsidR="00D27BC6" w:rsidRDefault="004D5071">
      <w:pPr>
        <w:numPr>
          <w:ilvl w:val="0"/>
          <w:numId w:val="55"/>
        </w:numPr>
        <w:pBdr>
          <w:top w:val="single" w:sz="8" w:space="0" w:color="000000"/>
          <w:left w:val="single" w:sz="8" w:space="0" w:color="000000"/>
          <w:bottom w:val="single" w:sz="8" w:space="0" w:color="000000"/>
          <w:right w:val="single" w:sz="8" w:space="0" w:color="000000"/>
        </w:pBdr>
        <w:spacing w:after="313"/>
        <w:ind w:left="393" w:right="114" w:hanging="283"/>
      </w:pPr>
      <w:r>
        <w:t>Устранение провоцирующих факторов.</w:t>
      </w:r>
    </w:p>
    <w:p w:rsidR="00D27BC6" w:rsidRDefault="004D5071">
      <w:pPr>
        <w:spacing w:after="226"/>
        <w:ind w:left="295" w:right="0"/>
      </w:pPr>
      <w:r>
        <w:rPr>
          <w:b/>
          <w:u w:val="single" w:color="000000"/>
        </w:rPr>
        <w:t>На догоспитальном этапе:</w:t>
      </w:r>
      <w:r>
        <w:t xml:space="preserve"> в/в инфузия 0,9% раствора NaCl.</w:t>
      </w:r>
    </w:p>
    <w:p w:rsidR="00D27BC6" w:rsidRDefault="004D5071">
      <w:pPr>
        <w:spacing w:after="0"/>
        <w:ind w:left="280" w:right="2294"/>
        <w:jc w:val="left"/>
      </w:pPr>
      <w:r>
        <w:rPr>
          <w:b/>
          <w:u w:val="single" w:color="000000"/>
        </w:rPr>
        <w:t xml:space="preserve">В реанимационном отделении или отделении интенсивной терапии </w:t>
      </w:r>
      <w:r>
        <w:t>Лабораторный и инструментальный мониторинг:</w:t>
      </w:r>
    </w:p>
    <w:p w:rsidR="00D27BC6" w:rsidRDefault="004D5071">
      <w:pPr>
        <w:spacing w:after="226"/>
        <w:ind w:left="295" w:right="0"/>
      </w:pPr>
      <w:r>
        <w:t>проводится, как при ДКА, с более частым мониторированием уровня лактата.</w:t>
      </w:r>
    </w:p>
    <w:p w:rsidR="00D27BC6" w:rsidRDefault="004D5071">
      <w:pPr>
        <w:spacing w:after="226"/>
        <w:ind w:left="280" w:right="2294"/>
        <w:jc w:val="left"/>
      </w:pPr>
      <w:r>
        <w:rPr>
          <w:b/>
          <w:u w:val="single" w:color="000000"/>
        </w:rPr>
        <w:t>Терапевтические мероприятия</w:t>
      </w:r>
    </w:p>
    <w:p w:rsidR="00D27BC6" w:rsidRDefault="004D5071">
      <w:pPr>
        <w:ind w:left="281" w:right="51"/>
        <w:jc w:val="left"/>
      </w:pPr>
      <w:r>
        <w:rPr>
          <w:b/>
        </w:rPr>
        <w:t>Уменьшение продукции лактата:</w:t>
      </w:r>
    </w:p>
    <w:p w:rsidR="00D27BC6" w:rsidRDefault="004D5071">
      <w:pPr>
        <w:numPr>
          <w:ilvl w:val="0"/>
          <w:numId w:val="55"/>
        </w:numPr>
        <w:ind w:right="0" w:hanging="283"/>
      </w:pPr>
      <w:r>
        <w:t xml:space="preserve">ИКД (ИУКД, ИСБД) по </w:t>
      </w:r>
      <w:r>
        <w:t>2–5 ЕД/ч в/в (техника в/в введения – см. раздел 8.1), 5% раствор глюкозы по 100–125 мл в час.</w:t>
      </w:r>
    </w:p>
    <w:p w:rsidR="00D27BC6" w:rsidRDefault="004D5071">
      <w:pPr>
        <w:numPr>
          <w:ilvl w:val="0"/>
          <w:numId w:val="55"/>
        </w:numPr>
        <w:ind w:right="0" w:hanging="283"/>
      </w:pPr>
      <w:r>
        <w:rPr>
          <w:b/>
        </w:rPr>
        <w:t xml:space="preserve">Удаление избытка лактата и бигуанидов (если применялись) </w:t>
      </w:r>
      <w:r>
        <w:t>(единственное эффективное мероприятие для выведения метформина – гемодиализ с безлактатным буфером).</w:t>
      </w:r>
    </w:p>
    <w:p w:rsidR="00D27BC6" w:rsidRDefault="004D5071">
      <w:pPr>
        <w:numPr>
          <w:ilvl w:val="0"/>
          <w:numId w:val="55"/>
        </w:numPr>
        <w:spacing w:after="226"/>
        <w:ind w:right="0" w:hanging="283"/>
      </w:pPr>
      <w:r>
        <w:t xml:space="preserve">При </w:t>
      </w:r>
      <w:r>
        <w:t>острой передозировке метформина – активированный уголь или другой сорбент внутрь.</w:t>
      </w:r>
    </w:p>
    <w:p w:rsidR="00D27BC6" w:rsidRDefault="004D5071">
      <w:pPr>
        <w:ind w:left="281" w:right="51"/>
        <w:jc w:val="left"/>
      </w:pPr>
      <w:r>
        <w:rPr>
          <w:b/>
        </w:rPr>
        <w:t>Восстановление КЩС</w:t>
      </w:r>
    </w:p>
    <w:p w:rsidR="00D27BC6" w:rsidRDefault="004D5071">
      <w:pPr>
        <w:numPr>
          <w:ilvl w:val="0"/>
          <w:numId w:val="55"/>
        </w:numPr>
        <w:ind w:right="0" w:hanging="283"/>
      </w:pPr>
      <w:r>
        <w:t>Искусственная вентиляция легких в режиме гипервентиляции для устранения избытка СО</w:t>
      </w:r>
      <w:r>
        <w:rPr>
          <w:sz w:val="18"/>
          <w:vertAlign w:val="subscript"/>
        </w:rPr>
        <w:t>2</w:t>
      </w:r>
      <w:r>
        <w:t xml:space="preserve"> (цель: РаСО</w:t>
      </w:r>
      <w:r>
        <w:rPr>
          <w:sz w:val="18"/>
          <w:vertAlign w:val="subscript"/>
        </w:rPr>
        <w:t>2</w:t>
      </w:r>
      <w:r>
        <w:t xml:space="preserve"> 25–30 мм рт.ст.).</w:t>
      </w:r>
    </w:p>
    <w:p w:rsidR="00D27BC6" w:rsidRDefault="004D5071">
      <w:pPr>
        <w:numPr>
          <w:ilvl w:val="0"/>
          <w:numId w:val="55"/>
        </w:numPr>
        <w:ind w:right="0" w:hanging="283"/>
      </w:pPr>
      <w:r>
        <w:t xml:space="preserve">Введение бикарбоната натрия – </w:t>
      </w:r>
      <w:r>
        <w:rPr>
          <w:u w:val="single" w:color="000000"/>
        </w:rPr>
        <w:t>только при</w:t>
      </w:r>
      <w:r>
        <w:rPr>
          <w:u w:val="single" w:color="000000"/>
        </w:rPr>
        <w:t xml:space="preserve"> рН &lt; 6,9,</w:t>
      </w:r>
      <w:r>
        <w:t xml:space="preserve"> крайне осторожно (опасность парадоксального усиления внутриклеточного ацидоза и продукции лактата), не более 100 мл 4% раствора однократно, в/в медленно, с последующим увеличением вентиляции легких для выведения избытка СО, образующегося при в/в</w:t>
      </w:r>
      <w:r>
        <w:t xml:space="preserve"> введении бикарбоната. </w:t>
      </w:r>
    </w:p>
    <w:p w:rsidR="00D27BC6" w:rsidRDefault="004D5071">
      <w:pPr>
        <w:tabs>
          <w:tab w:val="right" w:pos="10213"/>
        </w:tabs>
        <w:spacing w:after="226"/>
        <w:ind w:left="-11" w:right="0" w:firstLine="0"/>
        <w:jc w:val="left"/>
      </w:pPr>
      <w:r>
        <w:t xml:space="preserve">• </w:t>
      </w:r>
      <w:r>
        <w:tab/>
      </w:r>
      <w:r>
        <w:rPr>
          <w:noProof/>
        </w:rPr>
        <w:drawing>
          <wp:inline distT="0" distB="0" distL="0" distR="0">
            <wp:extent cx="6294121" cy="478536"/>
            <wp:effectExtent l="0" t="0" r="0" b="0"/>
            <wp:docPr id="358179" name="Picture 358179"/>
            <wp:cNvGraphicFramePr/>
            <a:graphic xmlns:a="http://schemas.openxmlformats.org/drawingml/2006/main">
              <a:graphicData uri="http://schemas.openxmlformats.org/drawingml/2006/picture">
                <pic:pic xmlns:pic="http://schemas.openxmlformats.org/drawingml/2006/picture">
                  <pic:nvPicPr>
                    <pic:cNvPr id="358179" name="Picture 358179"/>
                    <pic:cNvPicPr/>
                  </pic:nvPicPr>
                  <pic:blipFill>
                    <a:blip r:embed="rId75"/>
                    <a:stretch>
                      <a:fillRect/>
                    </a:stretch>
                  </pic:blipFill>
                  <pic:spPr>
                    <a:xfrm>
                      <a:off x="0" y="0"/>
                      <a:ext cx="6294121" cy="478536"/>
                    </a:xfrm>
                    <a:prstGeom prst="rect">
                      <a:avLst/>
                    </a:prstGeom>
                  </pic:spPr>
                </pic:pic>
              </a:graphicData>
            </a:graphic>
          </wp:inline>
        </w:drawing>
      </w:r>
    </w:p>
    <w:p w:rsidR="00D27BC6" w:rsidRDefault="004D5071">
      <w:pPr>
        <w:ind w:left="281" w:right="51"/>
        <w:jc w:val="left"/>
      </w:pPr>
      <w:r>
        <w:rPr>
          <w:b/>
        </w:rPr>
        <w:t>Борьба с шоком и гиповолемией</w:t>
      </w:r>
    </w:p>
    <w:p w:rsidR="00D27BC6" w:rsidRDefault="004D5071">
      <w:pPr>
        <w:spacing w:after="226"/>
        <w:ind w:left="295" w:right="0"/>
      </w:pPr>
      <w:r>
        <w:t>По общим принципам интенсивной терапии.</w:t>
      </w:r>
    </w:p>
    <w:p w:rsidR="00D27BC6" w:rsidRDefault="004D5071">
      <w:pPr>
        <w:spacing w:after="232"/>
        <w:ind w:left="290" w:right="285"/>
        <w:jc w:val="center"/>
      </w:pPr>
      <w:r>
        <w:rPr>
          <w:b/>
        </w:rPr>
        <w:t>8.4. ГИПОГЛИКЕМИЯ И ГИПОГЛИКЕМИЧЕСКАЯ КОМА</w:t>
      </w:r>
    </w:p>
    <w:p w:rsidR="00D27BC6" w:rsidRDefault="004D5071">
      <w:pPr>
        <w:ind w:left="-11" w:right="0" w:firstLine="283"/>
      </w:pPr>
      <w:r>
        <w:rPr>
          <w:b/>
        </w:rPr>
        <w:t>Гипогликемии</w:t>
      </w:r>
      <w:r>
        <w:t xml:space="preserve"> – серьезный лимитирующий фактор в достижении целевых уровней углеводного обмена, они ассоциированы с ухудшением качества жизни, травматизацией, а тяжелая гипогликемия может привести к смертельному исходу. </w:t>
      </w:r>
    </w:p>
    <w:p w:rsidR="00D27BC6" w:rsidRDefault="004D5071">
      <w:pPr>
        <w:spacing w:after="230"/>
        <w:ind w:left="-11" w:right="0" w:firstLine="283"/>
      </w:pPr>
      <w:r>
        <w:t>Необходимо активное выявление гипогликемий, а так</w:t>
      </w:r>
      <w:r>
        <w:t>же признаков нарушения распознавания их симптомов у пациентов, получающих инсулин или секретагоги. Пациенты с гипогликемиями в анамнезе и высоким риском их развития нуждаются в систематическом возобновлении обучающей информации по профилактике и купировани</w:t>
      </w:r>
      <w:r>
        <w:t>ю этих состояний.</w:t>
      </w:r>
    </w:p>
    <w:p w:rsidR="00D27BC6" w:rsidRDefault="004D5071">
      <w:pPr>
        <w:ind w:left="295" w:right="0"/>
      </w:pPr>
      <w:r>
        <w:rPr>
          <w:b/>
        </w:rPr>
        <w:t>В настоящее время гипогликемии классифицируют следующим образом:</w:t>
      </w:r>
    </w:p>
    <w:p w:rsidR="00D27BC6" w:rsidRDefault="004D5071">
      <w:pPr>
        <w:ind w:left="-11" w:right="0" w:firstLine="283"/>
      </w:pPr>
      <w:r>
        <w:rPr>
          <w:b/>
        </w:rPr>
        <w:t>Уровень 1</w:t>
      </w:r>
      <w:r>
        <w:t>: значения глюкозы плазмы от 3,0 до &lt; 3,9 ммоль/л (с симптомами или без) у больных СД, получающих сахароснижающую терапию, указывают на риск развития гипогликемии и</w:t>
      </w:r>
      <w:r>
        <w:t xml:space="preserve"> требуют начала мероприятий по купированию гипогликемии независимо от наличия или отсутствия симптомов.</w:t>
      </w:r>
    </w:p>
    <w:p w:rsidR="00D27BC6" w:rsidRDefault="004D5071">
      <w:pPr>
        <w:ind w:left="-11" w:right="0" w:firstLine="283"/>
      </w:pPr>
      <w:r>
        <w:rPr>
          <w:b/>
        </w:rPr>
        <w:t>Уровень 2</w:t>
      </w:r>
      <w:r>
        <w:t>: значения глюкозы плазмы &lt; 3.0 ммоль/л, с симптомами или без – клинически значимая гипогликемия, требующая немедленного купирования.</w:t>
      </w:r>
    </w:p>
    <w:p w:rsidR="00D27BC6" w:rsidRDefault="004D5071">
      <w:pPr>
        <w:ind w:left="-11" w:right="0" w:firstLine="283"/>
      </w:pPr>
      <w:r>
        <w:rPr>
          <w:b/>
        </w:rPr>
        <w:t>Уровень 3</w:t>
      </w:r>
      <w:r>
        <w:t>: тяжелая гипогликемия – гипогликемия в пределах вышеуказанного диапазона с таким нарушением когнитивных функций (включая потерю сознания, т.е. гипогликемическую кому), которое требует помощи другого лица для купирования.</w:t>
      </w:r>
    </w:p>
    <w:p w:rsidR="00D27BC6" w:rsidRDefault="004D5071">
      <w:pPr>
        <w:ind w:left="-11" w:right="0" w:firstLine="283"/>
      </w:pPr>
      <w:r>
        <w:t>Основная причина: избыток инсулина</w:t>
      </w:r>
      <w:r>
        <w:t xml:space="preserve"> в организме по отношению к поступлению углеводов извне (с пищей) или из эндогенных источников (продукция глюкозы печенью), а также при ускоренной утилизации углеводов (например, мышечная работа).</w:t>
      </w:r>
    </w:p>
    <w:p w:rsidR="00D27BC6" w:rsidRDefault="004D5071">
      <w:pPr>
        <w:ind w:left="281" w:right="51"/>
        <w:jc w:val="left"/>
      </w:pPr>
      <w:r>
        <w:rPr>
          <w:b/>
        </w:rPr>
        <w:t>Провоцирующие факторы:</w:t>
      </w:r>
    </w:p>
    <w:p w:rsidR="00D27BC6" w:rsidRDefault="004D5071">
      <w:pPr>
        <w:numPr>
          <w:ilvl w:val="0"/>
          <w:numId w:val="56"/>
        </w:numPr>
        <w:ind w:right="0" w:hanging="283"/>
      </w:pPr>
      <w:r>
        <w:t>Непосредственно связанные с медикаме</w:t>
      </w:r>
      <w:r>
        <w:t>нтозной сахароснижающей терапией:</w:t>
      </w:r>
    </w:p>
    <w:p w:rsidR="00D27BC6" w:rsidRDefault="004D5071">
      <w:pPr>
        <w:numPr>
          <w:ilvl w:val="1"/>
          <w:numId w:val="56"/>
        </w:numPr>
        <w:ind w:left="568" w:right="0" w:hanging="283"/>
      </w:pPr>
      <w:r>
        <w:t>передозировка инсулина, ПСМ или глинидов: ошибка больного, ошибка функции инсулиновой шприц-ручки, глюкометра, намеренная передозировка; ошибка врача (слишком низкий целевой уровень гликемии, слишком высокие дозы);</w:t>
      </w:r>
    </w:p>
    <w:p w:rsidR="00D27BC6" w:rsidRDefault="004D5071">
      <w:pPr>
        <w:numPr>
          <w:ilvl w:val="1"/>
          <w:numId w:val="56"/>
        </w:numPr>
        <w:ind w:left="568" w:right="0" w:hanging="283"/>
      </w:pPr>
      <w:r>
        <w:t>изменение фармакокинетики инсулина или ПССП: смена препарата, почечная и печеночная недостаточность, неправильная техника инъекций, лекарственные взаимодействия ПСМ;</w:t>
      </w:r>
    </w:p>
    <w:p w:rsidR="00D27BC6" w:rsidRDefault="004D5071">
      <w:pPr>
        <w:numPr>
          <w:ilvl w:val="1"/>
          <w:numId w:val="56"/>
        </w:numPr>
        <w:ind w:left="568" w:right="0" w:hanging="283"/>
      </w:pPr>
      <w:r>
        <w:t>повышение чувствительности к инсулину: длительная физическая нагрузка, ранний послеродовой</w:t>
      </w:r>
      <w:r>
        <w:t xml:space="preserve"> период, надпочечниковая или гипофизарная недостаточность.</w:t>
      </w:r>
    </w:p>
    <w:p w:rsidR="00D27BC6" w:rsidRDefault="004D5071">
      <w:pPr>
        <w:numPr>
          <w:ilvl w:val="0"/>
          <w:numId w:val="56"/>
        </w:numPr>
        <w:ind w:right="0" w:hanging="283"/>
      </w:pPr>
      <w:r>
        <w:t>Питание: пропуск приема или недостаточное количество ХЕ, алкоголь, ограничение питания для снижения массы тела (без соответствующего уменьшения дозы сахароснижающих препаратов); замедление опорожне</w:t>
      </w:r>
      <w:r>
        <w:t>ния желудка (при автономной нейропатии), рвота, синдром мальабсорбции.</w:t>
      </w:r>
    </w:p>
    <w:p w:rsidR="00D27BC6" w:rsidRDefault="004D5071">
      <w:pPr>
        <w:numPr>
          <w:ilvl w:val="0"/>
          <w:numId w:val="56"/>
        </w:numPr>
        <w:spacing w:after="226"/>
        <w:ind w:right="0" w:hanging="283"/>
      </w:pPr>
      <w:r>
        <w:t>Беременность (первый триместр) и кормление грудью.</w:t>
      </w:r>
    </w:p>
    <w:p w:rsidR="00D27BC6" w:rsidRDefault="004D5071">
      <w:pPr>
        <w:ind w:left="281" w:right="51"/>
        <w:jc w:val="left"/>
      </w:pPr>
      <w:r>
        <w:rPr>
          <w:b/>
        </w:rPr>
        <w:t>Клиническая картина</w:t>
      </w:r>
    </w:p>
    <w:p w:rsidR="00D27BC6" w:rsidRDefault="004D5071">
      <w:pPr>
        <w:numPr>
          <w:ilvl w:val="0"/>
          <w:numId w:val="56"/>
        </w:numPr>
        <w:ind w:right="0" w:hanging="283"/>
      </w:pPr>
      <w:r>
        <w:t>Вегетативные симптомы: сердцебиение, дрожь, бледность кожи, потливость, мидриаз, тошнота, голод, беспокойство, тре</w:t>
      </w:r>
      <w:r>
        <w:t>вога, агрессивность.</w:t>
      </w:r>
    </w:p>
    <w:p w:rsidR="00D27BC6" w:rsidRDefault="004D5071">
      <w:pPr>
        <w:numPr>
          <w:ilvl w:val="0"/>
          <w:numId w:val="56"/>
        </w:numPr>
        <w:spacing w:after="230"/>
        <w:ind w:right="0" w:hanging="283"/>
      </w:pPr>
      <w:r>
        <w:t>Нейрогликопенические симптомы: слабость, нарушение концентрации, головная боль, головокружение, сонливость, парестезии, нарушения зрения, растерянность, дезориентация, дизартрия, нарушение координации движений, спутанность сознания, ко</w:t>
      </w:r>
      <w:r>
        <w:t>ма; возможны судороги и другие неврологические симптомы.</w:t>
      </w:r>
    </w:p>
    <w:p w:rsidR="00D27BC6" w:rsidRDefault="004D5071">
      <w:pPr>
        <w:ind w:left="281" w:right="51"/>
        <w:jc w:val="left"/>
      </w:pPr>
      <w:r>
        <w:rPr>
          <w:b/>
        </w:rPr>
        <w:t xml:space="preserve">Лабораторные изменения: диагностика </w:t>
      </w:r>
    </w:p>
    <w:tbl>
      <w:tblPr>
        <w:tblStyle w:val="TableGrid"/>
        <w:tblW w:w="10195" w:type="dxa"/>
        <w:tblInd w:w="9" w:type="dxa"/>
        <w:tblCellMar>
          <w:top w:w="16" w:type="dxa"/>
          <w:left w:w="115" w:type="dxa"/>
          <w:bottom w:w="0" w:type="dxa"/>
          <w:right w:w="115" w:type="dxa"/>
        </w:tblCellMar>
        <w:tblLook w:val="04A0" w:firstRow="1" w:lastRow="0" w:firstColumn="1" w:lastColumn="0" w:noHBand="0" w:noVBand="1"/>
      </w:tblPr>
      <w:tblGrid>
        <w:gridCol w:w="5097"/>
        <w:gridCol w:w="5097"/>
      </w:tblGrid>
      <w:tr w:rsidR="00D27BC6">
        <w:trPr>
          <w:trHeight w:val="560"/>
        </w:trPr>
        <w:tc>
          <w:tcPr>
            <w:tcW w:w="5097"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t>Анализ крови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708" w:right="708" w:firstLine="0"/>
              <w:jc w:val="center"/>
            </w:pPr>
            <w:r>
              <w:t>Глюкоза плазмы &lt; 3,0 ммоль/л  (при коме – как правило, &lt; 2,2 ммоль/л)</w:t>
            </w:r>
          </w:p>
        </w:tc>
      </w:tr>
    </w:tbl>
    <w:p w:rsidR="00D27BC6" w:rsidRDefault="004D5071">
      <w:pPr>
        <w:ind w:left="281" w:right="51"/>
        <w:jc w:val="left"/>
      </w:pPr>
      <w:r>
        <w:rPr>
          <w:b/>
        </w:rPr>
        <w:t>Дифференциальная диагностика</w:t>
      </w:r>
    </w:p>
    <w:p w:rsidR="00D27BC6" w:rsidRDefault="004D5071">
      <w:pPr>
        <w:ind w:left="-11" w:right="0" w:firstLine="283"/>
      </w:pPr>
      <w:r>
        <w:t>Ни один из клинических симптомов гипогликемии не является патогномоничным. Вегетативные и многие нейрогликопенические симптомы легкой гипогликемии следует дифференцировать от:</w:t>
      </w:r>
    </w:p>
    <w:p w:rsidR="00D27BC6" w:rsidRDefault="004D5071">
      <w:pPr>
        <w:numPr>
          <w:ilvl w:val="0"/>
          <w:numId w:val="56"/>
        </w:numPr>
        <w:ind w:right="0" w:hanging="283"/>
      </w:pPr>
      <w:r>
        <w:t>Фобий (патологического страха) гипогликемий</w:t>
      </w:r>
    </w:p>
    <w:p w:rsidR="00D27BC6" w:rsidRDefault="004D5071">
      <w:pPr>
        <w:numPr>
          <w:ilvl w:val="0"/>
          <w:numId w:val="56"/>
        </w:numPr>
        <w:ind w:right="0" w:hanging="283"/>
      </w:pPr>
      <w:r>
        <w:t>Панических атак</w:t>
      </w:r>
    </w:p>
    <w:p w:rsidR="00D27BC6" w:rsidRDefault="004D5071">
      <w:pPr>
        <w:numPr>
          <w:ilvl w:val="0"/>
          <w:numId w:val="56"/>
        </w:numPr>
        <w:ind w:right="0" w:hanging="283"/>
      </w:pPr>
      <w:r>
        <w:t>Иных пароксизмальных</w:t>
      </w:r>
      <w:r>
        <w:t xml:space="preserve"> состояний (вегетативной эпилепсии и др.)</w:t>
      </w:r>
    </w:p>
    <w:p w:rsidR="00D27BC6" w:rsidRDefault="004D5071">
      <w:pPr>
        <w:spacing w:after="269"/>
        <w:ind w:left="295" w:right="0"/>
      </w:pPr>
      <w:r>
        <w:t>При гипогликемической коме необходим дифференциальный диагноз с другими причинами потери сознания.</w:t>
      </w:r>
    </w:p>
    <w:p w:rsidR="00D27BC6" w:rsidRDefault="004D5071">
      <w:pPr>
        <w:pBdr>
          <w:top w:val="single" w:sz="8" w:space="0" w:color="000000"/>
          <w:left w:val="single" w:sz="8" w:space="0" w:color="000000"/>
          <w:bottom w:val="single" w:sz="8" w:space="0" w:color="000000"/>
          <w:right w:val="single" w:sz="8" w:space="0" w:color="000000"/>
        </w:pBdr>
        <w:spacing w:after="427"/>
        <w:ind w:left="159" w:right="93"/>
        <w:jc w:val="center"/>
      </w:pPr>
      <w:r>
        <w:rPr>
          <w:b/>
        </w:rPr>
        <w:t>Единственным методом дифференциальной диагностики гипогликемии является экстренное определение уровня глюкозы крови</w:t>
      </w:r>
    </w:p>
    <w:p w:rsidR="00D27BC6" w:rsidRDefault="004D5071">
      <w:pPr>
        <w:spacing w:after="243" w:line="259" w:lineRule="auto"/>
        <w:ind w:left="10" w:right="4"/>
        <w:jc w:val="center"/>
      </w:pPr>
      <w:r>
        <w:rPr>
          <w:b/>
          <w:color w:val="6F6F6E"/>
          <w:sz w:val="18"/>
          <w:u w:val="single" w:color="6F6F6E"/>
        </w:rPr>
        <w:t>ЛЕЧЕНИЕ</w:t>
      </w:r>
    </w:p>
    <w:p w:rsidR="00D27BC6" w:rsidRDefault="004D5071">
      <w:pPr>
        <w:ind w:left="281" w:right="51"/>
        <w:jc w:val="left"/>
      </w:pPr>
      <w:r>
        <w:rPr>
          <w:b/>
        </w:rPr>
        <w:t>Легкая гипогликемия (не требующая помощи другого лица)</w:t>
      </w:r>
    </w:p>
    <w:p w:rsidR="00D27BC6" w:rsidRDefault="004D5071">
      <w:pPr>
        <w:ind w:left="-11" w:right="0" w:firstLine="283"/>
      </w:pPr>
      <w:r>
        <w:t xml:space="preserve">Прием 1–2 ХЕ быстро усваиваемых углеводов: сахар (2–4 куска по 5 г, лучше растворить), или мед или варенье (1–1,5 столовых ложки), или 100–200 мл фруктового сока, или 100–200 мл лимонада на сахаре, или 4–5 больших таблеток глюкозы (по 3–4 г), или 1–2 тубы </w:t>
      </w:r>
      <w:r>
        <w:t>с углеводным сиропом (по 10 г углеводов). Если через 15 минут гипогликемия не купируется, повторить лечение.</w:t>
      </w:r>
    </w:p>
    <w:p w:rsidR="00D27BC6" w:rsidRDefault="004D5071">
      <w:pPr>
        <w:spacing w:after="230"/>
        <w:ind w:left="-11" w:right="0" w:firstLine="283"/>
      </w:pPr>
      <w:r>
        <w:t>Если гипогликемия вызвана пролонгированным инсулином, особенно в ночное время, то дополнительно съесть 1–2 ХЕ медленно усваиваемых углеводов (хлеб,</w:t>
      </w:r>
      <w:r>
        <w:t xml:space="preserve"> каша и т.д.).</w:t>
      </w:r>
    </w:p>
    <w:p w:rsidR="00D27BC6" w:rsidRDefault="004D5071">
      <w:pPr>
        <w:ind w:left="2" w:right="51" w:firstLine="283"/>
        <w:jc w:val="left"/>
      </w:pPr>
      <w:r>
        <w:rPr>
          <w:b/>
        </w:rPr>
        <w:t>Тяжелая гипогликемия, потребовавшая помощи другого лица, но без потери сознания, с сохраненной способностью глотать</w:t>
      </w:r>
    </w:p>
    <w:p w:rsidR="00D27BC6" w:rsidRDefault="004D5071">
      <w:pPr>
        <w:numPr>
          <w:ilvl w:val="0"/>
          <w:numId w:val="57"/>
        </w:numPr>
        <w:ind w:right="0" w:hanging="283"/>
      </w:pPr>
      <w:r>
        <w:t>Дать пациенту легкоусвояемые углеводы в количестве 2–3 ХЕ (вид углеводов тот же, что при легкой гипогликемии</w:t>
      </w:r>
    </w:p>
    <w:p w:rsidR="00D27BC6" w:rsidRDefault="004D5071">
      <w:pPr>
        <w:numPr>
          <w:ilvl w:val="0"/>
          <w:numId w:val="57"/>
        </w:numPr>
        <w:spacing w:after="230"/>
        <w:ind w:right="0" w:hanging="283"/>
      </w:pPr>
      <w:r>
        <w:t>Альтернативой мо</w:t>
      </w:r>
      <w:r>
        <w:t>жет быть в/в струйное введение 40% глюкозы или 1 мг глюкагона, как при гипогликемической коме (см. далее)</w:t>
      </w:r>
    </w:p>
    <w:p w:rsidR="00D27BC6" w:rsidRDefault="004D5071">
      <w:pPr>
        <w:ind w:left="2" w:right="51" w:firstLine="283"/>
        <w:jc w:val="left"/>
      </w:pPr>
      <w:r>
        <w:rPr>
          <w:b/>
        </w:rPr>
        <w:t>Тяжелая гипогликемия, потребовавшая помощи другого лица, с потерей сознания и невозможностью глотать (гипогликемическая кома):</w:t>
      </w:r>
    </w:p>
    <w:p w:rsidR="00D27BC6" w:rsidRDefault="004D5071">
      <w:pPr>
        <w:ind w:left="-11" w:right="0" w:firstLine="283"/>
      </w:pPr>
      <w:r>
        <w:t>Пациента уложить на бок</w:t>
      </w:r>
      <w:r>
        <w:t>, освободить полость рта от остатков пищи. При потере сознания нельзя вливать в полость рта сладкие растворы (опасность асфиксии!).</w:t>
      </w:r>
    </w:p>
    <w:p w:rsidR="00D27BC6" w:rsidRDefault="004D5071">
      <w:pPr>
        <w:numPr>
          <w:ilvl w:val="0"/>
          <w:numId w:val="57"/>
        </w:numPr>
        <w:ind w:right="0" w:hanging="283"/>
      </w:pPr>
      <w:r>
        <w:t>В/в струйно ввести 40–100 мл 40% раствора глюкозы, до полного восстановления сознания.</w:t>
      </w:r>
    </w:p>
    <w:p w:rsidR="00D27BC6" w:rsidRDefault="004D5071">
      <w:pPr>
        <w:numPr>
          <w:ilvl w:val="0"/>
          <w:numId w:val="57"/>
        </w:numPr>
        <w:ind w:right="0" w:hanging="283"/>
      </w:pPr>
      <w:r>
        <w:t xml:space="preserve">Альтернатива – 1 мг (маленьким детям </w:t>
      </w:r>
      <w:r>
        <w:t xml:space="preserve">0,5 мг) глюкагона п/к или в/м (вводится родственником больного). </w:t>
      </w:r>
    </w:p>
    <w:p w:rsidR="00D27BC6" w:rsidRDefault="004D5071">
      <w:pPr>
        <w:numPr>
          <w:ilvl w:val="0"/>
          <w:numId w:val="57"/>
        </w:numPr>
        <w:ind w:right="0" w:hanging="283"/>
      </w:pPr>
      <w:r>
        <w:t>Если сознание не восстанавливается после в/в введения 100 мл 40% раствора глюкозы – начать в/в капельное введение 5–10% раствора глюкозы и госпитализировать.</w:t>
      </w:r>
    </w:p>
    <w:p w:rsidR="00D27BC6" w:rsidRDefault="004D5071">
      <w:pPr>
        <w:numPr>
          <w:ilvl w:val="0"/>
          <w:numId w:val="57"/>
        </w:numPr>
        <w:spacing w:after="322"/>
        <w:ind w:right="0" w:hanging="283"/>
      </w:pPr>
      <w:r>
        <w:t>Если причиной является передозир</w:t>
      </w:r>
      <w:r>
        <w:t xml:space="preserve">овка ПССП с большой продолжительностью действия, в/в капельное введение 5–10% раствора глюкозы продолжать до нормализации гликемии и полного выведения препарата из организма. </w:t>
      </w:r>
    </w:p>
    <w:p w:rsidR="00D27BC6" w:rsidRDefault="004D5071">
      <w:pPr>
        <w:pStyle w:val="Heading1"/>
        <w:spacing w:after="84"/>
        <w:ind w:left="313" w:right="309"/>
      </w:pPr>
      <w:r>
        <w:t>9. ДИАБЕТИЧЕСКИЕ МИКРОАНГИОПАТИИ</w:t>
      </w:r>
    </w:p>
    <w:p w:rsidR="00D27BC6" w:rsidRDefault="004D5071">
      <w:pPr>
        <w:spacing w:after="244" w:line="231" w:lineRule="auto"/>
        <w:ind w:left="-13" w:right="5766" w:firstLine="283"/>
        <w:jc w:val="left"/>
      </w:pPr>
      <w:r>
        <w:t xml:space="preserve">К диабетическим микроангиопатиям относятся: • </w:t>
      </w:r>
      <w:r>
        <w:tab/>
      </w:r>
      <w:r>
        <w:t xml:space="preserve">диабетическая ретинопатия; • </w:t>
      </w:r>
      <w:r>
        <w:tab/>
        <w:t>диабетическая нефропатия.</w:t>
      </w:r>
    </w:p>
    <w:p w:rsidR="00D27BC6" w:rsidRDefault="004D5071">
      <w:pPr>
        <w:pStyle w:val="Heading2"/>
        <w:spacing w:after="10" w:line="248" w:lineRule="auto"/>
        <w:ind w:left="162" w:right="156"/>
        <w:jc w:val="center"/>
      </w:pPr>
      <w:r>
        <w:rPr>
          <w:color w:val="1E5D99"/>
        </w:rPr>
        <w:t>Основные факторы риска</w:t>
      </w:r>
    </w:p>
    <w:tbl>
      <w:tblPr>
        <w:tblStyle w:val="TableGrid"/>
        <w:tblW w:w="10195" w:type="dxa"/>
        <w:tblInd w:w="11" w:type="dxa"/>
        <w:tblCellMar>
          <w:top w:w="9" w:type="dxa"/>
          <w:left w:w="55" w:type="dxa"/>
          <w:bottom w:w="0" w:type="dxa"/>
          <w:right w:w="115" w:type="dxa"/>
        </w:tblCellMar>
        <w:tblLook w:val="04A0" w:firstRow="1" w:lastRow="0" w:firstColumn="1" w:lastColumn="0" w:noHBand="0" w:noVBand="1"/>
      </w:tblPr>
      <w:tblGrid>
        <w:gridCol w:w="5095"/>
        <w:gridCol w:w="5099"/>
      </w:tblGrid>
      <w:tr w:rsidR="00D27BC6">
        <w:trPr>
          <w:trHeight w:val="320"/>
        </w:trPr>
        <w:tc>
          <w:tcPr>
            <w:tcW w:w="509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Немодифицируемые</w:t>
            </w:r>
          </w:p>
        </w:tc>
        <w:tc>
          <w:tcPr>
            <w:tcW w:w="509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Модифицируемые</w:t>
            </w:r>
          </w:p>
        </w:tc>
      </w:tr>
      <w:tr w:rsidR="00D27BC6">
        <w:trPr>
          <w:trHeight w:val="800"/>
        </w:trPr>
        <w:tc>
          <w:tcPr>
            <w:tcW w:w="50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Длительность СД </w:t>
            </w:r>
          </w:p>
          <w:p w:rsidR="00D27BC6" w:rsidRDefault="004D5071">
            <w:pPr>
              <w:spacing w:after="0" w:line="259" w:lineRule="auto"/>
              <w:ind w:left="0" w:right="0" w:firstLine="0"/>
              <w:jc w:val="left"/>
            </w:pPr>
            <w:r>
              <w:t>Генетические факторы</w:t>
            </w:r>
          </w:p>
        </w:tc>
        <w:tc>
          <w:tcPr>
            <w:tcW w:w="509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2" w:right="0" w:firstLine="0"/>
              <w:jc w:val="left"/>
            </w:pPr>
            <w:r>
              <w:t xml:space="preserve">Гипергликемия (HbA1c) </w:t>
            </w:r>
          </w:p>
          <w:p w:rsidR="00D27BC6" w:rsidRDefault="004D5071">
            <w:pPr>
              <w:spacing w:after="0" w:line="259" w:lineRule="auto"/>
              <w:ind w:left="2" w:right="1203" w:firstLine="0"/>
              <w:jc w:val="left"/>
            </w:pPr>
            <w:r>
              <w:t>Артериальная гипертензия Дислипидемия</w:t>
            </w:r>
          </w:p>
        </w:tc>
      </w:tr>
      <w:tr w:rsidR="00D27BC6">
        <w:trPr>
          <w:trHeight w:val="210"/>
        </w:trPr>
        <w:tc>
          <w:tcPr>
            <w:tcW w:w="5095" w:type="dxa"/>
            <w:tcBorders>
              <w:top w:val="single" w:sz="6" w:space="0" w:color="000000"/>
              <w:left w:val="nil"/>
              <w:bottom w:val="single" w:sz="8" w:space="0" w:color="000000"/>
              <w:right w:val="nil"/>
            </w:tcBorders>
          </w:tcPr>
          <w:p w:rsidR="00D27BC6" w:rsidRDefault="00D27BC6">
            <w:pPr>
              <w:spacing w:after="160" w:line="259" w:lineRule="auto"/>
              <w:ind w:left="0" w:right="0" w:firstLine="0"/>
              <w:jc w:val="left"/>
            </w:pPr>
          </w:p>
        </w:tc>
        <w:tc>
          <w:tcPr>
            <w:tcW w:w="5099" w:type="dxa"/>
            <w:tcBorders>
              <w:top w:val="single" w:sz="6" w:space="0" w:color="000000"/>
              <w:left w:val="nil"/>
              <w:bottom w:val="single" w:sz="8" w:space="0" w:color="000000"/>
              <w:right w:val="nil"/>
            </w:tcBorders>
          </w:tcPr>
          <w:p w:rsidR="00D27BC6" w:rsidRDefault="00D27BC6">
            <w:pPr>
              <w:spacing w:after="160" w:line="259" w:lineRule="auto"/>
              <w:ind w:left="0" w:right="0" w:firstLine="0"/>
              <w:jc w:val="left"/>
            </w:pPr>
          </w:p>
        </w:tc>
      </w:tr>
      <w:tr w:rsidR="00D27BC6">
        <w:trPr>
          <w:trHeight w:val="673"/>
        </w:trPr>
        <w:tc>
          <w:tcPr>
            <w:tcW w:w="10195" w:type="dxa"/>
            <w:gridSpan w:val="2"/>
            <w:tcBorders>
              <w:top w:val="single" w:sz="8" w:space="0" w:color="000000"/>
              <w:left w:val="single" w:sz="8" w:space="0" w:color="000000"/>
              <w:bottom w:val="single" w:sz="8" w:space="0" w:color="000000"/>
              <w:right w:val="single" w:sz="8" w:space="0" w:color="000000"/>
            </w:tcBorders>
          </w:tcPr>
          <w:p w:rsidR="00D27BC6" w:rsidRDefault="004D5071">
            <w:pPr>
              <w:spacing w:after="0" w:line="259" w:lineRule="auto"/>
              <w:ind w:left="0" w:right="0" w:firstLine="0"/>
              <w:jc w:val="center"/>
            </w:pPr>
            <w:r>
              <w:rPr>
                <w:b/>
              </w:rPr>
              <w:t>Обучение больных методам самоконтроля гликемии и артериального давления – обязательное условие профилактики и успешного лечения осложнений СД!</w:t>
            </w:r>
          </w:p>
        </w:tc>
      </w:tr>
    </w:tbl>
    <w:p w:rsidR="00D27BC6" w:rsidRDefault="004D5071">
      <w:pPr>
        <w:spacing w:after="12"/>
        <w:ind w:left="290" w:right="286"/>
        <w:jc w:val="center"/>
      </w:pPr>
      <w:r>
        <w:rPr>
          <w:b/>
        </w:rPr>
        <w:t>9.1. ДИАБЕТИЧЕСКАЯ РЕТИНОПАТИЯ</w:t>
      </w:r>
    </w:p>
    <w:p w:rsidR="00D27BC6" w:rsidRDefault="004D5071">
      <w:pPr>
        <w:spacing w:after="222"/>
        <w:ind w:left="-11" w:right="0" w:firstLine="283"/>
      </w:pPr>
      <w:r>
        <w:t>При СД поражение сетчатки проявляется виде диабетической ретинопатии и/или диабетического макулярного отека.</w:t>
      </w:r>
    </w:p>
    <w:p w:rsidR="00D27BC6" w:rsidRDefault="004D5071">
      <w:pPr>
        <w:pBdr>
          <w:top w:val="single" w:sz="8" w:space="0" w:color="000000"/>
          <w:left w:val="single" w:sz="8" w:space="0" w:color="000000"/>
          <w:bottom w:val="single" w:sz="8" w:space="0" w:color="000000"/>
          <w:right w:val="single" w:sz="8" w:space="0" w:color="000000"/>
        </w:pBdr>
        <w:spacing w:after="244"/>
        <w:ind w:left="120" w:right="114"/>
      </w:pPr>
      <w:r>
        <w:rPr>
          <w:b/>
        </w:rPr>
        <w:t>Диабетическая ретинопатия (ДР)</w:t>
      </w:r>
      <w:r>
        <w:t xml:space="preserve"> — специфичное позднее нейромикрососудистое осложнение СД, развивающееся, как правило, последовательно от изменений, </w:t>
      </w:r>
      <w:r>
        <w:t>связанных с повышенной проницаемостью и окклюзией ретинальных сосудов до появления новообразованных сосудов и фиброглиальной ткани. Является одним из проявлений генерализованной микроангиопатии.</w:t>
      </w:r>
    </w:p>
    <w:p w:rsidR="00D27BC6" w:rsidRDefault="004D5071">
      <w:pPr>
        <w:spacing w:after="230"/>
        <w:ind w:left="-11" w:right="0" w:firstLine="283"/>
      </w:pPr>
      <w:r>
        <w:t>Классификация ДР, принятая Общероссийской общественной органи</w:t>
      </w:r>
      <w:r>
        <w:t>зацией «Ассоциация врачей-офтальмологов» для применения в амбулаторной практике, выделяет три стадии заболевания (см. таблицу «Классификация ДР» ниже). Самой полной на сегодняшний день является классификация Исследовательской группы по изучению раннего леч</w:t>
      </w:r>
      <w:r>
        <w:t>ения ДР (Early Treatment Diabetic Retinopathy Study – ETDRS) 1991 года, которая также может быть использована в клинической практике (см. приложение 7).</w:t>
      </w:r>
    </w:p>
    <w:p w:rsidR="00D27BC6" w:rsidRDefault="004D5071">
      <w:pPr>
        <w:pStyle w:val="Heading2"/>
        <w:ind w:left="-3"/>
      </w:pPr>
      <w:r>
        <w:t>Классификация ДР</w:t>
      </w:r>
    </w:p>
    <w:tbl>
      <w:tblPr>
        <w:tblStyle w:val="TableGrid"/>
        <w:tblW w:w="10195" w:type="dxa"/>
        <w:tblInd w:w="9" w:type="dxa"/>
        <w:tblCellMar>
          <w:top w:w="9" w:type="dxa"/>
          <w:left w:w="57" w:type="dxa"/>
          <w:bottom w:w="0" w:type="dxa"/>
          <w:right w:w="111" w:type="dxa"/>
        </w:tblCellMar>
        <w:tblLook w:val="04A0" w:firstRow="1" w:lastRow="0" w:firstColumn="1" w:lastColumn="0" w:noHBand="0" w:noVBand="1"/>
      </w:tblPr>
      <w:tblGrid>
        <w:gridCol w:w="2117"/>
        <w:gridCol w:w="8078"/>
      </w:tblGrid>
      <w:tr w:rsidR="00D27BC6">
        <w:trPr>
          <w:trHeight w:val="320"/>
        </w:trPr>
        <w:tc>
          <w:tcPr>
            <w:tcW w:w="211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5" w:right="0" w:firstLine="0"/>
              <w:jc w:val="center"/>
            </w:pPr>
            <w:r>
              <w:rPr>
                <w:b/>
              </w:rPr>
              <w:t>Стадии ДР</w:t>
            </w:r>
          </w:p>
        </w:tc>
        <w:tc>
          <w:tcPr>
            <w:tcW w:w="807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5" w:right="0" w:firstLine="0"/>
              <w:jc w:val="center"/>
            </w:pPr>
            <w:r>
              <w:rPr>
                <w:b/>
              </w:rPr>
              <w:t>Характеристика изменений на глазном дне*</w:t>
            </w:r>
          </w:p>
        </w:tc>
      </w:tr>
      <w:tr w:rsidR="00D27BC6">
        <w:trPr>
          <w:trHeight w:val="560"/>
        </w:trPr>
        <w:tc>
          <w:tcPr>
            <w:tcW w:w="211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Непролиферативная</w:t>
            </w:r>
          </w:p>
        </w:tc>
        <w:tc>
          <w:tcPr>
            <w:tcW w:w="807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553" w:firstLine="0"/>
              <w:jc w:val="left"/>
            </w:pPr>
            <w:r>
              <w:t>Микроаневризмы, мелкие интраретинальные кровоизлияния, «мягкие» («ватные») и твердые экссудаты</w:t>
            </w:r>
          </w:p>
        </w:tc>
      </w:tr>
      <w:tr w:rsidR="00D27BC6">
        <w:trPr>
          <w:trHeight w:val="1280"/>
        </w:trPr>
        <w:tc>
          <w:tcPr>
            <w:tcW w:w="211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Препролиферативная</w:t>
            </w:r>
          </w:p>
        </w:tc>
        <w:tc>
          <w:tcPr>
            <w:tcW w:w="807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Наличие хотя бы одного из 3 признаков:</w:t>
            </w:r>
          </w:p>
          <w:p w:rsidR="00D27BC6" w:rsidRDefault="004D5071">
            <w:pPr>
              <w:numPr>
                <w:ilvl w:val="0"/>
                <w:numId w:val="265"/>
              </w:numPr>
              <w:spacing w:after="0" w:line="259" w:lineRule="auto"/>
              <w:ind w:right="0" w:hanging="170"/>
              <w:jc w:val="left"/>
            </w:pPr>
            <w:r>
              <w:t>венозные деформации в 2-х и более квадрантах</w:t>
            </w:r>
          </w:p>
          <w:p w:rsidR="00D27BC6" w:rsidRDefault="004D5071">
            <w:pPr>
              <w:numPr>
                <w:ilvl w:val="0"/>
                <w:numId w:val="265"/>
              </w:numPr>
              <w:spacing w:after="0" w:line="236" w:lineRule="auto"/>
              <w:ind w:right="0" w:hanging="170"/>
              <w:jc w:val="left"/>
            </w:pPr>
            <w:r>
              <w:t xml:space="preserve">умеренные интраретинальные микрососудистые аномалии (ИРМА) хотя бы в одном квадранте </w:t>
            </w:r>
          </w:p>
          <w:p w:rsidR="00D27BC6" w:rsidRDefault="004D5071">
            <w:pPr>
              <w:numPr>
                <w:ilvl w:val="0"/>
                <w:numId w:val="265"/>
              </w:numPr>
              <w:spacing w:after="0" w:line="259" w:lineRule="auto"/>
              <w:ind w:right="0" w:hanging="170"/>
              <w:jc w:val="left"/>
            </w:pPr>
            <w:r>
              <w:t xml:space="preserve">множественные ретинальные геморрагии в 4-х квадрантах </w:t>
            </w:r>
          </w:p>
        </w:tc>
      </w:tr>
      <w:tr w:rsidR="00D27BC6">
        <w:trPr>
          <w:trHeight w:val="800"/>
        </w:trPr>
        <w:tc>
          <w:tcPr>
            <w:tcW w:w="211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Пролиферативная</w:t>
            </w:r>
          </w:p>
        </w:tc>
        <w:tc>
          <w:tcPr>
            <w:tcW w:w="807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Неоваскуляризация (и/или фиброзная пролиферация) диска зрительного нерва и/или сетчатки, преретина</w:t>
            </w:r>
            <w:r>
              <w:t>льные и/или витреальные кровоизлияния (гемофтальм), тракционная (или тракционно-регматогенная) отслойка сетчатки, неоваскулярная глаукома</w:t>
            </w:r>
          </w:p>
        </w:tc>
      </w:tr>
    </w:tbl>
    <w:p w:rsidR="00D27BC6" w:rsidRDefault="004D5071">
      <w:pPr>
        <w:spacing w:after="244"/>
        <w:ind w:left="-3" w:right="0"/>
      </w:pPr>
      <w:r>
        <w:rPr>
          <w:sz w:val="16"/>
        </w:rPr>
        <w:t>* Диабетическая макулопатия, в том числе диабетический макулярный отек (ДМО), возможна на любой стадии ДР.</w:t>
      </w:r>
    </w:p>
    <w:p w:rsidR="00D27BC6" w:rsidRDefault="004D5071">
      <w:pPr>
        <w:ind w:left="281" w:right="51"/>
        <w:jc w:val="left"/>
      </w:pPr>
      <w:r>
        <w:rPr>
          <w:b/>
        </w:rPr>
        <w:t>Основные клинические формы диабетической макулопатии:</w:t>
      </w:r>
    </w:p>
    <w:p w:rsidR="00D27BC6" w:rsidRDefault="004D5071">
      <w:pPr>
        <w:numPr>
          <w:ilvl w:val="0"/>
          <w:numId w:val="58"/>
        </w:numPr>
        <w:ind w:right="0" w:hanging="283"/>
      </w:pPr>
      <w:r>
        <w:t xml:space="preserve">ДМО или отечная макулопатия – локальный изолированный прорыв внутреннего гематоретинального барьера (группа микроаневризм) с нарушением ауторегуляции (фокальный отек), или гиперпроницаемость капилляров </w:t>
      </w:r>
      <w:r>
        <w:t>в сочетании с нарушением наружного гематоретинального барьера (диффузный отек);</w:t>
      </w:r>
    </w:p>
    <w:p w:rsidR="00D27BC6" w:rsidRDefault="004D5071">
      <w:pPr>
        <w:numPr>
          <w:ilvl w:val="0"/>
          <w:numId w:val="58"/>
        </w:numPr>
        <w:ind w:right="0" w:hanging="283"/>
      </w:pPr>
      <w:r>
        <w:t>тракционная макулопатия – нарушение витреоретинальных взаимоотношений или плотности внутренней пограничной мембраны сетчатки (тракционный отек);</w:t>
      </w:r>
    </w:p>
    <w:p w:rsidR="00D27BC6" w:rsidRDefault="004D5071">
      <w:pPr>
        <w:numPr>
          <w:ilvl w:val="0"/>
          <w:numId w:val="58"/>
        </w:numPr>
        <w:ind w:right="0" w:hanging="283"/>
      </w:pPr>
      <w:r>
        <w:t>ишемическая макулопатия – окклю</w:t>
      </w:r>
      <w:r>
        <w:t>зия капилляров (ишемический отек).</w:t>
      </w:r>
    </w:p>
    <w:p w:rsidR="00D27BC6" w:rsidRDefault="004D5071">
      <w:pPr>
        <w:spacing w:after="0" w:line="259" w:lineRule="auto"/>
        <w:ind w:left="248" w:right="-9"/>
        <w:jc w:val="right"/>
      </w:pPr>
      <w:r>
        <w:rPr>
          <w:b/>
        </w:rPr>
        <w:t>Диабетический макулярный отек</w:t>
      </w:r>
      <w:r>
        <w:t xml:space="preserve"> — утолщение сетчатки, связанное с накоплением жидкости в межклеточном </w:t>
      </w:r>
    </w:p>
    <w:p w:rsidR="00D27BC6" w:rsidRDefault="004D5071">
      <w:pPr>
        <w:spacing w:after="230"/>
        <w:ind w:left="-1" w:right="0"/>
      </w:pPr>
      <w:r>
        <w:t>пространстве нейроэпителия вследствие нарушения гематоретинальных барьеров и несоответствия между транссудацией жидкости</w:t>
      </w:r>
      <w:r>
        <w:t xml:space="preserve"> и способности к ее реабсорбции.</w:t>
      </w:r>
    </w:p>
    <w:p w:rsidR="00D27BC6" w:rsidRDefault="004D5071">
      <w:pPr>
        <w:ind w:left="-13" w:right="0" w:firstLine="283"/>
      </w:pPr>
      <w:r>
        <w:rPr>
          <w:b/>
          <w:i/>
        </w:rPr>
        <w:t>Критерии клинически значимого ДМО (введено исследовательской группой по изучению раннего лечения ДР (ETDRS):</w:t>
      </w:r>
    </w:p>
    <w:p w:rsidR="00D27BC6" w:rsidRDefault="004D5071">
      <w:pPr>
        <w:numPr>
          <w:ilvl w:val="0"/>
          <w:numId w:val="58"/>
        </w:numPr>
        <w:ind w:right="0" w:hanging="283"/>
      </w:pPr>
      <w:r>
        <w:t>утолщение сетчатки и/или твердые экссудаты, захватывающие центр макулы;</w:t>
      </w:r>
    </w:p>
    <w:p w:rsidR="00D27BC6" w:rsidRDefault="004D5071">
      <w:pPr>
        <w:numPr>
          <w:ilvl w:val="0"/>
          <w:numId w:val="58"/>
        </w:numPr>
        <w:ind w:right="0" w:hanging="283"/>
      </w:pPr>
      <w:r>
        <w:t>утолщение сетчатки и/или твердые экссудаты</w:t>
      </w:r>
      <w:r>
        <w:t>, расположенные ближе 500 мкм от центра макулы, но на него не распространяющиеся;</w:t>
      </w:r>
    </w:p>
    <w:p w:rsidR="00D27BC6" w:rsidRDefault="004D5071">
      <w:pPr>
        <w:numPr>
          <w:ilvl w:val="0"/>
          <w:numId w:val="58"/>
        </w:numPr>
        <w:ind w:right="0" w:hanging="283"/>
      </w:pPr>
      <w:r>
        <w:t>утолщение сетчатки площадью 1 ДЗН или более, расположенное хотя бы частично, ближе 1 диаметра диска от центра макулы.</w:t>
      </w:r>
    </w:p>
    <w:p w:rsidR="00D27BC6" w:rsidRDefault="004D5071">
      <w:pPr>
        <w:ind w:left="-11" w:right="0" w:firstLine="283"/>
      </w:pPr>
      <w:r>
        <w:t>Кроме этого, принято выделять ДМО с вовлечением или без вовлечения центра. Макулярный отек с вовлечением центра определяется как утолщение сетчатки (ретинальный отек), затрагивающее центральную зону диаметром в 1000 мкм.</w:t>
      </w:r>
    </w:p>
    <w:p w:rsidR="00D27BC6" w:rsidRDefault="004D5071">
      <w:pPr>
        <w:spacing w:after="0" w:line="259" w:lineRule="auto"/>
        <w:ind w:left="248" w:right="-9"/>
        <w:jc w:val="right"/>
      </w:pPr>
      <w:r>
        <w:rPr>
          <w:b/>
        </w:rPr>
        <w:t xml:space="preserve">Требования к формулировке диагноза </w:t>
      </w:r>
      <w:r>
        <w:rPr>
          <w:b/>
        </w:rPr>
        <w:t>ДР:</w:t>
      </w:r>
      <w:r>
        <w:t xml:space="preserve"> она должна строго соответствовать вышеуказанной классификации </w:t>
      </w:r>
    </w:p>
    <w:p w:rsidR="00D27BC6" w:rsidRDefault="004D5071">
      <w:pPr>
        <w:ind w:left="-1" w:right="0"/>
      </w:pPr>
      <w:r>
        <w:t xml:space="preserve">и отражать стадию ДР. </w:t>
      </w:r>
    </w:p>
    <w:p w:rsidR="00D27BC6" w:rsidRDefault="004D5071">
      <w:pPr>
        <w:ind w:left="295" w:right="0"/>
      </w:pPr>
      <w:r>
        <w:rPr>
          <w:i/>
          <w:u w:val="single" w:color="000000"/>
        </w:rPr>
        <w:t>Например:</w:t>
      </w:r>
      <w:r>
        <w:t xml:space="preserve"> «Непролиферативная диабетическая ретинопатия. Диабетический макулярный отек». </w:t>
      </w:r>
    </w:p>
    <w:p w:rsidR="00D27BC6" w:rsidRDefault="004D5071">
      <w:pPr>
        <w:spacing w:after="217"/>
        <w:ind w:left="-11" w:right="0" w:firstLine="283"/>
      </w:pPr>
      <w:r>
        <w:t>Иные формулировки диагноза («ангиопатия», «ангиоретинопатия», «фоновая ретино</w:t>
      </w:r>
      <w:r>
        <w:t xml:space="preserve">патия», «ДР-0») недопустимы и затрудняют определение дальнейшей тактики лечения. Если признаки ДР отсутствуют, следует так и указать: «диабетические изменения на глазном дне отсутствуют». </w:t>
      </w:r>
    </w:p>
    <w:p w:rsidR="00D27BC6" w:rsidRDefault="004D5071">
      <w:pPr>
        <w:pBdr>
          <w:top w:val="single" w:sz="8" w:space="0" w:color="000000"/>
          <w:left w:val="single" w:sz="8" w:space="0" w:color="000000"/>
          <w:bottom w:val="single" w:sz="8" w:space="0" w:color="000000"/>
          <w:right w:val="single" w:sz="8" w:space="0" w:color="000000"/>
        </w:pBdr>
        <w:spacing w:after="253" w:line="236" w:lineRule="auto"/>
        <w:ind w:left="120" w:right="104"/>
      </w:pPr>
      <w:r>
        <w:rPr>
          <w:b/>
        </w:rPr>
        <w:t>Принципиально важное значение для предупреждения прогрессирования Д</w:t>
      </w:r>
      <w:r>
        <w:rPr>
          <w:b/>
        </w:rPr>
        <w:t>Р и утраты зрения занимает СКРИНИНГ – ежегодные осмотры ВСЕХ пациентов с СД для своевременной идентификации лиц с риском развития тяжелой ДР.</w:t>
      </w:r>
    </w:p>
    <w:p w:rsidR="00D27BC6" w:rsidRDefault="004D5071">
      <w:pPr>
        <w:spacing w:after="230"/>
        <w:ind w:left="-11" w:right="0" w:firstLine="283"/>
      </w:pPr>
      <w:r>
        <w:t>Скрининг должен обязательно включать с себя осмотр глазного дна в условиях мидриаза и, желательно, с фиксацией изо</w:t>
      </w:r>
      <w:r>
        <w:t>бражения сетчатки на фундус-камере.</w:t>
      </w:r>
    </w:p>
    <w:p w:rsidR="00D27BC6" w:rsidRDefault="004D5071">
      <w:pPr>
        <w:pStyle w:val="Heading2"/>
        <w:ind w:left="-3"/>
      </w:pPr>
      <w:r>
        <w:t>Скрининг ДР: сроки первичного и последующих регулярных осмотров офтальмологом при отсутствии диабетических изменений</w:t>
      </w:r>
    </w:p>
    <w:tbl>
      <w:tblPr>
        <w:tblStyle w:val="TableGrid"/>
        <w:tblW w:w="10191" w:type="dxa"/>
        <w:tblInd w:w="9" w:type="dxa"/>
        <w:tblCellMar>
          <w:top w:w="9" w:type="dxa"/>
          <w:left w:w="57" w:type="dxa"/>
          <w:bottom w:w="0" w:type="dxa"/>
          <w:right w:w="115" w:type="dxa"/>
        </w:tblCellMar>
        <w:tblLook w:val="04A0" w:firstRow="1" w:lastRow="0" w:firstColumn="1" w:lastColumn="0" w:noHBand="0" w:noVBand="1"/>
      </w:tblPr>
      <w:tblGrid>
        <w:gridCol w:w="4819"/>
        <w:gridCol w:w="5372"/>
      </w:tblGrid>
      <w:tr w:rsidR="00D27BC6">
        <w:trPr>
          <w:trHeight w:val="320"/>
        </w:trPr>
        <w:tc>
          <w:tcPr>
            <w:tcW w:w="481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Тип СД</w:t>
            </w:r>
          </w:p>
        </w:tc>
        <w:tc>
          <w:tcPr>
            <w:tcW w:w="537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Осмотр офтальмологом</w:t>
            </w:r>
          </w:p>
        </w:tc>
      </w:tr>
      <w:tr w:rsidR="00D27BC6">
        <w:trPr>
          <w:trHeight w:val="560"/>
        </w:trPr>
        <w:tc>
          <w:tcPr>
            <w:tcW w:w="481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СД 1 типа, взрослые</w:t>
            </w:r>
          </w:p>
        </w:tc>
        <w:tc>
          <w:tcPr>
            <w:tcW w:w="537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06" w:firstLine="0"/>
              <w:jc w:val="left"/>
            </w:pPr>
            <w:r>
              <w:t>Не позднее, чем через 5 лет от дебюта СД, далее не реже 1 раза в год</w:t>
            </w:r>
          </w:p>
        </w:tc>
      </w:tr>
      <w:tr w:rsidR="00D27BC6">
        <w:trPr>
          <w:trHeight w:val="560"/>
        </w:trPr>
        <w:tc>
          <w:tcPr>
            <w:tcW w:w="481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СД 2 типа</w:t>
            </w:r>
          </w:p>
        </w:tc>
        <w:tc>
          <w:tcPr>
            <w:tcW w:w="537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При постановке диагноза СД, далее не реже 1 раза в год </w:t>
            </w:r>
          </w:p>
        </w:tc>
      </w:tr>
      <w:tr w:rsidR="00D27BC6">
        <w:trPr>
          <w:trHeight w:val="800"/>
        </w:trPr>
        <w:tc>
          <w:tcPr>
            <w:tcW w:w="481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Женщины с СД, планирующие беременность или беременные</w:t>
            </w:r>
          </w:p>
        </w:tc>
        <w:tc>
          <w:tcPr>
            <w:tcW w:w="537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При планировании беременности или в течение первого триместра, далее 1 раз в триместр и не позднее, чем через 1 год после родоразрешения</w:t>
            </w:r>
          </w:p>
        </w:tc>
      </w:tr>
      <w:tr w:rsidR="00D27BC6">
        <w:trPr>
          <w:trHeight w:val="560"/>
        </w:trPr>
        <w:tc>
          <w:tcPr>
            <w:tcW w:w="481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Дети с СД 1 типа</w:t>
            </w:r>
          </w:p>
        </w:tc>
        <w:tc>
          <w:tcPr>
            <w:tcW w:w="537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60" w:firstLine="0"/>
              <w:jc w:val="left"/>
            </w:pPr>
            <w:r>
              <w:t>1 раз в год, начиная с 11 лет при длительности СД более 2 лет</w:t>
            </w:r>
          </w:p>
        </w:tc>
      </w:tr>
    </w:tbl>
    <w:p w:rsidR="00D27BC6" w:rsidRDefault="004D5071">
      <w:pPr>
        <w:pStyle w:val="Heading2"/>
        <w:ind w:left="-3"/>
      </w:pPr>
      <w:r>
        <w:t>Офтальмологическое обследование пациентов с ДР и ДМО</w:t>
      </w:r>
    </w:p>
    <w:tbl>
      <w:tblPr>
        <w:tblStyle w:val="TableGrid"/>
        <w:tblW w:w="10191" w:type="dxa"/>
        <w:tblInd w:w="9" w:type="dxa"/>
        <w:tblCellMar>
          <w:top w:w="9" w:type="dxa"/>
          <w:left w:w="57" w:type="dxa"/>
          <w:bottom w:w="0" w:type="dxa"/>
          <w:right w:w="115" w:type="dxa"/>
        </w:tblCellMar>
        <w:tblLook w:val="04A0" w:firstRow="1" w:lastRow="0" w:firstColumn="1" w:lastColumn="0" w:noHBand="0" w:noVBand="1"/>
      </w:tblPr>
      <w:tblGrid>
        <w:gridCol w:w="4819"/>
        <w:gridCol w:w="5372"/>
      </w:tblGrid>
      <w:tr w:rsidR="00D27BC6">
        <w:trPr>
          <w:trHeight w:val="800"/>
        </w:trPr>
        <w:tc>
          <w:tcPr>
            <w:tcW w:w="4819"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958" w:right="899" w:firstLine="0"/>
              <w:jc w:val="center"/>
            </w:pPr>
            <w:r>
              <w:rPr>
                <w:b/>
              </w:rPr>
              <w:t>Обязательные методы (всегда при скрининге)</w:t>
            </w:r>
          </w:p>
        </w:tc>
        <w:tc>
          <w:tcPr>
            <w:tcW w:w="537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Дополнительные методы</w:t>
            </w:r>
          </w:p>
          <w:p w:rsidR="00D27BC6" w:rsidRDefault="004D5071">
            <w:pPr>
              <w:spacing w:after="0" w:line="259" w:lineRule="auto"/>
              <w:ind w:left="0" w:right="0" w:firstLine="0"/>
              <w:jc w:val="center"/>
            </w:pPr>
            <w:r>
              <w:rPr>
                <w:b/>
              </w:rPr>
              <w:t>(проводятся по показаниям, определяемым врачомофтальмологом)</w:t>
            </w:r>
          </w:p>
        </w:tc>
      </w:tr>
      <w:tr w:rsidR="00D27BC6">
        <w:trPr>
          <w:trHeight w:val="2832"/>
        </w:trPr>
        <w:tc>
          <w:tcPr>
            <w:tcW w:w="4819"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66"/>
              </w:numPr>
              <w:spacing w:after="0" w:line="259" w:lineRule="auto"/>
              <w:ind w:right="0" w:hanging="283"/>
              <w:jc w:val="left"/>
            </w:pPr>
            <w:r>
              <w:t>Определение остроты зрения (визометрия)</w:t>
            </w:r>
          </w:p>
          <w:p w:rsidR="00D27BC6" w:rsidRDefault="004D5071">
            <w:pPr>
              <w:numPr>
                <w:ilvl w:val="0"/>
                <w:numId w:val="266"/>
              </w:numPr>
              <w:spacing w:after="0" w:line="259" w:lineRule="auto"/>
              <w:ind w:right="0" w:hanging="283"/>
              <w:jc w:val="left"/>
            </w:pPr>
            <w:r>
              <w:t xml:space="preserve">Измерение внутриглазного давления </w:t>
            </w:r>
          </w:p>
          <w:p w:rsidR="00D27BC6" w:rsidRDefault="004D5071">
            <w:pPr>
              <w:spacing w:after="0" w:line="259" w:lineRule="auto"/>
              <w:ind w:left="283" w:right="0" w:firstLine="0"/>
              <w:jc w:val="left"/>
            </w:pPr>
            <w:r>
              <w:t>(тонометрия)</w:t>
            </w:r>
          </w:p>
          <w:p w:rsidR="00D27BC6" w:rsidRDefault="004D5071">
            <w:pPr>
              <w:numPr>
                <w:ilvl w:val="0"/>
                <w:numId w:val="266"/>
              </w:numPr>
              <w:spacing w:after="0" w:line="236" w:lineRule="auto"/>
              <w:ind w:right="0" w:hanging="283"/>
              <w:jc w:val="left"/>
            </w:pPr>
            <w:r>
              <w:t>Биомикроскопия переднего отрезка глаза при расширенном зрачке</w:t>
            </w:r>
          </w:p>
          <w:p w:rsidR="00D27BC6" w:rsidRDefault="004D5071">
            <w:pPr>
              <w:numPr>
                <w:ilvl w:val="0"/>
                <w:numId w:val="266"/>
              </w:numPr>
              <w:spacing w:after="0" w:line="259" w:lineRule="auto"/>
              <w:ind w:right="0" w:hanging="283"/>
              <w:jc w:val="left"/>
            </w:pPr>
            <w:r>
              <w:t>Офтальмоскопия при расширенном зрачке</w:t>
            </w:r>
          </w:p>
        </w:tc>
        <w:tc>
          <w:tcPr>
            <w:tcW w:w="5372"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267"/>
              </w:numPr>
              <w:spacing w:after="0" w:line="259" w:lineRule="auto"/>
              <w:ind w:right="0" w:hanging="283"/>
              <w:jc w:val="left"/>
            </w:pPr>
            <w:r>
              <w:t>Фотографирование глазного дна</w:t>
            </w:r>
          </w:p>
          <w:p w:rsidR="00D27BC6" w:rsidRDefault="004D5071">
            <w:pPr>
              <w:numPr>
                <w:ilvl w:val="0"/>
                <w:numId w:val="267"/>
              </w:numPr>
              <w:spacing w:after="0" w:line="259" w:lineRule="auto"/>
              <w:ind w:right="0" w:hanging="283"/>
              <w:jc w:val="left"/>
            </w:pPr>
            <w:r>
              <w:t xml:space="preserve">Оптическая когерентная томография сетчатки </w:t>
            </w:r>
          </w:p>
          <w:p w:rsidR="00D27BC6" w:rsidRDefault="004D5071">
            <w:pPr>
              <w:numPr>
                <w:ilvl w:val="0"/>
                <w:numId w:val="267"/>
              </w:numPr>
              <w:spacing w:after="0" w:line="259" w:lineRule="auto"/>
              <w:ind w:right="0" w:hanging="283"/>
              <w:jc w:val="left"/>
            </w:pPr>
            <w:r>
              <w:t>Флуоресцентная ангиография глазного дна</w:t>
            </w:r>
          </w:p>
          <w:p w:rsidR="00D27BC6" w:rsidRDefault="004D5071">
            <w:pPr>
              <w:numPr>
                <w:ilvl w:val="0"/>
                <w:numId w:val="267"/>
              </w:numPr>
              <w:spacing w:after="0" w:line="259" w:lineRule="auto"/>
              <w:ind w:right="0" w:hanging="283"/>
              <w:jc w:val="left"/>
            </w:pPr>
            <w:r>
              <w:t>УЗИ при помутнении стекловидн</w:t>
            </w:r>
            <w:r>
              <w:t>ого тела и хрусталика</w:t>
            </w:r>
          </w:p>
          <w:p w:rsidR="00D27BC6" w:rsidRDefault="004D5071">
            <w:pPr>
              <w:numPr>
                <w:ilvl w:val="0"/>
                <w:numId w:val="267"/>
              </w:numPr>
              <w:spacing w:after="0" w:line="236" w:lineRule="auto"/>
              <w:ind w:right="0" w:hanging="283"/>
              <w:jc w:val="left"/>
            </w:pPr>
            <w:r>
              <w:t>Электрофизиологические методы исследования функционального состояния зрительного нерва и сетчатки</w:t>
            </w:r>
          </w:p>
          <w:p w:rsidR="00D27BC6" w:rsidRDefault="004D5071">
            <w:pPr>
              <w:numPr>
                <w:ilvl w:val="0"/>
                <w:numId w:val="267"/>
              </w:numPr>
              <w:spacing w:after="0" w:line="236" w:lineRule="auto"/>
              <w:ind w:right="0" w:hanging="283"/>
              <w:jc w:val="left"/>
            </w:pPr>
            <w:r>
              <w:t>Осмотр угла передней камеры глаза (гониоскопия) при неоваскуляризации радужной оболочки</w:t>
            </w:r>
          </w:p>
          <w:p w:rsidR="00D27BC6" w:rsidRDefault="004D5071">
            <w:pPr>
              <w:numPr>
                <w:ilvl w:val="0"/>
                <w:numId w:val="267"/>
              </w:numPr>
              <w:spacing w:after="0" w:line="259" w:lineRule="auto"/>
              <w:ind w:right="0" w:hanging="283"/>
              <w:jc w:val="left"/>
            </w:pPr>
            <w:r>
              <w:t xml:space="preserve">Исследование полей зрения (периметрия) </w:t>
            </w:r>
          </w:p>
        </w:tc>
      </w:tr>
    </w:tbl>
    <w:p w:rsidR="00D27BC6" w:rsidRDefault="004D5071">
      <w:pPr>
        <w:spacing w:after="240" w:line="236" w:lineRule="auto"/>
        <w:ind w:left="-13" w:right="-12" w:firstLine="283"/>
        <w:jc w:val="left"/>
      </w:pPr>
      <w:r>
        <w:t xml:space="preserve">В случае выявления признаков ДР обследование следует проводить чаще, а при наличии </w:t>
      </w:r>
      <w:r>
        <w:rPr>
          <w:b/>
        </w:rPr>
        <w:t xml:space="preserve">препролиферативной, пролиферативной ДР и любой стадии ДМО необходимо незамедлительно направить пациента в специализированные центры к врачу-офтальмологу. </w:t>
      </w:r>
    </w:p>
    <w:p w:rsidR="00D27BC6" w:rsidRDefault="004D5071">
      <w:pPr>
        <w:ind w:left="281" w:right="51"/>
        <w:jc w:val="left"/>
      </w:pPr>
      <w:r>
        <w:rPr>
          <w:b/>
        </w:rPr>
        <w:t>Другие показания д</w:t>
      </w:r>
      <w:r>
        <w:rPr>
          <w:b/>
        </w:rPr>
        <w:t>ля направления пациентов в специализированные центры (к врачу-офтальмологу):</w:t>
      </w:r>
    </w:p>
    <w:p w:rsidR="00D27BC6" w:rsidRDefault="004D5071">
      <w:pPr>
        <w:numPr>
          <w:ilvl w:val="0"/>
          <w:numId w:val="59"/>
        </w:numPr>
        <w:ind w:right="0" w:hanging="283"/>
      </w:pPr>
      <w:r>
        <w:t>Снижение остроты зрения, особенно при снижении остроты зрения ниже 0,5 (6/12, 20/40).</w:t>
      </w:r>
    </w:p>
    <w:p w:rsidR="00D27BC6" w:rsidRDefault="004D5071">
      <w:pPr>
        <w:numPr>
          <w:ilvl w:val="0"/>
          <w:numId w:val="59"/>
        </w:numPr>
        <w:ind w:right="0" w:hanging="283"/>
      </w:pPr>
      <w:r>
        <w:t>Если проверка остроты зрения или обследование сетчатки не могут быть выполнены при скринингов</w:t>
      </w:r>
      <w:r>
        <w:t>ом обследовании.</w:t>
      </w:r>
    </w:p>
    <w:p w:rsidR="00D27BC6" w:rsidRDefault="004D5071">
      <w:pPr>
        <w:numPr>
          <w:ilvl w:val="0"/>
          <w:numId w:val="59"/>
        </w:numPr>
        <w:spacing w:after="226"/>
        <w:ind w:right="0" w:hanging="283"/>
      </w:pPr>
      <w:r>
        <w:t>Пациенты после ЛКС должны находиться под наблюдением врача-офтальмолога не реже 2-х раз в год.</w:t>
      </w:r>
    </w:p>
    <w:p w:rsidR="00D27BC6" w:rsidRDefault="004D5071">
      <w:pPr>
        <w:spacing w:after="229"/>
        <w:ind w:left="162" w:right="156"/>
        <w:jc w:val="center"/>
      </w:pPr>
      <w:r>
        <w:rPr>
          <w:b/>
          <w:color w:val="1E5D99"/>
        </w:rPr>
        <w:t>Основные методы лечения ДР и ДМО:</w:t>
      </w:r>
    </w:p>
    <w:p w:rsidR="00D27BC6" w:rsidRDefault="004D5071">
      <w:pPr>
        <w:numPr>
          <w:ilvl w:val="0"/>
          <w:numId w:val="60"/>
        </w:numPr>
        <w:ind w:right="0" w:hanging="283"/>
      </w:pPr>
      <w:r>
        <w:rPr>
          <w:b/>
        </w:rPr>
        <w:t>Лазерная коагуляция сетчатки (ЛКС):</w:t>
      </w:r>
    </w:p>
    <w:p w:rsidR="00D27BC6" w:rsidRDefault="004D5071">
      <w:pPr>
        <w:numPr>
          <w:ilvl w:val="1"/>
          <w:numId w:val="60"/>
        </w:numPr>
        <w:ind w:left="568" w:right="0" w:hanging="283"/>
      </w:pPr>
      <w:r>
        <w:t>При непролиферативной ДР рекомендуется наблюдательная тактика, выполнение ЛКС не требуется.</w:t>
      </w:r>
    </w:p>
    <w:p w:rsidR="00D27BC6" w:rsidRDefault="004D5071">
      <w:pPr>
        <w:numPr>
          <w:ilvl w:val="1"/>
          <w:numId w:val="60"/>
        </w:numPr>
        <w:ind w:left="568" w:right="0" w:hanging="283"/>
      </w:pPr>
      <w:r>
        <w:t>На стадии препролиферативной ДР рекомендуется проведение панретинальной ЛКС.</w:t>
      </w:r>
    </w:p>
    <w:p w:rsidR="00D27BC6" w:rsidRDefault="004D5071">
      <w:pPr>
        <w:numPr>
          <w:ilvl w:val="1"/>
          <w:numId w:val="60"/>
        </w:numPr>
        <w:ind w:left="568" w:right="0" w:hanging="283"/>
      </w:pPr>
      <w:r>
        <w:t>На стадии пролиферативной ДР рекомендуется незамедлительное проведение панретинальной Л</w:t>
      </w:r>
      <w:r>
        <w:t>КС, которая уменьшает риск потери зрения и слепоты.</w:t>
      </w:r>
    </w:p>
    <w:p w:rsidR="00D27BC6" w:rsidRDefault="004D5071">
      <w:pPr>
        <w:numPr>
          <w:ilvl w:val="1"/>
          <w:numId w:val="60"/>
        </w:numPr>
        <w:ind w:left="568" w:right="0" w:hanging="283"/>
      </w:pPr>
      <w:r>
        <w:t>При наличии клинически значимого ДМО возможно проведение фокальной ЛКС, в том числе в сочетании с интравитреальными инъекциями ингибиторов ангиогенеза или введением глюкокортикостероидов в виде имплантов.</w:t>
      </w:r>
    </w:p>
    <w:p w:rsidR="00D27BC6" w:rsidRDefault="004D5071">
      <w:pPr>
        <w:numPr>
          <w:ilvl w:val="1"/>
          <w:numId w:val="60"/>
        </w:numPr>
        <w:ind w:left="568" w:right="0" w:hanging="283"/>
      </w:pPr>
      <w:r>
        <w:t>При наличии ДМО наибольший эффект от лазерного лечения (фокальной или по типу «решетки» лазерной коагуляции сетчатки) ожидается в случае исходной центральной толщины сетчатки не более 350 мкм. В остальных случаях рекомендуется терапия анти-VEGF препаратам</w:t>
      </w:r>
      <w:r>
        <w:t>и.</w:t>
      </w:r>
    </w:p>
    <w:p w:rsidR="00D27BC6" w:rsidRDefault="004D5071">
      <w:pPr>
        <w:numPr>
          <w:ilvl w:val="1"/>
          <w:numId w:val="60"/>
        </w:numPr>
        <w:ind w:left="568" w:right="0" w:hanging="283"/>
      </w:pPr>
      <w:r>
        <w:t xml:space="preserve">При наличии активных новообразованных ретинальных сосудов, несмотря на ранее проведенную панретинальную лазерную коагуляцию, рекомендуется проведение фокальной лазерной коагуляции ретинальных новообразованных сосудов, в том числе в сочетании с терапией </w:t>
      </w:r>
      <w:r>
        <w:t>анти-VEGF препаратами.</w:t>
      </w:r>
    </w:p>
    <w:p w:rsidR="00D27BC6" w:rsidRDefault="004D5071">
      <w:pPr>
        <w:numPr>
          <w:ilvl w:val="0"/>
          <w:numId w:val="60"/>
        </w:numPr>
        <w:ind w:right="0" w:hanging="283"/>
      </w:pPr>
      <w:r>
        <w:rPr>
          <w:b/>
        </w:rPr>
        <w:t>Интравитреальные инъекции ингибиторов ангиогенеза</w:t>
      </w:r>
      <w:r>
        <w:t xml:space="preserve"> (анти-VEGF препаратов) рекомендуются и являются терапией первой линии при наличии клинически значимого ДМО. </w:t>
      </w:r>
    </w:p>
    <w:p w:rsidR="00D27BC6" w:rsidRDefault="004D5071">
      <w:pPr>
        <w:numPr>
          <w:ilvl w:val="1"/>
          <w:numId w:val="60"/>
        </w:numPr>
        <w:ind w:left="568" w:right="0" w:hanging="283"/>
      </w:pPr>
      <w:r>
        <w:t>При лечении анти-VEGF препаратами изначально проводится 3 и более загрузоч</w:t>
      </w:r>
      <w:r>
        <w:t xml:space="preserve">ных ежемесячных доз. </w:t>
      </w:r>
    </w:p>
    <w:p w:rsidR="00D27BC6" w:rsidRDefault="004D5071">
      <w:pPr>
        <w:numPr>
          <w:ilvl w:val="1"/>
          <w:numId w:val="60"/>
        </w:numPr>
        <w:ind w:left="568" w:right="0" w:hanging="283"/>
      </w:pPr>
      <w:r>
        <w:t xml:space="preserve">В каждом клиническом случае окончательное решение о показаниях и выборе режима инъекций принимает врач-офтальмолог на основе оценки особенностей клинической картины и течения заболевания. </w:t>
      </w:r>
    </w:p>
    <w:p w:rsidR="00D27BC6" w:rsidRDefault="004D5071">
      <w:pPr>
        <w:numPr>
          <w:ilvl w:val="1"/>
          <w:numId w:val="60"/>
        </w:numPr>
        <w:ind w:left="568" w:right="0" w:hanging="283"/>
      </w:pPr>
      <w:r>
        <w:t>После достижения стабилизации периодичность к</w:t>
      </w:r>
      <w:r>
        <w:t xml:space="preserve">онтрольных осмотров и временной интервал между инъекциями устанавливает врач-офтальмолог в зависимости от особенностей клинической картины. </w:t>
      </w:r>
    </w:p>
    <w:p w:rsidR="00D27BC6" w:rsidRDefault="004D5071">
      <w:pPr>
        <w:numPr>
          <w:ilvl w:val="0"/>
          <w:numId w:val="60"/>
        </w:numPr>
        <w:ind w:right="0" w:hanging="283"/>
      </w:pPr>
      <w:r>
        <w:rPr>
          <w:b/>
        </w:rPr>
        <w:t>Интравитреальное введение глюкокортикостероидов в виде имплантов рекомендуется</w:t>
      </w:r>
      <w:r>
        <w:t xml:space="preserve"> в качестве второй линии терапии при </w:t>
      </w:r>
      <w:r>
        <w:t>наличии клинически значимого ДМО.</w:t>
      </w:r>
    </w:p>
    <w:p w:rsidR="00D27BC6" w:rsidRDefault="004D5071">
      <w:pPr>
        <w:numPr>
          <w:ilvl w:val="0"/>
          <w:numId w:val="60"/>
        </w:numPr>
        <w:ind w:right="0" w:hanging="283"/>
      </w:pPr>
      <w:r>
        <w:rPr>
          <w:b/>
        </w:rPr>
        <w:t>Витреоэктомия (или витреошвартэктомия) рекомендуется:</w:t>
      </w:r>
    </w:p>
    <w:p w:rsidR="00D27BC6" w:rsidRDefault="004D5071">
      <w:pPr>
        <w:numPr>
          <w:ilvl w:val="1"/>
          <w:numId w:val="60"/>
        </w:numPr>
        <w:ind w:left="568" w:right="0" w:hanging="283"/>
      </w:pPr>
      <w:r>
        <w:t>При наличии ДМО тракционного генеза.</w:t>
      </w:r>
    </w:p>
    <w:p w:rsidR="00D27BC6" w:rsidRDefault="004D5071">
      <w:pPr>
        <w:numPr>
          <w:ilvl w:val="1"/>
          <w:numId w:val="60"/>
        </w:numPr>
        <w:ind w:left="568" w:right="0" w:hanging="283"/>
      </w:pPr>
      <w:r>
        <w:t>При пролиферативной ДР, осложненной организовавшимся гемофтальмом, тракционной (и/или тракционнорегматогенной) отслойкой сетчатки с</w:t>
      </w:r>
      <w:r>
        <w:t xml:space="preserve"> захватом области макулы.</w:t>
      </w:r>
    </w:p>
    <w:p w:rsidR="00D27BC6" w:rsidRDefault="004D5071">
      <w:pPr>
        <w:spacing w:after="217"/>
        <w:ind w:left="-11" w:right="0" w:firstLine="283"/>
      </w:pPr>
      <w:r>
        <w:t xml:space="preserve">При наличии показаний ЛКС должна проводиться </w:t>
      </w:r>
      <w:r>
        <w:rPr>
          <w:b/>
        </w:rPr>
        <w:t>ВНЕ ЗАВИСИМОСТИ</w:t>
      </w:r>
      <w:r>
        <w:t xml:space="preserve"> от степени достижения целевых уровней гликемического контроля. Снижение гликемии при необходимости следует осуществлять постепенно и одномоментно с выполнением ЛКС.</w:t>
      </w:r>
    </w:p>
    <w:p w:rsidR="00D27BC6" w:rsidRDefault="004D5071">
      <w:pPr>
        <w:pBdr>
          <w:top w:val="single" w:sz="8" w:space="0" w:color="000000"/>
          <w:left w:val="single" w:sz="8" w:space="0" w:color="000000"/>
          <w:bottom w:val="single" w:sz="8" w:space="0" w:color="000000"/>
          <w:right w:val="single" w:sz="8" w:space="0" w:color="000000"/>
        </w:pBdr>
        <w:spacing w:after="484"/>
        <w:ind w:left="1450" w:right="1289" w:hanging="155"/>
        <w:jc w:val="center"/>
      </w:pPr>
      <w:r>
        <w:rPr>
          <w:b/>
        </w:rPr>
        <w:t>Прим</w:t>
      </w:r>
      <w:r>
        <w:rPr>
          <w:b/>
        </w:rPr>
        <w:t>енение ангиопротекторов, антиоксидантов, ферментов и витаминов при ДР  не имеет убедительной доказательной базы,  малоэффективно и не рекомендуется!</w:t>
      </w:r>
    </w:p>
    <w:p w:rsidR="00D27BC6" w:rsidRDefault="004D5071">
      <w:pPr>
        <w:pStyle w:val="Heading3"/>
        <w:ind w:left="162" w:right="156"/>
      </w:pPr>
      <w:r>
        <w:t>Профилактика диабетической ретинопатии</w:t>
      </w:r>
    </w:p>
    <w:p w:rsidR="00D27BC6" w:rsidRDefault="004D5071">
      <w:pPr>
        <w:ind w:left="-11" w:right="0" w:firstLine="283"/>
      </w:pPr>
      <w:r>
        <w:t xml:space="preserve">Воздействие на основные факторы риска ДР: оптимизация гликемического контроля, контроля АД и липидов – составляет основу профилактики ДР. </w:t>
      </w:r>
    </w:p>
    <w:p w:rsidR="00D27BC6" w:rsidRDefault="004D5071">
      <w:pPr>
        <w:numPr>
          <w:ilvl w:val="0"/>
          <w:numId w:val="61"/>
        </w:numPr>
        <w:ind w:right="0" w:hanging="283"/>
      </w:pPr>
      <w:r>
        <w:t>Эндокринолог должен мотивировать пациента к наблюдению у врача-офтальмолога и предоставить ему следующую информацию о</w:t>
      </w:r>
      <w:r>
        <w:t xml:space="preserve"> необходимости:</w:t>
      </w:r>
    </w:p>
    <w:p w:rsidR="00D27BC6" w:rsidRDefault="004D5071">
      <w:pPr>
        <w:numPr>
          <w:ilvl w:val="2"/>
          <w:numId w:val="62"/>
        </w:numPr>
        <w:ind w:right="0" w:hanging="283"/>
      </w:pPr>
      <w:r>
        <w:t xml:space="preserve">проведения регулярных осмотров врачом-офтальмологом в условиях медикаментозного мидриаза не реже 1 раза в год, а при наличии показаний – чаще, вне зависимости от остроты зрения. </w:t>
      </w:r>
    </w:p>
    <w:p w:rsidR="00D27BC6" w:rsidRDefault="004D5071">
      <w:pPr>
        <w:numPr>
          <w:ilvl w:val="2"/>
          <w:numId w:val="62"/>
        </w:numPr>
        <w:ind w:right="0" w:hanging="283"/>
      </w:pPr>
      <w:r>
        <w:t>безотлагательного обращения к врачу-офтальмологу при появлени</w:t>
      </w:r>
      <w:r>
        <w:t>и новых жалоб со стороны органа зрения или при снижении остроты зрения.</w:t>
      </w:r>
    </w:p>
    <w:p w:rsidR="00D27BC6" w:rsidRDefault="004D5071">
      <w:pPr>
        <w:numPr>
          <w:ilvl w:val="2"/>
          <w:numId w:val="62"/>
        </w:numPr>
        <w:ind w:right="0" w:hanging="283"/>
      </w:pPr>
      <w:r>
        <w:t>поддержания индивидуальных целевых уровней гликемического контроля, артериального давления, липидов плазмы в целях профилактики развития и прогрессирования ДР.</w:t>
      </w:r>
    </w:p>
    <w:p w:rsidR="00D27BC6" w:rsidRDefault="004D5071">
      <w:pPr>
        <w:numPr>
          <w:ilvl w:val="2"/>
          <w:numId w:val="62"/>
        </w:numPr>
        <w:ind w:right="0" w:hanging="283"/>
      </w:pPr>
      <w:r>
        <w:t>Пациентам, получающим интравитреальные инъекции, необходимо незамедлительно сообщать о симптомах, указывающих на воспаление (эндофтальмит): боли в глазах или увеличении неприятных ощущений в глазу, усилении покраснения глаз, нечеткости или снижении зрения,</w:t>
      </w:r>
      <w:r>
        <w:t xml:space="preserve"> увеличении светочувствительности или увеличении числа «летающих мушек» в поле зрения. </w:t>
      </w:r>
    </w:p>
    <w:p w:rsidR="00D27BC6" w:rsidRDefault="004D5071">
      <w:pPr>
        <w:numPr>
          <w:ilvl w:val="0"/>
          <w:numId w:val="61"/>
        </w:numPr>
        <w:spacing w:after="3" w:line="259" w:lineRule="auto"/>
        <w:ind w:right="0" w:hanging="283"/>
      </w:pPr>
      <w:r>
        <w:rPr>
          <w:b/>
          <w:i/>
        </w:rPr>
        <w:t>Панретинальная ЛКС уменьшает риск потери зрения и слепоты!</w:t>
      </w:r>
    </w:p>
    <w:p w:rsidR="00D27BC6" w:rsidRDefault="004D5071">
      <w:pPr>
        <w:numPr>
          <w:ilvl w:val="0"/>
          <w:numId w:val="61"/>
        </w:numPr>
        <w:ind w:right="0" w:hanging="283"/>
      </w:pPr>
      <w:r>
        <w:t>Пролиферативная ДР, несмотря на проведение ЛКС, может осложняться кровоизлиянием в стекловидное тело (гемофта</w:t>
      </w:r>
      <w:r>
        <w:t>льмом). При частичном гемофтальме рекомендуется выжидательная тактика до 2-х месяцев, при резорбции гемофтальма – проведение дополнительной ЛКС. В случае организовавшегося гемофтальма требуется витреоретинальная хирургия.</w:t>
      </w:r>
    </w:p>
    <w:p w:rsidR="00D27BC6" w:rsidRDefault="004D5071">
      <w:pPr>
        <w:numPr>
          <w:ilvl w:val="0"/>
          <w:numId w:val="61"/>
        </w:numPr>
        <w:ind w:right="0" w:hanging="283"/>
      </w:pPr>
      <w:r>
        <w:t>Несмотря на то, что ЛКС часто ухуд</w:t>
      </w:r>
      <w:r>
        <w:t xml:space="preserve">шает периферическое и боковое зрение, может умеренно снизить центральное зрение – этот побочный эффект компенсируется долгосрочным уменьшением риска выраженного снижения зрения и слепоты. </w:t>
      </w:r>
    </w:p>
    <w:p w:rsidR="00D27BC6" w:rsidRDefault="004D5071">
      <w:pPr>
        <w:spacing w:after="230"/>
        <w:ind w:left="-11" w:right="0" w:firstLine="283"/>
      </w:pPr>
      <w:r>
        <w:t>Предоставьте соответствующую профессиональную помощь тем пациентам,</w:t>
      </w:r>
      <w:r>
        <w:t xml:space="preserve"> чьё состояние плохо поддаётся хирургическому лечению, и для которых лечение недоступно (т.е. предложите направление на психологическое консультирование, реабилитационные или социальные услуги, если требуются).</w:t>
      </w:r>
    </w:p>
    <w:p w:rsidR="00D27BC6" w:rsidRDefault="004D5071">
      <w:pPr>
        <w:spacing w:after="218"/>
        <w:ind w:left="290" w:right="286"/>
        <w:jc w:val="center"/>
      </w:pPr>
      <w:r>
        <w:rPr>
          <w:b/>
        </w:rPr>
        <w:t>9.2. ДИАБЕТИЧЕСКАЯ НЕФРОПАТИЯ</w:t>
      </w:r>
    </w:p>
    <w:p w:rsidR="00D27BC6" w:rsidRDefault="004D5071">
      <w:pPr>
        <w:pBdr>
          <w:top w:val="single" w:sz="8" w:space="0" w:color="000000"/>
          <w:left w:val="single" w:sz="8" w:space="0" w:color="000000"/>
          <w:bottom w:val="single" w:sz="8" w:space="0" w:color="000000"/>
          <w:right w:val="single" w:sz="8" w:space="0" w:color="000000"/>
        </w:pBdr>
        <w:spacing w:after="244"/>
        <w:ind w:left="120" w:right="114"/>
      </w:pPr>
      <w:r>
        <w:rPr>
          <w:b/>
        </w:rPr>
        <w:t xml:space="preserve">Диабетическая нефропатия (ДН) </w:t>
      </w:r>
      <w:r>
        <w:t>– или диабетическая болезнь почек (ДБП) – это специфическое поражение почек при СД под воздействием метаболических, гемодинамических, воспалительных, генетических, эпигенетических факторов, приводящее к развитию терминальной п</w:t>
      </w:r>
      <w:r>
        <w:t xml:space="preserve">очечной недостаточности (ТПН), требующей проведения заместительной почечной терапии (ЗПТ): диализа, трансплантации. </w:t>
      </w:r>
    </w:p>
    <w:p w:rsidR="00D27BC6" w:rsidRDefault="004D5071">
      <w:pPr>
        <w:pStyle w:val="Heading3"/>
        <w:ind w:left="162" w:right="156"/>
      </w:pPr>
      <w:r>
        <w:t>Хроническая болезнь почек</w:t>
      </w:r>
    </w:p>
    <w:p w:rsidR="00D27BC6" w:rsidRDefault="004D5071">
      <w:pPr>
        <w:spacing w:after="230"/>
        <w:ind w:left="-11" w:right="0" w:firstLine="283"/>
      </w:pPr>
      <w:r>
        <w:rPr>
          <w:b/>
        </w:rPr>
        <w:t>Хроническая болезнь почек (ХБП)</w:t>
      </w:r>
      <w:r>
        <w:t xml:space="preserve"> – наднозологическое понятие, определяется как нарушение структуры или функции поч</w:t>
      </w:r>
      <w:r>
        <w:t>ек, сохраняющееся более 3 месяцев и имеющее последствия для здоровья. В случае диабетического генеза поражения почек рекомендуется применение термина «пациенты с СД и ХБП» или «ХБП при СД». ХБП классифицируется на основе причины, категории расчетной скорос</w:t>
      </w:r>
      <w:r>
        <w:t>ти клубочковой фильтрации (рСКФ) (С1-С5) и категории альбуминурии (А1-А3).</w:t>
      </w:r>
    </w:p>
    <w:p w:rsidR="00D27BC6" w:rsidRDefault="004D5071">
      <w:pPr>
        <w:pStyle w:val="Heading2"/>
        <w:ind w:left="-3"/>
      </w:pPr>
      <w:r>
        <w:t>Стадии ХБП по уровню рСКФ</w:t>
      </w:r>
    </w:p>
    <w:tbl>
      <w:tblPr>
        <w:tblStyle w:val="TableGrid"/>
        <w:tblW w:w="10195" w:type="dxa"/>
        <w:tblInd w:w="9" w:type="dxa"/>
        <w:tblCellMar>
          <w:top w:w="9" w:type="dxa"/>
          <w:left w:w="115" w:type="dxa"/>
          <w:bottom w:w="0" w:type="dxa"/>
          <w:right w:w="115" w:type="dxa"/>
        </w:tblCellMar>
        <w:tblLook w:val="04A0" w:firstRow="1" w:lastRow="0" w:firstColumn="1" w:lastColumn="0" w:noHBand="0" w:noVBand="1"/>
      </w:tblPr>
      <w:tblGrid>
        <w:gridCol w:w="3398"/>
        <w:gridCol w:w="3398"/>
        <w:gridCol w:w="3398"/>
      </w:tblGrid>
      <w:tr w:rsidR="00D27BC6">
        <w:trPr>
          <w:trHeight w:val="320"/>
        </w:trPr>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рСКФ (мл/мин/1,73 м</w:t>
            </w:r>
            <w:r>
              <w:rPr>
                <w:b/>
                <w:sz w:val="18"/>
                <w:vertAlign w:val="superscript"/>
              </w:rPr>
              <w:t>2</w:t>
            </w:r>
            <w:r>
              <w:rPr>
                <w:b/>
              </w:rPr>
              <w:t>)</w:t>
            </w:r>
          </w:p>
        </w:tc>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Определение</w:t>
            </w:r>
          </w:p>
        </w:tc>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Стадия</w:t>
            </w:r>
          </w:p>
        </w:tc>
      </w:tr>
      <w:tr w:rsidR="00D27BC6">
        <w:trPr>
          <w:trHeight w:val="320"/>
        </w:trPr>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 90</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Высокая и оптимальная</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92" w:right="0" w:firstLine="0"/>
              <w:jc w:val="center"/>
            </w:pPr>
            <w:r>
              <w:t>С1*</w:t>
            </w:r>
          </w:p>
        </w:tc>
      </w:tr>
      <w:tr w:rsidR="00D27BC6">
        <w:trPr>
          <w:trHeight w:val="320"/>
        </w:trPr>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60–89</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Незначительно сниженная</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92" w:right="0" w:firstLine="0"/>
              <w:jc w:val="center"/>
            </w:pPr>
            <w:r>
              <w:t>С2*</w:t>
            </w:r>
          </w:p>
        </w:tc>
      </w:tr>
      <w:tr w:rsidR="00D27BC6">
        <w:trPr>
          <w:trHeight w:val="320"/>
        </w:trPr>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45–59</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Умеренно сниженная</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205" w:right="0" w:firstLine="0"/>
              <w:jc w:val="center"/>
            </w:pPr>
            <w:r>
              <w:t>С3а</w:t>
            </w:r>
          </w:p>
        </w:tc>
      </w:tr>
      <w:tr w:rsidR="00D27BC6">
        <w:trPr>
          <w:trHeight w:val="320"/>
        </w:trPr>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30–44</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Существенно сниженная</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214" w:right="0" w:firstLine="0"/>
              <w:jc w:val="center"/>
            </w:pPr>
            <w:r>
              <w:t>С3б</w:t>
            </w:r>
          </w:p>
        </w:tc>
      </w:tr>
      <w:tr w:rsidR="00D27BC6">
        <w:trPr>
          <w:trHeight w:val="320"/>
        </w:trPr>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15–29</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Резко сниженная</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09" w:right="0" w:firstLine="0"/>
              <w:jc w:val="center"/>
            </w:pPr>
            <w:r>
              <w:t>С4</w:t>
            </w:r>
          </w:p>
        </w:tc>
      </w:tr>
      <w:tr w:rsidR="00D27BC6">
        <w:trPr>
          <w:trHeight w:val="560"/>
        </w:trPr>
        <w:tc>
          <w:tcPr>
            <w:tcW w:w="339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center"/>
            </w:pPr>
            <w:r>
              <w:t>&lt; 15</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Терминальная почечная недостаточность</w:t>
            </w:r>
          </w:p>
        </w:tc>
        <w:tc>
          <w:tcPr>
            <w:tcW w:w="339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09" w:right="0" w:firstLine="0"/>
              <w:jc w:val="center"/>
            </w:pPr>
            <w:r>
              <w:t>С5</w:t>
            </w:r>
          </w:p>
        </w:tc>
      </w:tr>
    </w:tbl>
    <w:p w:rsidR="00D27BC6" w:rsidRDefault="004D5071">
      <w:pPr>
        <w:spacing w:after="261"/>
        <w:ind w:left="-3" w:right="0"/>
      </w:pPr>
      <w:r>
        <w:rPr>
          <w:sz w:val="16"/>
        </w:rPr>
        <w:t>*</w:t>
      </w:r>
      <w:r>
        <w:rPr>
          <w:sz w:val="14"/>
          <w:vertAlign w:val="superscript"/>
        </w:rPr>
        <w:t xml:space="preserve"> </w:t>
      </w:r>
      <w:r>
        <w:rPr>
          <w:sz w:val="16"/>
        </w:rPr>
        <w:t>Для установления ХБП в этом случае необходимо наличие также и маркеров почечного повреждения. При их отсутствии ХБП не диагностируется.</w:t>
      </w:r>
    </w:p>
    <w:p w:rsidR="00D27BC6" w:rsidRDefault="004D5071">
      <w:pPr>
        <w:pStyle w:val="Heading2"/>
        <w:ind w:left="-3"/>
      </w:pPr>
      <w:r>
        <w:t>Классификация ХБП по уровню альбуминурии</w:t>
      </w:r>
    </w:p>
    <w:tbl>
      <w:tblPr>
        <w:tblStyle w:val="TableGrid"/>
        <w:tblW w:w="10195" w:type="dxa"/>
        <w:tblInd w:w="9" w:type="dxa"/>
        <w:tblCellMar>
          <w:top w:w="9" w:type="dxa"/>
          <w:left w:w="0" w:type="dxa"/>
          <w:bottom w:w="0" w:type="dxa"/>
          <w:right w:w="5" w:type="dxa"/>
        </w:tblCellMar>
        <w:tblLook w:val="04A0" w:firstRow="1" w:lastRow="0" w:firstColumn="1" w:lastColumn="0" w:noHBand="0" w:noVBand="1"/>
      </w:tblPr>
      <w:tblGrid>
        <w:gridCol w:w="2039"/>
        <w:gridCol w:w="2039"/>
        <w:gridCol w:w="2039"/>
        <w:gridCol w:w="2039"/>
        <w:gridCol w:w="2039"/>
      </w:tblGrid>
      <w:tr w:rsidR="00D27BC6">
        <w:trPr>
          <w:trHeight w:val="320"/>
        </w:trPr>
        <w:tc>
          <w:tcPr>
            <w:tcW w:w="2039"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5" w:right="0" w:firstLine="0"/>
              <w:jc w:val="center"/>
            </w:pPr>
            <w:r>
              <w:rPr>
                <w:b/>
              </w:rPr>
              <w:t>Категория</w:t>
            </w:r>
          </w:p>
        </w:tc>
        <w:tc>
          <w:tcPr>
            <w:tcW w:w="2039" w:type="dxa"/>
            <w:tcBorders>
              <w:top w:val="single" w:sz="6" w:space="0" w:color="000000"/>
              <w:left w:val="single" w:sz="6" w:space="0" w:color="000000"/>
              <w:bottom w:val="single" w:sz="6" w:space="0" w:color="000000"/>
              <w:right w:val="nil"/>
            </w:tcBorders>
            <w:shd w:val="clear" w:color="auto" w:fill="DADAD9"/>
          </w:tcPr>
          <w:p w:rsidR="00D27BC6" w:rsidRDefault="004D5071">
            <w:pPr>
              <w:spacing w:after="0" w:line="259" w:lineRule="auto"/>
              <w:ind w:left="0" w:right="40" w:firstLine="0"/>
              <w:jc w:val="right"/>
            </w:pPr>
            <w:r>
              <w:rPr>
                <w:b/>
              </w:rPr>
              <w:t xml:space="preserve">А/Кр </w:t>
            </w:r>
          </w:p>
        </w:tc>
        <w:tc>
          <w:tcPr>
            <w:tcW w:w="2039" w:type="dxa"/>
            <w:tcBorders>
              <w:top w:val="single" w:sz="6" w:space="0" w:color="000000"/>
              <w:left w:val="nil"/>
              <w:bottom w:val="single" w:sz="6" w:space="0" w:color="000000"/>
              <w:right w:val="single" w:sz="6" w:space="0" w:color="000000"/>
            </w:tcBorders>
            <w:shd w:val="clear" w:color="auto" w:fill="DADAD9"/>
          </w:tcPr>
          <w:p w:rsidR="00D27BC6" w:rsidRDefault="004D5071">
            <w:pPr>
              <w:spacing w:after="0" w:line="259" w:lineRule="auto"/>
              <w:ind w:left="-5" w:right="0" w:firstLine="0"/>
              <w:jc w:val="left"/>
            </w:pPr>
            <w:r>
              <w:rPr>
                <w:b/>
              </w:rPr>
              <w:t>мочи</w:t>
            </w:r>
          </w:p>
        </w:tc>
        <w:tc>
          <w:tcPr>
            <w:tcW w:w="2039"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5" w:right="0" w:firstLine="0"/>
              <w:jc w:val="center"/>
            </w:pPr>
            <w:r>
              <w:rPr>
                <w:b/>
              </w:rPr>
              <w:t>СЭА (мг/24 часа)</w:t>
            </w:r>
          </w:p>
        </w:tc>
        <w:tc>
          <w:tcPr>
            <w:tcW w:w="2039"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5" w:right="0" w:firstLine="0"/>
              <w:jc w:val="center"/>
            </w:pPr>
            <w:r>
              <w:rPr>
                <w:b/>
              </w:rPr>
              <w:t>Описание</w:t>
            </w:r>
          </w:p>
        </w:tc>
      </w:tr>
      <w:tr w:rsidR="00D27BC6">
        <w:trPr>
          <w:trHeight w:val="32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03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 w:right="0" w:firstLine="0"/>
              <w:jc w:val="center"/>
            </w:pPr>
            <w:r>
              <w:rPr>
                <w:b/>
              </w:rPr>
              <w:t>мг/ммоль</w:t>
            </w:r>
          </w:p>
        </w:tc>
        <w:tc>
          <w:tcPr>
            <w:tcW w:w="203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 w:right="0" w:firstLine="0"/>
              <w:jc w:val="center"/>
            </w:pPr>
            <w:r>
              <w:rPr>
                <w:b/>
              </w:rPr>
              <w:t>мг/г</w:t>
            </w: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800"/>
        </w:trPr>
        <w:tc>
          <w:tcPr>
            <w:tcW w:w="203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 w:right="0" w:firstLine="0"/>
              <w:jc w:val="center"/>
            </w:pPr>
            <w:r>
              <w:t>А1</w:t>
            </w:r>
          </w:p>
        </w:tc>
        <w:tc>
          <w:tcPr>
            <w:tcW w:w="203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 w:right="0" w:firstLine="0"/>
              <w:jc w:val="center"/>
            </w:pPr>
            <w:r>
              <w:t>&lt;3</w:t>
            </w:r>
          </w:p>
        </w:tc>
        <w:tc>
          <w:tcPr>
            <w:tcW w:w="203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 w:right="0" w:firstLine="0"/>
              <w:jc w:val="center"/>
            </w:pPr>
            <w:r>
              <w:t>&lt;30</w:t>
            </w:r>
          </w:p>
        </w:tc>
        <w:tc>
          <w:tcPr>
            <w:tcW w:w="203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 w:right="0" w:firstLine="0"/>
              <w:jc w:val="center"/>
            </w:pPr>
            <w:r>
              <w:t>&lt;30</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Норма или незначительно повышена</w:t>
            </w:r>
          </w:p>
        </w:tc>
      </w:tr>
      <w:tr w:rsidR="00D27BC6">
        <w:trPr>
          <w:trHeight w:val="560"/>
        </w:trPr>
        <w:tc>
          <w:tcPr>
            <w:tcW w:w="203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 w:right="0" w:firstLine="0"/>
              <w:jc w:val="center"/>
            </w:pPr>
            <w:r>
              <w:t>А2</w:t>
            </w:r>
          </w:p>
        </w:tc>
        <w:tc>
          <w:tcPr>
            <w:tcW w:w="203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 w:right="0" w:firstLine="0"/>
              <w:jc w:val="center"/>
            </w:pPr>
            <w:r>
              <w:t>3–30</w:t>
            </w:r>
          </w:p>
        </w:tc>
        <w:tc>
          <w:tcPr>
            <w:tcW w:w="203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 w:right="0" w:firstLine="0"/>
              <w:jc w:val="center"/>
            </w:pPr>
            <w:r>
              <w:t>30–300</w:t>
            </w:r>
          </w:p>
        </w:tc>
        <w:tc>
          <w:tcPr>
            <w:tcW w:w="203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6" w:right="0" w:firstLine="0"/>
              <w:jc w:val="center"/>
            </w:pPr>
            <w:r>
              <w:t>30–300</w:t>
            </w:r>
          </w:p>
        </w:tc>
        <w:tc>
          <w:tcPr>
            <w:tcW w:w="203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7" w:right="0" w:firstLine="0"/>
              <w:jc w:val="left"/>
            </w:pPr>
            <w:r>
              <w:t>Умеренно повышена</w:t>
            </w:r>
          </w:p>
        </w:tc>
      </w:tr>
      <w:tr w:rsidR="00D27BC6">
        <w:trPr>
          <w:trHeight w:val="560"/>
        </w:trPr>
        <w:tc>
          <w:tcPr>
            <w:tcW w:w="203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6" w:right="0" w:firstLine="0"/>
              <w:jc w:val="center"/>
            </w:pPr>
            <w:r>
              <w:t>А3</w:t>
            </w:r>
          </w:p>
        </w:tc>
        <w:tc>
          <w:tcPr>
            <w:tcW w:w="203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6" w:right="0" w:firstLine="0"/>
              <w:jc w:val="center"/>
            </w:pPr>
            <w:r>
              <w:t>&gt;30</w:t>
            </w:r>
          </w:p>
        </w:tc>
        <w:tc>
          <w:tcPr>
            <w:tcW w:w="203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 w:right="0" w:firstLine="0"/>
              <w:jc w:val="center"/>
            </w:pPr>
            <w:r>
              <w:t>&gt;300</w:t>
            </w:r>
          </w:p>
        </w:tc>
        <w:tc>
          <w:tcPr>
            <w:tcW w:w="203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6" w:right="0" w:firstLine="0"/>
              <w:jc w:val="center"/>
            </w:pPr>
            <w:r>
              <w:t>&gt;300</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Значительно повышена*</w:t>
            </w:r>
          </w:p>
        </w:tc>
      </w:tr>
    </w:tbl>
    <w:p w:rsidR="00D27BC6" w:rsidRDefault="004D5071">
      <w:pPr>
        <w:spacing w:after="4"/>
        <w:ind w:left="-3" w:right="0"/>
      </w:pPr>
      <w:r>
        <w:rPr>
          <w:b/>
          <w:sz w:val="16"/>
        </w:rPr>
        <w:t xml:space="preserve">Примечания: </w:t>
      </w:r>
      <w:r>
        <w:rPr>
          <w:sz w:val="16"/>
        </w:rPr>
        <w:t xml:space="preserve">СЭА – скорость экскреции альбумина, А/Кр – соотношение альбумин/креатинин. </w:t>
      </w:r>
    </w:p>
    <w:p w:rsidR="00D27BC6" w:rsidRDefault="004D5071">
      <w:pPr>
        <w:spacing w:after="4"/>
        <w:ind w:left="-3" w:right="0"/>
      </w:pPr>
      <w:r>
        <w:rPr>
          <w:sz w:val="16"/>
        </w:rPr>
        <w:t>* Включая нефротический синдром (экскреция альбумина &gt;2200 мг/24 часа [А/Кр&gt;2200 мг/г; &gt;220 мг/ммоль]).</w:t>
      </w:r>
    </w:p>
    <w:p w:rsidR="00D27BC6" w:rsidRDefault="004D5071">
      <w:pPr>
        <w:pStyle w:val="Heading3"/>
        <w:ind w:left="162" w:right="156"/>
      </w:pPr>
      <w:r>
        <w:t>Формулировка диагноза ДН в соответствии с классификацией ХБП</w:t>
      </w:r>
    </w:p>
    <w:p w:rsidR="00D27BC6" w:rsidRDefault="004D5071">
      <w:pPr>
        <w:numPr>
          <w:ilvl w:val="0"/>
          <w:numId w:val="63"/>
        </w:numPr>
        <w:pBdr>
          <w:top w:val="single" w:sz="8" w:space="0" w:color="000000"/>
          <w:left w:val="single" w:sz="8" w:space="0" w:color="000000"/>
          <w:bottom w:val="single" w:sz="8" w:space="0" w:color="000000"/>
          <w:right w:val="single" w:sz="8" w:space="0" w:color="000000"/>
        </w:pBdr>
        <w:spacing w:after="45"/>
        <w:ind w:left="393" w:right="114" w:hanging="283"/>
      </w:pPr>
      <w:r>
        <w:t xml:space="preserve">ДН, ХБП С1 (2, </w:t>
      </w:r>
      <w:r>
        <w:t>3, 4 или 5) А2;</w:t>
      </w:r>
    </w:p>
    <w:p w:rsidR="00D27BC6" w:rsidRDefault="004D5071">
      <w:pPr>
        <w:numPr>
          <w:ilvl w:val="0"/>
          <w:numId w:val="63"/>
        </w:numPr>
        <w:pBdr>
          <w:top w:val="single" w:sz="8" w:space="0" w:color="000000"/>
          <w:left w:val="single" w:sz="8" w:space="0" w:color="000000"/>
          <w:bottom w:val="single" w:sz="8" w:space="0" w:color="000000"/>
          <w:right w:val="single" w:sz="8" w:space="0" w:color="000000"/>
        </w:pBdr>
        <w:spacing w:after="45"/>
        <w:ind w:left="393" w:right="114" w:hanging="283"/>
      </w:pPr>
      <w:r>
        <w:t>ДН, ХБП С1 (2, 3, 4 или 5) А3;</w:t>
      </w:r>
    </w:p>
    <w:p w:rsidR="00D27BC6" w:rsidRDefault="004D5071">
      <w:pPr>
        <w:numPr>
          <w:ilvl w:val="0"/>
          <w:numId w:val="63"/>
        </w:numPr>
        <w:pBdr>
          <w:top w:val="single" w:sz="8" w:space="0" w:color="000000"/>
          <w:left w:val="single" w:sz="8" w:space="0" w:color="000000"/>
          <w:bottom w:val="single" w:sz="8" w:space="0" w:color="000000"/>
          <w:right w:val="single" w:sz="8" w:space="0" w:color="000000"/>
        </w:pBdr>
        <w:spacing w:after="45"/>
        <w:ind w:left="393" w:right="114" w:hanging="283"/>
      </w:pPr>
      <w:r>
        <w:t>ДН, ХБП С3 (4 или 5) А1-3 (т.е. независимо от уровня альбуминурии);</w:t>
      </w:r>
    </w:p>
    <w:p w:rsidR="00D27BC6" w:rsidRDefault="004D5071">
      <w:pPr>
        <w:numPr>
          <w:ilvl w:val="0"/>
          <w:numId w:val="63"/>
        </w:numPr>
        <w:pBdr>
          <w:top w:val="single" w:sz="8" w:space="0" w:color="000000"/>
          <w:left w:val="single" w:sz="8" w:space="0" w:color="000000"/>
          <w:bottom w:val="single" w:sz="8" w:space="0" w:color="000000"/>
          <w:right w:val="single" w:sz="8" w:space="0" w:color="000000"/>
        </w:pBdr>
        <w:spacing w:after="45"/>
        <w:ind w:left="393" w:right="114" w:hanging="283"/>
      </w:pPr>
      <w:r>
        <w:t xml:space="preserve">ДН, ХБП С5 (лечение заместительной почечной терапией); </w:t>
      </w:r>
    </w:p>
    <w:p w:rsidR="00D27BC6" w:rsidRDefault="004D5071">
      <w:pPr>
        <w:numPr>
          <w:ilvl w:val="0"/>
          <w:numId w:val="63"/>
        </w:numPr>
        <w:pBdr>
          <w:top w:val="single" w:sz="8" w:space="0" w:color="000000"/>
          <w:left w:val="single" w:sz="8" w:space="0" w:color="000000"/>
          <w:bottom w:val="single" w:sz="8" w:space="0" w:color="000000"/>
          <w:right w:val="single" w:sz="8" w:space="0" w:color="000000"/>
        </w:pBdr>
        <w:spacing w:after="45"/>
        <w:ind w:left="393" w:right="114" w:hanging="283"/>
      </w:pPr>
      <w:r>
        <w:t>В случае нормализации показателей альбуминурии на фоне нефропротективной терапии у па</w:t>
      </w:r>
      <w:r>
        <w:t>циентов с сохранной рСКФ более 60 мл/мин/1.73 м</w:t>
      </w:r>
      <w:r>
        <w:rPr>
          <w:sz w:val="18"/>
          <w:vertAlign w:val="superscript"/>
        </w:rPr>
        <w:t>2</w:t>
      </w:r>
      <w:r>
        <w:t xml:space="preserve"> – диагноз ДН, ХБП сохраняется с формулировкой: ДН, ХБП С1-С2 А1 (регресс альбуминурии на фоне нефропротективной терапии).</w:t>
      </w:r>
    </w:p>
    <w:p w:rsidR="00D27BC6" w:rsidRDefault="004D5071">
      <w:pPr>
        <w:pBdr>
          <w:top w:val="single" w:sz="8" w:space="0" w:color="000000"/>
          <w:left w:val="single" w:sz="8" w:space="0" w:color="000000"/>
          <w:bottom w:val="single" w:sz="8" w:space="0" w:color="000000"/>
          <w:right w:val="single" w:sz="8" w:space="0" w:color="000000"/>
        </w:pBdr>
        <w:spacing w:after="440"/>
        <w:ind w:left="120" w:right="114"/>
      </w:pPr>
      <w:r>
        <w:t>После указания стадии ХБП необходимо указать осложнения ХБП (АГ, анемия, МКН-ХБП, электролитные нарушения) при их наличии.</w:t>
      </w:r>
    </w:p>
    <w:p w:rsidR="00D27BC6" w:rsidRDefault="004D5071">
      <w:pPr>
        <w:pStyle w:val="Heading3"/>
        <w:ind w:left="162" w:right="156"/>
      </w:pPr>
      <w:r>
        <w:t>Скрининг ДН</w:t>
      </w:r>
    </w:p>
    <w:p w:rsidR="00D27BC6" w:rsidRDefault="004D5071">
      <w:pPr>
        <w:ind w:left="295" w:right="0"/>
      </w:pPr>
      <w:r>
        <w:t>Ежегодная оценка альбуминурии (соотношение альбумин/креатинин в разовой порции мочи) и расчет СКФ:</w:t>
      </w:r>
    </w:p>
    <w:p w:rsidR="00D27BC6" w:rsidRDefault="004D5071">
      <w:pPr>
        <w:numPr>
          <w:ilvl w:val="0"/>
          <w:numId w:val="64"/>
        </w:numPr>
        <w:ind w:right="0" w:hanging="283"/>
      </w:pPr>
      <w:r>
        <w:t>у пациентов с СД 1 тип</w:t>
      </w:r>
      <w:r>
        <w:t>а с длительностью заболевания ≥ 5 лет;</w:t>
      </w:r>
    </w:p>
    <w:p w:rsidR="00D27BC6" w:rsidRDefault="004D5071">
      <w:pPr>
        <w:numPr>
          <w:ilvl w:val="0"/>
          <w:numId w:val="64"/>
        </w:numPr>
        <w:ind w:right="0" w:hanging="283"/>
      </w:pPr>
      <w:r>
        <w:t>у всех пациентов с СД 2 типа;</w:t>
      </w:r>
    </w:p>
    <w:p w:rsidR="00D27BC6" w:rsidRDefault="004D5071">
      <w:pPr>
        <w:numPr>
          <w:ilvl w:val="0"/>
          <w:numId w:val="64"/>
        </w:numPr>
        <w:ind w:right="0" w:hanging="283"/>
      </w:pPr>
      <w:r>
        <w:t>у детей, начиная с 11 лет при длительности СД более 2 лет;</w:t>
      </w:r>
    </w:p>
    <w:p w:rsidR="00D27BC6" w:rsidRDefault="004D5071">
      <w:pPr>
        <w:numPr>
          <w:ilvl w:val="0"/>
          <w:numId w:val="64"/>
        </w:numPr>
        <w:ind w:right="0" w:hanging="283"/>
      </w:pPr>
      <w:r>
        <w:t>у всех пациентов с сопутствующей АГ.</w:t>
      </w:r>
    </w:p>
    <w:p w:rsidR="00D27BC6" w:rsidRDefault="004D5071">
      <w:pPr>
        <w:ind w:left="-11" w:right="0" w:firstLine="283"/>
      </w:pPr>
      <w:r>
        <w:t>С учетом вариабельности рСКФ и альбуминурии эти показатели могут меняться с течением времен</w:t>
      </w:r>
      <w:r>
        <w:t>и. Поэтому для постановки диагноза требуется их воспроизводимость в течение, как минимум, 3 месяцев. Соотношение альбумин/ креатинин (А/Кр) в разовой (предпочтительно утренней) порции мочи с высокой чувствительностью и специфичностью соотносится с суточной</w:t>
      </w:r>
      <w:r>
        <w:t xml:space="preserve"> экскрецией альбумина с мочой. Определение в разовой порции мочи только альбумина без креатинина не дает такого точного соотношения, так как не учитывает влияние разведения мочи в силу различной гидратации. </w:t>
      </w:r>
    </w:p>
    <w:p w:rsidR="00D27BC6" w:rsidRDefault="004D5071">
      <w:pPr>
        <w:spacing w:after="230"/>
        <w:ind w:left="-11" w:right="0" w:firstLine="283"/>
      </w:pPr>
      <w:r>
        <w:t>Поскольку в клинической практике продолжается оц</w:t>
      </w:r>
      <w:r>
        <w:t>енка в разовой порции мочи только альбумина, целесообразно представить значения, соответствующие уровням альбуминурии согласно классификации ХБП: не более 20 мг/л – А1; &gt;20 до 200 мг/л – А2; &gt; 200 мг/л – А3.</w:t>
      </w:r>
    </w:p>
    <w:p w:rsidR="00D27BC6" w:rsidRDefault="004D5071">
      <w:pPr>
        <w:ind w:left="281" w:right="51"/>
        <w:jc w:val="left"/>
      </w:pPr>
      <w:r>
        <w:rPr>
          <w:b/>
        </w:rPr>
        <w:t>Преходящее повышение экскреции альбумина</w:t>
      </w:r>
    </w:p>
    <w:p w:rsidR="00D27BC6" w:rsidRDefault="004D5071">
      <w:pPr>
        <w:numPr>
          <w:ilvl w:val="0"/>
          <w:numId w:val="64"/>
        </w:numPr>
        <w:ind w:right="0" w:hanging="283"/>
      </w:pPr>
      <w:r>
        <w:t>Значите</w:t>
      </w:r>
      <w:r>
        <w:t>льная гипергликемия</w:t>
      </w:r>
    </w:p>
    <w:p w:rsidR="00D27BC6" w:rsidRDefault="004D5071">
      <w:pPr>
        <w:numPr>
          <w:ilvl w:val="0"/>
          <w:numId w:val="64"/>
        </w:numPr>
        <w:ind w:right="0" w:hanging="283"/>
      </w:pPr>
      <w:r>
        <w:t>Интенсивная физическая нагрузка</w:t>
      </w:r>
    </w:p>
    <w:p w:rsidR="00D27BC6" w:rsidRDefault="004D5071">
      <w:pPr>
        <w:numPr>
          <w:ilvl w:val="0"/>
          <w:numId w:val="64"/>
        </w:numPr>
        <w:ind w:right="0" w:hanging="283"/>
      </w:pPr>
      <w:r>
        <w:t>Высокобелковое питание</w:t>
      </w:r>
    </w:p>
    <w:p w:rsidR="00D27BC6" w:rsidRDefault="004D5071">
      <w:pPr>
        <w:numPr>
          <w:ilvl w:val="0"/>
          <w:numId w:val="64"/>
        </w:numPr>
        <w:ind w:right="0" w:hanging="283"/>
      </w:pPr>
      <w:r>
        <w:t>Лихорадка</w:t>
      </w:r>
    </w:p>
    <w:p w:rsidR="00D27BC6" w:rsidRDefault="004D5071">
      <w:pPr>
        <w:numPr>
          <w:ilvl w:val="0"/>
          <w:numId w:val="64"/>
        </w:numPr>
        <w:ind w:right="0" w:hanging="283"/>
      </w:pPr>
      <w:r>
        <w:t>Высокая артериальная гипертензия</w:t>
      </w:r>
    </w:p>
    <w:p w:rsidR="00D27BC6" w:rsidRDefault="004D5071">
      <w:pPr>
        <w:numPr>
          <w:ilvl w:val="0"/>
          <w:numId w:val="64"/>
        </w:numPr>
        <w:ind w:right="0" w:hanging="283"/>
      </w:pPr>
      <w:r>
        <w:t>Менструация</w:t>
      </w:r>
    </w:p>
    <w:p w:rsidR="00D27BC6" w:rsidRDefault="004D5071">
      <w:pPr>
        <w:numPr>
          <w:ilvl w:val="0"/>
          <w:numId w:val="64"/>
        </w:numPr>
        <w:spacing w:after="226"/>
        <w:ind w:right="0" w:hanging="283"/>
      </w:pPr>
      <w:r>
        <w:t xml:space="preserve">Ортостатическая протеинурия </w:t>
      </w:r>
    </w:p>
    <w:p w:rsidR="00D27BC6" w:rsidRDefault="004D5071">
      <w:pPr>
        <w:ind w:left="281" w:right="51"/>
        <w:jc w:val="left"/>
      </w:pPr>
      <w:r>
        <w:rPr>
          <w:b/>
        </w:rPr>
        <w:t>Методы расчета СКФ</w:t>
      </w:r>
    </w:p>
    <w:p w:rsidR="00D27BC6" w:rsidRDefault="004D5071">
      <w:pPr>
        <w:numPr>
          <w:ilvl w:val="0"/>
          <w:numId w:val="64"/>
        </w:numPr>
        <w:ind w:right="0" w:hanging="283"/>
      </w:pPr>
      <w:r>
        <w:t xml:space="preserve">рСКФ вычисляется с учетом уровня креатинина сыворотки с использованием валидизированной формулы (предпочтительно формула CKD-EPI, наилучшим образом соотносящаяся с референтными (клиренсовыми) методами определения) </w:t>
      </w:r>
    </w:p>
    <w:p w:rsidR="00D27BC6" w:rsidRDefault="004D5071">
      <w:pPr>
        <w:numPr>
          <w:ilvl w:val="0"/>
          <w:numId w:val="64"/>
        </w:numPr>
        <w:spacing w:after="208"/>
        <w:ind w:right="0" w:hanging="283"/>
      </w:pPr>
      <w:r>
        <w:t>Формула CKD-EPI:</w:t>
      </w:r>
    </w:p>
    <w:p w:rsidR="00D27BC6" w:rsidRDefault="004D5071">
      <w:pPr>
        <w:ind w:left="293" w:right="287"/>
        <w:jc w:val="center"/>
      </w:pPr>
      <w:r>
        <w:t>рСКФ (мл/мин/1,73 м</w:t>
      </w:r>
      <w:r>
        <w:rPr>
          <w:sz w:val="18"/>
          <w:vertAlign w:val="superscript"/>
        </w:rPr>
        <w:t>2</w:t>
      </w:r>
      <w:r>
        <w:t xml:space="preserve">) = </w:t>
      </w:r>
      <w:r>
        <w:t>141 × [min креатинин сыворотки (мг/дл)/k или 1]</w:t>
      </w:r>
      <w:r>
        <w:rPr>
          <w:sz w:val="18"/>
          <w:vertAlign w:val="superscript"/>
        </w:rPr>
        <w:t>α</w:t>
      </w:r>
      <w:r>
        <w:t xml:space="preserve"> ×</w:t>
      </w:r>
    </w:p>
    <w:p w:rsidR="00D27BC6" w:rsidRDefault="004D5071">
      <w:pPr>
        <w:spacing w:after="28"/>
        <w:ind w:left="293" w:right="287"/>
        <w:jc w:val="center"/>
      </w:pPr>
      <w:r>
        <w:t>× [max креатинин сыворотки (мг/дл) /k или 1]</w:t>
      </w:r>
      <w:r>
        <w:rPr>
          <w:sz w:val="18"/>
          <w:vertAlign w:val="superscript"/>
        </w:rPr>
        <w:t xml:space="preserve">–1,209 </w:t>
      </w:r>
      <w:r>
        <w:t>× 0,993</w:t>
      </w:r>
      <w:r>
        <w:rPr>
          <w:sz w:val="18"/>
          <w:vertAlign w:val="superscript"/>
        </w:rPr>
        <w:t>возраст (лет)</w:t>
      </w:r>
      <w:r>
        <w:t xml:space="preserve"> ×</w:t>
      </w:r>
    </w:p>
    <w:p w:rsidR="00D27BC6" w:rsidRDefault="004D5071">
      <w:pPr>
        <w:spacing w:after="226"/>
        <w:ind w:left="293" w:right="287"/>
        <w:jc w:val="center"/>
      </w:pPr>
      <w:r>
        <w:t>× 1,018 (для женщин) × 1,159 (для представителей негроидной расы)</w:t>
      </w:r>
    </w:p>
    <w:p w:rsidR="00D27BC6" w:rsidRDefault="004D5071">
      <w:pPr>
        <w:ind w:left="-1" w:right="0"/>
      </w:pPr>
      <w:r>
        <w:t>k – 0,7 для женщин и 0,9 для мужчин, α – (–0,329) для женщин и (–</w:t>
      </w:r>
      <w:r>
        <w:t xml:space="preserve">0,411) для мужчин креатинин (мкмоль/л) = креатинин </w:t>
      </w:r>
    </w:p>
    <w:p w:rsidR="00D27BC6" w:rsidRDefault="004D5071">
      <w:pPr>
        <w:spacing w:after="226"/>
        <w:ind w:left="-1" w:right="0"/>
      </w:pPr>
      <w:r>
        <w:t>(мг/дл) × 88,4</w:t>
      </w:r>
    </w:p>
    <w:p w:rsidR="00D27BC6" w:rsidRDefault="004D5071">
      <w:pPr>
        <w:spacing w:after="230"/>
        <w:ind w:left="-11" w:right="0" w:firstLine="283"/>
      </w:pPr>
      <w:r>
        <w:t>В настоящее время рекомендуемой формулой для оценки рСКФ у детей по уровню креатинина является формула Швартца в модификации Бедсайда. Для оценки уровня креатинина в сыворотке должны исполь</w:t>
      </w:r>
      <w:r>
        <w:t>зоваться методы с калибровкой по масс-спектрометрии с изотопным разведением.</w:t>
      </w:r>
    </w:p>
    <w:p w:rsidR="00D27BC6" w:rsidRDefault="004D5071">
      <w:pPr>
        <w:spacing w:after="226"/>
        <w:ind w:left="293" w:right="287"/>
        <w:jc w:val="center"/>
      </w:pPr>
      <w:r>
        <w:t>рСКФ (мл/мин/1.73 м²) = (36.2 × Рост (см)) / Креатинин сыворотки (мкмоль/л)</w:t>
      </w:r>
    </w:p>
    <w:p w:rsidR="00D27BC6" w:rsidRDefault="004D5071">
      <w:pPr>
        <w:numPr>
          <w:ilvl w:val="0"/>
          <w:numId w:val="65"/>
        </w:numPr>
        <w:ind w:right="0" w:hanging="283"/>
      </w:pPr>
      <w:r>
        <w:t xml:space="preserve">Калькулятор для расчета СКФ у взрослых размещен на сайте www.nkdep.nih.gov </w:t>
      </w:r>
    </w:p>
    <w:p w:rsidR="00D27BC6" w:rsidRDefault="004D5071">
      <w:pPr>
        <w:numPr>
          <w:ilvl w:val="0"/>
          <w:numId w:val="65"/>
        </w:numPr>
        <w:ind w:right="0" w:hanging="283"/>
      </w:pPr>
      <w:r>
        <w:t>Калькулятор для расчета СКФ у детей размещен на сайте www.kidney.org/professionals/kdoqi/gfr_calculatorped</w:t>
      </w:r>
    </w:p>
    <w:p w:rsidR="00D27BC6" w:rsidRDefault="004D5071">
      <w:pPr>
        <w:ind w:left="-11" w:right="0" w:firstLine="283"/>
      </w:pPr>
      <w:r>
        <w:t>Уравнение CKD-EPI, которое дополнительно включает сывороточный цистатин С, повышает точность при скрининге, особенно в случае низкой рСКФ, мышечной а</w:t>
      </w:r>
      <w:r>
        <w:t xml:space="preserve">трофии. </w:t>
      </w:r>
      <w:r>
        <w:rPr>
          <w:u w:val="single" w:color="000000"/>
        </w:rPr>
        <w:t>Если доступен цистатин C, категорию рСКФ следует оценивать по комбинации креатинина и цистатина C [eGFRcr-cys]).</w:t>
      </w:r>
      <w:r>
        <w:t xml:space="preserve"> </w:t>
      </w:r>
    </w:p>
    <w:p w:rsidR="00D27BC6" w:rsidRDefault="004D5071">
      <w:pPr>
        <w:ind w:left="-11" w:right="0" w:firstLine="283"/>
      </w:pPr>
      <w:r>
        <w:t>При отсутствии возможности скрининга рСКФ с помощью электронного калькулятора допускается расчет по формуле Кокрофта-Голта с обязатель</w:t>
      </w:r>
      <w:r>
        <w:t>ным приведением к стандартной площади поверхности тела 1,73 м</w:t>
      </w:r>
      <w:r>
        <w:rPr>
          <w:sz w:val="18"/>
          <w:vertAlign w:val="superscript"/>
        </w:rPr>
        <w:t>2</w:t>
      </w:r>
      <w:r>
        <w:t>:</w:t>
      </w:r>
    </w:p>
    <w:p w:rsidR="00D27BC6" w:rsidRDefault="004D5071">
      <w:pPr>
        <w:spacing w:after="289" w:line="259" w:lineRule="auto"/>
        <w:ind w:left="1362" w:right="0" w:firstLine="0"/>
        <w:jc w:val="left"/>
      </w:pPr>
      <w:r>
        <w:rPr>
          <w:noProof/>
        </w:rPr>
        <w:drawing>
          <wp:inline distT="0" distB="0" distL="0" distR="0">
            <wp:extent cx="4752340" cy="425209"/>
            <wp:effectExtent l="0" t="0" r="0" b="0"/>
            <wp:docPr id="9521" name="Picture 9521"/>
            <wp:cNvGraphicFramePr/>
            <a:graphic xmlns:a="http://schemas.openxmlformats.org/drawingml/2006/main">
              <a:graphicData uri="http://schemas.openxmlformats.org/drawingml/2006/picture">
                <pic:pic xmlns:pic="http://schemas.openxmlformats.org/drawingml/2006/picture">
                  <pic:nvPicPr>
                    <pic:cNvPr id="9521" name="Picture 9521"/>
                    <pic:cNvPicPr/>
                  </pic:nvPicPr>
                  <pic:blipFill>
                    <a:blip r:embed="rId76"/>
                    <a:stretch>
                      <a:fillRect/>
                    </a:stretch>
                  </pic:blipFill>
                  <pic:spPr>
                    <a:xfrm>
                      <a:off x="0" y="0"/>
                      <a:ext cx="4752340" cy="425209"/>
                    </a:xfrm>
                    <a:prstGeom prst="rect">
                      <a:avLst/>
                    </a:prstGeom>
                  </pic:spPr>
                </pic:pic>
              </a:graphicData>
            </a:graphic>
          </wp:inline>
        </w:drawing>
      </w:r>
    </w:p>
    <w:p w:rsidR="00D27BC6" w:rsidRDefault="004D5071">
      <w:pPr>
        <w:spacing w:after="447" w:line="259" w:lineRule="auto"/>
        <w:ind w:left="1362" w:right="0" w:firstLine="0"/>
        <w:jc w:val="left"/>
      </w:pPr>
      <w:r>
        <w:rPr>
          <w:noProof/>
        </w:rPr>
        <w:drawing>
          <wp:inline distT="0" distB="0" distL="0" distR="0">
            <wp:extent cx="4752747" cy="473158"/>
            <wp:effectExtent l="0" t="0" r="0" b="0"/>
            <wp:docPr id="9523" name="Picture 9523"/>
            <wp:cNvGraphicFramePr/>
            <a:graphic xmlns:a="http://schemas.openxmlformats.org/drawingml/2006/main">
              <a:graphicData uri="http://schemas.openxmlformats.org/drawingml/2006/picture">
                <pic:pic xmlns:pic="http://schemas.openxmlformats.org/drawingml/2006/picture">
                  <pic:nvPicPr>
                    <pic:cNvPr id="9523" name="Picture 9523"/>
                    <pic:cNvPicPr/>
                  </pic:nvPicPr>
                  <pic:blipFill>
                    <a:blip r:embed="rId77"/>
                    <a:stretch>
                      <a:fillRect/>
                    </a:stretch>
                  </pic:blipFill>
                  <pic:spPr>
                    <a:xfrm>
                      <a:off x="0" y="0"/>
                      <a:ext cx="4752747" cy="473158"/>
                    </a:xfrm>
                    <a:prstGeom prst="rect">
                      <a:avLst/>
                    </a:prstGeom>
                  </pic:spPr>
                </pic:pic>
              </a:graphicData>
            </a:graphic>
          </wp:inline>
        </w:drawing>
      </w:r>
    </w:p>
    <w:p w:rsidR="00D27BC6" w:rsidRDefault="004D5071">
      <w:pPr>
        <w:spacing w:after="120" w:line="354" w:lineRule="auto"/>
        <w:ind w:left="-11" w:right="0" w:firstLine="283"/>
      </w:pPr>
      <w:r>
        <w:t>Многие инструкции по применению лекарственных препаратов, которые требуют коррекции дозы при изменениях функционального состояния почек, составлены именно на основе применения формулы Кокр</w:t>
      </w:r>
      <w:r>
        <w:t xml:space="preserve">офта–Голта. </w:t>
      </w:r>
      <w:r>
        <w:rPr>
          <w:b/>
          <w:color w:val="1E5D99"/>
        </w:rPr>
        <w:t>Определение СКФ клиренсовыми методами</w:t>
      </w:r>
    </w:p>
    <w:p w:rsidR="00D27BC6" w:rsidRDefault="004D5071">
      <w:pPr>
        <w:numPr>
          <w:ilvl w:val="0"/>
          <w:numId w:val="65"/>
        </w:numPr>
        <w:ind w:right="0" w:hanging="283"/>
      </w:pPr>
      <w:r>
        <w:t>Беременность</w:t>
      </w:r>
    </w:p>
    <w:p w:rsidR="00D27BC6" w:rsidRDefault="004D5071">
      <w:pPr>
        <w:numPr>
          <w:ilvl w:val="0"/>
          <w:numId w:val="65"/>
        </w:numPr>
        <w:ind w:right="0" w:hanging="283"/>
      </w:pPr>
      <w:r>
        <w:t>Морбидное ожирение (ИМТ ≥ 40 кг/м</w:t>
      </w:r>
      <w:r>
        <w:rPr>
          <w:sz w:val="18"/>
          <w:vertAlign w:val="superscript"/>
        </w:rPr>
        <w:t>2</w:t>
      </w:r>
      <w:r>
        <w:t>), дефицит массы тела (ИМТ ≤ 15 кг/м</w:t>
      </w:r>
      <w:r>
        <w:rPr>
          <w:sz w:val="18"/>
          <w:vertAlign w:val="superscript"/>
        </w:rPr>
        <w:t>2</w:t>
      </w:r>
      <w:r>
        <w:t>)</w:t>
      </w:r>
    </w:p>
    <w:p w:rsidR="00D27BC6" w:rsidRDefault="004D5071">
      <w:pPr>
        <w:numPr>
          <w:ilvl w:val="0"/>
          <w:numId w:val="65"/>
        </w:numPr>
        <w:ind w:right="0" w:hanging="283"/>
      </w:pPr>
      <w:r>
        <w:t>Вегетарианство</w:t>
      </w:r>
    </w:p>
    <w:p w:rsidR="00D27BC6" w:rsidRDefault="004D5071">
      <w:pPr>
        <w:numPr>
          <w:ilvl w:val="0"/>
          <w:numId w:val="65"/>
        </w:numPr>
        <w:ind w:right="0" w:hanging="283"/>
      </w:pPr>
      <w:r>
        <w:t>Миодистрофия, параплегия, квадриплегия</w:t>
      </w:r>
    </w:p>
    <w:p w:rsidR="00D27BC6" w:rsidRDefault="004D5071">
      <w:pPr>
        <w:numPr>
          <w:ilvl w:val="0"/>
          <w:numId w:val="65"/>
        </w:numPr>
        <w:ind w:right="0" w:hanging="283"/>
      </w:pPr>
      <w:r>
        <w:t>Нестандартные размеры тела (ампутированные конечности)</w:t>
      </w:r>
    </w:p>
    <w:p w:rsidR="00D27BC6" w:rsidRDefault="004D5071">
      <w:pPr>
        <w:numPr>
          <w:ilvl w:val="0"/>
          <w:numId w:val="65"/>
        </w:numPr>
        <w:ind w:right="0" w:hanging="283"/>
      </w:pPr>
      <w:r>
        <w:t>Острое повр</w:t>
      </w:r>
      <w:r>
        <w:t>еждение почек</w:t>
      </w:r>
    </w:p>
    <w:p w:rsidR="00D27BC6" w:rsidRDefault="004D5071">
      <w:pPr>
        <w:numPr>
          <w:ilvl w:val="0"/>
          <w:numId w:val="65"/>
        </w:numPr>
        <w:ind w:right="0" w:hanging="283"/>
      </w:pPr>
      <w:r>
        <w:t>Почечный трансплантат</w:t>
      </w:r>
    </w:p>
    <w:p w:rsidR="00D27BC6" w:rsidRDefault="004D5071">
      <w:pPr>
        <w:numPr>
          <w:ilvl w:val="0"/>
          <w:numId w:val="65"/>
        </w:numPr>
        <w:ind w:right="0" w:hanging="283"/>
      </w:pPr>
      <w:r>
        <w:t>Назначение нефротоксичных препаратов</w:t>
      </w:r>
    </w:p>
    <w:p w:rsidR="00D27BC6" w:rsidRDefault="004D5071">
      <w:pPr>
        <w:numPr>
          <w:ilvl w:val="0"/>
          <w:numId w:val="65"/>
        </w:numPr>
        <w:spacing w:after="226"/>
        <w:ind w:right="0" w:hanging="283"/>
      </w:pPr>
      <w:r>
        <w:t>Определение начала заместительной почечной терапии</w:t>
      </w:r>
    </w:p>
    <w:p w:rsidR="00D27BC6" w:rsidRDefault="004D5071">
      <w:pPr>
        <w:spacing w:after="243" w:line="259" w:lineRule="auto"/>
        <w:ind w:left="10" w:right="4"/>
        <w:jc w:val="center"/>
      </w:pPr>
      <w:r>
        <w:rPr>
          <w:b/>
          <w:color w:val="6F6F6E"/>
          <w:sz w:val="18"/>
          <w:u w:val="single" w:color="6F6F6E"/>
        </w:rPr>
        <w:t>ДИАГНОСТИКА</w:t>
      </w:r>
    </w:p>
    <w:p w:rsidR="00D27BC6" w:rsidRDefault="004D5071">
      <w:pPr>
        <w:numPr>
          <w:ilvl w:val="0"/>
          <w:numId w:val="65"/>
        </w:numPr>
        <w:ind w:right="0" w:hanging="283"/>
      </w:pPr>
      <w:r>
        <w:t>Основывается на наличии повышенной альбуминурии и/или снижении рСКФ при отсутствии симптомов и признаков первичной почечной патологии</w:t>
      </w:r>
    </w:p>
    <w:p w:rsidR="00D27BC6" w:rsidRDefault="004D5071">
      <w:pPr>
        <w:numPr>
          <w:ilvl w:val="0"/>
          <w:numId w:val="65"/>
        </w:numPr>
        <w:ind w:right="0" w:hanging="283"/>
      </w:pPr>
      <w:r>
        <w:t>Типичная картина включает: длительный анамнез СД, наличие диабетической ретинопатии, альбуминурию без гематурии и быстрого снижения рСКФ</w:t>
      </w:r>
    </w:p>
    <w:p w:rsidR="00D27BC6" w:rsidRDefault="004D5071">
      <w:pPr>
        <w:numPr>
          <w:ilvl w:val="0"/>
          <w:numId w:val="65"/>
        </w:numPr>
        <w:ind w:right="0" w:hanging="283"/>
      </w:pPr>
      <w:r>
        <w:t>ХБП у пациента с СД 2 типа может быть прямым следствием диабета, усугубляться диабетом или не иметь отношения к диабету</w:t>
      </w:r>
      <w:r>
        <w:t>. У пациентов с СД 2 типа ДН может диагностироваться и при отсутствии диабетической ретинопатии (умеренно чувствительный и специфичный маркер), а также при снижении рСКФ на фоне нормоальбуминурии</w:t>
      </w:r>
    </w:p>
    <w:p w:rsidR="00D27BC6" w:rsidRDefault="004D5071">
      <w:pPr>
        <w:numPr>
          <w:ilvl w:val="0"/>
          <w:numId w:val="65"/>
        </w:numPr>
        <w:ind w:right="0" w:hanging="283"/>
      </w:pPr>
      <w:r>
        <w:t>При быстро нарастающей альбуминурии, внезапном развитии нефр</w:t>
      </w:r>
      <w:r>
        <w:t>отического синдрома, быстром снижении рСКФ, отсутствии диабетической ретинопатии (в случае СД 1 типа), изменении осадка мочи (гематурия, лейкоцитурия, цилиндрурия) можно предположить альтернативную или дополнительную причину почечной патологии • При рСКФ &lt;</w:t>
      </w:r>
      <w:r>
        <w:t>60 мл/мин/1,73 м</w:t>
      </w:r>
      <w:r>
        <w:rPr>
          <w:sz w:val="18"/>
          <w:vertAlign w:val="superscript"/>
        </w:rPr>
        <w:t xml:space="preserve">2 </w:t>
      </w:r>
      <w:r>
        <w:t xml:space="preserve">оценка осложнений ХБП </w:t>
      </w:r>
      <w:r>
        <w:rPr>
          <w:b/>
          <w:color w:val="1E5D99"/>
        </w:rPr>
        <w:t>Осложнения ХБП</w:t>
      </w:r>
    </w:p>
    <w:tbl>
      <w:tblPr>
        <w:tblStyle w:val="TableGrid"/>
        <w:tblW w:w="10195" w:type="dxa"/>
        <w:tblInd w:w="9" w:type="dxa"/>
        <w:tblCellMar>
          <w:top w:w="9" w:type="dxa"/>
          <w:left w:w="57" w:type="dxa"/>
          <w:bottom w:w="0" w:type="dxa"/>
          <w:right w:w="115" w:type="dxa"/>
        </w:tblCellMar>
        <w:tblLook w:val="04A0" w:firstRow="1" w:lastRow="0" w:firstColumn="1" w:lastColumn="0" w:noHBand="0" w:noVBand="1"/>
      </w:tblPr>
      <w:tblGrid>
        <w:gridCol w:w="5097"/>
        <w:gridCol w:w="5097"/>
      </w:tblGrid>
      <w:tr w:rsidR="00D27BC6">
        <w:trPr>
          <w:trHeight w:val="32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Осложнения</w:t>
            </w:r>
          </w:p>
        </w:tc>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Клиническая и лабораторная оценка</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Артериальная гипертензия</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АД, масса тела</w:t>
            </w:r>
          </w:p>
        </w:tc>
      </w:tr>
      <w:tr w:rsidR="00D27BC6">
        <w:trPr>
          <w:trHeight w:val="367"/>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Перегрузка объемом</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Анамнез, физикальное обследование, масса тела</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Электролитные нарушения</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Электролиты плазмы</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Метаболический ацидоз</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Электролиты плазмы, КЩС</w:t>
            </w:r>
          </w:p>
        </w:tc>
      </w:tr>
      <w:tr w:rsidR="00D27BC6">
        <w:trPr>
          <w:trHeight w:val="56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Анемия</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Гемоглобин, показатели обмена железа  </w:t>
            </w:r>
          </w:p>
          <w:p w:rsidR="00D27BC6" w:rsidRDefault="004D5071">
            <w:pPr>
              <w:spacing w:after="0" w:line="259" w:lineRule="auto"/>
              <w:ind w:left="0" w:right="0" w:firstLine="0"/>
              <w:jc w:val="left"/>
            </w:pPr>
            <w:r>
              <w:t>(ферритин, насыщение трансферрина железом)</w:t>
            </w:r>
          </w:p>
        </w:tc>
      </w:tr>
      <w:tr w:rsidR="00D27BC6">
        <w:trPr>
          <w:trHeight w:val="709"/>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Минеральные и костные нарушения</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834" w:firstLine="0"/>
              <w:jc w:val="left"/>
            </w:pPr>
            <w:r>
              <w:t>Кальций, фосфор плазмы, паратгормон, 25(ОН) витамин D</w:t>
            </w:r>
          </w:p>
        </w:tc>
      </w:tr>
    </w:tbl>
    <w:p w:rsidR="00D27BC6" w:rsidRDefault="004D5071">
      <w:pPr>
        <w:pStyle w:val="Heading2"/>
        <w:ind w:left="-3"/>
      </w:pPr>
      <w:r>
        <w:t xml:space="preserve">Комбинированный риск сердечно-сосудистых событий и терминальной почечной недостаточности у пациентов с ХБП в зависимости от категории рСКФ и альбуминурии </w:t>
      </w:r>
    </w:p>
    <w:tbl>
      <w:tblPr>
        <w:tblStyle w:val="TableGrid"/>
        <w:tblW w:w="10200" w:type="dxa"/>
        <w:tblInd w:w="9" w:type="dxa"/>
        <w:tblCellMar>
          <w:top w:w="40" w:type="dxa"/>
          <w:left w:w="93" w:type="dxa"/>
          <w:bottom w:w="0" w:type="dxa"/>
          <w:right w:w="69" w:type="dxa"/>
        </w:tblCellMar>
        <w:tblLook w:val="04A0" w:firstRow="1" w:lastRow="0" w:firstColumn="1" w:lastColumn="0" w:noHBand="0" w:noVBand="1"/>
      </w:tblPr>
      <w:tblGrid>
        <w:gridCol w:w="564"/>
        <w:gridCol w:w="510"/>
        <w:gridCol w:w="2341"/>
        <w:gridCol w:w="1330"/>
        <w:gridCol w:w="1841"/>
        <w:gridCol w:w="1841"/>
        <w:gridCol w:w="1773"/>
      </w:tblGrid>
      <w:tr w:rsidR="00D27BC6">
        <w:trPr>
          <w:trHeight w:val="310"/>
        </w:trPr>
        <w:tc>
          <w:tcPr>
            <w:tcW w:w="564" w:type="dxa"/>
            <w:vMerge w:val="restart"/>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510" w:type="dxa"/>
            <w:vMerge w:val="restart"/>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2341" w:type="dxa"/>
            <w:vMerge w:val="restart"/>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1330" w:type="dxa"/>
            <w:vMerge w:val="restart"/>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5454"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4" w:firstLine="0"/>
              <w:jc w:val="center"/>
            </w:pPr>
            <w:r>
              <w:t>Альбуминурия</w:t>
            </w:r>
            <w:r>
              <w:rPr>
                <w:sz w:val="18"/>
                <w:vertAlign w:val="superscript"/>
              </w:rPr>
              <w:footnoteReference w:id="14"/>
            </w:r>
          </w:p>
        </w:tc>
      </w:tr>
      <w:tr w:rsidR="00D27BC6">
        <w:trPr>
          <w:trHeight w:val="710"/>
        </w:trPr>
        <w:tc>
          <w:tcPr>
            <w:tcW w:w="0" w:type="auto"/>
            <w:vMerge/>
            <w:tcBorders>
              <w:top w:val="nil"/>
              <w:left w:val="single" w:sz="6" w:space="0" w:color="000000"/>
              <w:bottom w:val="nil"/>
              <w:right w:val="nil"/>
            </w:tcBorders>
          </w:tcPr>
          <w:p w:rsidR="00D27BC6" w:rsidRDefault="00D27BC6">
            <w:pPr>
              <w:spacing w:after="160" w:line="259" w:lineRule="auto"/>
              <w:ind w:left="0" w:right="0" w:firstLine="0"/>
              <w:jc w:val="left"/>
            </w:pPr>
          </w:p>
        </w:tc>
        <w:tc>
          <w:tcPr>
            <w:tcW w:w="0" w:type="auto"/>
            <w:vMerge/>
            <w:tcBorders>
              <w:top w:val="nil"/>
              <w:left w:val="nil"/>
              <w:bottom w:val="nil"/>
              <w:right w:val="nil"/>
            </w:tcBorders>
          </w:tcPr>
          <w:p w:rsidR="00D27BC6" w:rsidRDefault="00D27BC6">
            <w:pPr>
              <w:spacing w:after="160" w:line="259" w:lineRule="auto"/>
              <w:ind w:left="0" w:right="0" w:firstLine="0"/>
              <w:jc w:val="left"/>
            </w:pPr>
          </w:p>
        </w:tc>
        <w:tc>
          <w:tcPr>
            <w:tcW w:w="0" w:type="auto"/>
            <w:vMerge/>
            <w:tcBorders>
              <w:top w:val="nil"/>
              <w:left w:val="nil"/>
              <w:bottom w:val="nil"/>
              <w:right w:val="nil"/>
            </w:tcBorders>
          </w:tcPr>
          <w:p w:rsidR="00D27BC6" w:rsidRDefault="00D27BC6">
            <w:pPr>
              <w:spacing w:after="160" w:line="259" w:lineRule="auto"/>
              <w:ind w:left="0" w:right="0" w:firstLine="0"/>
              <w:jc w:val="left"/>
            </w:pPr>
          </w:p>
        </w:tc>
        <w:tc>
          <w:tcPr>
            <w:tcW w:w="0" w:type="auto"/>
            <w:vMerge/>
            <w:tcBorders>
              <w:top w:val="nil"/>
              <w:left w:val="nil"/>
              <w:bottom w:val="nil"/>
              <w:right w:val="single" w:sz="6" w:space="0" w:color="000000"/>
            </w:tcBorders>
          </w:tcPr>
          <w:p w:rsidR="00D27BC6" w:rsidRDefault="00D27BC6">
            <w:pPr>
              <w:spacing w:after="160" w:line="259" w:lineRule="auto"/>
              <w:ind w:left="0" w:right="0" w:firstLine="0"/>
              <w:jc w:val="left"/>
            </w:pPr>
          </w:p>
        </w:tc>
        <w:tc>
          <w:tcPr>
            <w:tcW w:w="184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4" w:firstLine="0"/>
              <w:jc w:val="center"/>
            </w:pPr>
            <w:r>
              <w:t>А1</w:t>
            </w:r>
          </w:p>
        </w:tc>
        <w:tc>
          <w:tcPr>
            <w:tcW w:w="184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4" w:firstLine="0"/>
              <w:jc w:val="center"/>
            </w:pPr>
            <w:r>
              <w:t>А2</w:t>
            </w:r>
          </w:p>
        </w:tc>
        <w:tc>
          <w:tcPr>
            <w:tcW w:w="1773"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4" w:firstLine="0"/>
              <w:jc w:val="center"/>
            </w:pPr>
            <w:r>
              <w:t>А3</w:t>
            </w:r>
          </w:p>
        </w:tc>
      </w:tr>
      <w:tr w:rsidR="00D27BC6">
        <w:trPr>
          <w:trHeight w:val="710"/>
        </w:trPr>
        <w:tc>
          <w:tcPr>
            <w:tcW w:w="0" w:type="auto"/>
            <w:vMerge/>
            <w:tcBorders>
              <w:top w:val="nil"/>
              <w:left w:val="single" w:sz="6" w:space="0" w:color="000000"/>
              <w:bottom w:val="nil"/>
              <w:right w:val="nil"/>
            </w:tcBorders>
          </w:tcPr>
          <w:p w:rsidR="00D27BC6" w:rsidRDefault="00D27BC6">
            <w:pPr>
              <w:spacing w:after="160" w:line="259" w:lineRule="auto"/>
              <w:ind w:left="0" w:right="0" w:firstLine="0"/>
              <w:jc w:val="left"/>
            </w:pPr>
          </w:p>
        </w:tc>
        <w:tc>
          <w:tcPr>
            <w:tcW w:w="0" w:type="auto"/>
            <w:vMerge/>
            <w:tcBorders>
              <w:top w:val="nil"/>
              <w:left w:val="nil"/>
              <w:bottom w:val="nil"/>
              <w:right w:val="nil"/>
            </w:tcBorders>
          </w:tcPr>
          <w:p w:rsidR="00D27BC6" w:rsidRDefault="00D27BC6">
            <w:pPr>
              <w:spacing w:after="160" w:line="259" w:lineRule="auto"/>
              <w:ind w:left="0" w:right="0" w:firstLine="0"/>
              <w:jc w:val="left"/>
            </w:pPr>
          </w:p>
        </w:tc>
        <w:tc>
          <w:tcPr>
            <w:tcW w:w="0" w:type="auto"/>
            <w:vMerge/>
            <w:tcBorders>
              <w:top w:val="nil"/>
              <w:left w:val="nil"/>
              <w:bottom w:val="nil"/>
              <w:right w:val="nil"/>
            </w:tcBorders>
          </w:tcPr>
          <w:p w:rsidR="00D27BC6" w:rsidRDefault="00D27BC6">
            <w:pPr>
              <w:spacing w:after="160" w:line="259" w:lineRule="auto"/>
              <w:ind w:left="0" w:right="0" w:firstLine="0"/>
              <w:jc w:val="left"/>
            </w:pPr>
          </w:p>
        </w:tc>
        <w:tc>
          <w:tcPr>
            <w:tcW w:w="0" w:type="auto"/>
            <w:vMerge/>
            <w:tcBorders>
              <w:top w:val="nil"/>
              <w:left w:val="nil"/>
              <w:bottom w:val="nil"/>
              <w:right w:val="single" w:sz="6" w:space="0" w:color="000000"/>
            </w:tcBorders>
          </w:tcPr>
          <w:p w:rsidR="00D27BC6" w:rsidRDefault="00D27BC6">
            <w:pPr>
              <w:spacing w:after="160" w:line="259" w:lineRule="auto"/>
              <w:ind w:left="0" w:right="0" w:firstLine="0"/>
              <w:jc w:val="left"/>
            </w:pPr>
          </w:p>
        </w:tc>
        <w:tc>
          <w:tcPr>
            <w:tcW w:w="184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Норма или незначительно повышена</w:t>
            </w:r>
          </w:p>
        </w:tc>
        <w:tc>
          <w:tcPr>
            <w:tcW w:w="184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center"/>
            </w:pPr>
            <w:r>
              <w:t>Умеренно  повышена</w:t>
            </w:r>
          </w:p>
        </w:tc>
        <w:tc>
          <w:tcPr>
            <w:tcW w:w="1773"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center"/>
            </w:pPr>
            <w:r>
              <w:t>Значительно повышена</w:t>
            </w:r>
          </w:p>
        </w:tc>
      </w:tr>
      <w:tr w:rsidR="00D27BC6">
        <w:trPr>
          <w:trHeight w:val="710"/>
        </w:trPr>
        <w:tc>
          <w:tcPr>
            <w:tcW w:w="0" w:type="auto"/>
            <w:vMerge/>
            <w:tcBorders>
              <w:top w:val="nil"/>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0" w:type="auto"/>
            <w:vMerge/>
            <w:tcBorders>
              <w:top w:val="nil"/>
              <w:left w:val="nil"/>
              <w:bottom w:val="single" w:sz="6" w:space="0" w:color="000000"/>
              <w:right w:val="nil"/>
            </w:tcBorders>
          </w:tcPr>
          <w:p w:rsidR="00D27BC6" w:rsidRDefault="00D27BC6">
            <w:pPr>
              <w:spacing w:after="160" w:line="259" w:lineRule="auto"/>
              <w:ind w:left="0" w:right="0" w:firstLine="0"/>
              <w:jc w:val="left"/>
            </w:pPr>
          </w:p>
        </w:tc>
        <w:tc>
          <w:tcPr>
            <w:tcW w:w="0" w:type="auto"/>
            <w:vMerge/>
            <w:tcBorders>
              <w:top w:val="nil"/>
              <w:left w:val="nil"/>
              <w:bottom w:val="single" w:sz="6" w:space="0" w:color="000000"/>
              <w:right w:val="nil"/>
            </w:tcBorders>
          </w:tcPr>
          <w:p w:rsidR="00D27BC6" w:rsidRDefault="00D27BC6">
            <w:pPr>
              <w:spacing w:after="160" w:line="259" w:lineRule="auto"/>
              <w:ind w:left="0" w:right="0" w:firstLine="0"/>
              <w:jc w:val="left"/>
            </w:pPr>
          </w:p>
        </w:tc>
        <w:tc>
          <w:tcPr>
            <w:tcW w:w="0" w:type="auto"/>
            <w:vMerge/>
            <w:tcBorders>
              <w:top w:val="nil"/>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184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75" w:right="299" w:firstLine="0"/>
              <w:jc w:val="center"/>
            </w:pPr>
            <w:r>
              <w:t>&lt;30 мг/г &lt;3 мг/ммоль</w:t>
            </w:r>
          </w:p>
        </w:tc>
        <w:tc>
          <w:tcPr>
            <w:tcW w:w="184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20" w:right="102" w:firstLine="0"/>
              <w:jc w:val="center"/>
            </w:pPr>
            <w:r>
              <w:t>30–300 мг/г 3–30 мг/ммоль</w:t>
            </w:r>
          </w:p>
        </w:tc>
        <w:tc>
          <w:tcPr>
            <w:tcW w:w="1773"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90" w:right="203" w:firstLine="0"/>
              <w:jc w:val="center"/>
            </w:pPr>
            <w:r>
              <w:t>&gt;300 мг/г &gt;30 мг/ммоль</w:t>
            </w:r>
          </w:p>
        </w:tc>
      </w:tr>
      <w:tr w:rsidR="00D27BC6">
        <w:trPr>
          <w:trHeight w:val="800"/>
        </w:trPr>
        <w:tc>
          <w:tcPr>
            <w:tcW w:w="564" w:type="dxa"/>
            <w:vMerge w:val="restart"/>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74" w:right="0" w:firstLine="0"/>
              <w:jc w:val="left"/>
            </w:pPr>
            <w:r>
              <w:rPr>
                <w:noProof/>
                <w:sz w:val="22"/>
              </w:rPr>
              <mc:AlternateContent>
                <mc:Choice Requires="wpg">
                  <w:drawing>
                    <wp:inline distT="0" distB="0" distL="0" distR="0">
                      <wp:extent cx="152654" cy="1791437"/>
                      <wp:effectExtent l="0" t="0" r="0" b="0"/>
                      <wp:docPr id="289646" name="Group 289646"/>
                      <wp:cNvGraphicFramePr/>
                      <a:graphic xmlns:a="http://schemas.openxmlformats.org/drawingml/2006/main">
                        <a:graphicData uri="http://schemas.microsoft.com/office/word/2010/wordprocessingGroup">
                          <wpg:wgp>
                            <wpg:cNvGrpSpPr/>
                            <wpg:grpSpPr>
                              <a:xfrm>
                                <a:off x="0" y="0"/>
                                <a:ext cx="152654" cy="1791437"/>
                                <a:chOff x="0" y="0"/>
                                <a:chExt cx="152654" cy="1791437"/>
                              </a:xfrm>
                            </wpg:grpSpPr>
                            <wps:wsp>
                              <wps:cNvPr id="9794" name="Rectangle 9794"/>
                              <wps:cNvSpPr/>
                              <wps:spPr>
                                <a:xfrm rot="-5399999">
                                  <a:off x="-451656" y="1136751"/>
                                  <a:ext cx="1106344" cy="203030"/>
                                </a:xfrm>
                                <a:prstGeom prst="rect">
                                  <a:avLst/>
                                </a:prstGeom>
                                <a:ln>
                                  <a:noFill/>
                                </a:ln>
                              </wps:spPr>
                              <wps:txbx>
                                <w:txbxContent>
                                  <w:p w:rsidR="00D27BC6" w:rsidRDefault="004D5071">
                                    <w:pPr>
                                      <w:spacing w:after="160" w:line="259" w:lineRule="auto"/>
                                      <w:ind w:left="0" w:right="0" w:firstLine="0"/>
                                      <w:jc w:val="left"/>
                                    </w:pPr>
                                    <w:r>
                                      <w:t>Категории</w:t>
                                    </w:r>
                                    <w:r>
                                      <w:rPr>
                                        <w:spacing w:val="-286"/>
                                      </w:rPr>
                                      <w:t xml:space="preserve"> </w:t>
                                    </w:r>
                                    <w:r>
                                      <w:t>СКФ</w:t>
                                    </w:r>
                                  </w:p>
                                </w:txbxContent>
                              </wps:txbx>
                              <wps:bodyPr horzOverflow="overflow" vert="horz" lIns="0" tIns="0" rIns="0" bIns="0" rtlCol="0">
                                <a:noAutofit/>
                              </wps:bodyPr>
                            </wps:wsp>
                            <wps:wsp>
                              <wps:cNvPr id="9795" name="Rectangle 9795"/>
                              <wps:cNvSpPr/>
                              <wps:spPr>
                                <a:xfrm rot="-5399999">
                                  <a:off x="42619" y="875591"/>
                                  <a:ext cx="50258" cy="117757"/>
                                </a:xfrm>
                                <a:prstGeom prst="rect">
                                  <a:avLst/>
                                </a:prstGeom>
                                <a:ln>
                                  <a:noFill/>
                                </a:ln>
                              </wps:spPr>
                              <wps:txbx>
                                <w:txbxContent>
                                  <w:p w:rsidR="00D27BC6" w:rsidRDefault="004D5071">
                                    <w:pPr>
                                      <w:spacing w:after="160" w:line="259" w:lineRule="auto"/>
                                      <w:ind w:left="0" w:right="0" w:firstLine="0"/>
                                      <w:jc w:val="left"/>
                                    </w:pPr>
                                    <w:r>
                                      <w:rPr>
                                        <w:sz w:val="12"/>
                                      </w:rPr>
                                      <w:t>2</w:t>
                                    </w:r>
                                  </w:p>
                                </w:txbxContent>
                              </wps:txbx>
                              <wps:bodyPr horzOverflow="overflow" vert="horz" lIns="0" tIns="0" rIns="0" bIns="0" rtlCol="0">
                                <a:noAutofit/>
                              </wps:bodyPr>
                            </wps:wsp>
                            <wps:wsp>
                              <wps:cNvPr id="9796" name="Rectangle 9796"/>
                              <wps:cNvSpPr/>
                              <wps:spPr>
                                <a:xfrm rot="-5399999">
                                  <a:off x="-462390" y="256390"/>
                                  <a:ext cx="1127812" cy="203030"/>
                                </a:xfrm>
                                <a:prstGeom prst="rect">
                                  <a:avLst/>
                                </a:prstGeom>
                                <a:ln>
                                  <a:noFill/>
                                </a:ln>
                              </wps:spPr>
                              <wps:txbx>
                                <w:txbxContent>
                                  <w:p w:rsidR="00D27BC6" w:rsidRDefault="004D5071">
                                    <w:pPr>
                                      <w:spacing w:after="160" w:line="259" w:lineRule="auto"/>
                                      <w:ind w:left="0" w:right="0" w:firstLine="0"/>
                                      <w:jc w:val="left"/>
                                    </w:pPr>
                                    <w:r>
                                      <w:rPr>
                                        <w:spacing w:val="-45"/>
                                      </w:rPr>
                                      <w:t xml:space="preserve"> </w:t>
                                    </w:r>
                                    <w:r>
                                      <w:t>(мл/мин/1,73</w:t>
                                    </w:r>
                                    <w:r>
                                      <w:rPr>
                                        <w:spacing w:val="-286"/>
                                      </w:rPr>
                                      <w:t xml:space="preserve"> </w:t>
                                    </w:r>
                                    <w:r>
                                      <w:t>м</w:t>
                                    </w:r>
                                  </w:p>
                                </w:txbxContent>
                              </wps:txbx>
                              <wps:bodyPr horzOverflow="overflow" vert="horz" lIns="0" tIns="0" rIns="0" bIns="0" rtlCol="0">
                                <a:noAutofit/>
                              </wps:bodyPr>
                            </wps:wsp>
                            <wps:wsp>
                              <wps:cNvPr id="9797" name="Rectangle 9797"/>
                              <wps:cNvSpPr/>
                              <wps:spPr>
                                <a:xfrm rot="-5399999">
                                  <a:off x="42620" y="-10151"/>
                                  <a:ext cx="50258" cy="117758"/>
                                </a:xfrm>
                                <a:prstGeom prst="rect">
                                  <a:avLst/>
                                </a:prstGeom>
                                <a:ln>
                                  <a:noFill/>
                                </a:ln>
                              </wps:spPr>
                              <wps:txbx>
                                <w:txbxContent>
                                  <w:p w:rsidR="00D27BC6" w:rsidRDefault="004D5071">
                                    <w:pPr>
                                      <w:spacing w:after="160" w:line="259" w:lineRule="auto"/>
                                      <w:ind w:left="0" w:right="0" w:firstLine="0"/>
                                      <w:jc w:val="left"/>
                                    </w:pPr>
                                    <w:r>
                                      <w:rPr>
                                        <w:sz w:val="12"/>
                                      </w:rPr>
                                      <w:t>2</w:t>
                                    </w:r>
                                  </w:p>
                                </w:txbxContent>
                              </wps:txbx>
                              <wps:bodyPr horzOverflow="overflow" vert="horz" lIns="0" tIns="0" rIns="0" bIns="0" rtlCol="0">
                                <a:noAutofit/>
                              </wps:bodyPr>
                            </wps:wsp>
                            <wps:wsp>
                              <wps:cNvPr id="9798" name="Rectangle 9798"/>
                              <wps:cNvSpPr/>
                              <wps:spPr>
                                <a:xfrm rot="-5399999">
                                  <a:off x="77530" y="-89431"/>
                                  <a:ext cx="47971" cy="203030"/>
                                </a:xfrm>
                                <a:prstGeom prst="rect">
                                  <a:avLst/>
                                </a:prstGeom>
                                <a:ln>
                                  <a:noFill/>
                                </a:ln>
                              </wps:spPr>
                              <wps:txbx>
                                <w:txbxContent>
                                  <w:p w:rsidR="00D27BC6" w:rsidRDefault="004D5071">
                                    <w:pPr>
                                      <w:spacing w:after="160" w:line="259" w:lineRule="auto"/>
                                      <w:ind w:left="0" w:right="0" w:firstLine="0"/>
                                      <w:jc w:val="left"/>
                                    </w:pPr>
                                    <w:r>
                                      <w:t>)</w:t>
                                    </w:r>
                                  </w:p>
                                </w:txbxContent>
                              </wps:txbx>
                              <wps:bodyPr horzOverflow="overflow" vert="horz" lIns="0" tIns="0" rIns="0" bIns="0" rtlCol="0">
                                <a:noAutofit/>
                              </wps:bodyPr>
                            </wps:wsp>
                          </wpg:wgp>
                        </a:graphicData>
                      </a:graphic>
                    </wp:inline>
                  </w:drawing>
                </mc:Choice>
                <mc:Fallback xmlns:a="http://schemas.openxmlformats.org/drawingml/2006/main">
                  <w:pict>
                    <v:group id="Group 289646" style="width:12.02pt;height:141.058pt;mso-position-horizontal-relative:char;mso-position-vertical-relative:line" coordsize="1526,17914">
                      <v:rect id="Rectangle 9794" style="position:absolute;width:11063;height:2030;left:-4516;top:11367;rotation:270;" filled="f" stroked="f">
                        <v:textbox inset="0,0,0,0" style="layout-flow:vertical;mso-layout-flow-alt:bottom-to-top">
                          <w:txbxContent>
                            <w:p>
                              <w:pPr>
                                <w:spacing w:before="0" w:after="160" w:line="259" w:lineRule="auto"/>
                                <w:ind w:left="0" w:right="0" w:firstLine="0"/>
                                <w:jc w:val="left"/>
                              </w:pPr>
                              <w:r>
                                <w:rPr/>
                                <w:t xml:space="preserve">Категории</w:t>
                              </w:r>
                              <w:r>
                                <w:rPr>
                                  <w:spacing w:val="-286"/>
                                </w:rPr>
                                <w:t xml:space="preserve"> </w:t>
                              </w:r>
                              <w:r>
                                <w:rPr/>
                                <w:t xml:space="preserve">СКФ</w:t>
                              </w:r>
                            </w:p>
                          </w:txbxContent>
                        </v:textbox>
                      </v:rect>
                      <v:rect id="Rectangle 9795" style="position:absolute;width:502;height:1177;left:426;top:8755;rotation:270;" filled="f" stroked="f">
                        <v:textbox inset="0,0,0,0" style="layout-flow:vertical;mso-layout-flow-alt:bottom-to-top">
                          <w:txbxContent>
                            <w:p>
                              <w:pPr>
                                <w:spacing w:before="0" w:after="160" w:line="259" w:lineRule="auto"/>
                                <w:ind w:left="0" w:right="0" w:firstLine="0"/>
                                <w:jc w:val="left"/>
                              </w:pPr>
                              <w:r>
                                <w:rPr>
                                  <w:sz w:val="12"/>
                                </w:rPr>
                                <w:t xml:space="preserve">2</w:t>
                              </w:r>
                            </w:p>
                          </w:txbxContent>
                        </v:textbox>
                      </v:rect>
                      <v:rect id="Rectangle 9796" style="position:absolute;width:11278;height:2030;left:-4623;top:2563;rotation:270;" filled="f" stroked="f">
                        <v:textbox inset="0,0,0,0" style="layout-flow:vertical;mso-layout-flow-alt:bottom-to-top">
                          <w:txbxContent>
                            <w:p>
                              <w:pPr>
                                <w:spacing w:before="0" w:after="160" w:line="259" w:lineRule="auto"/>
                                <w:ind w:left="0" w:right="0" w:firstLine="0"/>
                                <w:jc w:val="left"/>
                              </w:pPr>
                              <w:r>
                                <w:rPr>
                                  <w:spacing w:val="-45"/>
                                </w:rPr>
                                <w:t xml:space="preserve"> </w:t>
                              </w:r>
                              <w:r>
                                <w:rPr/>
                                <w:t xml:space="preserve">(мл/мин/1,73</w:t>
                              </w:r>
                              <w:r>
                                <w:rPr>
                                  <w:spacing w:val="-286"/>
                                </w:rPr>
                                <w:t xml:space="preserve"> </w:t>
                              </w:r>
                              <w:r>
                                <w:rPr/>
                                <w:t xml:space="preserve">м</w:t>
                              </w:r>
                            </w:p>
                          </w:txbxContent>
                        </v:textbox>
                      </v:rect>
                      <v:rect id="Rectangle 9797" style="position:absolute;width:502;height:1177;left:426;top:-101;rotation:270;" filled="f" stroked="f">
                        <v:textbox inset="0,0,0,0" style="layout-flow:vertical;mso-layout-flow-alt:bottom-to-top">
                          <w:txbxContent>
                            <w:p>
                              <w:pPr>
                                <w:spacing w:before="0" w:after="160" w:line="259" w:lineRule="auto"/>
                                <w:ind w:left="0" w:right="0" w:firstLine="0"/>
                                <w:jc w:val="left"/>
                              </w:pPr>
                              <w:r>
                                <w:rPr>
                                  <w:sz w:val="12"/>
                                </w:rPr>
                                <w:t xml:space="preserve">2</w:t>
                              </w:r>
                            </w:p>
                          </w:txbxContent>
                        </v:textbox>
                      </v:rect>
                      <v:rect id="Rectangle 9798" style="position:absolute;width:479;height:2030;left:775;top:-894;rotation:270;" filled="f" stroked="f">
                        <v:textbox inset="0,0,0,0" style="layout-flow:vertical;mso-layout-flow-alt:bottom-to-top">
                          <w:txbxContent>
                            <w:p>
                              <w:pPr>
                                <w:spacing w:before="0" w:after="160" w:line="259" w:lineRule="auto"/>
                                <w:ind w:left="0" w:right="0" w:firstLine="0"/>
                                <w:jc w:val="left"/>
                              </w:pPr>
                              <w:r>
                                <w:rPr/>
                                <w:t xml:space="preserve">)</w:t>
                              </w:r>
                            </w:p>
                          </w:txbxContent>
                        </v:textbox>
                      </v:rect>
                    </v:group>
                  </w:pict>
                </mc:Fallback>
              </mc:AlternateContent>
            </w:r>
          </w:p>
        </w:tc>
        <w:tc>
          <w:tcPr>
            <w:tcW w:w="51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3" w:right="0" w:firstLine="0"/>
              <w:jc w:val="left"/>
            </w:pPr>
            <w:r>
              <w:t>С1</w:t>
            </w:r>
          </w:p>
        </w:tc>
        <w:tc>
          <w:tcPr>
            <w:tcW w:w="234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center"/>
            </w:pPr>
            <w:r>
              <w:t>Высокая или  оптимальная</w:t>
            </w:r>
          </w:p>
        </w:tc>
        <w:tc>
          <w:tcPr>
            <w:tcW w:w="133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4" w:firstLine="0"/>
              <w:jc w:val="center"/>
            </w:pPr>
            <w:r>
              <w:t>≥90</w:t>
            </w:r>
          </w:p>
        </w:tc>
        <w:tc>
          <w:tcPr>
            <w:tcW w:w="1841" w:type="dxa"/>
            <w:tcBorders>
              <w:top w:val="single" w:sz="6" w:space="0" w:color="000000"/>
              <w:left w:val="single" w:sz="6" w:space="0" w:color="000000"/>
              <w:bottom w:val="single" w:sz="6" w:space="0" w:color="000000"/>
              <w:right w:val="single" w:sz="6" w:space="0" w:color="000000"/>
            </w:tcBorders>
            <w:shd w:val="clear" w:color="auto" w:fill="94C11E"/>
            <w:vAlign w:val="center"/>
          </w:tcPr>
          <w:p w:rsidR="00D27BC6" w:rsidRDefault="004D5071">
            <w:pPr>
              <w:spacing w:after="0" w:line="259" w:lineRule="auto"/>
              <w:ind w:left="0" w:right="24" w:firstLine="0"/>
              <w:jc w:val="center"/>
            </w:pPr>
            <w:r>
              <w:t>Низкий</w:t>
            </w:r>
            <w:r>
              <w:rPr>
                <w:sz w:val="18"/>
                <w:vertAlign w:val="superscript"/>
              </w:rPr>
              <w:footnoteReference w:id="15"/>
            </w:r>
          </w:p>
        </w:tc>
        <w:tc>
          <w:tcPr>
            <w:tcW w:w="1841" w:type="dxa"/>
            <w:tcBorders>
              <w:top w:val="single" w:sz="6" w:space="0" w:color="000000"/>
              <w:left w:val="single" w:sz="6" w:space="0" w:color="000000"/>
              <w:bottom w:val="single" w:sz="6" w:space="0" w:color="000000"/>
              <w:right w:val="single" w:sz="6" w:space="0" w:color="000000"/>
            </w:tcBorders>
            <w:shd w:val="clear" w:color="auto" w:fill="FFED00"/>
            <w:vAlign w:val="center"/>
          </w:tcPr>
          <w:p w:rsidR="00D27BC6" w:rsidRDefault="004D5071">
            <w:pPr>
              <w:spacing w:after="0" w:line="259" w:lineRule="auto"/>
              <w:ind w:left="0" w:right="24" w:firstLine="0"/>
              <w:jc w:val="center"/>
            </w:pPr>
            <w:r>
              <w:t>Умеренный</w:t>
            </w:r>
          </w:p>
        </w:tc>
        <w:tc>
          <w:tcPr>
            <w:tcW w:w="1773" w:type="dxa"/>
            <w:tcBorders>
              <w:top w:val="single" w:sz="6" w:space="0" w:color="000000"/>
              <w:left w:val="single" w:sz="6" w:space="0" w:color="000000"/>
              <w:bottom w:val="single" w:sz="6" w:space="0" w:color="000000"/>
              <w:right w:val="single" w:sz="6" w:space="0" w:color="000000"/>
            </w:tcBorders>
            <w:shd w:val="clear" w:color="auto" w:fill="F39200"/>
            <w:vAlign w:val="center"/>
          </w:tcPr>
          <w:p w:rsidR="00D27BC6" w:rsidRDefault="004D5071">
            <w:pPr>
              <w:spacing w:after="0" w:line="259" w:lineRule="auto"/>
              <w:ind w:left="0" w:right="24" w:firstLine="0"/>
              <w:jc w:val="center"/>
            </w:pPr>
            <w:r>
              <w:t>Высокий</w:t>
            </w:r>
          </w:p>
        </w:tc>
      </w:tr>
      <w:tr w:rsidR="00D27BC6">
        <w:trPr>
          <w:trHeight w:val="80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51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3" w:right="0" w:firstLine="0"/>
              <w:jc w:val="left"/>
            </w:pPr>
            <w:r>
              <w:t>С2</w:t>
            </w:r>
          </w:p>
        </w:tc>
        <w:tc>
          <w:tcPr>
            <w:tcW w:w="234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37" w:right="0" w:firstLine="0"/>
              <w:jc w:val="center"/>
            </w:pPr>
            <w:r>
              <w:t>Незначительно  снижена</w:t>
            </w:r>
          </w:p>
        </w:tc>
        <w:tc>
          <w:tcPr>
            <w:tcW w:w="133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4" w:firstLine="0"/>
              <w:jc w:val="center"/>
            </w:pPr>
            <w:r>
              <w:t>60–89</w:t>
            </w:r>
          </w:p>
        </w:tc>
        <w:tc>
          <w:tcPr>
            <w:tcW w:w="1841" w:type="dxa"/>
            <w:tcBorders>
              <w:top w:val="single" w:sz="6" w:space="0" w:color="000000"/>
              <w:left w:val="single" w:sz="6" w:space="0" w:color="000000"/>
              <w:bottom w:val="single" w:sz="6" w:space="0" w:color="000000"/>
              <w:right w:val="single" w:sz="6" w:space="0" w:color="000000"/>
            </w:tcBorders>
            <w:shd w:val="clear" w:color="auto" w:fill="94C11E"/>
            <w:vAlign w:val="center"/>
          </w:tcPr>
          <w:p w:rsidR="00D27BC6" w:rsidRDefault="004D5071">
            <w:pPr>
              <w:spacing w:after="0" w:line="259" w:lineRule="auto"/>
              <w:ind w:left="0" w:right="24" w:firstLine="0"/>
              <w:jc w:val="center"/>
            </w:pPr>
            <w:r>
              <w:t>Низкий</w:t>
            </w:r>
          </w:p>
        </w:tc>
        <w:tc>
          <w:tcPr>
            <w:tcW w:w="1841" w:type="dxa"/>
            <w:tcBorders>
              <w:top w:val="single" w:sz="6" w:space="0" w:color="000000"/>
              <w:left w:val="single" w:sz="6" w:space="0" w:color="000000"/>
              <w:bottom w:val="single" w:sz="6" w:space="0" w:color="000000"/>
              <w:right w:val="single" w:sz="6" w:space="0" w:color="000000"/>
            </w:tcBorders>
            <w:shd w:val="clear" w:color="auto" w:fill="FFED00"/>
            <w:vAlign w:val="center"/>
          </w:tcPr>
          <w:p w:rsidR="00D27BC6" w:rsidRDefault="004D5071">
            <w:pPr>
              <w:spacing w:after="0" w:line="259" w:lineRule="auto"/>
              <w:ind w:left="0" w:right="24" w:firstLine="0"/>
              <w:jc w:val="center"/>
            </w:pPr>
            <w:r>
              <w:t>Умеренный</w:t>
            </w:r>
          </w:p>
        </w:tc>
        <w:tc>
          <w:tcPr>
            <w:tcW w:w="1773" w:type="dxa"/>
            <w:tcBorders>
              <w:top w:val="single" w:sz="6" w:space="0" w:color="000000"/>
              <w:left w:val="single" w:sz="6" w:space="0" w:color="000000"/>
              <w:bottom w:val="single" w:sz="6" w:space="0" w:color="000000"/>
              <w:right w:val="single" w:sz="6" w:space="0" w:color="000000"/>
            </w:tcBorders>
            <w:shd w:val="clear" w:color="auto" w:fill="F39200"/>
            <w:vAlign w:val="center"/>
          </w:tcPr>
          <w:p w:rsidR="00D27BC6" w:rsidRDefault="004D5071">
            <w:pPr>
              <w:spacing w:after="0" w:line="259" w:lineRule="auto"/>
              <w:ind w:left="0" w:right="24" w:firstLine="0"/>
              <w:jc w:val="center"/>
            </w:pPr>
            <w:r>
              <w:t>Высокий</w:t>
            </w:r>
          </w:p>
        </w:tc>
      </w:tr>
      <w:tr w:rsidR="00D27BC6">
        <w:trPr>
          <w:trHeight w:val="80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51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4" w:right="0" w:firstLine="0"/>
            </w:pPr>
            <w:r>
              <w:t>С3а</w:t>
            </w:r>
          </w:p>
        </w:tc>
        <w:tc>
          <w:tcPr>
            <w:tcW w:w="234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70" w:right="209" w:firstLine="0"/>
              <w:jc w:val="center"/>
            </w:pPr>
            <w:r>
              <w:t>Умеренно  снижена</w:t>
            </w:r>
          </w:p>
        </w:tc>
        <w:tc>
          <w:tcPr>
            <w:tcW w:w="133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4" w:firstLine="0"/>
              <w:jc w:val="center"/>
            </w:pPr>
            <w:r>
              <w:t>45–59</w:t>
            </w:r>
          </w:p>
        </w:tc>
        <w:tc>
          <w:tcPr>
            <w:tcW w:w="1841" w:type="dxa"/>
            <w:tcBorders>
              <w:top w:val="single" w:sz="6" w:space="0" w:color="000000"/>
              <w:left w:val="single" w:sz="6" w:space="0" w:color="000000"/>
              <w:bottom w:val="single" w:sz="6" w:space="0" w:color="000000"/>
              <w:right w:val="single" w:sz="6" w:space="0" w:color="000000"/>
            </w:tcBorders>
            <w:shd w:val="clear" w:color="auto" w:fill="FFED00"/>
            <w:vAlign w:val="center"/>
          </w:tcPr>
          <w:p w:rsidR="00D27BC6" w:rsidRDefault="004D5071">
            <w:pPr>
              <w:spacing w:after="0" w:line="259" w:lineRule="auto"/>
              <w:ind w:left="0" w:right="24" w:firstLine="0"/>
              <w:jc w:val="center"/>
            </w:pPr>
            <w:r>
              <w:t>Умеренный</w:t>
            </w:r>
          </w:p>
        </w:tc>
        <w:tc>
          <w:tcPr>
            <w:tcW w:w="1841" w:type="dxa"/>
            <w:tcBorders>
              <w:top w:val="single" w:sz="6" w:space="0" w:color="000000"/>
              <w:left w:val="single" w:sz="6" w:space="0" w:color="000000"/>
              <w:bottom w:val="single" w:sz="6" w:space="0" w:color="000000"/>
              <w:right w:val="single" w:sz="6" w:space="0" w:color="000000"/>
            </w:tcBorders>
            <w:shd w:val="clear" w:color="auto" w:fill="F39200"/>
            <w:vAlign w:val="center"/>
          </w:tcPr>
          <w:p w:rsidR="00D27BC6" w:rsidRDefault="004D5071">
            <w:pPr>
              <w:spacing w:after="0" w:line="259" w:lineRule="auto"/>
              <w:ind w:left="0" w:right="24" w:firstLine="0"/>
              <w:jc w:val="center"/>
            </w:pPr>
            <w:r>
              <w:t>Высокий</w:t>
            </w:r>
          </w:p>
        </w:tc>
        <w:tc>
          <w:tcPr>
            <w:tcW w:w="1773" w:type="dxa"/>
            <w:tcBorders>
              <w:top w:val="single" w:sz="6" w:space="0" w:color="000000"/>
              <w:left w:val="single" w:sz="6" w:space="0" w:color="000000"/>
              <w:bottom w:val="single" w:sz="6" w:space="0" w:color="000000"/>
              <w:right w:val="single" w:sz="6" w:space="0" w:color="000000"/>
            </w:tcBorders>
            <w:shd w:val="clear" w:color="auto" w:fill="D04E38"/>
            <w:vAlign w:val="center"/>
          </w:tcPr>
          <w:p w:rsidR="00D27BC6" w:rsidRDefault="004D5071">
            <w:pPr>
              <w:spacing w:after="0" w:line="259" w:lineRule="auto"/>
              <w:ind w:left="144" w:right="83" w:firstLine="0"/>
              <w:jc w:val="center"/>
            </w:pPr>
            <w:r>
              <w:rPr>
                <w:color w:val="FFFFFF"/>
              </w:rPr>
              <w:t>Очень  высокий</w:t>
            </w:r>
          </w:p>
        </w:tc>
      </w:tr>
      <w:tr w:rsidR="00D27BC6">
        <w:trPr>
          <w:trHeight w:val="80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51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pPr>
            <w:r>
              <w:t>С3б</w:t>
            </w:r>
          </w:p>
        </w:tc>
        <w:tc>
          <w:tcPr>
            <w:tcW w:w="234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26" w:right="65" w:firstLine="0"/>
              <w:jc w:val="center"/>
            </w:pPr>
            <w:r>
              <w:t>Существенно  снижена</w:t>
            </w:r>
          </w:p>
        </w:tc>
        <w:tc>
          <w:tcPr>
            <w:tcW w:w="133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4" w:firstLine="0"/>
              <w:jc w:val="center"/>
            </w:pPr>
            <w:r>
              <w:t>30–44</w:t>
            </w:r>
          </w:p>
        </w:tc>
        <w:tc>
          <w:tcPr>
            <w:tcW w:w="1841" w:type="dxa"/>
            <w:tcBorders>
              <w:top w:val="single" w:sz="6" w:space="0" w:color="000000"/>
              <w:left w:val="single" w:sz="6" w:space="0" w:color="000000"/>
              <w:bottom w:val="single" w:sz="6" w:space="0" w:color="000000"/>
              <w:right w:val="single" w:sz="6" w:space="0" w:color="000000"/>
            </w:tcBorders>
            <w:shd w:val="clear" w:color="auto" w:fill="F39200"/>
            <w:vAlign w:val="center"/>
          </w:tcPr>
          <w:p w:rsidR="00D27BC6" w:rsidRDefault="004D5071">
            <w:pPr>
              <w:spacing w:after="0" w:line="259" w:lineRule="auto"/>
              <w:ind w:left="0" w:right="24" w:firstLine="0"/>
              <w:jc w:val="center"/>
            </w:pPr>
            <w:r>
              <w:t>Высокий</w:t>
            </w:r>
          </w:p>
        </w:tc>
        <w:tc>
          <w:tcPr>
            <w:tcW w:w="1841" w:type="dxa"/>
            <w:tcBorders>
              <w:top w:val="single" w:sz="6" w:space="0" w:color="000000"/>
              <w:left w:val="single" w:sz="6" w:space="0" w:color="000000"/>
              <w:bottom w:val="single" w:sz="6" w:space="0" w:color="000000"/>
              <w:right w:val="single" w:sz="6" w:space="0" w:color="000000"/>
            </w:tcBorders>
            <w:shd w:val="clear" w:color="auto" w:fill="D04E38"/>
            <w:vAlign w:val="center"/>
          </w:tcPr>
          <w:p w:rsidR="00D27BC6" w:rsidRDefault="004D5071">
            <w:pPr>
              <w:spacing w:after="0" w:line="259" w:lineRule="auto"/>
              <w:ind w:left="178" w:right="116" w:firstLine="0"/>
              <w:jc w:val="center"/>
            </w:pPr>
            <w:r>
              <w:rPr>
                <w:color w:val="FFFFFF"/>
              </w:rPr>
              <w:t>Очень  высокий</w:t>
            </w:r>
          </w:p>
        </w:tc>
        <w:tc>
          <w:tcPr>
            <w:tcW w:w="1773" w:type="dxa"/>
            <w:tcBorders>
              <w:top w:val="single" w:sz="6" w:space="0" w:color="000000"/>
              <w:left w:val="single" w:sz="6" w:space="0" w:color="000000"/>
              <w:bottom w:val="single" w:sz="6" w:space="0" w:color="000000"/>
              <w:right w:val="single" w:sz="6" w:space="0" w:color="000000"/>
            </w:tcBorders>
            <w:shd w:val="clear" w:color="auto" w:fill="D04E38"/>
            <w:vAlign w:val="center"/>
          </w:tcPr>
          <w:p w:rsidR="00D27BC6" w:rsidRDefault="004D5071">
            <w:pPr>
              <w:spacing w:after="0" w:line="259" w:lineRule="auto"/>
              <w:ind w:left="144" w:right="83" w:firstLine="0"/>
              <w:jc w:val="center"/>
            </w:pPr>
            <w:r>
              <w:rPr>
                <w:color w:val="FFFFFF"/>
              </w:rPr>
              <w:t>Очень  высокий</w:t>
            </w:r>
          </w:p>
        </w:tc>
      </w:tr>
      <w:tr w:rsidR="00D27BC6">
        <w:trPr>
          <w:trHeight w:val="80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51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3" w:right="0" w:firstLine="0"/>
              <w:jc w:val="left"/>
            </w:pPr>
            <w:r>
              <w:t>С4</w:t>
            </w:r>
          </w:p>
        </w:tc>
        <w:tc>
          <w:tcPr>
            <w:tcW w:w="234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4" w:firstLine="0"/>
              <w:jc w:val="center"/>
            </w:pPr>
            <w:r>
              <w:t xml:space="preserve">Резко  </w:t>
            </w:r>
          </w:p>
          <w:p w:rsidR="00D27BC6" w:rsidRDefault="004D5071">
            <w:pPr>
              <w:spacing w:after="0" w:line="259" w:lineRule="auto"/>
              <w:ind w:left="0" w:right="23" w:firstLine="0"/>
              <w:jc w:val="center"/>
            </w:pPr>
            <w:r>
              <w:t>снижена</w:t>
            </w:r>
          </w:p>
        </w:tc>
        <w:tc>
          <w:tcPr>
            <w:tcW w:w="133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3" w:firstLine="0"/>
              <w:jc w:val="center"/>
            </w:pPr>
            <w:r>
              <w:t>15–29</w:t>
            </w:r>
          </w:p>
        </w:tc>
        <w:tc>
          <w:tcPr>
            <w:tcW w:w="1841" w:type="dxa"/>
            <w:tcBorders>
              <w:top w:val="single" w:sz="6" w:space="0" w:color="000000"/>
              <w:left w:val="single" w:sz="6" w:space="0" w:color="000000"/>
              <w:bottom w:val="single" w:sz="6" w:space="0" w:color="000000"/>
              <w:right w:val="single" w:sz="6" w:space="0" w:color="000000"/>
            </w:tcBorders>
            <w:shd w:val="clear" w:color="auto" w:fill="D04E38"/>
            <w:vAlign w:val="center"/>
          </w:tcPr>
          <w:p w:rsidR="00D27BC6" w:rsidRDefault="004D5071">
            <w:pPr>
              <w:spacing w:after="0" w:line="259" w:lineRule="auto"/>
              <w:ind w:left="178" w:right="116" w:firstLine="0"/>
              <w:jc w:val="center"/>
            </w:pPr>
            <w:r>
              <w:rPr>
                <w:color w:val="FFFFFF"/>
              </w:rPr>
              <w:t>Очень  высокий</w:t>
            </w:r>
          </w:p>
        </w:tc>
        <w:tc>
          <w:tcPr>
            <w:tcW w:w="1841" w:type="dxa"/>
            <w:tcBorders>
              <w:top w:val="single" w:sz="6" w:space="0" w:color="000000"/>
              <w:left w:val="single" w:sz="6" w:space="0" w:color="000000"/>
              <w:bottom w:val="single" w:sz="6" w:space="0" w:color="000000"/>
              <w:right w:val="single" w:sz="6" w:space="0" w:color="000000"/>
            </w:tcBorders>
            <w:shd w:val="clear" w:color="auto" w:fill="D04E38"/>
            <w:vAlign w:val="center"/>
          </w:tcPr>
          <w:p w:rsidR="00D27BC6" w:rsidRDefault="004D5071">
            <w:pPr>
              <w:spacing w:after="0" w:line="259" w:lineRule="auto"/>
              <w:ind w:left="178" w:right="116" w:firstLine="0"/>
              <w:jc w:val="center"/>
            </w:pPr>
            <w:r>
              <w:rPr>
                <w:color w:val="FFFFFF"/>
              </w:rPr>
              <w:t>Очень  высокий</w:t>
            </w:r>
          </w:p>
        </w:tc>
        <w:tc>
          <w:tcPr>
            <w:tcW w:w="1773" w:type="dxa"/>
            <w:tcBorders>
              <w:top w:val="single" w:sz="6" w:space="0" w:color="000000"/>
              <w:left w:val="single" w:sz="6" w:space="0" w:color="000000"/>
              <w:bottom w:val="single" w:sz="6" w:space="0" w:color="000000"/>
              <w:right w:val="single" w:sz="6" w:space="0" w:color="000000"/>
            </w:tcBorders>
            <w:shd w:val="clear" w:color="auto" w:fill="D04E38"/>
            <w:vAlign w:val="center"/>
          </w:tcPr>
          <w:p w:rsidR="00D27BC6" w:rsidRDefault="004D5071">
            <w:pPr>
              <w:spacing w:after="0" w:line="259" w:lineRule="auto"/>
              <w:ind w:left="144" w:right="83" w:firstLine="0"/>
              <w:jc w:val="center"/>
            </w:pPr>
            <w:r>
              <w:rPr>
                <w:color w:val="FFFFFF"/>
              </w:rPr>
              <w:t>Очень  высокий</w:t>
            </w:r>
          </w:p>
        </w:tc>
      </w:tr>
      <w:tr w:rsidR="00D27BC6">
        <w:trPr>
          <w:trHeight w:val="80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51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3" w:right="0" w:firstLine="0"/>
              <w:jc w:val="left"/>
            </w:pPr>
            <w:r>
              <w:t>С5</w:t>
            </w:r>
          </w:p>
        </w:tc>
        <w:tc>
          <w:tcPr>
            <w:tcW w:w="234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center"/>
            </w:pPr>
            <w:r>
              <w:t>Терминальная почечная недостаточность</w:t>
            </w:r>
          </w:p>
        </w:tc>
        <w:tc>
          <w:tcPr>
            <w:tcW w:w="133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3" w:firstLine="0"/>
              <w:jc w:val="center"/>
            </w:pPr>
            <w:r>
              <w:t>&lt;15</w:t>
            </w:r>
          </w:p>
        </w:tc>
        <w:tc>
          <w:tcPr>
            <w:tcW w:w="1841" w:type="dxa"/>
            <w:tcBorders>
              <w:top w:val="single" w:sz="6" w:space="0" w:color="000000"/>
              <w:left w:val="single" w:sz="6" w:space="0" w:color="000000"/>
              <w:bottom w:val="single" w:sz="6" w:space="0" w:color="000000"/>
              <w:right w:val="single" w:sz="6" w:space="0" w:color="000000"/>
            </w:tcBorders>
            <w:shd w:val="clear" w:color="auto" w:fill="D04E38"/>
            <w:vAlign w:val="center"/>
          </w:tcPr>
          <w:p w:rsidR="00D27BC6" w:rsidRDefault="004D5071">
            <w:pPr>
              <w:spacing w:after="0" w:line="259" w:lineRule="auto"/>
              <w:ind w:left="178" w:right="116" w:firstLine="0"/>
              <w:jc w:val="center"/>
            </w:pPr>
            <w:r>
              <w:rPr>
                <w:color w:val="FFFFFF"/>
              </w:rPr>
              <w:t>Очень  высокий</w:t>
            </w:r>
          </w:p>
        </w:tc>
        <w:tc>
          <w:tcPr>
            <w:tcW w:w="1841" w:type="dxa"/>
            <w:tcBorders>
              <w:top w:val="single" w:sz="6" w:space="0" w:color="000000"/>
              <w:left w:val="single" w:sz="6" w:space="0" w:color="000000"/>
              <w:bottom w:val="single" w:sz="6" w:space="0" w:color="000000"/>
              <w:right w:val="single" w:sz="6" w:space="0" w:color="000000"/>
            </w:tcBorders>
            <w:shd w:val="clear" w:color="auto" w:fill="D04E38"/>
            <w:vAlign w:val="center"/>
          </w:tcPr>
          <w:p w:rsidR="00D27BC6" w:rsidRDefault="004D5071">
            <w:pPr>
              <w:spacing w:after="0" w:line="259" w:lineRule="auto"/>
              <w:ind w:left="178" w:right="116" w:firstLine="0"/>
              <w:jc w:val="center"/>
            </w:pPr>
            <w:r>
              <w:rPr>
                <w:color w:val="FFFFFF"/>
              </w:rPr>
              <w:t>Очень  высокий</w:t>
            </w:r>
          </w:p>
        </w:tc>
        <w:tc>
          <w:tcPr>
            <w:tcW w:w="1773" w:type="dxa"/>
            <w:tcBorders>
              <w:top w:val="single" w:sz="6" w:space="0" w:color="000000"/>
              <w:left w:val="single" w:sz="6" w:space="0" w:color="000000"/>
              <w:bottom w:val="single" w:sz="6" w:space="0" w:color="000000"/>
              <w:right w:val="single" w:sz="6" w:space="0" w:color="000000"/>
            </w:tcBorders>
            <w:shd w:val="clear" w:color="auto" w:fill="D04E38"/>
            <w:vAlign w:val="center"/>
          </w:tcPr>
          <w:p w:rsidR="00D27BC6" w:rsidRDefault="004D5071">
            <w:pPr>
              <w:spacing w:after="0" w:line="259" w:lineRule="auto"/>
              <w:ind w:left="144" w:right="82" w:firstLine="0"/>
              <w:jc w:val="center"/>
            </w:pPr>
            <w:r>
              <w:rPr>
                <w:color w:val="FFFFFF"/>
              </w:rPr>
              <w:t>Очень  высокий</w:t>
            </w:r>
          </w:p>
        </w:tc>
      </w:tr>
    </w:tbl>
    <w:p w:rsidR="00D27BC6" w:rsidRDefault="004D5071">
      <w:pPr>
        <w:pStyle w:val="Heading2"/>
        <w:ind w:left="-3"/>
      </w:pPr>
      <w:r>
        <w:t>Ассоциации категории рСКФ и соотношения А/Кр в моче с рисками десяти распространенных осложнений</w:t>
      </w:r>
    </w:p>
    <w:tbl>
      <w:tblPr>
        <w:tblStyle w:val="TableGrid"/>
        <w:tblW w:w="10199" w:type="dxa"/>
        <w:tblInd w:w="9" w:type="dxa"/>
        <w:tblCellMar>
          <w:top w:w="9" w:type="dxa"/>
          <w:left w:w="29" w:type="dxa"/>
          <w:bottom w:w="0" w:type="dxa"/>
          <w:right w:w="29" w:type="dxa"/>
        </w:tblCellMar>
        <w:tblLook w:val="04A0" w:firstRow="1" w:lastRow="0" w:firstColumn="1" w:lastColumn="0" w:noHBand="0" w:noVBand="1"/>
      </w:tblPr>
      <w:tblGrid>
        <w:gridCol w:w="824"/>
        <w:gridCol w:w="824"/>
        <w:gridCol w:w="824"/>
        <w:gridCol w:w="824"/>
        <w:gridCol w:w="824"/>
        <w:gridCol w:w="824"/>
        <w:gridCol w:w="301"/>
        <w:gridCol w:w="826"/>
        <w:gridCol w:w="826"/>
        <w:gridCol w:w="826"/>
        <w:gridCol w:w="826"/>
        <w:gridCol w:w="826"/>
        <w:gridCol w:w="826"/>
      </w:tblGrid>
      <w:tr w:rsidR="00D27BC6">
        <w:trPr>
          <w:trHeight w:val="320"/>
        </w:trPr>
        <w:tc>
          <w:tcPr>
            <w:tcW w:w="824" w:type="dxa"/>
            <w:tcBorders>
              <w:top w:val="single" w:sz="6" w:space="0" w:color="000000"/>
              <w:left w:val="single" w:sz="6" w:space="0" w:color="000000"/>
              <w:bottom w:val="single" w:sz="2" w:space="0" w:color="000000"/>
              <w:right w:val="single" w:sz="2" w:space="0" w:color="000000"/>
            </w:tcBorders>
          </w:tcPr>
          <w:p w:rsidR="00D27BC6" w:rsidRDefault="00D27BC6">
            <w:pPr>
              <w:spacing w:after="160" w:line="259" w:lineRule="auto"/>
              <w:ind w:left="0" w:right="0" w:firstLine="0"/>
              <w:jc w:val="left"/>
            </w:pPr>
          </w:p>
        </w:tc>
        <w:tc>
          <w:tcPr>
            <w:tcW w:w="4119" w:type="dxa"/>
            <w:gridSpan w:val="5"/>
            <w:tcBorders>
              <w:top w:val="single" w:sz="6" w:space="0" w:color="000000"/>
              <w:left w:val="single" w:sz="2" w:space="0" w:color="000000"/>
              <w:bottom w:val="single" w:sz="2" w:space="0" w:color="000000"/>
              <w:right w:val="single" w:sz="6" w:space="0" w:color="000000"/>
            </w:tcBorders>
          </w:tcPr>
          <w:p w:rsidR="00D27BC6" w:rsidRDefault="004D5071">
            <w:pPr>
              <w:spacing w:after="0" w:line="259" w:lineRule="auto"/>
              <w:ind w:left="0" w:right="4" w:firstLine="0"/>
              <w:jc w:val="center"/>
            </w:pPr>
            <w:r>
              <w:rPr>
                <w:b/>
              </w:rPr>
              <w:t>А/Кр, мг/г</w:t>
            </w:r>
          </w:p>
        </w:tc>
        <w:tc>
          <w:tcPr>
            <w:tcW w:w="301" w:type="dxa"/>
            <w:vMerge w:val="restart"/>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6" w:space="0" w:color="000000"/>
              <w:left w:val="single" w:sz="6" w:space="0" w:color="000000"/>
              <w:bottom w:val="single" w:sz="2" w:space="0" w:color="000000"/>
              <w:right w:val="single" w:sz="2" w:space="0" w:color="000000"/>
            </w:tcBorders>
          </w:tcPr>
          <w:p w:rsidR="00D27BC6" w:rsidRDefault="00D27BC6">
            <w:pPr>
              <w:spacing w:after="160" w:line="259" w:lineRule="auto"/>
              <w:ind w:left="0" w:right="0" w:firstLine="0"/>
              <w:jc w:val="left"/>
            </w:pPr>
          </w:p>
        </w:tc>
        <w:tc>
          <w:tcPr>
            <w:tcW w:w="4129" w:type="dxa"/>
            <w:gridSpan w:val="5"/>
            <w:tcBorders>
              <w:top w:val="single" w:sz="6" w:space="0" w:color="000000"/>
              <w:left w:val="single" w:sz="2" w:space="0" w:color="000000"/>
              <w:bottom w:val="single" w:sz="2" w:space="0" w:color="000000"/>
              <w:right w:val="single" w:sz="6" w:space="0" w:color="000000"/>
            </w:tcBorders>
          </w:tcPr>
          <w:p w:rsidR="00D27BC6" w:rsidRDefault="004D5071">
            <w:pPr>
              <w:spacing w:after="0" w:line="259" w:lineRule="auto"/>
              <w:ind w:left="0" w:right="4" w:firstLine="0"/>
              <w:jc w:val="center"/>
            </w:pPr>
            <w:r>
              <w:rPr>
                <w:b/>
              </w:rPr>
              <w:t>А/Кр, мг/г</w:t>
            </w:r>
          </w:p>
        </w:tc>
      </w:tr>
      <w:tr w:rsidR="00D27BC6">
        <w:trPr>
          <w:trHeight w:val="320"/>
        </w:trPr>
        <w:tc>
          <w:tcPr>
            <w:tcW w:w="824" w:type="dxa"/>
            <w:tcBorders>
              <w:top w:val="single" w:sz="2" w:space="0" w:color="000000"/>
              <w:left w:val="single" w:sz="6" w:space="0" w:color="000000"/>
              <w:bottom w:val="single" w:sz="6" w:space="0" w:color="000000"/>
              <w:right w:val="single" w:sz="2" w:space="0" w:color="000000"/>
            </w:tcBorders>
          </w:tcPr>
          <w:p w:rsidR="00D27BC6" w:rsidRDefault="004D5071">
            <w:pPr>
              <w:spacing w:after="0" w:line="259" w:lineRule="auto"/>
              <w:ind w:left="16" w:right="0" w:firstLine="0"/>
            </w:pPr>
            <w:r>
              <w:rPr>
                <w:b/>
              </w:rPr>
              <w:t>рСКФкр</w:t>
            </w:r>
          </w:p>
        </w:tc>
        <w:tc>
          <w:tcPr>
            <w:tcW w:w="824" w:type="dxa"/>
            <w:tcBorders>
              <w:top w:val="single" w:sz="2" w:space="0" w:color="000000"/>
              <w:left w:val="single" w:sz="2" w:space="0" w:color="000000"/>
              <w:bottom w:val="single" w:sz="6" w:space="0" w:color="000000"/>
              <w:right w:val="single" w:sz="2" w:space="0" w:color="000000"/>
            </w:tcBorders>
          </w:tcPr>
          <w:p w:rsidR="00D27BC6" w:rsidRDefault="004D5071">
            <w:pPr>
              <w:spacing w:after="0" w:line="259" w:lineRule="auto"/>
              <w:ind w:left="0" w:right="0" w:firstLine="0"/>
              <w:jc w:val="center"/>
            </w:pPr>
            <w:r>
              <w:rPr>
                <w:b/>
              </w:rPr>
              <w:t>&lt;10</w:t>
            </w:r>
          </w:p>
        </w:tc>
        <w:tc>
          <w:tcPr>
            <w:tcW w:w="824" w:type="dxa"/>
            <w:tcBorders>
              <w:top w:val="single" w:sz="2" w:space="0" w:color="000000"/>
              <w:left w:val="single" w:sz="2" w:space="0" w:color="000000"/>
              <w:bottom w:val="single" w:sz="6" w:space="0" w:color="000000"/>
              <w:right w:val="single" w:sz="2" w:space="0" w:color="000000"/>
            </w:tcBorders>
          </w:tcPr>
          <w:p w:rsidR="00D27BC6" w:rsidRDefault="004D5071">
            <w:pPr>
              <w:spacing w:after="0" w:line="259" w:lineRule="auto"/>
              <w:ind w:left="111" w:right="0" w:firstLine="0"/>
              <w:jc w:val="left"/>
            </w:pPr>
            <w:r>
              <w:rPr>
                <w:b/>
              </w:rPr>
              <w:t>10–29</w:t>
            </w:r>
          </w:p>
        </w:tc>
        <w:tc>
          <w:tcPr>
            <w:tcW w:w="824" w:type="dxa"/>
            <w:tcBorders>
              <w:top w:val="single" w:sz="2" w:space="0" w:color="000000"/>
              <w:left w:val="single" w:sz="2" w:space="0" w:color="000000"/>
              <w:bottom w:val="single" w:sz="6" w:space="0" w:color="000000"/>
              <w:right w:val="single" w:sz="2" w:space="0" w:color="000000"/>
            </w:tcBorders>
          </w:tcPr>
          <w:p w:rsidR="00D27BC6" w:rsidRDefault="004D5071">
            <w:pPr>
              <w:spacing w:after="0" w:line="259" w:lineRule="auto"/>
              <w:ind w:left="55" w:right="0" w:firstLine="0"/>
            </w:pPr>
            <w:r>
              <w:rPr>
                <w:b/>
              </w:rPr>
              <w:t>30–299</w:t>
            </w:r>
          </w:p>
        </w:tc>
        <w:tc>
          <w:tcPr>
            <w:tcW w:w="824" w:type="dxa"/>
            <w:tcBorders>
              <w:top w:val="single" w:sz="2" w:space="0" w:color="000000"/>
              <w:left w:val="single" w:sz="2" w:space="0" w:color="000000"/>
              <w:bottom w:val="single" w:sz="6" w:space="0" w:color="000000"/>
              <w:right w:val="single" w:sz="2" w:space="0" w:color="000000"/>
            </w:tcBorders>
          </w:tcPr>
          <w:p w:rsidR="00D27BC6" w:rsidRDefault="004D5071">
            <w:pPr>
              <w:spacing w:after="0" w:line="259" w:lineRule="auto"/>
              <w:ind w:left="0" w:right="0" w:firstLine="0"/>
            </w:pPr>
            <w:r>
              <w:rPr>
                <w:b/>
              </w:rPr>
              <w:t>300–999</w:t>
            </w:r>
          </w:p>
        </w:tc>
        <w:tc>
          <w:tcPr>
            <w:tcW w:w="824" w:type="dxa"/>
            <w:tcBorders>
              <w:top w:val="single" w:sz="2" w:space="0" w:color="000000"/>
              <w:left w:val="single" w:sz="2" w:space="0" w:color="000000"/>
              <w:bottom w:val="single" w:sz="6" w:space="0" w:color="000000"/>
              <w:right w:val="single" w:sz="6" w:space="0" w:color="000000"/>
            </w:tcBorders>
          </w:tcPr>
          <w:p w:rsidR="00D27BC6" w:rsidRDefault="004D5071">
            <w:pPr>
              <w:spacing w:after="0" w:line="259" w:lineRule="auto"/>
              <w:ind w:left="99" w:right="0" w:firstLine="0"/>
              <w:jc w:val="left"/>
            </w:pPr>
            <w:r>
              <w:rPr>
                <w:b/>
              </w:rPr>
              <w:t>1000+</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6" w:space="0" w:color="000000"/>
              <w:right w:val="single" w:sz="2" w:space="0" w:color="000000"/>
            </w:tcBorders>
          </w:tcPr>
          <w:p w:rsidR="00D27BC6" w:rsidRDefault="004D5071">
            <w:pPr>
              <w:spacing w:after="0" w:line="259" w:lineRule="auto"/>
              <w:ind w:left="17" w:right="0" w:firstLine="0"/>
            </w:pPr>
            <w:r>
              <w:rPr>
                <w:b/>
              </w:rPr>
              <w:t>рСКФкр</w:t>
            </w:r>
          </w:p>
        </w:tc>
        <w:tc>
          <w:tcPr>
            <w:tcW w:w="826" w:type="dxa"/>
            <w:tcBorders>
              <w:top w:val="single" w:sz="2" w:space="0" w:color="000000"/>
              <w:left w:val="single" w:sz="2" w:space="0" w:color="000000"/>
              <w:bottom w:val="single" w:sz="6" w:space="0" w:color="000000"/>
              <w:right w:val="single" w:sz="2" w:space="0" w:color="000000"/>
            </w:tcBorders>
          </w:tcPr>
          <w:p w:rsidR="00D27BC6" w:rsidRDefault="004D5071">
            <w:pPr>
              <w:spacing w:after="0" w:line="259" w:lineRule="auto"/>
              <w:ind w:left="0" w:right="0" w:firstLine="0"/>
              <w:jc w:val="center"/>
            </w:pPr>
            <w:r>
              <w:rPr>
                <w:b/>
              </w:rPr>
              <w:t>&lt;10</w:t>
            </w:r>
          </w:p>
        </w:tc>
        <w:tc>
          <w:tcPr>
            <w:tcW w:w="826" w:type="dxa"/>
            <w:tcBorders>
              <w:top w:val="single" w:sz="2" w:space="0" w:color="000000"/>
              <w:left w:val="single" w:sz="2" w:space="0" w:color="000000"/>
              <w:bottom w:val="single" w:sz="6" w:space="0" w:color="000000"/>
              <w:right w:val="single" w:sz="2" w:space="0" w:color="000000"/>
            </w:tcBorders>
          </w:tcPr>
          <w:p w:rsidR="00D27BC6" w:rsidRDefault="004D5071">
            <w:pPr>
              <w:spacing w:after="0" w:line="259" w:lineRule="auto"/>
              <w:ind w:left="112" w:right="0" w:firstLine="0"/>
              <w:jc w:val="left"/>
            </w:pPr>
            <w:r>
              <w:rPr>
                <w:b/>
              </w:rPr>
              <w:t>10–29</w:t>
            </w:r>
          </w:p>
        </w:tc>
        <w:tc>
          <w:tcPr>
            <w:tcW w:w="826" w:type="dxa"/>
            <w:tcBorders>
              <w:top w:val="single" w:sz="2" w:space="0" w:color="000000"/>
              <w:left w:val="single" w:sz="2" w:space="0" w:color="000000"/>
              <w:bottom w:val="single" w:sz="6" w:space="0" w:color="000000"/>
              <w:right w:val="single" w:sz="2" w:space="0" w:color="000000"/>
            </w:tcBorders>
          </w:tcPr>
          <w:p w:rsidR="00D27BC6" w:rsidRDefault="004D5071">
            <w:pPr>
              <w:spacing w:after="0" w:line="259" w:lineRule="auto"/>
              <w:ind w:left="57" w:right="0" w:firstLine="0"/>
            </w:pPr>
            <w:r>
              <w:rPr>
                <w:b/>
              </w:rPr>
              <w:t>30–299</w:t>
            </w:r>
          </w:p>
        </w:tc>
        <w:tc>
          <w:tcPr>
            <w:tcW w:w="826" w:type="dxa"/>
            <w:tcBorders>
              <w:top w:val="single" w:sz="2" w:space="0" w:color="000000"/>
              <w:left w:val="single" w:sz="2" w:space="0" w:color="000000"/>
              <w:bottom w:val="single" w:sz="6" w:space="0" w:color="000000"/>
              <w:right w:val="single" w:sz="2" w:space="0" w:color="000000"/>
            </w:tcBorders>
          </w:tcPr>
          <w:p w:rsidR="00D27BC6" w:rsidRDefault="004D5071">
            <w:pPr>
              <w:spacing w:after="0" w:line="259" w:lineRule="auto"/>
              <w:ind w:left="1" w:right="0" w:firstLine="0"/>
            </w:pPr>
            <w:r>
              <w:rPr>
                <w:b/>
              </w:rPr>
              <w:t>300–999</w:t>
            </w:r>
          </w:p>
        </w:tc>
        <w:tc>
          <w:tcPr>
            <w:tcW w:w="826" w:type="dxa"/>
            <w:tcBorders>
              <w:top w:val="single" w:sz="2" w:space="0" w:color="000000"/>
              <w:left w:val="single" w:sz="2" w:space="0" w:color="000000"/>
              <w:bottom w:val="single" w:sz="6" w:space="0" w:color="000000"/>
              <w:right w:val="single" w:sz="6" w:space="0" w:color="000000"/>
            </w:tcBorders>
          </w:tcPr>
          <w:p w:rsidR="00D27BC6" w:rsidRDefault="004D5071">
            <w:pPr>
              <w:spacing w:after="0" w:line="259" w:lineRule="auto"/>
              <w:ind w:left="100" w:right="0" w:firstLine="0"/>
              <w:jc w:val="left"/>
            </w:pPr>
            <w:r>
              <w:rPr>
                <w:b/>
              </w:rPr>
              <w:t>1000+</w:t>
            </w:r>
          </w:p>
        </w:tc>
      </w:tr>
      <w:tr w:rsidR="00D27BC6">
        <w:trPr>
          <w:trHeight w:val="663"/>
        </w:trPr>
        <w:tc>
          <w:tcPr>
            <w:tcW w:w="824" w:type="dxa"/>
            <w:tcBorders>
              <w:top w:val="single" w:sz="6" w:space="0" w:color="000000"/>
              <w:left w:val="single" w:sz="6" w:space="0" w:color="000000"/>
              <w:bottom w:val="single" w:sz="2" w:space="0" w:color="000000"/>
              <w:right w:val="single" w:sz="2" w:space="0" w:color="000000"/>
            </w:tcBorders>
          </w:tcPr>
          <w:p w:rsidR="00D27BC6" w:rsidRDefault="00D27BC6">
            <w:pPr>
              <w:spacing w:after="160" w:line="259" w:lineRule="auto"/>
              <w:ind w:left="0" w:right="0" w:firstLine="0"/>
              <w:jc w:val="left"/>
            </w:pPr>
          </w:p>
        </w:tc>
        <w:tc>
          <w:tcPr>
            <w:tcW w:w="4119" w:type="dxa"/>
            <w:gridSpan w:val="5"/>
            <w:tcBorders>
              <w:top w:val="single" w:sz="6" w:space="0" w:color="000000"/>
              <w:left w:val="single" w:sz="2" w:space="0" w:color="000000"/>
              <w:bottom w:val="single" w:sz="2" w:space="0" w:color="000000"/>
              <w:right w:val="single" w:sz="6" w:space="0" w:color="000000"/>
            </w:tcBorders>
          </w:tcPr>
          <w:p w:rsidR="00D27BC6" w:rsidRDefault="004D5071">
            <w:pPr>
              <w:spacing w:after="0" w:line="259" w:lineRule="auto"/>
              <w:ind w:left="0" w:right="0" w:firstLine="0"/>
              <w:jc w:val="center"/>
            </w:pPr>
            <w:r>
              <w:rPr>
                <w:b/>
              </w:rPr>
              <w:t>Общая смертность</w:t>
            </w:r>
            <w:r>
              <w:t xml:space="preserve">: </w:t>
            </w:r>
          </w:p>
          <w:p w:rsidR="00D27BC6" w:rsidRDefault="004D5071">
            <w:pPr>
              <w:spacing w:after="0" w:line="259" w:lineRule="auto"/>
              <w:ind w:left="0" w:right="0" w:firstLine="0"/>
              <w:jc w:val="center"/>
            </w:pPr>
            <w:r>
              <w:t xml:space="preserve">82 когорты,  </w:t>
            </w:r>
          </w:p>
          <w:p w:rsidR="00D27BC6" w:rsidRDefault="004D5071">
            <w:pPr>
              <w:spacing w:after="0" w:line="259" w:lineRule="auto"/>
              <w:ind w:left="0" w:right="0" w:firstLine="0"/>
              <w:jc w:val="center"/>
            </w:pPr>
            <w:r>
              <w:t>26 444 384 участника; 2 604 028 событий</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6" w:space="0" w:color="000000"/>
              <w:left w:val="single" w:sz="6" w:space="0" w:color="000000"/>
              <w:bottom w:val="single" w:sz="2" w:space="0" w:color="000000"/>
              <w:right w:val="single" w:sz="2" w:space="0" w:color="000000"/>
            </w:tcBorders>
          </w:tcPr>
          <w:p w:rsidR="00D27BC6" w:rsidRDefault="00D27BC6">
            <w:pPr>
              <w:spacing w:after="160" w:line="259" w:lineRule="auto"/>
              <w:ind w:left="0" w:right="0" w:firstLine="0"/>
              <w:jc w:val="left"/>
            </w:pPr>
          </w:p>
        </w:tc>
        <w:tc>
          <w:tcPr>
            <w:tcW w:w="4129" w:type="dxa"/>
            <w:gridSpan w:val="5"/>
            <w:tcBorders>
              <w:top w:val="single" w:sz="6" w:space="0" w:color="000000"/>
              <w:left w:val="single" w:sz="2" w:space="0" w:color="000000"/>
              <w:bottom w:val="single" w:sz="2" w:space="0" w:color="000000"/>
              <w:right w:val="single" w:sz="6" w:space="0" w:color="000000"/>
            </w:tcBorders>
          </w:tcPr>
          <w:p w:rsidR="00D27BC6" w:rsidRDefault="004D5071">
            <w:pPr>
              <w:spacing w:after="0" w:line="259" w:lineRule="auto"/>
              <w:ind w:left="0" w:right="0" w:firstLine="0"/>
              <w:jc w:val="center"/>
            </w:pPr>
            <w:r>
              <w:rPr>
                <w:b/>
              </w:rPr>
              <w:t>Инфаркт миокарда</w:t>
            </w:r>
            <w:r>
              <w:t>:</w:t>
            </w:r>
          </w:p>
          <w:p w:rsidR="00D27BC6" w:rsidRDefault="004D5071">
            <w:pPr>
              <w:spacing w:after="0" w:line="259" w:lineRule="auto"/>
              <w:ind w:left="0" w:right="0" w:firstLine="0"/>
              <w:jc w:val="center"/>
            </w:pPr>
            <w:r>
              <w:t xml:space="preserve">64 когорты,  </w:t>
            </w:r>
          </w:p>
          <w:p w:rsidR="00D27BC6" w:rsidRDefault="004D5071">
            <w:pPr>
              <w:spacing w:after="0" w:line="259" w:lineRule="auto"/>
              <w:ind w:left="0" w:right="0" w:firstLine="0"/>
              <w:jc w:val="center"/>
            </w:pPr>
            <w:r>
              <w:t>22 838 356 участников; 451 063 события</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28" w:right="0" w:firstLine="0"/>
              <w:jc w:val="left"/>
            </w:pPr>
            <w:r>
              <w:t>105+</w:t>
            </w:r>
          </w:p>
        </w:tc>
        <w:tc>
          <w:tcPr>
            <w:tcW w:w="824"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1" w:right="0" w:firstLine="0"/>
              <w:jc w:val="center"/>
            </w:pPr>
            <w:r>
              <w:t>1,6</w:t>
            </w:r>
          </w:p>
        </w:tc>
        <w:tc>
          <w:tcPr>
            <w:tcW w:w="824"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0" w:right="0" w:firstLine="0"/>
              <w:jc w:val="center"/>
            </w:pPr>
            <w:r>
              <w:t>2,2</w:t>
            </w:r>
          </w:p>
        </w:tc>
        <w:tc>
          <w:tcPr>
            <w:tcW w:w="824"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0" w:right="0" w:firstLine="0"/>
              <w:jc w:val="center"/>
            </w:pPr>
            <w:r>
              <w:t>2,9</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0" w:right="0" w:firstLine="0"/>
              <w:jc w:val="center"/>
            </w:pPr>
            <w:r>
              <w:t>4,3</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0" w:right="0" w:firstLine="0"/>
              <w:jc w:val="center"/>
            </w:pPr>
            <w:r>
              <w:t>5,8</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28" w:right="0" w:firstLine="0"/>
              <w:jc w:val="left"/>
            </w:pPr>
            <w:r>
              <w:t>105+</w:t>
            </w:r>
          </w:p>
        </w:tc>
        <w:tc>
          <w:tcPr>
            <w:tcW w:w="826"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0" w:right="0" w:firstLine="0"/>
              <w:jc w:val="center"/>
            </w:pPr>
            <w:r>
              <w:t>1,1</w:t>
            </w:r>
          </w:p>
        </w:tc>
        <w:tc>
          <w:tcPr>
            <w:tcW w:w="826"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0" w:right="0" w:firstLine="0"/>
              <w:jc w:val="center"/>
            </w:pPr>
            <w:r>
              <w:t>1,4</w:t>
            </w:r>
          </w:p>
        </w:tc>
        <w:tc>
          <w:tcPr>
            <w:tcW w:w="826"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0" w:right="0" w:firstLine="0"/>
              <w:jc w:val="center"/>
            </w:pPr>
            <w:r>
              <w:t>2,0</w:t>
            </w:r>
          </w:p>
        </w:tc>
        <w:tc>
          <w:tcPr>
            <w:tcW w:w="826"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0" w:right="0" w:firstLine="0"/>
              <w:jc w:val="center"/>
            </w:pPr>
            <w:r>
              <w:t>2,7</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0" w:right="0" w:firstLine="0"/>
              <w:jc w:val="center"/>
            </w:pPr>
            <w:r>
              <w:t>3,8</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28" w:right="0" w:firstLine="0"/>
              <w:jc w:val="left"/>
            </w:pPr>
            <w:r>
              <w:t>91–104</w:t>
            </w:r>
          </w:p>
        </w:tc>
        <w:tc>
          <w:tcPr>
            <w:tcW w:w="824" w:type="dxa"/>
            <w:tcBorders>
              <w:top w:val="single" w:sz="2" w:space="0" w:color="000000"/>
              <w:left w:val="single" w:sz="2" w:space="0" w:color="000000"/>
              <w:bottom w:val="single" w:sz="2" w:space="0" w:color="000000"/>
              <w:right w:val="single" w:sz="2" w:space="0" w:color="000000"/>
            </w:tcBorders>
          </w:tcPr>
          <w:p w:rsidR="00D27BC6" w:rsidRDefault="004D5071">
            <w:pPr>
              <w:spacing w:after="0" w:line="259" w:lineRule="auto"/>
              <w:ind w:left="0" w:right="0" w:firstLine="0"/>
              <w:jc w:val="center"/>
            </w:pPr>
            <w:r>
              <w:t>ref</w:t>
            </w:r>
          </w:p>
        </w:tc>
        <w:tc>
          <w:tcPr>
            <w:tcW w:w="824"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0" w:right="0" w:firstLine="0"/>
              <w:jc w:val="center"/>
            </w:pPr>
            <w:r>
              <w:t>1,3</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0" w:right="0" w:firstLine="0"/>
              <w:jc w:val="center"/>
            </w:pPr>
            <w:r>
              <w:t>1,8</w:t>
            </w:r>
          </w:p>
        </w:tc>
        <w:tc>
          <w:tcPr>
            <w:tcW w:w="824"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0" w:right="0" w:firstLine="0"/>
              <w:jc w:val="center"/>
            </w:pPr>
            <w:r>
              <w:t>2,6</w:t>
            </w:r>
          </w:p>
        </w:tc>
        <w:tc>
          <w:tcPr>
            <w:tcW w:w="824" w:type="dxa"/>
            <w:tcBorders>
              <w:top w:val="single" w:sz="2" w:space="0" w:color="000000"/>
              <w:left w:val="single" w:sz="2" w:space="0" w:color="000000"/>
              <w:bottom w:val="single" w:sz="2" w:space="0" w:color="000000"/>
              <w:right w:val="single" w:sz="6" w:space="0" w:color="000000"/>
            </w:tcBorders>
            <w:shd w:val="clear" w:color="auto" w:fill="E74310"/>
          </w:tcPr>
          <w:p w:rsidR="00D27BC6" w:rsidRDefault="004D5071">
            <w:pPr>
              <w:spacing w:after="0" w:line="259" w:lineRule="auto"/>
              <w:ind w:left="0" w:right="0" w:firstLine="0"/>
              <w:jc w:val="center"/>
            </w:pPr>
            <w:r>
              <w:t>3,1</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28" w:right="0" w:firstLine="0"/>
              <w:jc w:val="left"/>
            </w:pPr>
            <w:r>
              <w:t>91–104</w:t>
            </w:r>
          </w:p>
        </w:tc>
        <w:tc>
          <w:tcPr>
            <w:tcW w:w="826" w:type="dxa"/>
            <w:tcBorders>
              <w:top w:val="single" w:sz="2" w:space="0" w:color="000000"/>
              <w:left w:val="single" w:sz="2" w:space="0" w:color="000000"/>
              <w:bottom w:val="single" w:sz="2" w:space="0" w:color="000000"/>
              <w:right w:val="single" w:sz="2" w:space="0" w:color="000000"/>
            </w:tcBorders>
          </w:tcPr>
          <w:p w:rsidR="00D27BC6" w:rsidRDefault="004D5071">
            <w:pPr>
              <w:spacing w:after="0" w:line="259" w:lineRule="auto"/>
              <w:ind w:left="0" w:right="0" w:firstLine="0"/>
              <w:jc w:val="center"/>
            </w:pPr>
            <w:r>
              <w:t>ref</w:t>
            </w:r>
          </w:p>
        </w:tc>
        <w:tc>
          <w:tcPr>
            <w:tcW w:w="826"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0" w:right="0" w:firstLine="0"/>
              <w:jc w:val="center"/>
            </w:pPr>
            <w:r>
              <w:t>1,3</w:t>
            </w:r>
          </w:p>
        </w:tc>
        <w:tc>
          <w:tcPr>
            <w:tcW w:w="826"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0" w:right="0" w:firstLine="0"/>
              <w:jc w:val="center"/>
            </w:pPr>
            <w:r>
              <w:t>1,6</w:t>
            </w:r>
          </w:p>
        </w:tc>
        <w:tc>
          <w:tcPr>
            <w:tcW w:w="826"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0" w:right="0" w:firstLine="0"/>
              <w:jc w:val="center"/>
            </w:pPr>
            <w:r>
              <w:t>2,2</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0" w:right="0" w:firstLine="0"/>
              <w:jc w:val="center"/>
            </w:pPr>
            <w:r>
              <w:t>3,2</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28" w:right="0" w:firstLine="0"/>
              <w:jc w:val="left"/>
            </w:pPr>
            <w:r>
              <w:t>60–89</w:t>
            </w:r>
          </w:p>
        </w:tc>
        <w:tc>
          <w:tcPr>
            <w:tcW w:w="824"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0" w:right="0" w:firstLine="0"/>
              <w:jc w:val="center"/>
            </w:pPr>
            <w:r>
              <w:t>1,0</w:t>
            </w:r>
          </w:p>
        </w:tc>
        <w:tc>
          <w:tcPr>
            <w:tcW w:w="824"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0" w:right="0" w:firstLine="0"/>
              <w:jc w:val="center"/>
            </w:pPr>
            <w:r>
              <w:t>1,3</w:t>
            </w:r>
          </w:p>
        </w:tc>
        <w:tc>
          <w:tcPr>
            <w:tcW w:w="824"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0" w:right="0" w:firstLine="0"/>
              <w:jc w:val="center"/>
            </w:pPr>
            <w:r>
              <w:t>1,7</w:t>
            </w:r>
          </w:p>
        </w:tc>
        <w:tc>
          <w:tcPr>
            <w:tcW w:w="824"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0" w:right="1" w:firstLine="0"/>
              <w:jc w:val="center"/>
            </w:pPr>
            <w:r>
              <w:t>2,2</w:t>
            </w:r>
          </w:p>
        </w:tc>
        <w:tc>
          <w:tcPr>
            <w:tcW w:w="824" w:type="dxa"/>
            <w:tcBorders>
              <w:top w:val="single" w:sz="2" w:space="0" w:color="000000"/>
              <w:left w:val="single" w:sz="2" w:space="0" w:color="000000"/>
              <w:bottom w:val="single" w:sz="2" w:space="0" w:color="000000"/>
              <w:right w:val="single" w:sz="6" w:space="0" w:color="000000"/>
            </w:tcBorders>
            <w:shd w:val="clear" w:color="auto" w:fill="EA5D1C"/>
          </w:tcPr>
          <w:p w:rsidR="00D27BC6" w:rsidRDefault="004D5071">
            <w:pPr>
              <w:spacing w:after="0" w:line="259" w:lineRule="auto"/>
              <w:ind w:left="0" w:right="1" w:firstLine="0"/>
              <w:jc w:val="center"/>
            </w:pPr>
            <w:r>
              <w:t>2,8</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28" w:right="0" w:firstLine="0"/>
              <w:jc w:val="left"/>
            </w:pPr>
            <w:r>
              <w:t>60–89</w:t>
            </w:r>
          </w:p>
        </w:tc>
        <w:tc>
          <w:tcPr>
            <w:tcW w:w="826"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0" w:right="0" w:firstLine="0"/>
              <w:jc w:val="center"/>
            </w:pPr>
            <w:r>
              <w:t>1,1</w:t>
            </w:r>
          </w:p>
        </w:tc>
        <w:tc>
          <w:tcPr>
            <w:tcW w:w="826"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0" w:right="0" w:firstLine="0"/>
              <w:jc w:val="center"/>
            </w:pPr>
            <w:r>
              <w:t>1,3</w:t>
            </w:r>
          </w:p>
        </w:tc>
        <w:tc>
          <w:tcPr>
            <w:tcW w:w="826"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0" w:right="0" w:firstLine="0"/>
              <w:jc w:val="center"/>
            </w:pPr>
            <w:r>
              <w:t>1,6</w:t>
            </w:r>
          </w:p>
        </w:tc>
        <w:tc>
          <w:tcPr>
            <w:tcW w:w="826"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0" w:right="0" w:firstLine="0"/>
              <w:jc w:val="center"/>
            </w:pPr>
            <w:r>
              <w:t>2,2</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0" w:right="0" w:firstLine="0"/>
              <w:jc w:val="center"/>
            </w:pPr>
            <w:r>
              <w:t>3,1</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27" w:right="0" w:firstLine="0"/>
              <w:jc w:val="left"/>
            </w:pPr>
            <w:r>
              <w:t>45–59</w:t>
            </w:r>
          </w:p>
        </w:tc>
        <w:tc>
          <w:tcPr>
            <w:tcW w:w="824"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0" w:right="1" w:firstLine="0"/>
              <w:jc w:val="center"/>
            </w:pPr>
            <w:r>
              <w:t>1,3</w:t>
            </w:r>
          </w:p>
        </w:tc>
        <w:tc>
          <w:tcPr>
            <w:tcW w:w="824"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0" w:right="1" w:firstLine="0"/>
              <w:jc w:val="center"/>
            </w:pPr>
            <w:r>
              <w:t>1,6</w:t>
            </w:r>
          </w:p>
        </w:tc>
        <w:tc>
          <w:tcPr>
            <w:tcW w:w="824"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0" w:right="1" w:firstLine="0"/>
              <w:jc w:val="center"/>
            </w:pPr>
            <w:r>
              <w:t>2,0</w:t>
            </w:r>
          </w:p>
        </w:tc>
        <w:tc>
          <w:tcPr>
            <w:tcW w:w="824"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0" w:right="1" w:firstLine="0"/>
              <w:jc w:val="center"/>
            </w:pPr>
            <w:r>
              <w:t>2,4</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0" w:right="1" w:firstLine="0"/>
              <w:jc w:val="center"/>
            </w:pPr>
            <w:r>
              <w:t>3,1</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28" w:right="0" w:firstLine="0"/>
              <w:jc w:val="left"/>
            </w:pPr>
            <w:r>
              <w:t>45–59</w:t>
            </w:r>
          </w:p>
        </w:tc>
        <w:tc>
          <w:tcPr>
            <w:tcW w:w="826"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0" w:right="0" w:firstLine="0"/>
              <w:jc w:val="center"/>
            </w:pPr>
            <w:r>
              <w:t>1,4</w:t>
            </w:r>
          </w:p>
        </w:tc>
        <w:tc>
          <w:tcPr>
            <w:tcW w:w="826"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0" w:right="0" w:firstLine="0"/>
              <w:jc w:val="center"/>
            </w:pPr>
            <w:r>
              <w:t>1,7</w:t>
            </w:r>
          </w:p>
        </w:tc>
        <w:tc>
          <w:tcPr>
            <w:tcW w:w="826"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0" w:right="0" w:firstLine="0"/>
              <w:jc w:val="center"/>
            </w:pPr>
            <w:r>
              <w:t>2,0</w:t>
            </w:r>
          </w:p>
        </w:tc>
        <w:tc>
          <w:tcPr>
            <w:tcW w:w="826"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0" w:right="0" w:firstLine="0"/>
              <w:jc w:val="center"/>
            </w:pPr>
            <w:r>
              <w:t>2,8</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0" w:right="0" w:firstLine="0"/>
              <w:jc w:val="center"/>
            </w:pPr>
            <w:r>
              <w:t>3,7</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27" w:right="0" w:firstLine="0"/>
              <w:jc w:val="left"/>
            </w:pPr>
            <w:r>
              <w:t>30–44</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0" w:right="1" w:firstLine="0"/>
              <w:jc w:val="center"/>
            </w:pPr>
            <w:r>
              <w:t>1,8</w:t>
            </w:r>
          </w:p>
        </w:tc>
        <w:tc>
          <w:tcPr>
            <w:tcW w:w="824"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0" w:right="1" w:firstLine="0"/>
              <w:jc w:val="center"/>
            </w:pPr>
            <w:r>
              <w:t>2,0</w:t>
            </w:r>
          </w:p>
        </w:tc>
        <w:tc>
          <w:tcPr>
            <w:tcW w:w="824"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0" w:right="1" w:firstLine="0"/>
              <w:jc w:val="center"/>
            </w:pPr>
            <w:r>
              <w:t>2,5</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0" w:right="1" w:firstLine="0"/>
              <w:jc w:val="center"/>
            </w:pPr>
            <w:r>
              <w:t>3,2</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0" w:right="2" w:firstLine="0"/>
              <w:jc w:val="center"/>
            </w:pPr>
            <w:r>
              <w:t>3,9</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28" w:right="0" w:firstLine="0"/>
              <w:jc w:val="left"/>
            </w:pPr>
            <w:r>
              <w:t>30–44</w:t>
            </w:r>
          </w:p>
        </w:tc>
        <w:tc>
          <w:tcPr>
            <w:tcW w:w="826"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0" w:right="0" w:firstLine="0"/>
              <w:jc w:val="center"/>
            </w:pPr>
            <w:r>
              <w:t>1,9</w:t>
            </w:r>
          </w:p>
        </w:tc>
        <w:tc>
          <w:tcPr>
            <w:tcW w:w="826"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0" w:right="0" w:firstLine="0"/>
              <w:jc w:val="center"/>
            </w:pPr>
            <w:r>
              <w:t>2,0</w:t>
            </w:r>
          </w:p>
        </w:tc>
        <w:tc>
          <w:tcPr>
            <w:tcW w:w="826"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0" w:right="0" w:firstLine="0"/>
              <w:jc w:val="center"/>
            </w:pPr>
            <w:r>
              <w:t>2,4</w:t>
            </w:r>
          </w:p>
        </w:tc>
        <w:tc>
          <w:tcPr>
            <w:tcW w:w="826"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0" w:right="0" w:firstLine="0"/>
              <w:jc w:val="center"/>
            </w:pPr>
            <w:r>
              <w:t>3,2</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0" w:right="0" w:firstLine="0"/>
              <w:jc w:val="center"/>
            </w:pPr>
            <w:r>
              <w:t>4,3</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27" w:right="0" w:firstLine="0"/>
              <w:jc w:val="left"/>
            </w:pPr>
            <w:r>
              <w:t>15–29</w:t>
            </w:r>
          </w:p>
        </w:tc>
        <w:tc>
          <w:tcPr>
            <w:tcW w:w="824"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0" w:right="1" w:firstLine="0"/>
              <w:jc w:val="center"/>
            </w:pPr>
            <w:r>
              <w:t>2,8</w:t>
            </w:r>
          </w:p>
        </w:tc>
        <w:tc>
          <w:tcPr>
            <w:tcW w:w="824"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0" w:right="2" w:firstLine="0"/>
              <w:jc w:val="center"/>
            </w:pPr>
            <w:r>
              <w:t>2,8</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0" w:right="2" w:firstLine="0"/>
              <w:jc w:val="center"/>
            </w:pPr>
            <w:r>
              <w:t>3,3</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0" w:right="2" w:firstLine="0"/>
              <w:jc w:val="center"/>
            </w:pPr>
            <w:r>
              <w:t>4,1</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0" w:right="2" w:firstLine="0"/>
              <w:jc w:val="center"/>
            </w:pPr>
            <w:r>
              <w:t>5,6</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28" w:right="0" w:firstLine="0"/>
              <w:jc w:val="left"/>
            </w:pPr>
            <w:r>
              <w:t>15–29</w:t>
            </w:r>
          </w:p>
        </w:tc>
        <w:tc>
          <w:tcPr>
            <w:tcW w:w="826"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0" w:right="0" w:firstLine="0"/>
              <w:jc w:val="center"/>
            </w:pPr>
            <w:r>
              <w:t>2,7</w:t>
            </w:r>
          </w:p>
        </w:tc>
        <w:tc>
          <w:tcPr>
            <w:tcW w:w="826" w:type="dxa"/>
            <w:tcBorders>
              <w:top w:val="single" w:sz="2" w:space="0" w:color="000000"/>
              <w:left w:val="single" w:sz="2" w:space="0" w:color="000000"/>
              <w:bottom w:val="single" w:sz="2" w:space="0" w:color="000000"/>
              <w:right w:val="single" w:sz="2" w:space="0" w:color="000000"/>
            </w:tcBorders>
            <w:shd w:val="clear" w:color="auto" w:fill="E74310"/>
          </w:tcPr>
          <w:p w:rsidR="00D27BC6" w:rsidRDefault="004D5071">
            <w:pPr>
              <w:spacing w:after="0" w:line="259" w:lineRule="auto"/>
              <w:ind w:left="0" w:right="0" w:firstLine="0"/>
              <w:jc w:val="center"/>
            </w:pPr>
            <w:r>
              <w:t>3,1</w:t>
            </w:r>
          </w:p>
        </w:tc>
        <w:tc>
          <w:tcPr>
            <w:tcW w:w="826" w:type="dxa"/>
            <w:tcBorders>
              <w:top w:val="single" w:sz="2" w:space="0" w:color="000000"/>
              <w:left w:val="single" w:sz="2" w:space="0" w:color="000000"/>
              <w:bottom w:val="single" w:sz="2" w:space="0" w:color="000000"/>
              <w:right w:val="single" w:sz="2" w:space="0" w:color="000000"/>
            </w:tcBorders>
            <w:shd w:val="clear" w:color="auto" w:fill="E74310"/>
          </w:tcPr>
          <w:p w:rsidR="00D27BC6" w:rsidRDefault="004D5071">
            <w:pPr>
              <w:spacing w:after="0" w:line="259" w:lineRule="auto"/>
              <w:ind w:left="0" w:right="0" w:firstLine="0"/>
              <w:jc w:val="center"/>
            </w:pPr>
            <w:r>
              <w:t>3,1</w:t>
            </w:r>
          </w:p>
        </w:tc>
        <w:tc>
          <w:tcPr>
            <w:tcW w:w="826"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0" w:right="0" w:firstLine="0"/>
              <w:jc w:val="center"/>
            </w:pPr>
            <w:r>
              <w:t>4,2</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0" w:right="0" w:firstLine="0"/>
              <w:jc w:val="center"/>
            </w:pPr>
            <w:r>
              <w:t>5,1</w:t>
            </w:r>
          </w:p>
        </w:tc>
      </w:tr>
      <w:tr w:rsidR="00D27BC6">
        <w:trPr>
          <w:trHeight w:val="263"/>
        </w:trPr>
        <w:tc>
          <w:tcPr>
            <w:tcW w:w="824" w:type="dxa"/>
            <w:tcBorders>
              <w:top w:val="single" w:sz="2" w:space="0" w:color="000000"/>
              <w:left w:val="single" w:sz="6" w:space="0" w:color="000000"/>
              <w:bottom w:val="single" w:sz="6" w:space="0" w:color="000000"/>
              <w:right w:val="single" w:sz="2" w:space="0" w:color="000000"/>
            </w:tcBorders>
          </w:tcPr>
          <w:p w:rsidR="00D27BC6" w:rsidRDefault="004D5071">
            <w:pPr>
              <w:spacing w:after="0" w:line="259" w:lineRule="auto"/>
              <w:ind w:left="27" w:right="0" w:firstLine="0"/>
              <w:jc w:val="left"/>
            </w:pPr>
            <w:r>
              <w:t>&lt;15</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0" w:right="2" w:firstLine="0"/>
              <w:jc w:val="center"/>
            </w:pPr>
            <w:r>
              <w:t>4,6</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0" w:right="2" w:firstLine="0"/>
              <w:jc w:val="center"/>
            </w:pPr>
            <w:r>
              <w:t>5,0</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0" w:right="2" w:firstLine="0"/>
              <w:jc w:val="center"/>
            </w:pPr>
            <w:r>
              <w:t>5,3</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0" w:right="2" w:firstLine="0"/>
              <w:jc w:val="center"/>
            </w:pPr>
            <w:r>
              <w:t>6,0</w:t>
            </w:r>
          </w:p>
        </w:tc>
        <w:tc>
          <w:tcPr>
            <w:tcW w:w="824" w:type="dxa"/>
            <w:tcBorders>
              <w:top w:val="single" w:sz="2" w:space="0" w:color="000000"/>
              <w:left w:val="single" w:sz="2" w:space="0" w:color="000000"/>
              <w:bottom w:val="single" w:sz="6" w:space="0" w:color="000000"/>
              <w:right w:val="single" w:sz="6" w:space="0" w:color="000000"/>
            </w:tcBorders>
            <w:shd w:val="clear" w:color="auto" w:fill="DE2C34"/>
          </w:tcPr>
          <w:p w:rsidR="00D27BC6" w:rsidRDefault="004D5071">
            <w:pPr>
              <w:spacing w:after="0" w:line="259" w:lineRule="auto"/>
              <w:ind w:left="0" w:right="2" w:firstLine="0"/>
              <w:jc w:val="center"/>
            </w:pPr>
            <w:r>
              <w:t>7,0</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6" w:space="0" w:color="000000"/>
              <w:right w:val="single" w:sz="2" w:space="0" w:color="000000"/>
            </w:tcBorders>
          </w:tcPr>
          <w:p w:rsidR="00D27BC6" w:rsidRDefault="004D5071">
            <w:pPr>
              <w:spacing w:after="0" w:line="259" w:lineRule="auto"/>
              <w:ind w:left="28" w:right="0" w:firstLine="0"/>
              <w:jc w:val="left"/>
            </w:pPr>
            <w:r>
              <w:t>&lt;15</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0" w:right="0" w:firstLine="0"/>
              <w:jc w:val="center"/>
            </w:pPr>
            <w:r>
              <w:t>4,6</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0" w:right="0" w:firstLine="0"/>
              <w:jc w:val="center"/>
            </w:pPr>
            <w:r>
              <w:t>5,6</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0" w:right="0" w:firstLine="0"/>
              <w:jc w:val="center"/>
            </w:pPr>
            <w:r>
              <w:t>4,8</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0" w:right="0" w:firstLine="0"/>
              <w:jc w:val="center"/>
            </w:pPr>
            <w:r>
              <w:t>6,0</w:t>
            </w:r>
          </w:p>
        </w:tc>
        <w:tc>
          <w:tcPr>
            <w:tcW w:w="826" w:type="dxa"/>
            <w:tcBorders>
              <w:top w:val="single" w:sz="2" w:space="0" w:color="000000"/>
              <w:left w:val="single" w:sz="2" w:space="0" w:color="000000"/>
              <w:bottom w:val="single" w:sz="6" w:space="0" w:color="000000"/>
              <w:right w:val="single" w:sz="6" w:space="0" w:color="000000"/>
            </w:tcBorders>
            <w:shd w:val="clear" w:color="auto" w:fill="DE2C34"/>
          </w:tcPr>
          <w:p w:rsidR="00D27BC6" w:rsidRDefault="004D5071">
            <w:pPr>
              <w:spacing w:after="0" w:line="259" w:lineRule="auto"/>
              <w:ind w:left="0" w:right="0" w:firstLine="0"/>
              <w:jc w:val="center"/>
            </w:pPr>
            <w:r>
              <w:t>6,0</w:t>
            </w:r>
          </w:p>
        </w:tc>
      </w:tr>
      <w:tr w:rsidR="00D27BC6">
        <w:trPr>
          <w:trHeight w:val="663"/>
        </w:trPr>
        <w:tc>
          <w:tcPr>
            <w:tcW w:w="824" w:type="dxa"/>
            <w:tcBorders>
              <w:top w:val="single" w:sz="6" w:space="0" w:color="000000"/>
              <w:left w:val="single" w:sz="6" w:space="0" w:color="000000"/>
              <w:bottom w:val="single" w:sz="2" w:space="0" w:color="000000"/>
              <w:right w:val="single" w:sz="2" w:space="0" w:color="000000"/>
            </w:tcBorders>
          </w:tcPr>
          <w:p w:rsidR="00D27BC6" w:rsidRDefault="00D27BC6">
            <w:pPr>
              <w:spacing w:after="160" w:line="259" w:lineRule="auto"/>
              <w:ind w:left="0" w:right="0" w:firstLine="0"/>
              <w:jc w:val="left"/>
            </w:pPr>
          </w:p>
        </w:tc>
        <w:tc>
          <w:tcPr>
            <w:tcW w:w="4119" w:type="dxa"/>
            <w:gridSpan w:val="5"/>
            <w:tcBorders>
              <w:top w:val="single" w:sz="6" w:space="0" w:color="000000"/>
              <w:left w:val="single" w:sz="2" w:space="0" w:color="000000"/>
              <w:bottom w:val="single" w:sz="2" w:space="0" w:color="000000"/>
              <w:right w:val="single" w:sz="6" w:space="0" w:color="000000"/>
            </w:tcBorders>
          </w:tcPr>
          <w:p w:rsidR="00D27BC6" w:rsidRDefault="004D5071">
            <w:pPr>
              <w:spacing w:after="0" w:line="259" w:lineRule="auto"/>
              <w:ind w:left="60" w:right="0" w:firstLine="0"/>
              <w:jc w:val="center"/>
            </w:pPr>
            <w:r>
              <w:rPr>
                <w:b/>
              </w:rPr>
              <w:t>Сердечно-сосудистая смертность:</w:t>
            </w:r>
          </w:p>
          <w:p w:rsidR="00D27BC6" w:rsidRDefault="004D5071">
            <w:pPr>
              <w:spacing w:after="0" w:line="259" w:lineRule="auto"/>
              <w:ind w:left="60" w:right="0" w:firstLine="0"/>
              <w:jc w:val="center"/>
            </w:pPr>
            <w:r>
              <w:t xml:space="preserve">76 когорт,  </w:t>
            </w:r>
          </w:p>
          <w:p w:rsidR="00D27BC6" w:rsidRDefault="004D5071">
            <w:pPr>
              <w:spacing w:after="0" w:line="259" w:lineRule="auto"/>
              <w:ind w:left="60" w:right="0" w:firstLine="0"/>
              <w:jc w:val="center"/>
            </w:pPr>
            <w:r>
              <w:t>26 022 346 участников; 776 441 событие</w:t>
            </w:r>
          </w:p>
        </w:tc>
        <w:tc>
          <w:tcPr>
            <w:tcW w:w="301" w:type="dxa"/>
            <w:vMerge w:val="restart"/>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6" w:space="0" w:color="000000"/>
              <w:left w:val="single" w:sz="6" w:space="0" w:color="000000"/>
              <w:bottom w:val="single" w:sz="2" w:space="0" w:color="000000"/>
              <w:right w:val="single" w:sz="2" w:space="0" w:color="000000"/>
            </w:tcBorders>
          </w:tcPr>
          <w:p w:rsidR="00D27BC6" w:rsidRDefault="00D27BC6">
            <w:pPr>
              <w:spacing w:after="160" w:line="259" w:lineRule="auto"/>
              <w:ind w:left="0" w:right="0" w:firstLine="0"/>
              <w:jc w:val="left"/>
            </w:pPr>
          </w:p>
        </w:tc>
        <w:tc>
          <w:tcPr>
            <w:tcW w:w="4129" w:type="dxa"/>
            <w:gridSpan w:val="5"/>
            <w:tcBorders>
              <w:top w:val="single" w:sz="6" w:space="0" w:color="000000"/>
              <w:left w:val="single" w:sz="2" w:space="0" w:color="000000"/>
              <w:bottom w:val="single" w:sz="2" w:space="0" w:color="000000"/>
              <w:right w:val="single" w:sz="6" w:space="0" w:color="000000"/>
            </w:tcBorders>
          </w:tcPr>
          <w:p w:rsidR="00D27BC6" w:rsidRDefault="004D5071">
            <w:pPr>
              <w:spacing w:after="0" w:line="259" w:lineRule="auto"/>
              <w:ind w:left="60" w:right="0" w:firstLine="0"/>
              <w:jc w:val="center"/>
            </w:pPr>
            <w:r>
              <w:rPr>
                <w:b/>
              </w:rPr>
              <w:t xml:space="preserve">Инсульт: </w:t>
            </w:r>
          </w:p>
          <w:p w:rsidR="00D27BC6" w:rsidRDefault="004D5071">
            <w:pPr>
              <w:spacing w:after="0" w:line="259" w:lineRule="auto"/>
              <w:ind w:left="60" w:right="0" w:firstLine="0"/>
              <w:jc w:val="center"/>
            </w:pPr>
            <w:r>
              <w:t xml:space="preserve">68 когорт,  </w:t>
            </w:r>
          </w:p>
          <w:p w:rsidR="00D27BC6" w:rsidRDefault="004D5071">
            <w:pPr>
              <w:spacing w:after="0" w:line="259" w:lineRule="auto"/>
              <w:ind w:left="60" w:right="0" w:firstLine="0"/>
              <w:jc w:val="center"/>
            </w:pPr>
            <w:r>
              <w:t>24 746 436 участников; 461 785 событий</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105+</w:t>
            </w:r>
          </w:p>
        </w:tc>
        <w:tc>
          <w:tcPr>
            <w:tcW w:w="824"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60" w:right="0" w:firstLine="0"/>
              <w:jc w:val="center"/>
            </w:pPr>
            <w:r>
              <w:t>1,4</w:t>
            </w:r>
          </w:p>
        </w:tc>
        <w:tc>
          <w:tcPr>
            <w:tcW w:w="824"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60" w:right="0" w:firstLine="0"/>
              <w:jc w:val="center"/>
            </w:pPr>
            <w:r>
              <w:t>2,0</w:t>
            </w:r>
          </w:p>
        </w:tc>
        <w:tc>
          <w:tcPr>
            <w:tcW w:w="824"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9" w:right="0" w:firstLine="0"/>
              <w:jc w:val="center"/>
            </w:pPr>
            <w:r>
              <w:t>3,0</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9" w:right="0" w:firstLine="0"/>
              <w:jc w:val="center"/>
            </w:pPr>
            <w:r>
              <w:t>4,1</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9" w:right="0" w:firstLine="0"/>
              <w:jc w:val="center"/>
            </w:pPr>
            <w:r>
              <w:t>5,4</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105+</w:t>
            </w:r>
          </w:p>
        </w:tc>
        <w:tc>
          <w:tcPr>
            <w:tcW w:w="826"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60" w:right="0" w:firstLine="0"/>
              <w:jc w:val="center"/>
            </w:pPr>
            <w:r>
              <w:t>1,2</w:t>
            </w:r>
          </w:p>
        </w:tc>
        <w:tc>
          <w:tcPr>
            <w:tcW w:w="826"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60" w:right="0" w:firstLine="0"/>
              <w:jc w:val="center"/>
            </w:pPr>
            <w:r>
              <w:t>1,6</w:t>
            </w:r>
          </w:p>
        </w:tc>
        <w:tc>
          <w:tcPr>
            <w:tcW w:w="826"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60" w:right="0" w:firstLine="0"/>
              <w:jc w:val="center"/>
            </w:pPr>
            <w:r>
              <w:t>2,2</w:t>
            </w:r>
          </w:p>
        </w:tc>
        <w:tc>
          <w:tcPr>
            <w:tcW w:w="826"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60" w:right="0" w:firstLine="0"/>
              <w:jc w:val="center"/>
            </w:pPr>
            <w:r>
              <w:t>3,1</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60" w:right="0" w:firstLine="0"/>
              <w:jc w:val="center"/>
            </w:pPr>
            <w:r>
              <w:t>4,3</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91–104</w:t>
            </w:r>
          </w:p>
        </w:tc>
        <w:tc>
          <w:tcPr>
            <w:tcW w:w="824" w:type="dxa"/>
            <w:tcBorders>
              <w:top w:val="single" w:sz="2" w:space="0" w:color="000000"/>
              <w:left w:val="single" w:sz="2" w:space="0" w:color="000000"/>
              <w:bottom w:val="single" w:sz="2" w:space="0" w:color="000000"/>
              <w:right w:val="single" w:sz="2" w:space="0" w:color="000000"/>
            </w:tcBorders>
          </w:tcPr>
          <w:p w:rsidR="00D27BC6" w:rsidRDefault="004D5071">
            <w:pPr>
              <w:spacing w:after="0" w:line="259" w:lineRule="auto"/>
              <w:ind w:left="59" w:right="0" w:firstLine="0"/>
              <w:jc w:val="center"/>
            </w:pPr>
            <w:r>
              <w:t>ref</w:t>
            </w:r>
          </w:p>
        </w:tc>
        <w:tc>
          <w:tcPr>
            <w:tcW w:w="824"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59" w:right="0" w:firstLine="0"/>
              <w:jc w:val="center"/>
            </w:pPr>
            <w:r>
              <w:t>1,3</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1,9</w:t>
            </w:r>
          </w:p>
        </w:tc>
        <w:tc>
          <w:tcPr>
            <w:tcW w:w="824"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9" w:right="0" w:firstLine="0"/>
              <w:jc w:val="center"/>
            </w:pPr>
            <w:r>
              <w:t>2,7</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9" w:right="0" w:firstLine="0"/>
              <w:jc w:val="center"/>
            </w:pPr>
            <w:r>
              <w:t>3,6</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91–104</w:t>
            </w:r>
          </w:p>
        </w:tc>
        <w:tc>
          <w:tcPr>
            <w:tcW w:w="826" w:type="dxa"/>
            <w:tcBorders>
              <w:top w:val="single" w:sz="2" w:space="0" w:color="000000"/>
              <w:left w:val="single" w:sz="2" w:space="0" w:color="000000"/>
              <w:bottom w:val="single" w:sz="2" w:space="0" w:color="000000"/>
              <w:right w:val="single" w:sz="2" w:space="0" w:color="000000"/>
            </w:tcBorders>
          </w:tcPr>
          <w:p w:rsidR="00D27BC6" w:rsidRDefault="004D5071">
            <w:pPr>
              <w:spacing w:after="0" w:line="259" w:lineRule="auto"/>
              <w:ind w:left="59" w:right="0" w:firstLine="0"/>
              <w:jc w:val="center"/>
            </w:pPr>
            <w:r>
              <w:t>ref</w:t>
            </w:r>
          </w:p>
        </w:tc>
        <w:tc>
          <w:tcPr>
            <w:tcW w:w="826"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60" w:right="0" w:firstLine="0"/>
              <w:jc w:val="center"/>
            </w:pPr>
            <w:r>
              <w:t>1,3</w:t>
            </w:r>
          </w:p>
        </w:tc>
        <w:tc>
          <w:tcPr>
            <w:tcW w:w="826"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59" w:right="0" w:firstLine="0"/>
              <w:jc w:val="center"/>
            </w:pPr>
            <w:r>
              <w:t>1,6</w:t>
            </w:r>
          </w:p>
        </w:tc>
        <w:tc>
          <w:tcPr>
            <w:tcW w:w="826" w:type="dxa"/>
            <w:tcBorders>
              <w:top w:val="single" w:sz="2" w:space="0" w:color="000000"/>
              <w:left w:val="single" w:sz="2" w:space="0" w:color="000000"/>
              <w:bottom w:val="single" w:sz="2" w:space="0" w:color="000000"/>
              <w:right w:val="single" w:sz="2" w:space="0" w:color="000000"/>
            </w:tcBorders>
            <w:shd w:val="clear" w:color="auto" w:fill="E74310"/>
          </w:tcPr>
          <w:p w:rsidR="00D27BC6" w:rsidRDefault="004D5071">
            <w:pPr>
              <w:spacing w:after="0" w:line="259" w:lineRule="auto"/>
              <w:ind w:left="59" w:right="0" w:firstLine="0"/>
              <w:jc w:val="center"/>
            </w:pPr>
            <w:r>
              <w:t>2,4</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9" w:right="0" w:firstLine="0"/>
              <w:jc w:val="center"/>
            </w:pPr>
            <w:r>
              <w:t>3,1</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60–89</w:t>
            </w:r>
          </w:p>
        </w:tc>
        <w:tc>
          <w:tcPr>
            <w:tcW w:w="824"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59" w:right="0" w:firstLine="0"/>
              <w:jc w:val="center"/>
            </w:pPr>
            <w:r>
              <w:t>1,0</w:t>
            </w:r>
          </w:p>
        </w:tc>
        <w:tc>
          <w:tcPr>
            <w:tcW w:w="824"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59" w:right="0" w:firstLine="0"/>
              <w:jc w:val="center"/>
            </w:pPr>
            <w:r>
              <w:t>1,4</w:t>
            </w:r>
          </w:p>
        </w:tc>
        <w:tc>
          <w:tcPr>
            <w:tcW w:w="824"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59" w:right="0" w:firstLine="0"/>
              <w:jc w:val="center"/>
            </w:pPr>
            <w:r>
              <w:t>1,7</w:t>
            </w:r>
          </w:p>
        </w:tc>
        <w:tc>
          <w:tcPr>
            <w:tcW w:w="824"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9" w:right="0" w:firstLine="0"/>
              <w:jc w:val="center"/>
            </w:pPr>
            <w:r>
              <w:t>2,4</w:t>
            </w:r>
          </w:p>
        </w:tc>
        <w:tc>
          <w:tcPr>
            <w:tcW w:w="824" w:type="dxa"/>
            <w:tcBorders>
              <w:top w:val="single" w:sz="2" w:space="0" w:color="000000"/>
              <w:left w:val="single" w:sz="2" w:space="0" w:color="000000"/>
              <w:bottom w:val="single" w:sz="2" w:space="0" w:color="000000"/>
              <w:right w:val="single" w:sz="6" w:space="0" w:color="000000"/>
            </w:tcBorders>
            <w:shd w:val="clear" w:color="auto" w:fill="E74310"/>
          </w:tcPr>
          <w:p w:rsidR="00D27BC6" w:rsidRDefault="004D5071">
            <w:pPr>
              <w:spacing w:after="0" w:line="259" w:lineRule="auto"/>
              <w:ind w:left="58" w:right="0" w:firstLine="0"/>
              <w:jc w:val="center"/>
            </w:pPr>
            <w:r>
              <w:t>3,2</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60–89</w:t>
            </w:r>
          </w:p>
        </w:tc>
        <w:tc>
          <w:tcPr>
            <w:tcW w:w="826"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59" w:right="0" w:firstLine="0"/>
              <w:jc w:val="center"/>
            </w:pPr>
            <w:r>
              <w:t>1,1</w:t>
            </w:r>
          </w:p>
        </w:tc>
        <w:tc>
          <w:tcPr>
            <w:tcW w:w="826"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59" w:right="0" w:firstLine="0"/>
              <w:jc w:val="center"/>
            </w:pPr>
            <w:r>
              <w:t>1,3</w:t>
            </w:r>
          </w:p>
        </w:tc>
        <w:tc>
          <w:tcPr>
            <w:tcW w:w="826"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1,7</w:t>
            </w:r>
          </w:p>
        </w:tc>
        <w:tc>
          <w:tcPr>
            <w:tcW w:w="826"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9" w:right="0" w:firstLine="0"/>
              <w:jc w:val="center"/>
            </w:pPr>
            <w:r>
              <w:t>2,2</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9" w:right="0" w:firstLine="0"/>
              <w:jc w:val="center"/>
            </w:pPr>
            <w:r>
              <w:t>3,0</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45–59</w:t>
            </w:r>
          </w:p>
        </w:tc>
        <w:tc>
          <w:tcPr>
            <w:tcW w:w="824"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58" w:right="0" w:firstLine="0"/>
              <w:jc w:val="center"/>
            </w:pPr>
            <w:r>
              <w:t>1,4</w:t>
            </w:r>
          </w:p>
        </w:tc>
        <w:tc>
          <w:tcPr>
            <w:tcW w:w="824"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58" w:right="0" w:firstLine="0"/>
              <w:jc w:val="center"/>
            </w:pPr>
            <w:r>
              <w:t>1,7</w:t>
            </w:r>
          </w:p>
        </w:tc>
        <w:tc>
          <w:tcPr>
            <w:tcW w:w="824"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8" w:right="0" w:firstLine="0"/>
              <w:jc w:val="center"/>
            </w:pPr>
            <w:r>
              <w:t>2,2</w:t>
            </w:r>
          </w:p>
        </w:tc>
        <w:tc>
          <w:tcPr>
            <w:tcW w:w="824"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8" w:right="0" w:firstLine="0"/>
              <w:jc w:val="center"/>
            </w:pPr>
            <w:r>
              <w:t>2,8</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3,8</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45–59</w:t>
            </w:r>
          </w:p>
        </w:tc>
        <w:tc>
          <w:tcPr>
            <w:tcW w:w="826"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59" w:right="0" w:firstLine="0"/>
              <w:jc w:val="center"/>
            </w:pPr>
            <w:r>
              <w:t>1,4</w:t>
            </w:r>
          </w:p>
        </w:tc>
        <w:tc>
          <w:tcPr>
            <w:tcW w:w="826"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59" w:right="0" w:firstLine="0"/>
              <w:jc w:val="center"/>
            </w:pPr>
            <w:r>
              <w:t>1,6</w:t>
            </w:r>
          </w:p>
        </w:tc>
        <w:tc>
          <w:tcPr>
            <w:tcW w:w="826"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9" w:right="0" w:firstLine="0"/>
              <w:jc w:val="center"/>
            </w:pPr>
            <w:r>
              <w:t>1,9</w:t>
            </w:r>
          </w:p>
        </w:tc>
        <w:tc>
          <w:tcPr>
            <w:tcW w:w="826" w:type="dxa"/>
            <w:tcBorders>
              <w:top w:val="single" w:sz="2" w:space="0" w:color="000000"/>
              <w:left w:val="single" w:sz="2" w:space="0" w:color="000000"/>
              <w:bottom w:val="single" w:sz="2" w:space="0" w:color="000000"/>
              <w:right w:val="single" w:sz="2" w:space="0" w:color="000000"/>
            </w:tcBorders>
            <w:shd w:val="clear" w:color="auto" w:fill="E74310"/>
          </w:tcPr>
          <w:p w:rsidR="00D27BC6" w:rsidRDefault="004D5071">
            <w:pPr>
              <w:spacing w:after="0" w:line="259" w:lineRule="auto"/>
              <w:ind w:left="58" w:right="0" w:firstLine="0"/>
              <w:jc w:val="center"/>
            </w:pPr>
            <w:r>
              <w:t>2,3</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2,9</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0" w:right="0" w:firstLine="0"/>
              <w:jc w:val="left"/>
            </w:pPr>
            <w:r>
              <w:t>30–44</w:t>
            </w:r>
          </w:p>
        </w:tc>
        <w:tc>
          <w:tcPr>
            <w:tcW w:w="824"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8" w:right="0" w:firstLine="0"/>
              <w:jc w:val="center"/>
            </w:pPr>
            <w:r>
              <w:t>2,0</w:t>
            </w:r>
          </w:p>
        </w:tc>
        <w:tc>
          <w:tcPr>
            <w:tcW w:w="824"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8" w:right="0" w:firstLine="0"/>
              <w:jc w:val="center"/>
            </w:pPr>
            <w:r>
              <w:t>2,3</w:t>
            </w:r>
          </w:p>
        </w:tc>
        <w:tc>
          <w:tcPr>
            <w:tcW w:w="824"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8" w:right="0" w:firstLine="0"/>
              <w:jc w:val="center"/>
            </w:pPr>
            <w:r>
              <w:t>2,8</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3,7</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4,6</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30–44</w:t>
            </w:r>
          </w:p>
        </w:tc>
        <w:tc>
          <w:tcPr>
            <w:tcW w:w="826"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58" w:right="0" w:firstLine="0"/>
              <w:jc w:val="center"/>
            </w:pPr>
            <w:r>
              <w:t>1,6</w:t>
            </w:r>
          </w:p>
        </w:tc>
        <w:tc>
          <w:tcPr>
            <w:tcW w:w="826"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8" w:right="0" w:firstLine="0"/>
              <w:jc w:val="center"/>
            </w:pPr>
            <w:r>
              <w:t>1,7</w:t>
            </w:r>
          </w:p>
        </w:tc>
        <w:tc>
          <w:tcPr>
            <w:tcW w:w="826"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8" w:right="0" w:firstLine="0"/>
              <w:jc w:val="center"/>
            </w:pPr>
            <w:r>
              <w:t>2,0</w:t>
            </w:r>
          </w:p>
        </w:tc>
        <w:tc>
          <w:tcPr>
            <w:tcW w:w="826" w:type="dxa"/>
            <w:tcBorders>
              <w:top w:val="single" w:sz="2" w:space="0" w:color="000000"/>
              <w:left w:val="single" w:sz="2" w:space="0" w:color="000000"/>
              <w:bottom w:val="single" w:sz="2" w:space="0" w:color="000000"/>
              <w:right w:val="single" w:sz="2" w:space="0" w:color="000000"/>
            </w:tcBorders>
            <w:shd w:val="clear" w:color="auto" w:fill="E74310"/>
          </w:tcPr>
          <w:p w:rsidR="00D27BC6" w:rsidRDefault="004D5071">
            <w:pPr>
              <w:spacing w:after="0" w:line="259" w:lineRule="auto"/>
              <w:ind w:left="58" w:right="0" w:firstLine="0"/>
              <w:jc w:val="center"/>
            </w:pPr>
            <w:r>
              <w:t>2,4</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3,0</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0" w:right="0" w:firstLine="0"/>
              <w:jc w:val="left"/>
            </w:pPr>
            <w:r>
              <w:t>15–29</w:t>
            </w:r>
          </w:p>
        </w:tc>
        <w:tc>
          <w:tcPr>
            <w:tcW w:w="824"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8" w:right="0" w:firstLine="0"/>
              <w:jc w:val="center"/>
            </w:pPr>
            <w:r>
              <w:t>3,2</w:t>
            </w:r>
          </w:p>
        </w:tc>
        <w:tc>
          <w:tcPr>
            <w:tcW w:w="824"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8" w:right="0" w:firstLine="0"/>
              <w:jc w:val="center"/>
            </w:pPr>
            <w:r>
              <w:t>3,1</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7" w:right="0" w:firstLine="0"/>
              <w:jc w:val="center"/>
            </w:pPr>
            <w:r>
              <w:t>3,5</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7" w:right="0" w:firstLine="0"/>
              <w:jc w:val="center"/>
            </w:pPr>
            <w:r>
              <w:t>5,0</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7" w:right="0" w:firstLine="0"/>
              <w:jc w:val="center"/>
            </w:pPr>
            <w:r>
              <w:t>6,5</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0" w:right="0" w:firstLine="0"/>
              <w:jc w:val="left"/>
            </w:pPr>
            <w:r>
              <w:t>15–29</w:t>
            </w:r>
          </w:p>
        </w:tc>
        <w:tc>
          <w:tcPr>
            <w:tcW w:w="826"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8" w:right="0" w:firstLine="0"/>
              <w:jc w:val="center"/>
            </w:pPr>
            <w:r>
              <w:t>1,8</w:t>
            </w:r>
          </w:p>
        </w:tc>
        <w:tc>
          <w:tcPr>
            <w:tcW w:w="826"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8" w:right="0" w:firstLine="0"/>
              <w:jc w:val="center"/>
            </w:pPr>
            <w:r>
              <w:t>2,1</w:t>
            </w:r>
          </w:p>
        </w:tc>
        <w:tc>
          <w:tcPr>
            <w:tcW w:w="826"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8" w:right="0" w:firstLine="0"/>
              <w:jc w:val="center"/>
            </w:pPr>
            <w:r>
              <w:t>2,1</w:t>
            </w:r>
          </w:p>
        </w:tc>
        <w:tc>
          <w:tcPr>
            <w:tcW w:w="826"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2,7</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3,0</w:t>
            </w:r>
          </w:p>
        </w:tc>
      </w:tr>
      <w:tr w:rsidR="00D27BC6">
        <w:trPr>
          <w:trHeight w:val="263"/>
        </w:trPr>
        <w:tc>
          <w:tcPr>
            <w:tcW w:w="824" w:type="dxa"/>
            <w:tcBorders>
              <w:top w:val="single" w:sz="2" w:space="0" w:color="000000"/>
              <w:left w:val="single" w:sz="6" w:space="0" w:color="000000"/>
              <w:bottom w:val="single" w:sz="6" w:space="0" w:color="000000"/>
              <w:right w:val="single" w:sz="2" w:space="0" w:color="000000"/>
            </w:tcBorders>
          </w:tcPr>
          <w:p w:rsidR="00D27BC6" w:rsidRDefault="004D5071">
            <w:pPr>
              <w:spacing w:after="0" w:line="259" w:lineRule="auto"/>
              <w:ind w:left="0" w:right="0" w:firstLine="0"/>
              <w:jc w:val="left"/>
            </w:pPr>
            <w:r>
              <w:t>&lt;15</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3,1</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3,4</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6,4</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7,3</w:t>
            </w:r>
          </w:p>
        </w:tc>
        <w:tc>
          <w:tcPr>
            <w:tcW w:w="824" w:type="dxa"/>
            <w:tcBorders>
              <w:top w:val="single" w:sz="2" w:space="0" w:color="000000"/>
              <w:left w:val="single" w:sz="2" w:space="0" w:color="000000"/>
              <w:bottom w:val="single" w:sz="6" w:space="0" w:color="000000"/>
              <w:right w:val="single" w:sz="6" w:space="0" w:color="000000"/>
            </w:tcBorders>
            <w:shd w:val="clear" w:color="auto" w:fill="DE2C34"/>
          </w:tcPr>
          <w:p w:rsidR="00D27BC6" w:rsidRDefault="004D5071">
            <w:pPr>
              <w:spacing w:after="0" w:line="259" w:lineRule="auto"/>
              <w:ind w:left="57" w:right="0" w:firstLine="0"/>
              <w:jc w:val="center"/>
            </w:pPr>
            <w:r>
              <w:t>8,2</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6" w:space="0" w:color="000000"/>
              <w:right w:val="single" w:sz="2" w:space="0" w:color="000000"/>
            </w:tcBorders>
          </w:tcPr>
          <w:p w:rsidR="00D27BC6" w:rsidRDefault="004D5071">
            <w:pPr>
              <w:spacing w:after="0" w:line="259" w:lineRule="auto"/>
              <w:ind w:left="0" w:right="0" w:firstLine="0"/>
              <w:jc w:val="left"/>
            </w:pPr>
            <w:r>
              <w:t>&lt;15</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8" w:right="0" w:firstLine="0"/>
              <w:jc w:val="center"/>
            </w:pPr>
            <w:r>
              <w:t>3,2</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8" w:right="0" w:firstLine="0"/>
              <w:jc w:val="center"/>
            </w:pPr>
            <w:r>
              <w:t>2,8</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2,9</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3,2</w:t>
            </w:r>
          </w:p>
        </w:tc>
        <w:tc>
          <w:tcPr>
            <w:tcW w:w="826" w:type="dxa"/>
            <w:tcBorders>
              <w:top w:val="single" w:sz="2" w:space="0" w:color="000000"/>
              <w:left w:val="single" w:sz="2" w:space="0" w:color="000000"/>
              <w:bottom w:val="single" w:sz="6" w:space="0" w:color="000000"/>
              <w:right w:val="single" w:sz="6" w:space="0" w:color="000000"/>
            </w:tcBorders>
            <w:shd w:val="clear" w:color="auto" w:fill="DE2C34"/>
          </w:tcPr>
          <w:p w:rsidR="00D27BC6" w:rsidRDefault="004D5071">
            <w:pPr>
              <w:spacing w:after="0" w:line="259" w:lineRule="auto"/>
              <w:ind w:left="57" w:right="0" w:firstLine="0"/>
              <w:jc w:val="center"/>
            </w:pPr>
            <w:r>
              <w:t>3,8</w:t>
            </w:r>
          </w:p>
        </w:tc>
      </w:tr>
      <w:tr w:rsidR="00D27BC6">
        <w:trPr>
          <w:trHeight w:val="663"/>
        </w:trPr>
        <w:tc>
          <w:tcPr>
            <w:tcW w:w="824" w:type="dxa"/>
            <w:tcBorders>
              <w:top w:val="single" w:sz="6" w:space="0" w:color="000000"/>
              <w:left w:val="single" w:sz="6" w:space="0" w:color="000000"/>
              <w:bottom w:val="single" w:sz="2" w:space="0" w:color="000000"/>
              <w:right w:val="single" w:sz="2" w:space="0" w:color="000000"/>
            </w:tcBorders>
          </w:tcPr>
          <w:p w:rsidR="00D27BC6" w:rsidRDefault="00D27BC6">
            <w:pPr>
              <w:spacing w:after="160" w:line="259" w:lineRule="auto"/>
              <w:ind w:left="0" w:right="0" w:firstLine="0"/>
              <w:jc w:val="left"/>
            </w:pPr>
          </w:p>
        </w:tc>
        <w:tc>
          <w:tcPr>
            <w:tcW w:w="4119" w:type="dxa"/>
            <w:gridSpan w:val="5"/>
            <w:tcBorders>
              <w:top w:val="single" w:sz="6" w:space="0" w:color="000000"/>
              <w:left w:val="single" w:sz="2" w:space="0" w:color="000000"/>
              <w:bottom w:val="single" w:sz="2" w:space="0" w:color="000000"/>
              <w:right w:val="single" w:sz="6" w:space="0" w:color="000000"/>
            </w:tcBorders>
          </w:tcPr>
          <w:p w:rsidR="00D27BC6" w:rsidRDefault="004D5071">
            <w:pPr>
              <w:spacing w:after="0" w:line="259" w:lineRule="auto"/>
              <w:ind w:left="60" w:right="0" w:firstLine="0"/>
              <w:jc w:val="center"/>
            </w:pPr>
            <w:r>
              <w:rPr>
                <w:b/>
              </w:rPr>
              <w:t>ТПН с ЗПТ:</w:t>
            </w:r>
          </w:p>
          <w:p w:rsidR="00D27BC6" w:rsidRDefault="004D5071">
            <w:pPr>
              <w:spacing w:after="0" w:line="259" w:lineRule="auto"/>
              <w:ind w:left="60" w:right="0" w:firstLine="0"/>
              <w:jc w:val="center"/>
            </w:pPr>
            <w:r>
              <w:t xml:space="preserve">57 когорт,  </w:t>
            </w:r>
          </w:p>
          <w:p w:rsidR="00D27BC6" w:rsidRDefault="004D5071">
            <w:pPr>
              <w:spacing w:after="0" w:line="259" w:lineRule="auto"/>
              <w:ind w:left="60" w:right="0" w:firstLine="0"/>
              <w:jc w:val="center"/>
            </w:pPr>
            <w:r>
              <w:t>25 466 956 участников; 158 846 событий</w:t>
            </w:r>
          </w:p>
        </w:tc>
        <w:tc>
          <w:tcPr>
            <w:tcW w:w="301" w:type="dxa"/>
            <w:vMerge w:val="restart"/>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6" w:space="0" w:color="000000"/>
              <w:left w:val="single" w:sz="6" w:space="0" w:color="000000"/>
              <w:bottom w:val="single" w:sz="2" w:space="0" w:color="000000"/>
              <w:right w:val="single" w:sz="2" w:space="0" w:color="000000"/>
            </w:tcBorders>
          </w:tcPr>
          <w:p w:rsidR="00D27BC6" w:rsidRDefault="00D27BC6">
            <w:pPr>
              <w:spacing w:after="160" w:line="259" w:lineRule="auto"/>
              <w:ind w:left="0" w:right="0" w:firstLine="0"/>
              <w:jc w:val="left"/>
            </w:pPr>
          </w:p>
        </w:tc>
        <w:tc>
          <w:tcPr>
            <w:tcW w:w="4129" w:type="dxa"/>
            <w:gridSpan w:val="5"/>
            <w:tcBorders>
              <w:top w:val="single" w:sz="6" w:space="0" w:color="000000"/>
              <w:left w:val="single" w:sz="2" w:space="0" w:color="000000"/>
              <w:bottom w:val="single" w:sz="2" w:space="0" w:color="000000"/>
              <w:right w:val="single" w:sz="6" w:space="0" w:color="000000"/>
            </w:tcBorders>
          </w:tcPr>
          <w:p w:rsidR="00D27BC6" w:rsidRDefault="004D5071">
            <w:pPr>
              <w:spacing w:after="0" w:line="259" w:lineRule="auto"/>
              <w:ind w:left="60" w:right="0" w:firstLine="0"/>
              <w:jc w:val="center"/>
            </w:pPr>
            <w:r>
              <w:rPr>
                <w:b/>
              </w:rPr>
              <w:t>Сердечная недостаточность</w:t>
            </w:r>
            <w:r>
              <w:t>:</w:t>
            </w:r>
          </w:p>
          <w:p w:rsidR="00D27BC6" w:rsidRDefault="004D5071">
            <w:pPr>
              <w:spacing w:after="0" w:line="259" w:lineRule="auto"/>
              <w:ind w:left="60" w:right="0" w:firstLine="0"/>
              <w:jc w:val="center"/>
            </w:pPr>
            <w:r>
              <w:t xml:space="preserve">61 когорта,  </w:t>
            </w:r>
          </w:p>
          <w:p w:rsidR="00D27BC6" w:rsidRDefault="004D5071">
            <w:pPr>
              <w:spacing w:after="0" w:line="259" w:lineRule="auto"/>
              <w:ind w:left="60" w:right="0" w:firstLine="0"/>
              <w:jc w:val="center"/>
            </w:pPr>
            <w:r>
              <w:t>24 603 016 участников; 1 132 443 события</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105+</w:t>
            </w:r>
          </w:p>
        </w:tc>
        <w:tc>
          <w:tcPr>
            <w:tcW w:w="824"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60" w:right="0" w:firstLine="0"/>
              <w:jc w:val="center"/>
            </w:pPr>
            <w:r>
              <w:t>0.5</w:t>
            </w:r>
          </w:p>
        </w:tc>
        <w:tc>
          <w:tcPr>
            <w:tcW w:w="824"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60" w:right="0" w:firstLine="0"/>
              <w:jc w:val="center"/>
            </w:pPr>
            <w:r>
              <w:t>1,2</w:t>
            </w:r>
          </w:p>
        </w:tc>
        <w:tc>
          <w:tcPr>
            <w:tcW w:w="824"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60" w:right="0" w:firstLine="0"/>
              <w:jc w:val="center"/>
            </w:pPr>
            <w:r>
              <w:t>2,9</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60" w:right="0" w:firstLine="0"/>
              <w:jc w:val="center"/>
            </w:pPr>
            <w:r>
              <w:t>7,7</w:t>
            </w:r>
          </w:p>
        </w:tc>
        <w:tc>
          <w:tcPr>
            <w:tcW w:w="824" w:type="dxa"/>
            <w:tcBorders>
              <w:top w:val="single" w:sz="2" w:space="0" w:color="000000"/>
              <w:left w:val="single" w:sz="2" w:space="0" w:color="000000"/>
              <w:bottom w:val="single" w:sz="2" w:space="0" w:color="000000"/>
              <w:right w:val="single" w:sz="6" w:space="0" w:color="000000"/>
            </w:tcBorders>
            <w:shd w:val="clear" w:color="auto" w:fill="F9B535"/>
          </w:tcPr>
          <w:p w:rsidR="00D27BC6" w:rsidRDefault="004D5071">
            <w:pPr>
              <w:spacing w:after="0" w:line="259" w:lineRule="auto"/>
              <w:ind w:left="60" w:right="0" w:firstLine="0"/>
              <w:jc w:val="center"/>
            </w:pPr>
            <w:r>
              <w:t>25</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105+</w:t>
            </w:r>
          </w:p>
        </w:tc>
        <w:tc>
          <w:tcPr>
            <w:tcW w:w="826"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60" w:right="0" w:firstLine="0"/>
              <w:jc w:val="center"/>
            </w:pPr>
            <w:r>
              <w:t>1,2</w:t>
            </w:r>
          </w:p>
        </w:tc>
        <w:tc>
          <w:tcPr>
            <w:tcW w:w="826"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60" w:right="0" w:firstLine="0"/>
              <w:jc w:val="center"/>
            </w:pPr>
            <w:r>
              <w:t>1,7</w:t>
            </w:r>
          </w:p>
        </w:tc>
        <w:tc>
          <w:tcPr>
            <w:tcW w:w="826"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9" w:right="0" w:firstLine="0"/>
              <w:jc w:val="center"/>
            </w:pPr>
            <w:r>
              <w:t>2,7</w:t>
            </w:r>
          </w:p>
        </w:tc>
        <w:tc>
          <w:tcPr>
            <w:tcW w:w="826"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9" w:right="0" w:firstLine="0"/>
              <w:jc w:val="center"/>
            </w:pPr>
            <w:r>
              <w:t>4,2</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9" w:right="0" w:firstLine="0"/>
              <w:jc w:val="center"/>
            </w:pPr>
            <w:r>
              <w:t>6,9</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91–104</w:t>
            </w:r>
          </w:p>
        </w:tc>
        <w:tc>
          <w:tcPr>
            <w:tcW w:w="824" w:type="dxa"/>
            <w:tcBorders>
              <w:top w:val="single" w:sz="2" w:space="0" w:color="000000"/>
              <w:left w:val="single" w:sz="2" w:space="0" w:color="000000"/>
              <w:bottom w:val="single" w:sz="2" w:space="0" w:color="000000"/>
              <w:right w:val="single" w:sz="2" w:space="0" w:color="000000"/>
            </w:tcBorders>
          </w:tcPr>
          <w:p w:rsidR="00D27BC6" w:rsidRDefault="004D5071">
            <w:pPr>
              <w:spacing w:after="0" w:line="259" w:lineRule="auto"/>
              <w:ind w:left="59" w:right="0" w:firstLine="0"/>
              <w:jc w:val="center"/>
            </w:pPr>
            <w:r>
              <w:t>ref</w:t>
            </w:r>
          </w:p>
        </w:tc>
        <w:tc>
          <w:tcPr>
            <w:tcW w:w="824"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60" w:right="0" w:firstLine="0"/>
              <w:jc w:val="center"/>
            </w:pPr>
            <w:r>
              <w:t>1,8</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4,3</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60" w:right="0" w:firstLine="0"/>
              <w:jc w:val="center"/>
            </w:pPr>
            <w:r>
              <w:t>12</w:t>
            </w:r>
          </w:p>
        </w:tc>
        <w:tc>
          <w:tcPr>
            <w:tcW w:w="824" w:type="dxa"/>
            <w:tcBorders>
              <w:top w:val="single" w:sz="2" w:space="0" w:color="000000"/>
              <w:left w:val="single" w:sz="2" w:space="0" w:color="000000"/>
              <w:bottom w:val="single" w:sz="2" w:space="0" w:color="000000"/>
              <w:right w:val="single" w:sz="6" w:space="0" w:color="000000"/>
            </w:tcBorders>
            <w:shd w:val="clear" w:color="auto" w:fill="F9B535"/>
          </w:tcPr>
          <w:p w:rsidR="00D27BC6" w:rsidRDefault="004D5071">
            <w:pPr>
              <w:spacing w:after="0" w:line="259" w:lineRule="auto"/>
              <w:ind w:left="59" w:right="0" w:firstLine="0"/>
              <w:jc w:val="center"/>
            </w:pPr>
            <w:r>
              <w:t>43</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91–104</w:t>
            </w:r>
          </w:p>
        </w:tc>
        <w:tc>
          <w:tcPr>
            <w:tcW w:w="826" w:type="dxa"/>
            <w:tcBorders>
              <w:top w:val="single" w:sz="2" w:space="0" w:color="000000"/>
              <w:left w:val="single" w:sz="2" w:space="0" w:color="000000"/>
              <w:bottom w:val="single" w:sz="2" w:space="0" w:color="000000"/>
              <w:right w:val="single" w:sz="2" w:space="0" w:color="000000"/>
            </w:tcBorders>
          </w:tcPr>
          <w:p w:rsidR="00D27BC6" w:rsidRDefault="004D5071">
            <w:pPr>
              <w:spacing w:after="0" w:line="259" w:lineRule="auto"/>
              <w:ind w:left="59" w:right="0" w:firstLine="0"/>
              <w:jc w:val="center"/>
            </w:pPr>
            <w:r>
              <w:t>ref</w:t>
            </w:r>
          </w:p>
        </w:tc>
        <w:tc>
          <w:tcPr>
            <w:tcW w:w="826"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59" w:right="0" w:firstLine="0"/>
              <w:jc w:val="center"/>
            </w:pPr>
            <w:r>
              <w:t>1,3</w:t>
            </w:r>
          </w:p>
        </w:tc>
        <w:tc>
          <w:tcPr>
            <w:tcW w:w="826"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2,0</w:t>
            </w:r>
          </w:p>
        </w:tc>
        <w:tc>
          <w:tcPr>
            <w:tcW w:w="826" w:type="dxa"/>
            <w:tcBorders>
              <w:top w:val="single" w:sz="2" w:space="0" w:color="000000"/>
              <w:left w:val="single" w:sz="2" w:space="0" w:color="000000"/>
              <w:bottom w:val="single" w:sz="2" w:space="0" w:color="000000"/>
              <w:right w:val="single" w:sz="2" w:space="0" w:color="000000"/>
            </w:tcBorders>
            <w:shd w:val="clear" w:color="auto" w:fill="E74310"/>
          </w:tcPr>
          <w:p w:rsidR="00D27BC6" w:rsidRDefault="004D5071">
            <w:pPr>
              <w:spacing w:after="0" w:line="259" w:lineRule="auto"/>
              <w:ind w:left="59" w:right="0" w:firstLine="0"/>
              <w:jc w:val="center"/>
            </w:pPr>
            <w:r>
              <w:t>2,8</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9" w:right="0" w:firstLine="0"/>
              <w:jc w:val="center"/>
            </w:pPr>
            <w:r>
              <w:t>4,2</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60–89</w:t>
            </w:r>
          </w:p>
        </w:tc>
        <w:tc>
          <w:tcPr>
            <w:tcW w:w="824"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59" w:right="0" w:firstLine="0"/>
              <w:jc w:val="center"/>
            </w:pPr>
            <w:r>
              <w:t>2,3</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4,9</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10</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27</w:t>
            </w:r>
          </w:p>
        </w:tc>
        <w:tc>
          <w:tcPr>
            <w:tcW w:w="824" w:type="dxa"/>
            <w:tcBorders>
              <w:top w:val="single" w:sz="2" w:space="0" w:color="000000"/>
              <w:left w:val="single" w:sz="2" w:space="0" w:color="000000"/>
              <w:bottom w:val="single" w:sz="2" w:space="0" w:color="000000"/>
              <w:right w:val="single" w:sz="6" w:space="0" w:color="000000"/>
            </w:tcBorders>
            <w:shd w:val="clear" w:color="auto" w:fill="F0822B"/>
          </w:tcPr>
          <w:p w:rsidR="00D27BC6" w:rsidRDefault="004D5071">
            <w:pPr>
              <w:spacing w:after="0" w:line="259" w:lineRule="auto"/>
              <w:ind w:left="59" w:right="0" w:firstLine="0"/>
              <w:jc w:val="center"/>
            </w:pPr>
            <w:r>
              <w:t>85</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60–89</w:t>
            </w:r>
          </w:p>
        </w:tc>
        <w:tc>
          <w:tcPr>
            <w:tcW w:w="826"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59" w:right="0" w:firstLine="0"/>
              <w:jc w:val="center"/>
            </w:pPr>
            <w:r>
              <w:t>1,1</w:t>
            </w:r>
          </w:p>
        </w:tc>
        <w:tc>
          <w:tcPr>
            <w:tcW w:w="826"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59" w:right="0" w:firstLine="0"/>
              <w:jc w:val="center"/>
            </w:pPr>
            <w:r>
              <w:t>1,4</w:t>
            </w:r>
          </w:p>
        </w:tc>
        <w:tc>
          <w:tcPr>
            <w:tcW w:w="826"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1,9</w:t>
            </w:r>
          </w:p>
        </w:tc>
        <w:tc>
          <w:tcPr>
            <w:tcW w:w="826"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9" w:right="0" w:firstLine="0"/>
              <w:jc w:val="center"/>
            </w:pPr>
            <w:r>
              <w:t>2,7</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4,2</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45–59</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13</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1</w:t>
            </w:r>
            <w:r>
              <w:t>9</w:t>
            </w:r>
          </w:p>
        </w:tc>
        <w:tc>
          <w:tcPr>
            <w:tcW w:w="824"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8" w:right="0" w:firstLine="0"/>
              <w:jc w:val="center"/>
            </w:pPr>
            <w:r>
              <w:t>37</w:t>
            </w:r>
          </w:p>
        </w:tc>
        <w:tc>
          <w:tcPr>
            <w:tcW w:w="824"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8" w:right="0" w:firstLine="0"/>
              <w:jc w:val="center"/>
            </w:pPr>
            <w:r>
              <w:t>89</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236</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45–59</w:t>
            </w:r>
          </w:p>
        </w:tc>
        <w:tc>
          <w:tcPr>
            <w:tcW w:w="826"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58" w:right="0" w:firstLine="0"/>
              <w:jc w:val="center"/>
            </w:pPr>
            <w:r>
              <w:t>1,6</w:t>
            </w:r>
          </w:p>
        </w:tc>
        <w:tc>
          <w:tcPr>
            <w:tcW w:w="826"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58" w:right="0" w:firstLine="0"/>
              <w:jc w:val="center"/>
            </w:pPr>
            <w:r>
              <w:t>1,8</w:t>
            </w:r>
          </w:p>
        </w:tc>
        <w:tc>
          <w:tcPr>
            <w:tcW w:w="826"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8" w:right="0" w:firstLine="0"/>
              <w:jc w:val="center"/>
            </w:pPr>
            <w:r>
              <w:t>2,4</w:t>
            </w:r>
          </w:p>
        </w:tc>
        <w:tc>
          <w:tcPr>
            <w:tcW w:w="826" w:type="dxa"/>
            <w:tcBorders>
              <w:top w:val="single" w:sz="2" w:space="0" w:color="000000"/>
              <w:left w:val="single" w:sz="2" w:space="0" w:color="000000"/>
              <w:bottom w:val="single" w:sz="2" w:space="0" w:color="000000"/>
              <w:right w:val="single" w:sz="2" w:space="0" w:color="000000"/>
            </w:tcBorders>
            <w:shd w:val="clear" w:color="auto" w:fill="E74310"/>
          </w:tcPr>
          <w:p w:rsidR="00D27BC6" w:rsidRDefault="004D5071">
            <w:pPr>
              <w:spacing w:after="0" w:line="259" w:lineRule="auto"/>
              <w:ind w:left="58" w:right="0" w:firstLine="0"/>
              <w:jc w:val="center"/>
            </w:pPr>
            <w:r>
              <w:t>3,4</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5,0</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30–44</w:t>
            </w:r>
          </w:p>
        </w:tc>
        <w:tc>
          <w:tcPr>
            <w:tcW w:w="824"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8" w:right="0" w:firstLine="0"/>
              <w:jc w:val="center"/>
            </w:pPr>
            <w:r>
              <w:t>50</w:t>
            </w:r>
          </w:p>
        </w:tc>
        <w:tc>
          <w:tcPr>
            <w:tcW w:w="824"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8" w:right="0" w:firstLine="0"/>
              <w:jc w:val="center"/>
            </w:pPr>
            <w:r>
              <w:t>5</w:t>
            </w:r>
            <w:r>
              <w:t>8</w:t>
            </w:r>
          </w:p>
        </w:tc>
        <w:tc>
          <w:tcPr>
            <w:tcW w:w="824"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8" w:right="0" w:firstLine="0"/>
              <w:jc w:val="center"/>
            </w:pPr>
            <w:r>
              <w:t>115</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240</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463</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0" w:right="0" w:firstLine="0"/>
              <w:jc w:val="left"/>
            </w:pPr>
            <w:r>
              <w:t>30–44</w:t>
            </w:r>
          </w:p>
        </w:tc>
        <w:tc>
          <w:tcPr>
            <w:tcW w:w="826"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8" w:right="0" w:firstLine="0"/>
              <w:jc w:val="center"/>
            </w:pPr>
            <w:r>
              <w:t>2,2</w:t>
            </w:r>
          </w:p>
        </w:tc>
        <w:tc>
          <w:tcPr>
            <w:tcW w:w="826"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8" w:right="0" w:firstLine="0"/>
              <w:jc w:val="center"/>
            </w:pPr>
            <w:r>
              <w:t>2,5</w:t>
            </w:r>
          </w:p>
        </w:tc>
        <w:tc>
          <w:tcPr>
            <w:tcW w:w="826"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8" w:right="0" w:firstLine="0"/>
              <w:jc w:val="center"/>
            </w:pPr>
            <w:r>
              <w:t>3,1</w:t>
            </w:r>
          </w:p>
        </w:tc>
        <w:tc>
          <w:tcPr>
            <w:tcW w:w="826"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4,2</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6,5</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0" w:right="0" w:firstLine="0"/>
              <w:jc w:val="left"/>
            </w:pPr>
            <w:r>
              <w:t>15–29</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283</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301</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443</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796</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1253</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0" w:right="0" w:firstLine="0"/>
              <w:jc w:val="left"/>
            </w:pPr>
            <w:r>
              <w:t>15–29</w:t>
            </w:r>
          </w:p>
        </w:tc>
        <w:tc>
          <w:tcPr>
            <w:tcW w:w="826"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8" w:right="0" w:firstLine="0"/>
              <w:jc w:val="center"/>
            </w:pPr>
            <w:r>
              <w:t>3,6</w:t>
            </w:r>
          </w:p>
        </w:tc>
        <w:tc>
          <w:tcPr>
            <w:tcW w:w="826"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8" w:right="0" w:firstLine="0"/>
              <w:jc w:val="center"/>
            </w:pPr>
            <w:r>
              <w:t>3,5</w:t>
            </w:r>
          </w:p>
        </w:tc>
        <w:tc>
          <w:tcPr>
            <w:tcW w:w="826"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7" w:right="0" w:firstLine="0"/>
              <w:jc w:val="center"/>
            </w:pPr>
            <w:r>
              <w:t>4,1</w:t>
            </w:r>
          </w:p>
        </w:tc>
        <w:tc>
          <w:tcPr>
            <w:tcW w:w="826"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7" w:right="0" w:firstLine="0"/>
              <w:jc w:val="center"/>
            </w:pPr>
            <w:r>
              <w:t>5,8</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7" w:right="0" w:firstLine="0"/>
              <w:jc w:val="center"/>
            </w:pPr>
            <w:r>
              <w:t>8,1</w:t>
            </w:r>
          </w:p>
        </w:tc>
      </w:tr>
      <w:tr w:rsidR="00D27BC6">
        <w:trPr>
          <w:trHeight w:val="263"/>
        </w:trPr>
        <w:tc>
          <w:tcPr>
            <w:tcW w:w="824" w:type="dxa"/>
            <w:tcBorders>
              <w:top w:val="single" w:sz="2" w:space="0" w:color="000000"/>
              <w:left w:val="single" w:sz="6" w:space="0" w:color="000000"/>
              <w:bottom w:val="single" w:sz="6" w:space="0" w:color="000000"/>
              <w:right w:val="single" w:sz="2" w:space="0" w:color="000000"/>
            </w:tcBorders>
          </w:tcPr>
          <w:p w:rsidR="00D27BC6" w:rsidRDefault="004D5071">
            <w:pPr>
              <w:spacing w:after="0" w:line="259" w:lineRule="auto"/>
              <w:ind w:left="0" w:right="0" w:firstLine="0"/>
              <w:jc w:val="left"/>
            </w:pPr>
            <w:r>
              <w:t>&lt;15</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8" w:right="0" w:firstLine="0"/>
              <w:jc w:val="center"/>
            </w:pPr>
            <w:r>
              <w:t>770</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8" w:right="0" w:firstLine="0"/>
              <w:jc w:val="center"/>
            </w:pPr>
            <w:r>
              <w:t>10</w:t>
            </w:r>
            <w:r>
              <w:t>40</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8" w:right="0" w:firstLine="0"/>
              <w:jc w:val="center"/>
            </w:pPr>
            <w:r>
              <w:t>1618</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8" w:right="0" w:firstLine="0"/>
              <w:jc w:val="center"/>
            </w:pPr>
            <w:r>
              <w:t>2297</w:t>
            </w:r>
          </w:p>
        </w:tc>
        <w:tc>
          <w:tcPr>
            <w:tcW w:w="824" w:type="dxa"/>
            <w:tcBorders>
              <w:top w:val="single" w:sz="2" w:space="0" w:color="000000"/>
              <w:left w:val="single" w:sz="2" w:space="0" w:color="000000"/>
              <w:bottom w:val="single" w:sz="6" w:space="0" w:color="000000"/>
              <w:right w:val="single" w:sz="6" w:space="0" w:color="000000"/>
            </w:tcBorders>
            <w:shd w:val="clear" w:color="auto" w:fill="DE2C34"/>
          </w:tcPr>
          <w:p w:rsidR="00D27BC6" w:rsidRDefault="004D5071">
            <w:pPr>
              <w:spacing w:after="0" w:line="259" w:lineRule="auto"/>
              <w:ind w:left="57" w:right="0" w:firstLine="0"/>
              <w:jc w:val="center"/>
            </w:pPr>
            <w:r>
              <w:t>2547</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6" w:space="0" w:color="000000"/>
              <w:right w:val="single" w:sz="2" w:space="0" w:color="000000"/>
            </w:tcBorders>
          </w:tcPr>
          <w:p w:rsidR="00D27BC6" w:rsidRDefault="004D5071">
            <w:pPr>
              <w:spacing w:after="0" w:line="259" w:lineRule="auto"/>
              <w:ind w:left="0" w:right="0" w:firstLine="0"/>
              <w:jc w:val="left"/>
            </w:pPr>
            <w:r>
              <w:t>&lt;15</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5,1</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5,7</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5,8</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7,9</w:t>
            </w:r>
          </w:p>
        </w:tc>
        <w:tc>
          <w:tcPr>
            <w:tcW w:w="826" w:type="dxa"/>
            <w:tcBorders>
              <w:top w:val="single" w:sz="2" w:space="0" w:color="000000"/>
              <w:left w:val="single" w:sz="2" w:space="0" w:color="000000"/>
              <w:bottom w:val="single" w:sz="6" w:space="0" w:color="000000"/>
              <w:right w:val="single" w:sz="6" w:space="0" w:color="000000"/>
            </w:tcBorders>
            <w:shd w:val="clear" w:color="auto" w:fill="DE2C34"/>
          </w:tcPr>
          <w:p w:rsidR="00D27BC6" w:rsidRDefault="004D5071">
            <w:pPr>
              <w:spacing w:after="0" w:line="259" w:lineRule="auto"/>
              <w:ind w:left="57" w:right="0" w:firstLine="0"/>
              <w:jc w:val="center"/>
            </w:pPr>
            <w:r>
              <w:t>9,9</w:t>
            </w:r>
          </w:p>
        </w:tc>
      </w:tr>
      <w:tr w:rsidR="00D27BC6">
        <w:trPr>
          <w:trHeight w:val="663"/>
        </w:trPr>
        <w:tc>
          <w:tcPr>
            <w:tcW w:w="824" w:type="dxa"/>
            <w:tcBorders>
              <w:top w:val="single" w:sz="6" w:space="0" w:color="000000"/>
              <w:left w:val="single" w:sz="6" w:space="0" w:color="000000"/>
              <w:bottom w:val="single" w:sz="2" w:space="0" w:color="000000"/>
              <w:right w:val="single" w:sz="2" w:space="0" w:color="000000"/>
            </w:tcBorders>
          </w:tcPr>
          <w:p w:rsidR="00D27BC6" w:rsidRDefault="00D27BC6">
            <w:pPr>
              <w:spacing w:after="160" w:line="259" w:lineRule="auto"/>
              <w:ind w:left="0" w:right="0" w:firstLine="0"/>
              <w:jc w:val="left"/>
            </w:pPr>
          </w:p>
        </w:tc>
        <w:tc>
          <w:tcPr>
            <w:tcW w:w="4119" w:type="dxa"/>
            <w:gridSpan w:val="5"/>
            <w:tcBorders>
              <w:top w:val="single" w:sz="6" w:space="0" w:color="000000"/>
              <w:left w:val="single" w:sz="2" w:space="0" w:color="000000"/>
              <w:bottom w:val="single" w:sz="2" w:space="0" w:color="000000"/>
              <w:right w:val="single" w:sz="6" w:space="0" w:color="000000"/>
            </w:tcBorders>
          </w:tcPr>
          <w:p w:rsidR="00D27BC6" w:rsidRDefault="004D5071">
            <w:pPr>
              <w:spacing w:after="0" w:line="259" w:lineRule="auto"/>
              <w:ind w:left="60" w:right="0" w:firstLine="0"/>
              <w:jc w:val="center"/>
            </w:pPr>
            <w:r>
              <w:rPr>
                <w:b/>
              </w:rPr>
              <w:t>Острое по</w:t>
            </w:r>
            <w:r>
              <w:rPr>
                <w:b/>
              </w:rPr>
              <w:t>вреждение почек</w:t>
            </w:r>
            <w:r>
              <w:t xml:space="preserve">: </w:t>
            </w:r>
          </w:p>
          <w:p w:rsidR="00D27BC6" w:rsidRDefault="004D5071">
            <w:pPr>
              <w:spacing w:after="0" w:line="259" w:lineRule="auto"/>
              <w:ind w:left="60" w:right="0" w:firstLine="0"/>
              <w:jc w:val="center"/>
            </w:pPr>
            <w:r>
              <w:t xml:space="preserve">49 когорт,  </w:t>
            </w:r>
          </w:p>
          <w:p w:rsidR="00D27BC6" w:rsidRDefault="004D5071">
            <w:pPr>
              <w:spacing w:after="0" w:line="259" w:lineRule="auto"/>
              <w:ind w:left="60" w:right="0" w:firstLine="0"/>
              <w:jc w:val="center"/>
            </w:pPr>
            <w:r>
              <w:t>23 914 614 участников; 1 408 929 событий</w:t>
            </w:r>
          </w:p>
        </w:tc>
        <w:tc>
          <w:tcPr>
            <w:tcW w:w="301" w:type="dxa"/>
            <w:vMerge w:val="restart"/>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6" w:space="0" w:color="000000"/>
              <w:left w:val="single" w:sz="6" w:space="0" w:color="000000"/>
              <w:bottom w:val="single" w:sz="2" w:space="0" w:color="000000"/>
              <w:right w:val="single" w:sz="2" w:space="0" w:color="000000"/>
            </w:tcBorders>
          </w:tcPr>
          <w:p w:rsidR="00D27BC6" w:rsidRDefault="00D27BC6">
            <w:pPr>
              <w:spacing w:after="160" w:line="259" w:lineRule="auto"/>
              <w:ind w:left="0" w:right="0" w:firstLine="0"/>
              <w:jc w:val="left"/>
            </w:pPr>
          </w:p>
        </w:tc>
        <w:tc>
          <w:tcPr>
            <w:tcW w:w="4129" w:type="dxa"/>
            <w:gridSpan w:val="5"/>
            <w:tcBorders>
              <w:top w:val="single" w:sz="6" w:space="0" w:color="000000"/>
              <w:left w:val="single" w:sz="2" w:space="0" w:color="000000"/>
              <w:bottom w:val="single" w:sz="2" w:space="0" w:color="000000"/>
              <w:right w:val="single" w:sz="6" w:space="0" w:color="000000"/>
            </w:tcBorders>
          </w:tcPr>
          <w:p w:rsidR="00D27BC6" w:rsidRDefault="004D5071">
            <w:pPr>
              <w:spacing w:after="0" w:line="259" w:lineRule="auto"/>
              <w:ind w:left="60" w:right="0" w:firstLine="0"/>
              <w:jc w:val="center"/>
            </w:pPr>
            <w:r>
              <w:rPr>
                <w:b/>
              </w:rPr>
              <w:t>Фибрилляция предсердий</w:t>
            </w:r>
            <w:r>
              <w:t xml:space="preserve">: </w:t>
            </w:r>
          </w:p>
          <w:p w:rsidR="00D27BC6" w:rsidRDefault="004D5071">
            <w:pPr>
              <w:spacing w:after="0" w:line="259" w:lineRule="auto"/>
              <w:ind w:left="60" w:right="0" w:firstLine="0"/>
              <w:jc w:val="center"/>
            </w:pPr>
            <w:r>
              <w:t xml:space="preserve">50 когорт,  </w:t>
            </w:r>
          </w:p>
          <w:p w:rsidR="00D27BC6" w:rsidRDefault="004D5071">
            <w:pPr>
              <w:spacing w:after="0" w:line="259" w:lineRule="auto"/>
              <w:ind w:left="60" w:right="0" w:firstLine="0"/>
              <w:jc w:val="center"/>
            </w:pPr>
            <w:r>
              <w:t>22 886 642 участника; 1 068 701 событие</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105+</w:t>
            </w:r>
          </w:p>
        </w:tc>
        <w:tc>
          <w:tcPr>
            <w:tcW w:w="824"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60" w:right="0" w:firstLine="0"/>
              <w:jc w:val="center"/>
            </w:pPr>
            <w:r>
              <w:t>1,0</w:t>
            </w:r>
          </w:p>
        </w:tc>
        <w:tc>
          <w:tcPr>
            <w:tcW w:w="824"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59" w:right="0" w:firstLine="0"/>
              <w:jc w:val="center"/>
            </w:pPr>
            <w:r>
              <w:t>1,6</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2,4</w:t>
            </w:r>
          </w:p>
        </w:tc>
        <w:tc>
          <w:tcPr>
            <w:tcW w:w="824"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9" w:right="0" w:firstLine="0"/>
              <w:jc w:val="center"/>
            </w:pPr>
            <w:r>
              <w:t>3,7</w:t>
            </w:r>
          </w:p>
        </w:tc>
        <w:tc>
          <w:tcPr>
            <w:tcW w:w="824" w:type="dxa"/>
            <w:tcBorders>
              <w:top w:val="single" w:sz="2" w:space="0" w:color="000000"/>
              <w:left w:val="single" w:sz="2" w:space="0" w:color="000000"/>
              <w:bottom w:val="single" w:sz="2" w:space="0" w:color="000000"/>
              <w:right w:val="single" w:sz="6" w:space="0" w:color="000000"/>
            </w:tcBorders>
            <w:shd w:val="clear" w:color="auto" w:fill="E74310"/>
          </w:tcPr>
          <w:p w:rsidR="00D27BC6" w:rsidRDefault="004D5071">
            <w:pPr>
              <w:spacing w:after="0" w:line="259" w:lineRule="auto"/>
              <w:ind w:left="59" w:right="0" w:firstLine="0"/>
              <w:jc w:val="center"/>
            </w:pPr>
            <w:r>
              <w:t>5,5</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105+</w:t>
            </w:r>
          </w:p>
        </w:tc>
        <w:tc>
          <w:tcPr>
            <w:tcW w:w="826"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60" w:right="0" w:firstLine="0"/>
              <w:jc w:val="center"/>
            </w:pPr>
            <w:r>
              <w:t>1,1</w:t>
            </w:r>
          </w:p>
        </w:tc>
        <w:tc>
          <w:tcPr>
            <w:tcW w:w="826"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60" w:right="0" w:firstLine="0"/>
              <w:jc w:val="center"/>
            </w:pPr>
            <w:r>
              <w:t>1,3</w:t>
            </w:r>
          </w:p>
        </w:tc>
        <w:tc>
          <w:tcPr>
            <w:tcW w:w="826"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60" w:right="0" w:firstLine="0"/>
              <w:jc w:val="center"/>
            </w:pPr>
            <w:r>
              <w:t>1,7</w:t>
            </w:r>
          </w:p>
        </w:tc>
        <w:tc>
          <w:tcPr>
            <w:tcW w:w="826"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9" w:right="0" w:firstLine="0"/>
              <w:jc w:val="center"/>
            </w:pPr>
            <w:r>
              <w:t>2,4</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9" w:right="0" w:firstLine="0"/>
              <w:jc w:val="center"/>
            </w:pPr>
            <w:r>
              <w:t>3,5</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91–104</w:t>
            </w:r>
          </w:p>
        </w:tc>
        <w:tc>
          <w:tcPr>
            <w:tcW w:w="824" w:type="dxa"/>
            <w:tcBorders>
              <w:top w:val="single" w:sz="2" w:space="0" w:color="000000"/>
              <w:left w:val="single" w:sz="2" w:space="0" w:color="000000"/>
              <w:bottom w:val="single" w:sz="2" w:space="0" w:color="000000"/>
              <w:right w:val="single" w:sz="2" w:space="0" w:color="000000"/>
            </w:tcBorders>
          </w:tcPr>
          <w:p w:rsidR="00D27BC6" w:rsidRDefault="004D5071">
            <w:pPr>
              <w:spacing w:after="0" w:line="259" w:lineRule="auto"/>
              <w:ind w:left="59" w:right="0" w:firstLine="0"/>
              <w:jc w:val="center"/>
            </w:pPr>
            <w:r>
              <w:t>ref</w:t>
            </w:r>
          </w:p>
        </w:tc>
        <w:tc>
          <w:tcPr>
            <w:tcW w:w="824"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59" w:right="0" w:firstLine="0"/>
              <w:jc w:val="center"/>
            </w:pPr>
            <w:r>
              <w:t>1,4</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2,1</w:t>
            </w:r>
          </w:p>
        </w:tc>
        <w:tc>
          <w:tcPr>
            <w:tcW w:w="824"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9" w:right="0" w:firstLine="0"/>
              <w:jc w:val="center"/>
            </w:pPr>
            <w:r>
              <w:t>3,2</w:t>
            </w:r>
          </w:p>
        </w:tc>
        <w:tc>
          <w:tcPr>
            <w:tcW w:w="824" w:type="dxa"/>
            <w:tcBorders>
              <w:top w:val="single" w:sz="2" w:space="0" w:color="000000"/>
              <w:left w:val="single" w:sz="2" w:space="0" w:color="000000"/>
              <w:bottom w:val="single" w:sz="2" w:space="0" w:color="000000"/>
              <w:right w:val="single" w:sz="6" w:space="0" w:color="000000"/>
            </w:tcBorders>
            <w:shd w:val="clear" w:color="auto" w:fill="EA5D1C"/>
          </w:tcPr>
          <w:p w:rsidR="00D27BC6" w:rsidRDefault="004D5071">
            <w:pPr>
              <w:spacing w:after="0" w:line="259" w:lineRule="auto"/>
              <w:ind w:left="59" w:right="0" w:firstLine="0"/>
              <w:jc w:val="center"/>
            </w:pPr>
            <w:r>
              <w:t>5,0</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91–104</w:t>
            </w:r>
          </w:p>
        </w:tc>
        <w:tc>
          <w:tcPr>
            <w:tcW w:w="826" w:type="dxa"/>
            <w:tcBorders>
              <w:top w:val="single" w:sz="2" w:space="0" w:color="000000"/>
              <w:left w:val="single" w:sz="2" w:space="0" w:color="000000"/>
              <w:bottom w:val="single" w:sz="2" w:space="0" w:color="000000"/>
              <w:right w:val="single" w:sz="2" w:space="0" w:color="000000"/>
            </w:tcBorders>
          </w:tcPr>
          <w:p w:rsidR="00D27BC6" w:rsidRDefault="004D5071">
            <w:pPr>
              <w:spacing w:after="0" w:line="259" w:lineRule="auto"/>
              <w:ind w:left="59" w:right="0" w:firstLine="0"/>
              <w:jc w:val="center"/>
            </w:pPr>
            <w:r>
              <w:t>ref</w:t>
            </w:r>
          </w:p>
        </w:tc>
        <w:tc>
          <w:tcPr>
            <w:tcW w:w="826"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59" w:right="0" w:firstLine="0"/>
              <w:jc w:val="center"/>
            </w:pPr>
            <w:r>
              <w:t>1,2</w:t>
            </w:r>
          </w:p>
        </w:tc>
        <w:tc>
          <w:tcPr>
            <w:tcW w:w="826"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1,5</w:t>
            </w:r>
          </w:p>
        </w:tc>
        <w:tc>
          <w:tcPr>
            <w:tcW w:w="826" w:type="dxa"/>
            <w:tcBorders>
              <w:top w:val="single" w:sz="2" w:space="0" w:color="000000"/>
              <w:left w:val="single" w:sz="2" w:space="0" w:color="000000"/>
              <w:bottom w:val="single" w:sz="2" w:space="0" w:color="000000"/>
              <w:right w:val="single" w:sz="2" w:space="0" w:color="000000"/>
            </w:tcBorders>
            <w:shd w:val="clear" w:color="auto" w:fill="E74310"/>
          </w:tcPr>
          <w:p w:rsidR="00D27BC6" w:rsidRDefault="004D5071">
            <w:pPr>
              <w:spacing w:after="0" w:line="259" w:lineRule="auto"/>
              <w:ind w:left="59" w:right="0" w:firstLine="0"/>
              <w:jc w:val="center"/>
            </w:pPr>
            <w:r>
              <w:t>1,9</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9" w:right="0" w:firstLine="0"/>
              <w:jc w:val="center"/>
            </w:pPr>
            <w:r>
              <w:t>2,3</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60–89</w:t>
            </w:r>
          </w:p>
        </w:tc>
        <w:tc>
          <w:tcPr>
            <w:tcW w:w="824"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59" w:right="0" w:firstLine="0"/>
              <w:jc w:val="center"/>
            </w:pPr>
            <w:r>
              <w:t>1,6</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2,2</w:t>
            </w:r>
          </w:p>
        </w:tc>
        <w:tc>
          <w:tcPr>
            <w:tcW w:w="824"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9" w:right="0" w:firstLine="0"/>
              <w:jc w:val="center"/>
            </w:pPr>
            <w:r>
              <w:t>3,1</w:t>
            </w:r>
          </w:p>
        </w:tc>
        <w:tc>
          <w:tcPr>
            <w:tcW w:w="824"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8" w:right="0" w:firstLine="0"/>
              <w:jc w:val="center"/>
            </w:pPr>
            <w:r>
              <w:t>4,3</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6,7</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60–89</w:t>
            </w:r>
          </w:p>
        </w:tc>
        <w:tc>
          <w:tcPr>
            <w:tcW w:w="826"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59" w:right="0" w:firstLine="0"/>
              <w:jc w:val="center"/>
            </w:pPr>
            <w:r>
              <w:t>1,0</w:t>
            </w:r>
          </w:p>
        </w:tc>
        <w:tc>
          <w:tcPr>
            <w:tcW w:w="826"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59" w:right="0" w:firstLine="0"/>
              <w:jc w:val="center"/>
            </w:pPr>
            <w:r>
              <w:t>1,2</w:t>
            </w:r>
          </w:p>
        </w:tc>
        <w:tc>
          <w:tcPr>
            <w:tcW w:w="826"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1,4</w:t>
            </w:r>
          </w:p>
        </w:tc>
        <w:tc>
          <w:tcPr>
            <w:tcW w:w="826"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9" w:right="0" w:firstLine="0"/>
              <w:jc w:val="center"/>
            </w:pPr>
            <w:r>
              <w:t>1,7</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9" w:right="0" w:firstLine="0"/>
              <w:jc w:val="center"/>
            </w:pPr>
            <w:r>
              <w:t>2,2</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45–59</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8" w:right="0" w:firstLine="0"/>
              <w:jc w:val="center"/>
            </w:pPr>
            <w:r>
              <w:t>3,5</w:t>
            </w:r>
          </w:p>
        </w:tc>
        <w:tc>
          <w:tcPr>
            <w:tcW w:w="824"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8" w:right="0" w:firstLine="0"/>
              <w:jc w:val="center"/>
            </w:pPr>
            <w:r>
              <w:t>4,0</w:t>
            </w:r>
          </w:p>
        </w:tc>
        <w:tc>
          <w:tcPr>
            <w:tcW w:w="824"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8" w:right="0" w:firstLine="0"/>
              <w:jc w:val="center"/>
            </w:pPr>
            <w:r>
              <w:t>5,1</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6,9</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9,0</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45–59</w:t>
            </w:r>
          </w:p>
        </w:tc>
        <w:tc>
          <w:tcPr>
            <w:tcW w:w="826"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59" w:right="0" w:firstLine="0"/>
              <w:jc w:val="center"/>
            </w:pPr>
            <w:r>
              <w:t>1,2</w:t>
            </w:r>
          </w:p>
        </w:tc>
        <w:tc>
          <w:tcPr>
            <w:tcW w:w="826"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58" w:right="0" w:firstLine="0"/>
              <w:jc w:val="center"/>
            </w:pPr>
            <w:r>
              <w:t>1,3</w:t>
            </w:r>
          </w:p>
        </w:tc>
        <w:tc>
          <w:tcPr>
            <w:tcW w:w="826"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8" w:right="0" w:firstLine="0"/>
              <w:jc w:val="center"/>
            </w:pPr>
            <w:r>
              <w:t>1,5</w:t>
            </w:r>
          </w:p>
        </w:tc>
        <w:tc>
          <w:tcPr>
            <w:tcW w:w="826"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8" w:right="0" w:firstLine="0"/>
              <w:jc w:val="center"/>
            </w:pPr>
            <w:r>
              <w:t>1,8</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2,4</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0" w:right="0" w:firstLine="0"/>
              <w:jc w:val="left"/>
            </w:pPr>
            <w:r>
              <w:t>30–44</w:t>
            </w:r>
          </w:p>
        </w:tc>
        <w:tc>
          <w:tcPr>
            <w:tcW w:w="824"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8" w:right="0" w:firstLine="0"/>
              <w:jc w:val="center"/>
            </w:pPr>
            <w:r>
              <w:t>5,6</w:t>
            </w:r>
          </w:p>
        </w:tc>
        <w:tc>
          <w:tcPr>
            <w:tcW w:w="824"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8" w:right="0" w:firstLine="0"/>
              <w:jc w:val="center"/>
            </w:pPr>
            <w:r>
              <w:t>5,9</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6,8</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8,6</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11</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30–44</w:t>
            </w:r>
          </w:p>
        </w:tc>
        <w:tc>
          <w:tcPr>
            <w:tcW w:w="826"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8" w:right="0" w:firstLine="0"/>
              <w:jc w:val="center"/>
            </w:pPr>
            <w:r>
              <w:t>1,4</w:t>
            </w:r>
          </w:p>
        </w:tc>
        <w:tc>
          <w:tcPr>
            <w:tcW w:w="826"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8" w:right="0" w:firstLine="0"/>
              <w:jc w:val="center"/>
            </w:pPr>
            <w:r>
              <w:t>1,5</w:t>
            </w:r>
          </w:p>
        </w:tc>
        <w:tc>
          <w:tcPr>
            <w:tcW w:w="826"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8" w:right="0" w:firstLine="0"/>
              <w:jc w:val="center"/>
            </w:pPr>
            <w:r>
              <w:t>1,7</w:t>
            </w:r>
          </w:p>
        </w:tc>
        <w:tc>
          <w:tcPr>
            <w:tcW w:w="826"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2,0</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2,4</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0" w:right="0" w:firstLine="0"/>
              <w:jc w:val="left"/>
            </w:pPr>
            <w:r>
              <w:t>15–29</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8,3</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7" w:right="0" w:firstLine="0"/>
              <w:jc w:val="center"/>
            </w:pPr>
            <w:r>
              <w:t>8,0</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7" w:right="0" w:firstLine="0"/>
              <w:jc w:val="center"/>
            </w:pPr>
            <w:r>
              <w:t>8,5</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7" w:right="0" w:firstLine="0"/>
              <w:jc w:val="center"/>
            </w:pPr>
            <w:r>
              <w:t>9,9</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7" w:right="0" w:firstLine="0"/>
              <w:jc w:val="center"/>
            </w:pPr>
            <w:r>
              <w:t>10</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0" w:right="0" w:firstLine="0"/>
              <w:jc w:val="left"/>
            </w:pPr>
            <w:r>
              <w:t>15–29</w:t>
            </w:r>
          </w:p>
        </w:tc>
        <w:tc>
          <w:tcPr>
            <w:tcW w:w="826"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8" w:right="0" w:firstLine="0"/>
              <w:jc w:val="center"/>
            </w:pPr>
            <w:r>
              <w:t>1,9</w:t>
            </w:r>
          </w:p>
        </w:tc>
        <w:tc>
          <w:tcPr>
            <w:tcW w:w="826"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8" w:right="0" w:firstLine="0"/>
              <w:jc w:val="center"/>
            </w:pPr>
            <w:r>
              <w:t>1,8</w:t>
            </w:r>
          </w:p>
        </w:tc>
        <w:tc>
          <w:tcPr>
            <w:tcW w:w="826"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2,0</w:t>
            </w:r>
          </w:p>
        </w:tc>
        <w:tc>
          <w:tcPr>
            <w:tcW w:w="826"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7" w:right="0" w:firstLine="0"/>
              <w:jc w:val="center"/>
            </w:pPr>
            <w:r>
              <w:t>2,6</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7" w:right="0" w:firstLine="0"/>
              <w:jc w:val="center"/>
            </w:pPr>
            <w:r>
              <w:t>3,0</w:t>
            </w:r>
          </w:p>
        </w:tc>
      </w:tr>
      <w:tr w:rsidR="00D27BC6">
        <w:trPr>
          <w:trHeight w:val="263"/>
        </w:trPr>
        <w:tc>
          <w:tcPr>
            <w:tcW w:w="824" w:type="dxa"/>
            <w:tcBorders>
              <w:top w:val="single" w:sz="2" w:space="0" w:color="000000"/>
              <w:left w:val="single" w:sz="6" w:space="0" w:color="000000"/>
              <w:bottom w:val="single" w:sz="6" w:space="0" w:color="000000"/>
              <w:right w:val="single" w:sz="2" w:space="0" w:color="000000"/>
            </w:tcBorders>
          </w:tcPr>
          <w:p w:rsidR="00D27BC6" w:rsidRDefault="004D5071">
            <w:pPr>
              <w:spacing w:after="0" w:line="259" w:lineRule="auto"/>
              <w:ind w:left="0" w:right="0" w:firstLine="0"/>
              <w:jc w:val="left"/>
            </w:pPr>
            <w:r>
              <w:t>&lt;15</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8,5</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11</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7,9</w:t>
            </w:r>
          </w:p>
        </w:tc>
        <w:tc>
          <w:tcPr>
            <w:tcW w:w="824" w:type="dxa"/>
            <w:tcBorders>
              <w:top w:val="single" w:sz="2" w:space="0" w:color="000000"/>
              <w:left w:val="single" w:sz="2" w:space="0" w:color="000000"/>
              <w:bottom w:val="single" w:sz="6" w:space="0" w:color="000000"/>
              <w:right w:val="single" w:sz="2" w:space="0" w:color="000000"/>
            </w:tcBorders>
            <w:shd w:val="clear" w:color="auto" w:fill="E74310"/>
          </w:tcPr>
          <w:p w:rsidR="00D27BC6" w:rsidRDefault="004D5071">
            <w:pPr>
              <w:spacing w:after="0" w:line="259" w:lineRule="auto"/>
              <w:ind w:left="57" w:right="0" w:firstLine="0"/>
              <w:jc w:val="center"/>
            </w:pPr>
            <w:r>
              <w:t>5,5</w:t>
            </w:r>
          </w:p>
        </w:tc>
        <w:tc>
          <w:tcPr>
            <w:tcW w:w="824" w:type="dxa"/>
            <w:tcBorders>
              <w:top w:val="single" w:sz="2" w:space="0" w:color="000000"/>
              <w:left w:val="single" w:sz="2" w:space="0" w:color="000000"/>
              <w:bottom w:val="single" w:sz="6" w:space="0" w:color="000000"/>
              <w:right w:val="single" w:sz="6" w:space="0" w:color="000000"/>
            </w:tcBorders>
            <w:shd w:val="clear" w:color="auto" w:fill="E74310"/>
          </w:tcPr>
          <w:p w:rsidR="00D27BC6" w:rsidRDefault="004D5071">
            <w:pPr>
              <w:spacing w:after="0" w:line="259" w:lineRule="auto"/>
              <w:ind w:left="57" w:right="0" w:firstLine="0"/>
              <w:jc w:val="center"/>
            </w:pPr>
            <w:r>
              <w:t>5,7</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6" w:space="0" w:color="000000"/>
              <w:right w:val="single" w:sz="2" w:space="0" w:color="000000"/>
            </w:tcBorders>
          </w:tcPr>
          <w:p w:rsidR="00D27BC6" w:rsidRDefault="004D5071">
            <w:pPr>
              <w:spacing w:after="0" w:line="259" w:lineRule="auto"/>
              <w:ind w:left="0" w:right="0" w:firstLine="0"/>
              <w:jc w:val="left"/>
            </w:pPr>
            <w:r>
              <w:t>&lt;15</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2,6</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2,5</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3,1</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3,6</w:t>
            </w:r>
          </w:p>
        </w:tc>
        <w:tc>
          <w:tcPr>
            <w:tcW w:w="826" w:type="dxa"/>
            <w:tcBorders>
              <w:top w:val="single" w:sz="2" w:space="0" w:color="000000"/>
              <w:left w:val="single" w:sz="2" w:space="0" w:color="000000"/>
              <w:bottom w:val="single" w:sz="6" w:space="0" w:color="000000"/>
              <w:right w:val="single" w:sz="6" w:space="0" w:color="000000"/>
            </w:tcBorders>
            <w:shd w:val="clear" w:color="auto" w:fill="DE2C34"/>
          </w:tcPr>
          <w:p w:rsidR="00D27BC6" w:rsidRDefault="004D5071">
            <w:pPr>
              <w:spacing w:after="0" w:line="259" w:lineRule="auto"/>
              <w:ind w:left="57" w:right="0" w:firstLine="0"/>
              <w:jc w:val="center"/>
            </w:pPr>
            <w:r>
              <w:t>4,2</w:t>
            </w:r>
          </w:p>
        </w:tc>
      </w:tr>
      <w:tr w:rsidR="00D27BC6">
        <w:trPr>
          <w:trHeight w:val="663"/>
        </w:trPr>
        <w:tc>
          <w:tcPr>
            <w:tcW w:w="824" w:type="dxa"/>
            <w:tcBorders>
              <w:top w:val="single" w:sz="6" w:space="0" w:color="000000"/>
              <w:left w:val="single" w:sz="6" w:space="0" w:color="000000"/>
              <w:bottom w:val="single" w:sz="2" w:space="0" w:color="000000"/>
              <w:right w:val="single" w:sz="2" w:space="0" w:color="000000"/>
            </w:tcBorders>
          </w:tcPr>
          <w:p w:rsidR="00D27BC6" w:rsidRDefault="00D27BC6">
            <w:pPr>
              <w:spacing w:after="160" w:line="259" w:lineRule="auto"/>
              <w:ind w:left="0" w:right="0" w:firstLine="0"/>
              <w:jc w:val="left"/>
            </w:pPr>
          </w:p>
        </w:tc>
        <w:tc>
          <w:tcPr>
            <w:tcW w:w="4119" w:type="dxa"/>
            <w:gridSpan w:val="5"/>
            <w:tcBorders>
              <w:top w:val="single" w:sz="6" w:space="0" w:color="000000"/>
              <w:left w:val="single" w:sz="2" w:space="0" w:color="000000"/>
              <w:bottom w:val="single" w:sz="2" w:space="0" w:color="000000"/>
              <w:right w:val="single" w:sz="6" w:space="0" w:color="000000"/>
            </w:tcBorders>
          </w:tcPr>
          <w:p w:rsidR="00D27BC6" w:rsidRDefault="004D5071">
            <w:pPr>
              <w:spacing w:after="0" w:line="259" w:lineRule="auto"/>
              <w:ind w:left="60" w:right="0" w:firstLine="0"/>
              <w:jc w:val="center"/>
            </w:pPr>
            <w:r>
              <w:rPr>
                <w:b/>
              </w:rPr>
              <w:t>Госпитализация</w:t>
            </w:r>
            <w:r>
              <w:t>:</w:t>
            </w:r>
          </w:p>
          <w:p w:rsidR="00D27BC6" w:rsidRDefault="004D5071">
            <w:pPr>
              <w:spacing w:after="0" w:line="259" w:lineRule="auto"/>
              <w:ind w:left="60" w:right="0" w:firstLine="0"/>
              <w:jc w:val="center"/>
            </w:pPr>
            <w:r>
              <w:t xml:space="preserve"> 49 когорт,  </w:t>
            </w:r>
          </w:p>
          <w:p w:rsidR="00D27BC6" w:rsidRDefault="004D5071">
            <w:pPr>
              <w:spacing w:after="0" w:line="259" w:lineRule="auto"/>
              <w:ind w:left="60" w:right="0" w:firstLine="0"/>
              <w:jc w:val="center"/>
            </w:pPr>
            <w:r>
              <w:t>25 426 722 участника; 8 398 637 событий</w:t>
            </w:r>
          </w:p>
        </w:tc>
        <w:tc>
          <w:tcPr>
            <w:tcW w:w="301" w:type="dxa"/>
            <w:vMerge w:val="restart"/>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6" w:space="0" w:color="000000"/>
              <w:left w:val="single" w:sz="6" w:space="0" w:color="000000"/>
              <w:bottom w:val="single" w:sz="2" w:space="0" w:color="000000"/>
              <w:right w:val="single" w:sz="2" w:space="0" w:color="000000"/>
            </w:tcBorders>
          </w:tcPr>
          <w:p w:rsidR="00D27BC6" w:rsidRDefault="00D27BC6">
            <w:pPr>
              <w:spacing w:after="160" w:line="259" w:lineRule="auto"/>
              <w:ind w:left="0" w:right="0" w:firstLine="0"/>
              <w:jc w:val="left"/>
            </w:pPr>
          </w:p>
        </w:tc>
        <w:tc>
          <w:tcPr>
            <w:tcW w:w="4129" w:type="dxa"/>
            <w:gridSpan w:val="5"/>
            <w:tcBorders>
              <w:top w:val="single" w:sz="6" w:space="0" w:color="000000"/>
              <w:left w:val="single" w:sz="2" w:space="0" w:color="000000"/>
              <w:bottom w:val="single" w:sz="2" w:space="0" w:color="000000"/>
              <w:right w:val="single" w:sz="6" w:space="0" w:color="000000"/>
            </w:tcBorders>
          </w:tcPr>
          <w:p w:rsidR="00D27BC6" w:rsidRDefault="004D5071">
            <w:pPr>
              <w:spacing w:after="0" w:line="259" w:lineRule="auto"/>
              <w:ind w:left="60" w:right="0" w:firstLine="0"/>
              <w:jc w:val="center"/>
            </w:pPr>
            <w:r>
              <w:rPr>
                <w:b/>
              </w:rPr>
              <w:t>ЗПА:</w:t>
            </w:r>
            <w:r>
              <w:t xml:space="preserve"> </w:t>
            </w:r>
          </w:p>
          <w:p w:rsidR="00D27BC6" w:rsidRDefault="004D5071">
            <w:pPr>
              <w:spacing w:after="0" w:line="259" w:lineRule="auto"/>
              <w:ind w:left="60" w:right="0" w:firstLine="0"/>
              <w:jc w:val="center"/>
            </w:pPr>
            <w:r>
              <w:t>54 когорты,</w:t>
            </w:r>
          </w:p>
          <w:p w:rsidR="00D27BC6" w:rsidRDefault="004D5071">
            <w:pPr>
              <w:spacing w:after="0" w:line="259" w:lineRule="auto"/>
              <w:ind w:left="60" w:right="0" w:firstLine="0"/>
              <w:jc w:val="center"/>
            </w:pPr>
            <w:r>
              <w:t>24 830 794 участника; 378 924 события</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105+</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60" w:right="0" w:firstLine="0"/>
              <w:jc w:val="center"/>
            </w:pPr>
            <w:r>
              <w:t>1,4</w:t>
            </w:r>
          </w:p>
        </w:tc>
        <w:tc>
          <w:tcPr>
            <w:tcW w:w="824"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60" w:right="0" w:firstLine="0"/>
              <w:jc w:val="center"/>
            </w:pPr>
            <w:r>
              <w:t>1,7</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60" w:right="0" w:firstLine="0"/>
              <w:jc w:val="center"/>
            </w:pPr>
            <w:r>
              <w:t>2,1</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60" w:right="0" w:firstLine="0"/>
              <w:jc w:val="center"/>
            </w:pPr>
            <w:r>
              <w:t>2,1</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9" w:right="0" w:firstLine="0"/>
              <w:jc w:val="center"/>
            </w:pPr>
            <w:r>
              <w:t>2,3</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105+</w:t>
            </w:r>
          </w:p>
        </w:tc>
        <w:tc>
          <w:tcPr>
            <w:tcW w:w="826"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60" w:right="0" w:firstLine="0"/>
              <w:jc w:val="center"/>
            </w:pPr>
            <w:r>
              <w:t>0,9</w:t>
            </w:r>
          </w:p>
        </w:tc>
        <w:tc>
          <w:tcPr>
            <w:tcW w:w="826"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60" w:right="0" w:firstLine="0"/>
              <w:jc w:val="center"/>
            </w:pPr>
            <w:r>
              <w:t>1,4</w:t>
            </w:r>
          </w:p>
        </w:tc>
        <w:tc>
          <w:tcPr>
            <w:tcW w:w="826"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1,9</w:t>
            </w:r>
          </w:p>
        </w:tc>
        <w:tc>
          <w:tcPr>
            <w:tcW w:w="826" w:type="dxa"/>
            <w:tcBorders>
              <w:top w:val="single" w:sz="2" w:space="0" w:color="000000"/>
              <w:left w:val="single" w:sz="2" w:space="0" w:color="000000"/>
              <w:bottom w:val="single" w:sz="2" w:space="0" w:color="000000"/>
              <w:right w:val="single" w:sz="2" w:space="0" w:color="000000"/>
            </w:tcBorders>
            <w:shd w:val="clear" w:color="auto" w:fill="E74310"/>
          </w:tcPr>
          <w:p w:rsidR="00D27BC6" w:rsidRDefault="004D5071">
            <w:pPr>
              <w:spacing w:after="0" w:line="259" w:lineRule="auto"/>
              <w:ind w:left="59" w:right="0" w:firstLine="0"/>
              <w:jc w:val="center"/>
            </w:pPr>
            <w:r>
              <w:t>2,8</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9" w:right="0" w:firstLine="0"/>
              <w:jc w:val="center"/>
            </w:pPr>
            <w:r>
              <w:t>5,0</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91–104</w:t>
            </w:r>
          </w:p>
        </w:tc>
        <w:tc>
          <w:tcPr>
            <w:tcW w:w="824" w:type="dxa"/>
            <w:tcBorders>
              <w:top w:val="single" w:sz="2" w:space="0" w:color="000000"/>
              <w:left w:val="single" w:sz="2" w:space="0" w:color="000000"/>
              <w:bottom w:val="single" w:sz="2" w:space="0" w:color="000000"/>
              <w:right w:val="single" w:sz="2" w:space="0" w:color="000000"/>
            </w:tcBorders>
          </w:tcPr>
          <w:p w:rsidR="00D27BC6" w:rsidRDefault="004D5071">
            <w:pPr>
              <w:spacing w:after="0" w:line="259" w:lineRule="auto"/>
              <w:ind w:left="59" w:right="0" w:firstLine="0"/>
              <w:jc w:val="center"/>
            </w:pPr>
            <w:r>
              <w:t>ref</w:t>
            </w:r>
          </w:p>
        </w:tc>
        <w:tc>
          <w:tcPr>
            <w:tcW w:w="824"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59" w:right="0" w:firstLine="0"/>
              <w:jc w:val="center"/>
            </w:pPr>
            <w:r>
              <w:t>1,1</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1,3</w:t>
            </w:r>
          </w:p>
        </w:tc>
        <w:tc>
          <w:tcPr>
            <w:tcW w:w="824"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9" w:right="0" w:firstLine="0"/>
              <w:jc w:val="center"/>
            </w:pPr>
            <w:r>
              <w:t>1,5</w:t>
            </w:r>
          </w:p>
        </w:tc>
        <w:tc>
          <w:tcPr>
            <w:tcW w:w="824" w:type="dxa"/>
            <w:tcBorders>
              <w:top w:val="single" w:sz="2" w:space="0" w:color="000000"/>
              <w:left w:val="single" w:sz="2" w:space="0" w:color="000000"/>
              <w:bottom w:val="single" w:sz="2" w:space="0" w:color="000000"/>
              <w:right w:val="single" w:sz="6" w:space="0" w:color="000000"/>
            </w:tcBorders>
            <w:shd w:val="clear" w:color="auto" w:fill="EA5D1C"/>
          </w:tcPr>
          <w:p w:rsidR="00D27BC6" w:rsidRDefault="004D5071">
            <w:pPr>
              <w:spacing w:after="0" w:line="259" w:lineRule="auto"/>
              <w:ind w:left="59" w:right="0" w:firstLine="0"/>
              <w:jc w:val="center"/>
            </w:pPr>
            <w:r>
              <w:t>1,7</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91–104</w:t>
            </w:r>
          </w:p>
        </w:tc>
        <w:tc>
          <w:tcPr>
            <w:tcW w:w="826" w:type="dxa"/>
            <w:tcBorders>
              <w:top w:val="single" w:sz="2" w:space="0" w:color="000000"/>
              <w:left w:val="single" w:sz="2" w:space="0" w:color="000000"/>
              <w:bottom w:val="single" w:sz="2" w:space="0" w:color="000000"/>
              <w:right w:val="single" w:sz="2" w:space="0" w:color="000000"/>
            </w:tcBorders>
          </w:tcPr>
          <w:p w:rsidR="00D27BC6" w:rsidRDefault="004D5071">
            <w:pPr>
              <w:spacing w:after="0" w:line="259" w:lineRule="auto"/>
              <w:ind w:left="59" w:right="0" w:firstLine="0"/>
              <w:jc w:val="center"/>
            </w:pPr>
            <w:r>
              <w:t>ref</w:t>
            </w:r>
          </w:p>
        </w:tc>
        <w:tc>
          <w:tcPr>
            <w:tcW w:w="826"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59" w:right="0" w:firstLine="0"/>
              <w:jc w:val="center"/>
            </w:pPr>
            <w:r>
              <w:t>1,3</w:t>
            </w:r>
          </w:p>
        </w:tc>
        <w:tc>
          <w:tcPr>
            <w:tcW w:w="826"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1,9</w:t>
            </w:r>
          </w:p>
        </w:tc>
        <w:tc>
          <w:tcPr>
            <w:tcW w:w="826" w:type="dxa"/>
            <w:tcBorders>
              <w:top w:val="single" w:sz="2" w:space="0" w:color="000000"/>
              <w:left w:val="single" w:sz="2" w:space="0" w:color="000000"/>
              <w:bottom w:val="single" w:sz="2" w:space="0" w:color="000000"/>
              <w:right w:val="single" w:sz="2" w:space="0" w:color="000000"/>
            </w:tcBorders>
            <w:shd w:val="clear" w:color="auto" w:fill="E74310"/>
          </w:tcPr>
          <w:p w:rsidR="00D27BC6" w:rsidRDefault="004D5071">
            <w:pPr>
              <w:spacing w:after="0" w:line="259" w:lineRule="auto"/>
              <w:ind w:left="59" w:right="0" w:firstLine="0"/>
              <w:jc w:val="center"/>
            </w:pPr>
            <w:r>
              <w:t>2,8</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9" w:right="0" w:firstLine="0"/>
              <w:jc w:val="center"/>
            </w:pPr>
            <w:r>
              <w:t>4,3</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60–89</w:t>
            </w:r>
          </w:p>
        </w:tc>
        <w:tc>
          <w:tcPr>
            <w:tcW w:w="824"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59" w:right="0" w:firstLine="0"/>
              <w:jc w:val="center"/>
            </w:pPr>
            <w:r>
              <w:t>1,0</w:t>
            </w:r>
          </w:p>
        </w:tc>
        <w:tc>
          <w:tcPr>
            <w:tcW w:w="824"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59" w:right="0" w:firstLine="0"/>
              <w:jc w:val="center"/>
            </w:pPr>
            <w:r>
              <w:t>1,1</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1,3</w:t>
            </w:r>
          </w:p>
        </w:tc>
        <w:tc>
          <w:tcPr>
            <w:tcW w:w="824"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9" w:right="0" w:firstLine="0"/>
              <w:jc w:val="center"/>
            </w:pPr>
            <w:r>
              <w:t>1,5</w:t>
            </w:r>
          </w:p>
        </w:tc>
        <w:tc>
          <w:tcPr>
            <w:tcW w:w="824" w:type="dxa"/>
            <w:tcBorders>
              <w:top w:val="single" w:sz="2" w:space="0" w:color="000000"/>
              <w:left w:val="single" w:sz="2" w:space="0" w:color="000000"/>
              <w:bottom w:val="single" w:sz="2" w:space="0" w:color="000000"/>
              <w:right w:val="single" w:sz="6" w:space="0" w:color="000000"/>
            </w:tcBorders>
            <w:shd w:val="clear" w:color="auto" w:fill="EA5D1C"/>
          </w:tcPr>
          <w:p w:rsidR="00D27BC6" w:rsidRDefault="004D5071">
            <w:pPr>
              <w:spacing w:after="0" w:line="259" w:lineRule="auto"/>
              <w:ind w:left="59" w:right="0" w:firstLine="0"/>
              <w:jc w:val="center"/>
            </w:pPr>
            <w:r>
              <w:t>1,8</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60–89</w:t>
            </w:r>
          </w:p>
        </w:tc>
        <w:tc>
          <w:tcPr>
            <w:tcW w:w="826" w:type="dxa"/>
            <w:tcBorders>
              <w:top w:val="single" w:sz="2" w:space="0" w:color="000000"/>
              <w:left w:val="single" w:sz="2" w:space="0" w:color="000000"/>
              <w:bottom w:val="single" w:sz="2" w:space="0" w:color="000000"/>
              <w:right w:val="single" w:sz="2" w:space="0" w:color="000000"/>
            </w:tcBorders>
            <w:shd w:val="clear" w:color="auto" w:fill="83BD51"/>
          </w:tcPr>
          <w:p w:rsidR="00D27BC6" w:rsidRDefault="004D5071">
            <w:pPr>
              <w:spacing w:after="0" w:line="259" w:lineRule="auto"/>
              <w:ind w:left="59" w:right="0" w:firstLine="0"/>
              <w:jc w:val="center"/>
            </w:pPr>
            <w:r>
              <w:t>1,0</w:t>
            </w:r>
          </w:p>
        </w:tc>
        <w:tc>
          <w:tcPr>
            <w:tcW w:w="826"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59" w:right="0" w:firstLine="0"/>
              <w:jc w:val="center"/>
            </w:pPr>
            <w:r>
              <w:t>1,3</w:t>
            </w:r>
          </w:p>
        </w:tc>
        <w:tc>
          <w:tcPr>
            <w:tcW w:w="826"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9" w:right="0" w:firstLine="0"/>
              <w:jc w:val="center"/>
            </w:pPr>
            <w:r>
              <w:t>1,8</w:t>
            </w:r>
          </w:p>
        </w:tc>
        <w:tc>
          <w:tcPr>
            <w:tcW w:w="826"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9" w:right="0" w:firstLine="0"/>
              <w:jc w:val="center"/>
            </w:pPr>
            <w:r>
              <w:t>2,5</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3,8</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45–59</w:t>
            </w:r>
          </w:p>
        </w:tc>
        <w:tc>
          <w:tcPr>
            <w:tcW w:w="824"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59" w:right="0" w:firstLine="0"/>
              <w:jc w:val="center"/>
            </w:pPr>
            <w:r>
              <w:t>1,3</w:t>
            </w:r>
          </w:p>
        </w:tc>
        <w:tc>
          <w:tcPr>
            <w:tcW w:w="824" w:type="dxa"/>
            <w:tcBorders>
              <w:top w:val="single" w:sz="2" w:space="0" w:color="000000"/>
              <w:left w:val="single" w:sz="2" w:space="0" w:color="000000"/>
              <w:bottom w:val="single" w:sz="2" w:space="0" w:color="000000"/>
              <w:right w:val="single" w:sz="2" w:space="0" w:color="000000"/>
            </w:tcBorders>
            <w:shd w:val="clear" w:color="auto" w:fill="F9F19F"/>
          </w:tcPr>
          <w:p w:rsidR="00D27BC6" w:rsidRDefault="004D5071">
            <w:pPr>
              <w:spacing w:after="0" w:line="259" w:lineRule="auto"/>
              <w:ind w:left="59" w:right="0" w:firstLine="0"/>
              <w:jc w:val="center"/>
            </w:pPr>
            <w:r>
              <w:t>1,3</w:t>
            </w:r>
          </w:p>
        </w:tc>
        <w:tc>
          <w:tcPr>
            <w:tcW w:w="824"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8" w:right="0" w:firstLine="0"/>
              <w:jc w:val="center"/>
            </w:pPr>
            <w:r>
              <w:t>1,5</w:t>
            </w:r>
          </w:p>
        </w:tc>
        <w:tc>
          <w:tcPr>
            <w:tcW w:w="824"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8" w:right="0" w:firstLine="0"/>
              <w:jc w:val="center"/>
            </w:pPr>
            <w:r>
              <w:t>1,7</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2,1</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45–59</w:t>
            </w:r>
          </w:p>
        </w:tc>
        <w:tc>
          <w:tcPr>
            <w:tcW w:w="826" w:type="dxa"/>
            <w:tcBorders>
              <w:top w:val="single" w:sz="2" w:space="0" w:color="000000"/>
              <w:left w:val="single" w:sz="2" w:space="0" w:color="000000"/>
              <w:bottom w:val="single" w:sz="2" w:space="0" w:color="000000"/>
              <w:right w:val="single" w:sz="2" w:space="0" w:color="000000"/>
            </w:tcBorders>
            <w:shd w:val="clear" w:color="auto" w:fill="C4D32F"/>
          </w:tcPr>
          <w:p w:rsidR="00D27BC6" w:rsidRDefault="004D5071">
            <w:pPr>
              <w:spacing w:after="0" w:line="259" w:lineRule="auto"/>
              <w:ind w:left="58" w:right="0" w:firstLine="0"/>
              <w:jc w:val="center"/>
            </w:pPr>
            <w:r>
              <w:t>1,5</w:t>
            </w:r>
          </w:p>
        </w:tc>
        <w:tc>
          <w:tcPr>
            <w:tcW w:w="826"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8" w:right="0" w:firstLine="0"/>
              <w:jc w:val="center"/>
            </w:pPr>
            <w:r>
              <w:t>1,7</w:t>
            </w:r>
          </w:p>
        </w:tc>
        <w:tc>
          <w:tcPr>
            <w:tcW w:w="826"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8" w:right="0" w:firstLine="0"/>
              <w:jc w:val="center"/>
            </w:pPr>
            <w:r>
              <w:t>2,1</w:t>
            </w:r>
          </w:p>
        </w:tc>
        <w:tc>
          <w:tcPr>
            <w:tcW w:w="826" w:type="dxa"/>
            <w:tcBorders>
              <w:top w:val="single" w:sz="2" w:space="0" w:color="000000"/>
              <w:left w:val="single" w:sz="2" w:space="0" w:color="000000"/>
              <w:bottom w:val="single" w:sz="2" w:space="0" w:color="000000"/>
              <w:right w:val="single" w:sz="2" w:space="0" w:color="000000"/>
            </w:tcBorders>
            <w:shd w:val="clear" w:color="auto" w:fill="E74310"/>
          </w:tcPr>
          <w:p w:rsidR="00D27BC6" w:rsidRDefault="004D5071">
            <w:pPr>
              <w:spacing w:after="0" w:line="259" w:lineRule="auto"/>
              <w:ind w:left="58" w:right="0" w:firstLine="0"/>
              <w:jc w:val="center"/>
            </w:pPr>
            <w:r>
              <w:t>2,9</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4,2</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1" w:right="0" w:firstLine="0"/>
              <w:jc w:val="left"/>
            </w:pPr>
            <w:r>
              <w:t>30–44</w:t>
            </w:r>
          </w:p>
        </w:tc>
        <w:tc>
          <w:tcPr>
            <w:tcW w:w="824"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8" w:right="0" w:firstLine="0"/>
              <w:jc w:val="center"/>
            </w:pPr>
            <w:r>
              <w:t>1,5</w:t>
            </w:r>
          </w:p>
        </w:tc>
        <w:tc>
          <w:tcPr>
            <w:tcW w:w="824"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8" w:right="0" w:firstLine="0"/>
              <w:jc w:val="center"/>
            </w:pPr>
            <w:r>
              <w:t>1,5</w:t>
            </w:r>
          </w:p>
        </w:tc>
        <w:tc>
          <w:tcPr>
            <w:tcW w:w="824"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8" w:right="0" w:firstLine="0"/>
              <w:jc w:val="center"/>
            </w:pPr>
            <w:r>
              <w:t>1,6</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1,9</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2,3</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0" w:right="0" w:firstLine="0"/>
              <w:jc w:val="left"/>
            </w:pPr>
            <w:r>
              <w:t>30–44</w:t>
            </w:r>
          </w:p>
        </w:tc>
        <w:tc>
          <w:tcPr>
            <w:tcW w:w="826" w:type="dxa"/>
            <w:tcBorders>
              <w:top w:val="single" w:sz="2" w:space="0" w:color="000000"/>
              <w:left w:val="single" w:sz="2" w:space="0" w:color="000000"/>
              <w:bottom w:val="single" w:sz="2" w:space="0" w:color="000000"/>
              <w:right w:val="single" w:sz="2" w:space="0" w:color="000000"/>
            </w:tcBorders>
            <w:shd w:val="clear" w:color="auto" w:fill="F9B535"/>
          </w:tcPr>
          <w:p w:rsidR="00D27BC6" w:rsidRDefault="004D5071">
            <w:pPr>
              <w:spacing w:after="0" w:line="259" w:lineRule="auto"/>
              <w:ind w:left="58" w:right="0" w:firstLine="0"/>
              <w:jc w:val="center"/>
            </w:pPr>
            <w:r>
              <w:t>2,0</w:t>
            </w:r>
          </w:p>
        </w:tc>
        <w:tc>
          <w:tcPr>
            <w:tcW w:w="826" w:type="dxa"/>
            <w:tcBorders>
              <w:top w:val="single" w:sz="2" w:space="0" w:color="000000"/>
              <w:left w:val="single" w:sz="2" w:space="0" w:color="000000"/>
              <w:bottom w:val="single" w:sz="2" w:space="0" w:color="000000"/>
              <w:right w:val="single" w:sz="2" w:space="0" w:color="000000"/>
            </w:tcBorders>
            <w:shd w:val="clear" w:color="auto" w:fill="FFE04F"/>
          </w:tcPr>
          <w:p w:rsidR="00D27BC6" w:rsidRDefault="004D5071">
            <w:pPr>
              <w:spacing w:after="0" w:line="259" w:lineRule="auto"/>
              <w:ind w:left="58" w:right="0" w:firstLine="0"/>
              <w:jc w:val="center"/>
            </w:pPr>
            <w:r>
              <w:t>1,9</w:t>
            </w:r>
          </w:p>
        </w:tc>
        <w:tc>
          <w:tcPr>
            <w:tcW w:w="826" w:type="dxa"/>
            <w:tcBorders>
              <w:top w:val="single" w:sz="2" w:space="0" w:color="000000"/>
              <w:left w:val="single" w:sz="2" w:space="0" w:color="000000"/>
              <w:bottom w:val="single" w:sz="2" w:space="0" w:color="000000"/>
              <w:right w:val="single" w:sz="2" w:space="0" w:color="000000"/>
            </w:tcBorders>
            <w:shd w:val="clear" w:color="auto" w:fill="F0822B"/>
          </w:tcPr>
          <w:p w:rsidR="00D27BC6" w:rsidRDefault="004D5071">
            <w:pPr>
              <w:spacing w:after="0" w:line="259" w:lineRule="auto"/>
              <w:ind w:left="58" w:right="0" w:firstLine="0"/>
              <w:jc w:val="center"/>
            </w:pPr>
            <w:r>
              <w:t>2,5</w:t>
            </w:r>
          </w:p>
        </w:tc>
        <w:tc>
          <w:tcPr>
            <w:tcW w:w="826"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3,6</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8" w:right="0" w:firstLine="0"/>
              <w:jc w:val="center"/>
            </w:pPr>
            <w:r>
              <w:t>5,0</w:t>
            </w:r>
          </w:p>
        </w:tc>
      </w:tr>
      <w:tr w:rsidR="00D27BC6">
        <w:trPr>
          <w:trHeight w:val="263"/>
        </w:trPr>
        <w:tc>
          <w:tcPr>
            <w:tcW w:w="824"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0" w:right="0" w:firstLine="0"/>
              <w:jc w:val="left"/>
            </w:pPr>
            <w:r>
              <w:t>15–29</w:t>
            </w:r>
          </w:p>
        </w:tc>
        <w:tc>
          <w:tcPr>
            <w:tcW w:w="824"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8" w:right="0" w:firstLine="0"/>
              <w:jc w:val="center"/>
            </w:pPr>
            <w:r>
              <w:t>1,8</w:t>
            </w:r>
          </w:p>
        </w:tc>
        <w:tc>
          <w:tcPr>
            <w:tcW w:w="824"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8" w:right="0" w:firstLine="0"/>
              <w:jc w:val="center"/>
            </w:pPr>
            <w:r>
              <w:t>1,8</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1,9</w:t>
            </w:r>
          </w:p>
        </w:tc>
        <w:tc>
          <w:tcPr>
            <w:tcW w:w="824"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8" w:right="0" w:firstLine="0"/>
              <w:jc w:val="center"/>
            </w:pPr>
            <w:r>
              <w:t>2,4</w:t>
            </w:r>
          </w:p>
        </w:tc>
        <w:tc>
          <w:tcPr>
            <w:tcW w:w="824"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7" w:right="0" w:firstLine="0"/>
              <w:jc w:val="center"/>
            </w:pPr>
            <w:r>
              <w:t>2,8</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2" w:space="0" w:color="000000"/>
              <w:right w:val="single" w:sz="2" w:space="0" w:color="000000"/>
            </w:tcBorders>
          </w:tcPr>
          <w:p w:rsidR="00D27BC6" w:rsidRDefault="004D5071">
            <w:pPr>
              <w:spacing w:after="0" w:line="259" w:lineRule="auto"/>
              <w:ind w:left="0" w:right="0" w:firstLine="0"/>
              <w:jc w:val="left"/>
            </w:pPr>
            <w:r>
              <w:t>15–29</w:t>
            </w:r>
          </w:p>
        </w:tc>
        <w:tc>
          <w:tcPr>
            <w:tcW w:w="826"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8" w:right="0" w:firstLine="0"/>
              <w:jc w:val="center"/>
            </w:pPr>
            <w:r>
              <w:t>3,3</w:t>
            </w:r>
          </w:p>
        </w:tc>
        <w:tc>
          <w:tcPr>
            <w:tcW w:w="826" w:type="dxa"/>
            <w:tcBorders>
              <w:top w:val="single" w:sz="2" w:space="0" w:color="000000"/>
              <w:left w:val="single" w:sz="2" w:space="0" w:color="000000"/>
              <w:bottom w:val="single" w:sz="2" w:space="0" w:color="000000"/>
              <w:right w:val="single" w:sz="2" w:space="0" w:color="000000"/>
            </w:tcBorders>
            <w:shd w:val="clear" w:color="auto" w:fill="EA5D1C"/>
          </w:tcPr>
          <w:p w:rsidR="00D27BC6" w:rsidRDefault="004D5071">
            <w:pPr>
              <w:spacing w:after="0" w:line="259" w:lineRule="auto"/>
              <w:ind w:left="58" w:right="0" w:firstLine="0"/>
              <w:jc w:val="center"/>
            </w:pPr>
            <w:r>
              <w:t>3,3</w:t>
            </w:r>
          </w:p>
        </w:tc>
        <w:tc>
          <w:tcPr>
            <w:tcW w:w="826"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7" w:right="0" w:firstLine="0"/>
              <w:jc w:val="center"/>
            </w:pPr>
            <w:r>
              <w:t>3,8</w:t>
            </w:r>
          </w:p>
        </w:tc>
        <w:tc>
          <w:tcPr>
            <w:tcW w:w="826" w:type="dxa"/>
            <w:tcBorders>
              <w:top w:val="single" w:sz="2" w:space="0" w:color="000000"/>
              <w:left w:val="single" w:sz="2" w:space="0" w:color="000000"/>
              <w:bottom w:val="single" w:sz="2" w:space="0" w:color="000000"/>
              <w:right w:val="single" w:sz="2" w:space="0" w:color="000000"/>
            </w:tcBorders>
            <w:shd w:val="clear" w:color="auto" w:fill="DE2C34"/>
          </w:tcPr>
          <w:p w:rsidR="00D27BC6" w:rsidRDefault="004D5071">
            <w:pPr>
              <w:spacing w:after="0" w:line="259" w:lineRule="auto"/>
              <w:ind w:left="57" w:right="0" w:firstLine="0"/>
              <w:jc w:val="center"/>
            </w:pPr>
            <w:r>
              <w:t>5,7</w:t>
            </w:r>
          </w:p>
        </w:tc>
        <w:tc>
          <w:tcPr>
            <w:tcW w:w="826" w:type="dxa"/>
            <w:tcBorders>
              <w:top w:val="single" w:sz="2" w:space="0" w:color="000000"/>
              <w:left w:val="single" w:sz="2" w:space="0" w:color="000000"/>
              <w:bottom w:val="single" w:sz="2" w:space="0" w:color="000000"/>
              <w:right w:val="single" w:sz="6" w:space="0" w:color="000000"/>
            </w:tcBorders>
            <w:shd w:val="clear" w:color="auto" w:fill="DE2C34"/>
          </w:tcPr>
          <w:p w:rsidR="00D27BC6" w:rsidRDefault="004D5071">
            <w:pPr>
              <w:spacing w:after="0" w:line="259" w:lineRule="auto"/>
              <w:ind w:left="57" w:right="0" w:firstLine="0"/>
              <w:jc w:val="center"/>
            </w:pPr>
            <w:r>
              <w:t>8,1</w:t>
            </w:r>
          </w:p>
        </w:tc>
      </w:tr>
      <w:tr w:rsidR="00D27BC6">
        <w:trPr>
          <w:trHeight w:val="263"/>
        </w:trPr>
        <w:tc>
          <w:tcPr>
            <w:tcW w:w="824" w:type="dxa"/>
            <w:tcBorders>
              <w:top w:val="single" w:sz="2" w:space="0" w:color="000000"/>
              <w:left w:val="single" w:sz="6" w:space="0" w:color="000000"/>
              <w:bottom w:val="single" w:sz="6" w:space="0" w:color="000000"/>
              <w:right w:val="single" w:sz="2" w:space="0" w:color="000000"/>
            </w:tcBorders>
          </w:tcPr>
          <w:p w:rsidR="00D27BC6" w:rsidRDefault="004D5071">
            <w:pPr>
              <w:spacing w:after="0" w:line="259" w:lineRule="auto"/>
              <w:ind w:left="0" w:right="0" w:firstLine="0"/>
              <w:jc w:val="left"/>
            </w:pPr>
            <w:r>
              <w:t>&lt;15</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2,7</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2,</w:t>
            </w:r>
            <w:r>
              <w:t>8</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3,0</w:t>
            </w:r>
          </w:p>
        </w:tc>
        <w:tc>
          <w:tcPr>
            <w:tcW w:w="824"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3,2</w:t>
            </w:r>
          </w:p>
        </w:tc>
        <w:tc>
          <w:tcPr>
            <w:tcW w:w="824" w:type="dxa"/>
            <w:tcBorders>
              <w:top w:val="single" w:sz="2" w:space="0" w:color="000000"/>
              <w:left w:val="single" w:sz="2" w:space="0" w:color="000000"/>
              <w:bottom w:val="single" w:sz="6" w:space="0" w:color="000000"/>
              <w:right w:val="single" w:sz="6" w:space="0" w:color="000000"/>
            </w:tcBorders>
            <w:shd w:val="clear" w:color="auto" w:fill="DE2C34"/>
          </w:tcPr>
          <w:p w:rsidR="00D27BC6" w:rsidRDefault="004D5071">
            <w:pPr>
              <w:spacing w:after="0" w:line="259" w:lineRule="auto"/>
              <w:ind w:left="57" w:right="0" w:firstLine="0"/>
              <w:jc w:val="center"/>
            </w:pPr>
            <w:r>
              <w:t>3,8</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826" w:type="dxa"/>
            <w:tcBorders>
              <w:top w:val="single" w:sz="2" w:space="0" w:color="000000"/>
              <w:left w:val="single" w:sz="6" w:space="0" w:color="000000"/>
              <w:bottom w:val="single" w:sz="6" w:space="0" w:color="000000"/>
              <w:right w:val="single" w:sz="2" w:space="0" w:color="000000"/>
            </w:tcBorders>
          </w:tcPr>
          <w:p w:rsidR="00D27BC6" w:rsidRDefault="004D5071">
            <w:pPr>
              <w:spacing w:after="0" w:line="259" w:lineRule="auto"/>
              <w:ind w:left="0" w:right="0" w:firstLine="0"/>
              <w:jc w:val="left"/>
            </w:pPr>
            <w:r>
              <w:t>&lt;15</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9,1</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9,1</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9,6</w:t>
            </w:r>
          </w:p>
        </w:tc>
        <w:tc>
          <w:tcPr>
            <w:tcW w:w="826" w:type="dxa"/>
            <w:tcBorders>
              <w:top w:val="single" w:sz="2" w:space="0" w:color="000000"/>
              <w:left w:val="single" w:sz="2" w:space="0" w:color="000000"/>
              <w:bottom w:val="single" w:sz="6" w:space="0" w:color="000000"/>
              <w:right w:val="single" w:sz="2" w:space="0" w:color="000000"/>
            </w:tcBorders>
            <w:shd w:val="clear" w:color="auto" w:fill="DE2C34"/>
          </w:tcPr>
          <w:p w:rsidR="00D27BC6" w:rsidRDefault="004D5071">
            <w:pPr>
              <w:spacing w:after="0" w:line="259" w:lineRule="auto"/>
              <w:ind w:left="57" w:right="0" w:firstLine="0"/>
              <w:jc w:val="center"/>
            </w:pPr>
            <w:r>
              <w:t>13</w:t>
            </w:r>
          </w:p>
        </w:tc>
        <w:tc>
          <w:tcPr>
            <w:tcW w:w="826" w:type="dxa"/>
            <w:tcBorders>
              <w:top w:val="single" w:sz="2" w:space="0" w:color="000000"/>
              <w:left w:val="single" w:sz="2" w:space="0" w:color="000000"/>
              <w:bottom w:val="single" w:sz="6" w:space="0" w:color="000000"/>
              <w:right w:val="single" w:sz="6" w:space="0" w:color="000000"/>
            </w:tcBorders>
            <w:shd w:val="clear" w:color="auto" w:fill="DE2C34"/>
          </w:tcPr>
          <w:p w:rsidR="00D27BC6" w:rsidRDefault="004D5071">
            <w:pPr>
              <w:spacing w:after="0" w:line="259" w:lineRule="auto"/>
              <w:ind w:left="57" w:right="0" w:firstLine="0"/>
              <w:jc w:val="center"/>
            </w:pPr>
            <w:r>
              <w:t>14</w:t>
            </w:r>
          </w:p>
        </w:tc>
      </w:tr>
    </w:tbl>
    <w:p w:rsidR="00D27BC6" w:rsidRDefault="004D5071">
      <w:pPr>
        <w:spacing w:after="3" w:line="261" w:lineRule="auto"/>
        <w:ind w:left="-3" w:right="0"/>
        <w:jc w:val="left"/>
      </w:pPr>
      <w:r>
        <w:rPr>
          <w:sz w:val="18"/>
        </w:rPr>
        <w:t>рСКФ – рас</w:t>
      </w:r>
      <w:r>
        <w:rPr>
          <w:sz w:val="18"/>
        </w:rPr>
        <w:t>четная скорость клубочковой фильтрации, ТПН- терминальная почечная недостаточность, ЗПТ – заместительная почечная терапия, А/Кр – отношение альбумин / креатинин в моче, ЗПА – заболевания периферических артерий</w:t>
      </w:r>
      <w:r>
        <w:rPr>
          <w:sz w:val="16"/>
        </w:rPr>
        <w:t>.</w:t>
      </w:r>
    </w:p>
    <w:p w:rsidR="00D27BC6" w:rsidRDefault="004D5071">
      <w:pPr>
        <w:pStyle w:val="Heading2"/>
        <w:spacing w:after="635" w:line="596" w:lineRule="auto"/>
        <w:ind w:left="590" w:right="4445" w:hanging="603"/>
      </w:pPr>
      <w:r>
        <w:rPr>
          <w:noProof/>
          <w:sz w:val="22"/>
        </w:rPr>
        <mc:AlternateContent>
          <mc:Choice Requires="wpg">
            <w:drawing>
              <wp:anchor distT="0" distB="0" distL="114300" distR="114300" simplePos="0" relativeHeight="251663360" behindDoc="0" locked="0" layoutInCell="1" allowOverlap="1">
                <wp:simplePos x="0" y="0"/>
                <wp:positionH relativeFrom="column">
                  <wp:posOffset>1208</wp:posOffset>
                </wp:positionH>
                <wp:positionV relativeFrom="paragraph">
                  <wp:posOffset>206512</wp:posOffset>
                </wp:positionV>
                <wp:extent cx="6132063" cy="2079112"/>
                <wp:effectExtent l="0" t="0" r="0" b="0"/>
                <wp:wrapSquare wrapText="bothSides"/>
                <wp:docPr id="335212" name="Group 335212"/>
                <wp:cNvGraphicFramePr/>
                <a:graphic xmlns:a="http://schemas.openxmlformats.org/drawingml/2006/main">
                  <a:graphicData uri="http://schemas.microsoft.com/office/word/2010/wordprocessingGroup">
                    <wpg:wgp>
                      <wpg:cNvGrpSpPr/>
                      <wpg:grpSpPr>
                        <a:xfrm>
                          <a:off x="0" y="0"/>
                          <a:ext cx="6132063" cy="2079112"/>
                          <a:chOff x="0" y="0"/>
                          <a:chExt cx="6132063" cy="2079112"/>
                        </a:xfrm>
                      </wpg:grpSpPr>
                      <wps:wsp>
                        <wps:cNvPr id="12780" name="Rectangle 12780"/>
                        <wps:cNvSpPr/>
                        <wps:spPr>
                          <a:xfrm>
                            <a:off x="347937" y="1762930"/>
                            <a:ext cx="46450" cy="169017"/>
                          </a:xfrm>
                          <a:prstGeom prst="rect">
                            <a:avLst/>
                          </a:prstGeom>
                          <a:ln>
                            <a:noFill/>
                          </a:ln>
                        </wps:spPr>
                        <wps:txbx>
                          <w:txbxContent>
                            <w:p w:rsidR="00D27BC6" w:rsidRDefault="004D5071">
                              <w:pPr>
                                <w:spacing w:after="160" w:line="259" w:lineRule="auto"/>
                                <w:ind w:left="0" w:right="0" w:firstLine="0"/>
                                <w:jc w:val="left"/>
                              </w:pPr>
                              <w:r>
                                <w:rPr>
                                  <w:rFonts w:ascii="Times New Roman" w:eastAsia="Times New Roman" w:hAnsi="Times New Roman" w:cs="Times New Roman"/>
                                  <w:sz w:val="22"/>
                                </w:rPr>
                                <w:t xml:space="preserve"> </w:t>
                              </w:r>
                            </w:p>
                          </w:txbxContent>
                        </wps:txbx>
                        <wps:bodyPr horzOverflow="overflow" vert="horz" lIns="0" tIns="0" rIns="0" bIns="0" rtlCol="0">
                          <a:noAutofit/>
                        </wps:bodyPr>
                      </wps:wsp>
                      <wps:wsp>
                        <wps:cNvPr id="12781" name="Shape 12781"/>
                        <wps:cNvSpPr/>
                        <wps:spPr>
                          <a:xfrm>
                            <a:off x="5066305" y="818321"/>
                            <a:ext cx="1065759" cy="448691"/>
                          </a:xfrm>
                          <a:custGeom>
                            <a:avLst/>
                            <a:gdLst/>
                            <a:ahLst/>
                            <a:cxnLst/>
                            <a:rect l="0" t="0" r="0" b="0"/>
                            <a:pathLst>
                              <a:path w="1065759" h="448691">
                                <a:moveTo>
                                  <a:pt x="0" y="0"/>
                                </a:moveTo>
                                <a:lnTo>
                                  <a:pt x="753885" y="0"/>
                                </a:lnTo>
                                <a:lnTo>
                                  <a:pt x="1065759" y="224346"/>
                                </a:lnTo>
                                <a:lnTo>
                                  <a:pt x="753885" y="448691"/>
                                </a:lnTo>
                                <a:lnTo>
                                  <a:pt x="0" y="448691"/>
                                </a:lnTo>
                                <a:lnTo>
                                  <a:pt x="311874" y="224346"/>
                                </a:lnTo>
                                <a:lnTo>
                                  <a:pt x="0" y="0"/>
                                </a:lnTo>
                                <a:close/>
                              </a:path>
                            </a:pathLst>
                          </a:custGeom>
                          <a:ln w="0" cap="flat">
                            <a:miter lim="127000"/>
                          </a:ln>
                        </wps:spPr>
                        <wps:style>
                          <a:lnRef idx="0">
                            <a:srgbClr val="000000">
                              <a:alpha val="0"/>
                            </a:srgbClr>
                          </a:lnRef>
                          <a:fillRef idx="1">
                            <a:srgbClr val="DE2C34"/>
                          </a:fillRef>
                          <a:effectRef idx="0">
                            <a:scrgbClr r="0" g="0" b="0"/>
                          </a:effectRef>
                          <a:fontRef idx="none"/>
                        </wps:style>
                        <wps:bodyPr/>
                      </wps:wsp>
                      <wps:wsp>
                        <wps:cNvPr id="12782" name="Shape 12782"/>
                        <wps:cNvSpPr/>
                        <wps:spPr>
                          <a:xfrm>
                            <a:off x="4178459" y="818321"/>
                            <a:ext cx="1065759" cy="448691"/>
                          </a:xfrm>
                          <a:custGeom>
                            <a:avLst/>
                            <a:gdLst/>
                            <a:ahLst/>
                            <a:cxnLst/>
                            <a:rect l="0" t="0" r="0" b="0"/>
                            <a:pathLst>
                              <a:path w="1065759" h="448691">
                                <a:moveTo>
                                  <a:pt x="0" y="0"/>
                                </a:moveTo>
                                <a:lnTo>
                                  <a:pt x="753885" y="0"/>
                                </a:lnTo>
                                <a:lnTo>
                                  <a:pt x="1065759" y="224346"/>
                                </a:lnTo>
                                <a:lnTo>
                                  <a:pt x="753885" y="448691"/>
                                </a:lnTo>
                                <a:lnTo>
                                  <a:pt x="0" y="448691"/>
                                </a:lnTo>
                                <a:lnTo>
                                  <a:pt x="311874" y="224346"/>
                                </a:lnTo>
                                <a:lnTo>
                                  <a:pt x="0" y="0"/>
                                </a:lnTo>
                                <a:close/>
                              </a:path>
                            </a:pathLst>
                          </a:custGeom>
                          <a:ln w="0" cap="flat">
                            <a:miter lim="127000"/>
                          </a:ln>
                        </wps:spPr>
                        <wps:style>
                          <a:lnRef idx="0">
                            <a:srgbClr val="000000">
                              <a:alpha val="0"/>
                            </a:srgbClr>
                          </a:lnRef>
                          <a:fillRef idx="1">
                            <a:srgbClr val="E74310"/>
                          </a:fillRef>
                          <a:effectRef idx="0">
                            <a:scrgbClr r="0" g="0" b="0"/>
                          </a:effectRef>
                          <a:fontRef idx="none"/>
                        </wps:style>
                        <wps:bodyPr/>
                      </wps:wsp>
                      <wps:wsp>
                        <wps:cNvPr id="12783" name="Shape 12783"/>
                        <wps:cNvSpPr/>
                        <wps:spPr>
                          <a:xfrm>
                            <a:off x="3290611" y="818321"/>
                            <a:ext cx="1064603" cy="448691"/>
                          </a:xfrm>
                          <a:custGeom>
                            <a:avLst/>
                            <a:gdLst/>
                            <a:ahLst/>
                            <a:cxnLst/>
                            <a:rect l="0" t="0" r="0" b="0"/>
                            <a:pathLst>
                              <a:path w="1064603" h="448691">
                                <a:moveTo>
                                  <a:pt x="0" y="0"/>
                                </a:moveTo>
                                <a:lnTo>
                                  <a:pt x="753072" y="0"/>
                                </a:lnTo>
                                <a:lnTo>
                                  <a:pt x="1064603" y="224346"/>
                                </a:lnTo>
                                <a:lnTo>
                                  <a:pt x="753072" y="448691"/>
                                </a:lnTo>
                                <a:lnTo>
                                  <a:pt x="0" y="448691"/>
                                </a:lnTo>
                                <a:lnTo>
                                  <a:pt x="311544" y="224346"/>
                                </a:lnTo>
                                <a:lnTo>
                                  <a:pt x="0" y="0"/>
                                </a:lnTo>
                                <a:close/>
                              </a:path>
                            </a:pathLst>
                          </a:custGeom>
                          <a:ln w="0" cap="flat">
                            <a:miter lim="127000"/>
                          </a:ln>
                        </wps:spPr>
                        <wps:style>
                          <a:lnRef idx="0">
                            <a:srgbClr val="000000">
                              <a:alpha val="0"/>
                            </a:srgbClr>
                          </a:lnRef>
                          <a:fillRef idx="1">
                            <a:srgbClr val="F0822B"/>
                          </a:fillRef>
                          <a:effectRef idx="0">
                            <a:scrgbClr r="0" g="0" b="0"/>
                          </a:effectRef>
                          <a:fontRef idx="none"/>
                        </wps:style>
                        <wps:bodyPr/>
                      </wps:wsp>
                      <wps:wsp>
                        <wps:cNvPr id="12784" name="Shape 12784"/>
                        <wps:cNvSpPr/>
                        <wps:spPr>
                          <a:xfrm>
                            <a:off x="2402765" y="818321"/>
                            <a:ext cx="1064603" cy="448691"/>
                          </a:xfrm>
                          <a:custGeom>
                            <a:avLst/>
                            <a:gdLst/>
                            <a:ahLst/>
                            <a:cxnLst/>
                            <a:rect l="0" t="0" r="0" b="0"/>
                            <a:pathLst>
                              <a:path w="1064603" h="448691">
                                <a:moveTo>
                                  <a:pt x="0" y="0"/>
                                </a:moveTo>
                                <a:lnTo>
                                  <a:pt x="753072" y="0"/>
                                </a:lnTo>
                                <a:lnTo>
                                  <a:pt x="1064603" y="224346"/>
                                </a:lnTo>
                                <a:lnTo>
                                  <a:pt x="753072" y="448691"/>
                                </a:lnTo>
                                <a:lnTo>
                                  <a:pt x="0" y="448691"/>
                                </a:lnTo>
                                <a:lnTo>
                                  <a:pt x="311544" y="224346"/>
                                </a:lnTo>
                                <a:lnTo>
                                  <a:pt x="0" y="0"/>
                                </a:lnTo>
                                <a:close/>
                              </a:path>
                            </a:pathLst>
                          </a:custGeom>
                          <a:ln w="0" cap="flat">
                            <a:miter lim="127000"/>
                          </a:ln>
                        </wps:spPr>
                        <wps:style>
                          <a:lnRef idx="0">
                            <a:srgbClr val="000000">
                              <a:alpha val="0"/>
                            </a:srgbClr>
                          </a:lnRef>
                          <a:fillRef idx="1">
                            <a:srgbClr val="F9B535"/>
                          </a:fillRef>
                          <a:effectRef idx="0">
                            <a:scrgbClr r="0" g="0" b="0"/>
                          </a:effectRef>
                          <a:fontRef idx="none"/>
                        </wps:style>
                        <wps:bodyPr/>
                      </wps:wsp>
                      <wps:wsp>
                        <wps:cNvPr id="12785" name="Shape 12785"/>
                        <wps:cNvSpPr/>
                        <wps:spPr>
                          <a:xfrm>
                            <a:off x="1514920" y="818321"/>
                            <a:ext cx="1064603" cy="448691"/>
                          </a:xfrm>
                          <a:custGeom>
                            <a:avLst/>
                            <a:gdLst/>
                            <a:ahLst/>
                            <a:cxnLst/>
                            <a:rect l="0" t="0" r="0" b="0"/>
                            <a:pathLst>
                              <a:path w="1064603" h="448691">
                                <a:moveTo>
                                  <a:pt x="0" y="0"/>
                                </a:moveTo>
                                <a:lnTo>
                                  <a:pt x="753072" y="0"/>
                                </a:lnTo>
                                <a:lnTo>
                                  <a:pt x="1064603" y="224346"/>
                                </a:lnTo>
                                <a:lnTo>
                                  <a:pt x="753072" y="448691"/>
                                </a:lnTo>
                                <a:lnTo>
                                  <a:pt x="0" y="448691"/>
                                </a:lnTo>
                                <a:lnTo>
                                  <a:pt x="311544" y="224346"/>
                                </a:lnTo>
                                <a:lnTo>
                                  <a:pt x="0" y="0"/>
                                </a:lnTo>
                                <a:close/>
                              </a:path>
                            </a:pathLst>
                          </a:custGeom>
                          <a:ln w="0" cap="flat">
                            <a:miter lim="127000"/>
                          </a:ln>
                        </wps:spPr>
                        <wps:style>
                          <a:lnRef idx="0">
                            <a:srgbClr val="000000">
                              <a:alpha val="0"/>
                            </a:srgbClr>
                          </a:lnRef>
                          <a:fillRef idx="1">
                            <a:srgbClr val="FFE04F"/>
                          </a:fillRef>
                          <a:effectRef idx="0">
                            <a:scrgbClr r="0" g="0" b="0"/>
                          </a:effectRef>
                          <a:fontRef idx="none"/>
                        </wps:style>
                        <wps:bodyPr/>
                      </wps:wsp>
                      <wps:wsp>
                        <wps:cNvPr id="12786" name="Shape 12786"/>
                        <wps:cNvSpPr/>
                        <wps:spPr>
                          <a:xfrm>
                            <a:off x="627075" y="818321"/>
                            <a:ext cx="1064603" cy="448691"/>
                          </a:xfrm>
                          <a:custGeom>
                            <a:avLst/>
                            <a:gdLst/>
                            <a:ahLst/>
                            <a:cxnLst/>
                            <a:rect l="0" t="0" r="0" b="0"/>
                            <a:pathLst>
                              <a:path w="1064603" h="448691">
                                <a:moveTo>
                                  <a:pt x="0" y="0"/>
                                </a:moveTo>
                                <a:lnTo>
                                  <a:pt x="753072" y="0"/>
                                </a:lnTo>
                                <a:lnTo>
                                  <a:pt x="1064603" y="224346"/>
                                </a:lnTo>
                                <a:lnTo>
                                  <a:pt x="753072" y="448691"/>
                                </a:lnTo>
                                <a:lnTo>
                                  <a:pt x="0" y="448691"/>
                                </a:lnTo>
                                <a:lnTo>
                                  <a:pt x="311544" y="224346"/>
                                </a:lnTo>
                                <a:lnTo>
                                  <a:pt x="0" y="0"/>
                                </a:lnTo>
                                <a:close/>
                              </a:path>
                            </a:pathLst>
                          </a:custGeom>
                          <a:ln w="0" cap="flat">
                            <a:miter lim="127000"/>
                          </a:ln>
                        </wps:spPr>
                        <wps:style>
                          <a:lnRef idx="0">
                            <a:srgbClr val="000000">
                              <a:alpha val="0"/>
                            </a:srgbClr>
                          </a:lnRef>
                          <a:fillRef idx="1">
                            <a:srgbClr val="C4D32F"/>
                          </a:fillRef>
                          <a:effectRef idx="0">
                            <a:scrgbClr r="0" g="0" b="0"/>
                          </a:effectRef>
                          <a:fontRef idx="none"/>
                        </wps:style>
                        <wps:bodyPr/>
                      </wps:wsp>
                      <wps:wsp>
                        <wps:cNvPr id="12787" name="Rectangle 12787"/>
                        <wps:cNvSpPr/>
                        <wps:spPr>
                          <a:xfrm>
                            <a:off x="382863" y="49239"/>
                            <a:ext cx="948092" cy="209280"/>
                          </a:xfrm>
                          <a:prstGeom prst="rect">
                            <a:avLst/>
                          </a:prstGeom>
                          <a:ln>
                            <a:noFill/>
                          </a:ln>
                        </wps:spPr>
                        <wps:txbx>
                          <w:txbxContent>
                            <w:p w:rsidR="00D27BC6" w:rsidRDefault="004D5071">
                              <w:pPr>
                                <w:spacing w:after="160" w:line="259" w:lineRule="auto"/>
                                <w:ind w:left="0" w:right="0" w:firstLine="0"/>
                                <w:jc w:val="left"/>
                              </w:pPr>
                              <w:r>
                                <w:rPr>
                                  <w:b/>
                                  <w:w w:val="112"/>
                                </w:rPr>
                                <w:t>Показатель</w:t>
                              </w:r>
                              <w:r>
                                <w:rPr>
                                  <w:b/>
                                  <w:spacing w:val="-5"/>
                                  <w:w w:val="112"/>
                                </w:rPr>
                                <w:t xml:space="preserve"> </w:t>
                              </w:r>
                            </w:p>
                          </w:txbxContent>
                        </wps:txbx>
                        <wps:bodyPr horzOverflow="overflow" vert="horz" lIns="0" tIns="0" rIns="0" bIns="0" rtlCol="0">
                          <a:noAutofit/>
                        </wps:bodyPr>
                      </wps:wsp>
                      <wps:wsp>
                        <wps:cNvPr id="12789" name="Rectangle 12789"/>
                        <wps:cNvSpPr/>
                        <wps:spPr>
                          <a:xfrm>
                            <a:off x="382863" y="1507199"/>
                            <a:ext cx="948092" cy="209280"/>
                          </a:xfrm>
                          <a:prstGeom prst="rect">
                            <a:avLst/>
                          </a:prstGeom>
                          <a:ln>
                            <a:noFill/>
                          </a:ln>
                        </wps:spPr>
                        <wps:txbx>
                          <w:txbxContent>
                            <w:p w:rsidR="00D27BC6" w:rsidRDefault="004D5071">
                              <w:pPr>
                                <w:spacing w:after="160" w:line="259" w:lineRule="auto"/>
                                <w:ind w:left="0" w:right="0" w:firstLine="0"/>
                                <w:jc w:val="left"/>
                              </w:pPr>
                              <w:r>
                                <w:rPr>
                                  <w:b/>
                                  <w:w w:val="112"/>
                                </w:rPr>
                                <w:t>Показатель</w:t>
                              </w:r>
                              <w:r>
                                <w:rPr>
                                  <w:b/>
                                  <w:spacing w:val="-5"/>
                                  <w:w w:val="112"/>
                                </w:rPr>
                                <w:t xml:space="preserve"> </w:t>
                              </w:r>
                            </w:p>
                          </w:txbxContent>
                        </wps:txbx>
                        <wps:bodyPr horzOverflow="overflow" vert="horz" lIns="0" tIns="0" rIns="0" bIns="0" rtlCol="0">
                          <a:noAutofit/>
                        </wps:bodyPr>
                      </wps:wsp>
                      <wps:wsp>
                        <wps:cNvPr id="12790" name="Rectangle 12790"/>
                        <wps:cNvSpPr/>
                        <wps:spPr>
                          <a:xfrm>
                            <a:off x="382863" y="1634199"/>
                            <a:ext cx="458422" cy="209280"/>
                          </a:xfrm>
                          <a:prstGeom prst="rect">
                            <a:avLst/>
                          </a:prstGeom>
                          <a:ln>
                            <a:noFill/>
                          </a:ln>
                        </wps:spPr>
                        <wps:txbx>
                          <w:txbxContent>
                            <w:p w:rsidR="00D27BC6" w:rsidRDefault="004D5071">
                              <w:pPr>
                                <w:spacing w:after="160" w:line="259" w:lineRule="auto"/>
                                <w:ind w:left="0" w:right="0" w:firstLine="0"/>
                                <w:jc w:val="left"/>
                              </w:pPr>
                              <w:r>
                                <w:rPr>
                                  <w:b/>
                                  <w:w w:val="112"/>
                                </w:rPr>
                                <w:t>риска</w:t>
                              </w:r>
                            </w:p>
                          </w:txbxContent>
                        </wps:txbx>
                        <wps:bodyPr horzOverflow="overflow" vert="horz" lIns="0" tIns="0" rIns="0" bIns="0" rtlCol="0">
                          <a:noAutofit/>
                        </wps:bodyPr>
                      </wps:wsp>
                      <wps:wsp>
                        <wps:cNvPr id="12792" name="Rectangle 12792"/>
                        <wps:cNvSpPr/>
                        <wps:spPr>
                          <a:xfrm>
                            <a:off x="1088856" y="964655"/>
                            <a:ext cx="187490" cy="209280"/>
                          </a:xfrm>
                          <a:prstGeom prst="rect">
                            <a:avLst/>
                          </a:prstGeom>
                          <a:ln>
                            <a:noFill/>
                          </a:ln>
                        </wps:spPr>
                        <wps:txbx>
                          <w:txbxContent>
                            <w:p w:rsidR="00D27BC6" w:rsidRDefault="004D5071">
                              <w:pPr>
                                <w:spacing w:after="160" w:line="259" w:lineRule="auto"/>
                                <w:ind w:left="0" w:right="0" w:firstLine="0"/>
                                <w:jc w:val="left"/>
                              </w:pPr>
                              <w:r>
                                <w:rPr>
                                  <w:b/>
                                  <w:w w:val="109"/>
                                </w:rPr>
                                <w:t>90</w:t>
                              </w:r>
                            </w:p>
                          </w:txbxContent>
                        </wps:txbx>
                        <wps:bodyPr horzOverflow="overflow" vert="horz" lIns="0" tIns="0" rIns="0" bIns="0" rtlCol="0">
                          <a:noAutofit/>
                        </wps:bodyPr>
                      </wps:wsp>
                      <wps:wsp>
                        <wps:cNvPr id="12793" name="Rectangle 12793"/>
                        <wps:cNvSpPr/>
                        <wps:spPr>
                          <a:xfrm>
                            <a:off x="1976713" y="964655"/>
                            <a:ext cx="187490" cy="209280"/>
                          </a:xfrm>
                          <a:prstGeom prst="rect">
                            <a:avLst/>
                          </a:prstGeom>
                          <a:ln>
                            <a:noFill/>
                          </a:ln>
                        </wps:spPr>
                        <wps:txbx>
                          <w:txbxContent>
                            <w:p w:rsidR="00D27BC6" w:rsidRDefault="004D5071">
                              <w:pPr>
                                <w:spacing w:after="160" w:line="259" w:lineRule="auto"/>
                                <w:ind w:left="0" w:right="0" w:firstLine="0"/>
                                <w:jc w:val="left"/>
                              </w:pPr>
                              <w:r>
                                <w:rPr>
                                  <w:b/>
                                  <w:w w:val="109"/>
                                </w:rPr>
                                <w:t>60</w:t>
                              </w:r>
                            </w:p>
                          </w:txbxContent>
                        </wps:txbx>
                        <wps:bodyPr horzOverflow="overflow" vert="horz" lIns="0" tIns="0" rIns="0" bIns="0" rtlCol="0">
                          <a:noAutofit/>
                        </wps:bodyPr>
                      </wps:wsp>
                      <wps:wsp>
                        <wps:cNvPr id="12794" name="Rectangle 12794"/>
                        <wps:cNvSpPr/>
                        <wps:spPr>
                          <a:xfrm>
                            <a:off x="2864570" y="964655"/>
                            <a:ext cx="187490" cy="209280"/>
                          </a:xfrm>
                          <a:prstGeom prst="rect">
                            <a:avLst/>
                          </a:prstGeom>
                          <a:ln>
                            <a:noFill/>
                          </a:ln>
                        </wps:spPr>
                        <wps:txbx>
                          <w:txbxContent>
                            <w:p w:rsidR="00D27BC6" w:rsidRDefault="004D5071">
                              <w:pPr>
                                <w:spacing w:after="160" w:line="259" w:lineRule="auto"/>
                                <w:ind w:left="0" w:right="0" w:firstLine="0"/>
                                <w:jc w:val="left"/>
                              </w:pPr>
                              <w:r>
                                <w:rPr>
                                  <w:b/>
                                  <w:w w:val="109"/>
                                </w:rPr>
                                <w:t>30</w:t>
                              </w:r>
                            </w:p>
                          </w:txbxContent>
                        </wps:txbx>
                        <wps:bodyPr horzOverflow="overflow" vert="horz" lIns="0" tIns="0" rIns="0" bIns="0" rtlCol="0">
                          <a:noAutofit/>
                        </wps:bodyPr>
                      </wps:wsp>
                      <wps:wsp>
                        <wps:cNvPr id="12795" name="Rectangle 12795"/>
                        <wps:cNvSpPr/>
                        <wps:spPr>
                          <a:xfrm>
                            <a:off x="3752428" y="964655"/>
                            <a:ext cx="187490" cy="209280"/>
                          </a:xfrm>
                          <a:prstGeom prst="rect">
                            <a:avLst/>
                          </a:prstGeom>
                          <a:ln>
                            <a:noFill/>
                          </a:ln>
                        </wps:spPr>
                        <wps:txbx>
                          <w:txbxContent>
                            <w:p w:rsidR="00D27BC6" w:rsidRDefault="004D5071">
                              <w:pPr>
                                <w:spacing w:after="160" w:line="259" w:lineRule="auto"/>
                                <w:ind w:left="0" w:right="0" w:firstLine="0"/>
                                <w:jc w:val="left"/>
                              </w:pPr>
                              <w:r>
                                <w:rPr>
                                  <w:b/>
                                  <w:w w:val="109"/>
                                </w:rPr>
                                <w:t>20</w:t>
                              </w:r>
                            </w:p>
                          </w:txbxContent>
                        </wps:txbx>
                        <wps:bodyPr horzOverflow="overflow" vert="horz" lIns="0" tIns="0" rIns="0" bIns="0" rtlCol="0">
                          <a:noAutofit/>
                        </wps:bodyPr>
                      </wps:wsp>
                      <wps:wsp>
                        <wps:cNvPr id="12796" name="Rectangle 12796"/>
                        <wps:cNvSpPr/>
                        <wps:spPr>
                          <a:xfrm>
                            <a:off x="4602946" y="964655"/>
                            <a:ext cx="288160" cy="209280"/>
                          </a:xfrm>
                          <a:prstGeom prst="rect">
                            <a:avLst/>
                          </a:prstGeom>
                          <a:ln>
                            <a:noFill/>
                          </a:ln>
                        </wps:spPr>
                        <wps:txbx>
                          <w:txbxContent>
                            <w:p w:rsidR="00D27BC6" w:rsidRDefault="004D5071">
                              <w:pPr>
                                <w:spacing w:after="160" w:line="259" w:lineRule="auto"/>
                                <w:ind w:left="0" w:right="0" w:firstLine="0"/>
                                <w:jc w:val="left"/>
                              </w:pPr>
                              <w:r>
                                <w:rPr>
                                  <w:b/>
                                  <w:w w:val="112"/>
                                </w:rPr>
                                <w:t>≤10</w:t>
                              </w:r>
                            </w:p>
                          </w:txbxContent>
                        </wps:txbx>
                        <wps:bodyPr horzOverflow="overflow" vert="horz" lIns="0" tIns="0" rIns="0" bIns="0" rtlCol="0">
                          <a:noAutofit/>
                        </wps:bodyPr>
                      </wps:wsp>
                      <wps:wsp>
                        <wps:cNvPr id="12797" name="Rectangle 12797"/>
                        <wps:cNvSpPr/>
                        <wps:spPr>
                          <a:xfrm>
                            <a:off x="5477595" y="964655"/>
                            <a:ext cx="323294" cy="209280"/>
                          </a:xfrm>
                          <a:prstGeom prst="rect">
                            <a:avLst/>
                          </a:prstGeom>
                          <a:ln>
                            <a:noFill/>
                          </a:ln>
                        </wps:spPr>
                        <wps:txbx>
                          <w:txbxContent>
                            <w:p w:rsidR="00D27BC6" w:rsidRDefault="004D5071">
                              <w:pPr>
                                <w:spacing w:after="160" w:line="259" w:lineRule="auto"/>
                                <w:ind w:left="0" w:right="0" w:firstLine="0"/>
                                <w:jc w:val="left"/>
                              </w:pPr>
                              <w:r>
                                <w:rPr>
                                  <w:b/>
                                  <w:color w:val="FFFFFF"/>
                                  <w:w w:val="111"/>
                                </w:rPr>
                                <w:t>ТПН</w:t>
                              </w:r>
                            </w:p>
                          </w:txbxContent>
                        </wps:txbx>
                        <wps:bodyPr horzOverflow="overflow" vert="horz" lIns="0" tIns="0" rIns="0" bIns="0" rtlCol="0">
                          <a:noAutofit/>
                        </wps:bodyPr>
                      </wps:wsp>
                      <wps:wsp>
                        <wps:cNvPr id="12798" name="Shape 12798"/>
                        <wps:cNvSpPr/>
                        <wps:spPr>
                          <a:xfrm>
                            <a:off x="2073585" y="0"/>
                            <a:ext cx="532994" cy="290614"/>
                          </a:xfrm>
                          <a:custGeom>
                            <a:avLst/>
                            <a:gdLst/>
                            <a:ahLst/>
                            <a:cxnLst/>
                            <a:rect l="0" t="0" r="0" b="0"/>
                            <a:pathLst>
                              <a:path w="532994" h="290614">
                                <a:moveTo>
                                  <a:pt x="36005" y="0"/>
                                </a:moveTo>
                                <a:lnTo>
                                  <a:pt x="497002" y="0"/>
                                </a:lnTo>
                                <a:cubicBezTo>
                                  <a:pt x="516877" y="0"/>
                                  <a:pt x="532994" y="16129"/>
                                  <a:pt x="532994" y="35966"/>
                                </a:cubicBezTo>
                                <a:lnTo>
                                  <a:pt x="532994" y="254648"/>
                                </a:lnTo>
                                <a:cubicBezTo>
                                  <a:pt x="532994" y="274536"/>
                                  <a:pt x="516877" y="290614"/>
                                  <a:pt x="497002" y="290614"/>
                                </a:cubicBezTo>
                                <a:lnTo>
                                  <a:pt x="36005" y="290614"/>
                                </a:lnTo>
                                <a:cubicBezTo>
                                  <a:pt x="16116" y="290614"/>
                                  <a:pt x="0" y="274536"/>
                                  <a:pt x="0" y="254648"/>
                                </a:cubicBezTo>
                                <a:lnTo>
                                  <a:pt x="0" y="35966"/>
                                </a:lnTo>
                                <a:cubicBezTo>
                                  <a:pt x="0" y="16129"/>
                                  <a:pt x="16116" y="0"/>
                                  <a:pt x="36005" y="0"/>
                                </a:cubicBezTo>
                                <a:close/>
                              </a:path>
                            </a:pathLst>
                          </a:custGeom>
                          <a:ln w="0" cap="flat">
                            <a:miter lim="127000"/>
                          </a:ln>
                        </wps:spPr>
                        <wps:style>
                          <a:lnRef idx="0">
                            <a:srgbClr val="000000">
                              <a:alpha val="0"/>
                            </a:srgbClr>
                          </a:lnRef>
                          <a:fillRef idx="1">
                            <a:srgbClr val="DADAD9"/>
                          </a:fillRef>
                          <a:effectRef idx="0">
                            <a:scrgbClr r="0" g="0" b="0"/>
                          </a:effectRef>
                          <a:fontRef idx="none"/>
                        </wps:style>
                        <wps:bodyPr/>
                      </wps:wsp>
                      <wps:wsp>
                        <wps:cNvPr id="12799" name="Shape 12799"/>
                        <wps:cNvSpPr/>
                        <wps:spPr>
                          <a:xfrm>
                            <a:off x="1923271" y="1451074"/>
                            <a:ext cx="833628" cy="408737"/>
                          </a:xfrm>
                          <a:custGeom>
                            <a:avLst/>
                            <a:gdLst/>
                            <a:ahLst/>
                            <a:cxnLst/>
                            <a:rect l="0" t="0" r="0" b="0"/>
                            <a:pathLst>
                              <a:path w="833628" h="408737">
                                <a:moveTo>
                                  <a:pt x="36005" y="0"/>
                                </a:moveTo>
                                <a:lnTo>
                                  <a:pt x="797624" y="0"/>
                                </a:lnTo>
                                <a:cubicBezTo>
                                  <a:pt x="817499" y="0"/>
                                  <a:pt x="833628" y="16129"/>
                                  <a:pt x="833628" y="35966"/>
                                </a:cubicBezTo>
                                <a:lnTo>
                                  <a:pt x="833628" y="372720"/>
                                </a:lnTo>
                                <a:cubicBezTo>
                                  <a:pt x="833628" y="392608"/>
                                  <a:pt x="817499" y="408737"/>
                                  <a:pt x="797624" y="408737"/>
                                </a:cubicBezTo>
                                <a:lnTo>
                                  <a:pt x="36005" y="408737"/>
                                </a:lnTo>
                                <a:cubicBezTo>
                                  <a:pt x="16116" y="408737"/>
                                  <a:pt x="0" y="392608"/>
                                  <a:pt x="0" y="372720"/>
                                </a:cubicBezTo>
                                <a:lnTo>
                                  <a:pt x="0" y="35966"/>
                                </a:lnTo>
                                <a:cubicBezTo>
                                  <a:pt x="0" y="16129"/>
                                  <a:pt x="16116" y="0"/>
                                  <a:pt x="36005" y="0"/>
                                </a:cubicBezTo>
                                <a:close/>
                              </a:path>
                            </a:pathLst>
                          </a:custGeom>
                          <a:ln w="0" cap="flat">
                            <a:miter lim="127000"/>
                          </a:ln>
                        </wps:spPr>
                        <wps:style>
                          <a:lnRef idx="0">
                            <a:srgbClr val="000000">
                              <a:alpha val="0"/>
                            </a:srgbClr>
                          </a:lnRef>
                          <a:fillRef idx="1">
                            <a:srgbClr val="DADAD9"/>
                          </a:fillRef>
                          <a:effectRef idx="0">
                            <a:scrgbClr r="0" g="0" b="0"/>
                          </a:effectRef>
                          <a:fontRef idx="none"/>
                        </wps:style>
                        <wps:bodyPr/>
                      </wps:wsp>
                      <wps:wsp>
                        <wps:cNvPr id="12800" name="Rectangle 12800"/>
                        <wps:cNvSpPr/>
                        <wps:spPr>
                          <a:xfrm>
                            <a:off x="2188006" y="8537"/>
                            <a:ext cx="440349" cy="203030"/>
                          </a:xfrm>
                          <a:prstGeom prst="rect">
                            <a:avLst/>
                          </a:prstGeom>
                          <a:ln>
                            <a:noFill/>
                          </a:ln>
                        </wps:spPr>
                        <wps:txbx>
                          <w:txbxContent>
                            <w:p w:rsidR="00D27BC6" w:rsidRDefault="004D5071">
                              <w:pPr>
                                <w:spacing w:after="160" w:line="259" w:lineRule="auto"/>
                                <w:ind w:left="0" w:right="0" w:firstLine="0"/>
                                <w:jc w:val="left"/>
                              </w:pPr>
                              <w:r>
                                <w:rPr>
                                  <w:w w:val="105"/>
                                </w:rPr>
                                <w:t>рСКФ</w:t>
                              </w:r>
                              <w:r>
                                <w:rPr>
                                  <w:spacing w:val="-3"/>
                                  <w:w w:val="105"/>
                                </w:rPr>
                                <w:t xml:space="preserve"> </w:t>
                              </w:r>
                            </w:p>
                          </w:txbxContent>
                        </wps:txbx>
                        <wps:bodyPr horzOverflow="overflow" vert="horz" lIns="0" tIns="0" rIns="0" bIns="0" rtlCol="0">
                          <a:noAutofit/>
                        </wps:bodyPr>
                      </wps:wsp>
                      <wps:wsp>
                        <wps:cNvPr id="266681" name="Rectangle 266681"/>
                        <wps:cNvSpPr/>
                        <wps:spPr>
                          <a:xfrm>
                            <a:off x="2178100" y="135537"/>
                            <a:ext cx="173302" cy="203030"/>
                          </a:xfrm>
                          <a:prstGeom prst="rect">
                            <a:avLst/>
                          </a:prstGeom>
                          <a:ln>
                            <a:noFill/>
                          </a:ln>
                        </wps:spPr>
                        <wps:txbx>
                          <w:txbxContent>
                            <w:p w:rsidR="00D27BC6" w:rsidRDefault="004D5071">
                              <w:pPr>
                                <w:spacing w:after="160" w:line="259" w:lineRule="auto"/>
                                <w:ind w:left="0" w:right="0" w:firstLine="0"/>
                                <w:jc w:val="left"/>
                              </w:pPr>
                              <w:r>
                                <w:rPr>
                                  <w:w w:val="101"/>
                                </w:rPr>
                                <w:t>30</w:t>
                              </w:r>
                            </w:p>
                          </w:txbxContent>
                        </wps:txbx>
                        <wps:bodyPr horzOverflow="overflow" vert="horz" lIns="0" tIns="0" rIns="0" bIns="0" rtlCol="0">
                          <a:noAutofit/>
                        </wps:bodyPr>
                      </wps:wsp>
                      <wps:wsp>
                        <wps:cNvPr id="266683" name="Rectangle 266683"/>
                        <wps:cNvSpPr/>
                        <wps:spPr>
                          <a:xfrm>
                            <a:off x="2308402" y="135537"/>
                            <a:ext cx="84455" cy="203030"/>
                          </a:xfrm>
                          <a:prstGeom prst="rect">
                            <a:avLst/>
                          </a:prstGeom>
                          <a:ln>
                            <a:noFill/>
                          </a:ln>
                        </wps:spPr>
                        <wps:txbx>
                          <w:txbxContent>
                            <w:p w:rsidR="00D27BC6" w:rsidRDefault="004D5071">
                              <w:pPr>
                                <w:spacing w:after="160" w:line="259" w:lineRule="auto"/>
                                <w:ind w:left="0" w:right="0" w:firstLine="0"/>
                                <w:jc w:val="left"/>
                              </w:pPr>
                              <w:r>
                                <w:t>–</w:t>
                              </w:r>
                            </w:p>
                          </w:txbxContent>
                        </wps:txbx>
                        <wps:bodyPr horzOverflow="overflow" vert="horz" lIns="0" tIns="0" rIns="0" bIns="0" rtlCol="0">
                          <a:noAutofit/>
                        </wps:bodyPr>
                      </wps:wsp>
                      <wps:wsp>
                        <wps:cNvPr id="266682" name="Rectangle 266682"/>
                        <wps:cNvSpPr/>
                        <wps:spPr>
                          <a:xfrm>
                            <a:off x="2371902" y="135537"/>
                            <a:ext cx="173302" cy="203030"/>
                          </a:xfrm>
                          <a:prstGeom prst="rect">
                            <a:avLst/>
                          </a:prstGeom>
                          <a:ln>
                            <a:noFill/>
                          </a:ln>
                        </wps:spPr>
                        <wps:txbx>
                          <w:txbxContent>
                            <w:p w:rsidR="00D27BC6" w:rsidRDefault="004D5071">
                              <w:pPr>
                                <w:spacing w:after="160" w:line="259" w:lineRule="auto"/>
                                <w:ind w:left="0" w:right="0" w:firstLine="0"/>
                                <w:jc w:val="left"/>
                              </w:pPr>
                              <w:r>
                                <w:rPr>
                                  <w:w w:val="101"/>
                                </w:rPr>
                                <w:t>60</w:t>
                              </w:r>
                            </w:p>
                          </w:txbxContent>
                        </wps:txbx>
                        <wps:bodyPr horzOverflow="overflow" vert="horz" lIns="0" tIns="0" rIns="0" bIns="0" rtlCol="0">
                          <a:noAutofit/>
                        </wps:bodyPr>
                      </wps:wsp>
                      <wps:wsp>
                        <wps:cNvPr id="266685" name="Rectangle 266685"/>
                        <wps:cNvSpPr/>
                        <wps:spPr>
                          <a:xfrm>
                            <a:off x="2054148" y="1459640"/>
                            <a:ext cx="935086" cy="203030"/>
                          </a:xfrm>
                          <a:prstGeom prst="rect">
                            <a:avLst/>
                          </a:prstGeom>
                          <a:ln>
                            <a:noFill/>
                          </a:ln>
                        </wps:spPr>
                        <wps:txbx>
                          <w:txbxContent>
                            <w:p w:rsidR="00D27BC6" w:rsidRDefault="004D5071">
                              <w:pPr>
                                <w:spacing w:after="160" w:line="259" w:lineRule="auto"/>
                                <w:ind w:left="0" w:right="0" w:firstLine="0"/>
                                <w:jc w:val="left"/>
                              </w:pPr>
                              <w:r>
                                <w:rPr>
                                  <w:w w:val="104"/>
                                </w:rPr>
                                <w:t>летний</w:t>
                              </w:r>
                              <w:r>
                                <w:rPr>
                                  <w:spacing w:val="-3"/>
                                  <w:w w:val="104"/>
                                </w:rPr>
                                <w:t xml:space="preserve"> </w:t>
                              </w:r>
                              <w:r>
                                <w:rPr>
                                  <w:w w:val="104"/>
                                </w:rPr>
                                <w:t>риск</w:t>
                              </w:r>
                              <w:r>
                                <w:rPr>
                                  <w:spacing w:val="-3"/>
                                  <w:w w:val="104"/>
                                </w:rPr>
                                <w:t xml:space="preserve"> </w:t>
                              </w:r>
                            </w:p>
                          </w:txbxContent>
                        </wps:txbx>
                        <wps:bodyPr horzOverflow="overflow" vert="horz" lIns="0" tIns="0" rIns="0" bIns="0" rtlCol="0">
                          <a:noAutofit/>
                        </wps:bodyPr>
                      </wps:wsp>
                      <wps:wsp>
                        <wps:cNvPr id="266684" name="Rectangle 266684"/>
                        <wps:cNvSpPr/>
                        <wps:spPr>
                          <a:xfrm>
                            <a:off x="1950008" y="1459640"/>
                            <a:ext cx="138506" cy="203030"/>
                          </a:xfrm>
                          <a:prstGeom prst="rect">
                            <a:avLst/>
                          </a:prstGeom>
                          <a:ln>
                            <a:noFill/>
                          </a:ln>
                        </wps:spPr>
                        <wps:txbx>
                          <w:txbxContent>
                            <w:p w:rsidR="00D27BC6" w:rsidRDefault="004D5071">
                              <w:pPr>
                                <w:spacing w:after="160" w:line="259" w:lineRule="auto"/>
                                <w:ind w:left="0" w:right="0" w:firstLine="0"/>
                                <w:jc w:val="left"/>
                              </w:pPr>
                              <w:r>
                                <w:t>5-</w:t>
                              </w:r>
                            </w:p>
                          </w:txbxContent>
                        </wps:txbx>
                        <wps:bodyPr horzOverflow="overflow" vert="horz" lIns="0" tIns="0" rIns="0" bIns="0" rtlCol="0">
                          <a:noAutofit/>
                        </wps:bodyPr>
                      </wps:wsp>
                      <wps:wsp>
                        <wps:cNvPr id="12803" name="Rectangle 12803"/>
                        <wps:cNvSpPr/>
                        <wps:spPr>
                          <a:xfrm>
                            <a:off x="2226614" y="1586640"/>
                            <a:ext cx="302011" cy="203030"/>
                          </a:xfrm>
                          <a:prstGeom prst="rect">
                            <a:avLst/>
                          </a:prstGeom>
                          <a:ln>
                            <a:noFill/>
                          </a:ln>
                        </wps:spPr>
                        <wps:txbx>
                          <w:txbxContent>
                            <w:p w:rsidR="00D27BC6" w:rsidRDefault="004D5071">
                              <w:pPr>
                                <w:spacing w:after="160" w:line="259" w:lineRule="auto"/>
                                <w:ind w:left="0" w:right="0" w:firstLine="0"/>
                                <w:jc w:val="left"/>
                              </w:pPr>
                              <w:r>
                                <w:rPr>
                                  <w:w w:val="103"/>
                                </w:rPr>
                                <w:t>ТПН</w:t>
                              </w:r>
                            </w:p>
                          </w:txbxContent>
                        </wps:txbx>
                        <wps:bodyPr horzOverflow="overflow" vert="horz" lIns="0" tIns="0" rIns="0" bIns="0" rtlCol="0">
                          <a:noAutofit/>
                        </wps:bodyPr>
                      </wps:wsp>
                      <wps:wsp>
                        <wps:cNvPr id="12804" name="Rectangle 12804"/>
                        <wps:cNvSpPr/>
                        <wps:spPr>
                          <a:xfrm>
                            <a:off x="2155113" y="1713640"/>
                            <a:ext cx="492204" cy="203030"/>
                          </a:xfrm>
                          <a:prstGeom prst="rect">
                            <a:avLst/>
                          </a:prstGeom>
                          <a:ln>
                            <a:noFill/>
                          </a:ln>
                        </wps:spPr>
                        <wps:txbx>
                          <w:txbxContent>
                            <w:p w:rsidR="00D27BC6" w:rsidRDefault="004D5071">
                              <w:pPr>
                                <w:spacing w:after="160" w:line="259" w:lineRule="auto"/>
                                <w:ind w:left="0" w:right="0" w:firstLine="0"/>
                                <w:jc w:val="left"/>
                              </w:pPr>
                              <w:r>
                                <w:rPr>
                                  <w:w w:val="107"/>
                                </w:rPr>
                                <w:t>≥3–5%</w:t>
                              </w:r>
                            </w:p>
                          </w:txbxContent>
                        </wps:txbx>
                        <wps:bodyPr horzOverflow="overflow" vert="horz" lIns="0" tIns="0" rIns="0" bIns="0" rtlCol="0">
                          <a:noAutofit/>
                        </wps:bodyPr>
                      </wps:wsp>
                      <wps:wsp>
                        <wps:cNvPr id="12805" name="Rectangle 12805"/>
                        <wps:cNvSpPr/>
                        <wps:spPr>
                          <a:xfrm>
                            <a:off x="2121445" y="465396"/>
                            <a:ext cx="602806" cy="160126"/>
                          </a:xfrm>
                          <a:prstGeom prst="rect">
                            <a:avLst/>
                          </a:prstGeom>
                          <a:ln>
                            <a:noFill/>
                          </a:ln>
                        </wps:spPr>
                        <wps:txbx>
                          <w:txbxContent>
                            <w:p w:rsidR="00D27BC6" w:rsidRDefault="004D5071">
                              <w:pPr>
                                <w:spacing w:after="160" w:line="259" w:lineRule="auto"/>
                                <w:ind w:left="0" w:right="0" w:firstLine="0"/>
                                <w:jc w:val="left"/>
                              </w:pPr>
                              <w:r>
                                <w:rPr>
                                  <w:w w:val="76"/>
                                  <w:sz w:val="16"/>
                                </w:rPr>
                                <w:t>Направление</w:t>
                              </w:r>
                              <w:r>
                                <w:rPr>
                                  <w:spacing w:val="-11"/>
                                  <w:w w:val="76"/>
                                  <w:sz w:val="16"/>
                                </w:rPr>
                                <w:t xml:space="preserve"> </w:t>
                              </w:r>
                            </w:p>
                          </w:txbxContent>
                        </wps:txbx>
                        <wps:bodyPr horzOverflow="overflow" vert="horz" lIns="0" tIns="0" rIns="0" bIns="0" rtlCol="0">
                          <a:noAutofit/>
                        </wps:bodyPr>
                      </wps:wsp>
                      <wps:wsp>
                        <wps:cNvPr id="12806" name="Rectangle 12806"/>
                        <wps:cNvSpPr/>
                        <wps:spPr>
                          <a:xfrm>
                            <a:off x="1998915" y="566996"/>
                            <a:ext cx="928721" cy="160126"/>
                          </a:xfrm>
                          <a:prstGeom prst="rect">
                            <a:avLst/>
                          </a:prstGeom>
                          <a:ln>
                            <a:noFill/>
                          </a:ln>
                        </wps:spPr>
                        <wps:txbx>
                          <w:txbxContent>
                            <w:p w:rsidR="00D27BC6" w:rsidRDefault="004D5071">
                              <w:pPr>
                                <w:spacing w:after="160" w:line="259" w:lineRule="auto"/>
                                <w:ind w:left="0" w:right="0" w:firstLine="0"/>
                                <w:jc w:val="left"/>
                              </w:pPr>
                              <w:r>
                                <w:rPr>
                                  <w:w w:val="77"/>
                                  <w:sz w:val="16"/>
                                </w:rPr>
                                <w:t>из</w:t>
                              </w:r>
                              <w:r>
                                <w:rPr>
                                  <w:spacing w:val="-11"/>
                                  <w:w w:val="77"/>
                                  <w:sz w:val="16"/>
                                </w:rPr>
                                <w:t xml:space="preserve"> </w:t>
                              </w:r>
                              <w:r>
                                <w:rPr>
                                  <w:w w:val="77"/>
                                  <w:sz w:val="16"/>
                                </w:rPr>
                                <w:t>первичного</w:t>
                              </w:r>
                              <w:r>
                                <w:rPr>
                                  <w:spacing w:val="-11"/>
                                  <w:w w:val="77"/>
                                  <w:sz w:val="16"/>
                                </w:rPr>
                                <w:t xml:space="preserve"> </w:t>
                              </w:r>
                              <w:r>
                                <w:rPr>
                                  <w:w w:val="77"/>
                                  <w:sz w:val="16"/>
                                </w:rPr>
                                <w:t>звена</w:t>
                              </w:r>
                              <w:r>
                                <w:rPr>
                                  <w:spacing w:val="-11"/>
                                  <w:w w:val="77"/>
                                  <w:sz w:val="16"/>
                                </w:rPr>
                                <w:t xml:space="preserve"> </w:t>
                              </w:r>
                            </w:p>
                          </w:txbxContent>
                        </wps:txbx>
                        <wps:bodyPr horzOverflow="overflow" vert="horz" lIns="0" tIns="0" rIns="0" bIns="0" rtlCol="0">
                          <a:noAutofit/>
                        </wps:bodyPr>
                      </wps:wsp>
                      <wps:wsp>
                        <wps:cNvPr id="12807" name="Rectangle 12807"/>
                        <wps:cNvSpPr/>
                        <wps:spPr>
                          <a:xfrm>
                            <a:off x="2138616" y="668596"/>
                            <a:ext cx="535904" cy="160126"/>
                          </a:xfrm>
                          <a:prstGeom prst="rect">
                            <a:avLst/>
                          </a:prstGeom>
                          <a:ln>
                            <a:noFill/>
                          </a:ln>
                        </wps:spPr>
                        <wps:txbx>
                          <w:txbxContent>
                            <w:p w:rsidR="00D27BC6" w:rsidRDefault="004D5071">
                              <w:pPr>
                                <w:spacing w:after="160" w:line="259" w:lineRule="auto"/>
                                <w:ind w:left="0" w:right="0" w:firstLine="0"/>
                                <w:jc w:val="left"/>
                              </w:pPr>
                              <w:r>
                                <w:rPr>
                                  <w:w w:val="77"/>
                                  <w:sz w:val="16"/>
                                </w:rPr>
                                <w:t>к</w:t>
                              </w:r>
                              <w:r>
                                <w:rPr>
                                  <w:spacing w:val="-11"/>
                                  <w:w w:val="77"/>
                                  <w:sz w:val="16"/>
                                </w:rPr>
                                <w:t xml:space="preserve"> </w:t>
                              </w:r>
                              <w:r>
                                <w:rPr>
                                  <w:w w:val="77"/>
                                  <w:sz w:val="16"/>
                                </w:rPr>
                                <w:t>нефрологу</w:t>
                              </w:r>
                            </w:p>
                          </w:txbxContent>
                        </wps:txbx>
                        <wps:bodyPr horzOverflow="overflow" vert="horz" lIns="0" tIns="0" rIns="0" bIns="0" rtlCol="0">
                          <a:noAutofit/>
                        </wps:bodyPr>
                      </wps:wsp>
                      <wps:wsp>
                        <wps:cNvPr id="12808" name="Shape 12808"/>
                        <wps:cNvSpPr/>
                        <wps:spPr>
                          <a:xfrm>
                            <a:off x="2340086" y="290661"/>
                            <a:ext cx="0" cy="152743"/>
                          </a:xfrm>
                          <a:custGeom>
                            <a:avLst/>
                            <a:gdLst/>
                            <a:ahLst/>
                            <a:cxnLst/>
                            <a:rect l="0" t="0" r="0" b="0"/>
                            <a:pathLst>
                              <a:path h="152743">
                                <a:moveTo>
                                  <a:pt x="0" y="0"/>
                                </a:moveTo>
                                <a:lnTo>
                                  <a:pt x="0" y="152743"/>
                                </a:lnTo>
                              </a:path>
                            </a:pathLst>
                          </a:custGeom>
                          <a:ln w="9004" cap="flat">
                            <a:miter lim="100000"/>
                          </a:ln>
                        </wps:spPr>
                        <wps:style>
                          <a:lnRef idx="1">
                            <a:srgbClr val="9D9C9C"/>
                          </a:lnRef>
                          <a:fillRef idx="0">
                            <a:srgbClr val="000000">
                              <a:alpha val="0"/>
                            </a:srgbClr>
                          </a:fillRef>
                          <a:effectRef idx="0">
                            <a:scrgbClr r="0" g="0" b="0"/>
                          </a:effectRef>
                          <a:fontRef idx="none"/>
                        </wps:style>
                        <wps:bodyPr/>
                      </wps:wsp>
                      <wps:wsp>
                        <wps:cNvPr id="12809" name="Shape 12809"/>
                        <wps:cNvSpPr/>
                        <wps:spPr>
                          <a:xfrm>
                            <a:off x="2296490" y="396529"/>
                            <a:ext cx="87186" cy="46876"/>
                          </a:xfrm>
                          <a:custGeom>
                            <a:avLst/>
                            <a:gdLst/>
                            <a:ahLst/>
                            <a:cxnLst/>
                            <a:rect l="0" t="0" r="0" b="0"/>
                            <a:pathLst>
                              <a:path w="87186" h="46876">
                                <a:moveTo>
                                  <a:pt x="87186" y="0"/>
                                </a:moveTo>
                                <a:lnTo>
                                  <a:pt x="43599" y="46876"/>
                                </a:lnTo>
                                <a:lnTo>
                                  <a:pt x="0" y="0"/>
                                </a:lnTo>
                              </a:path>
                            </a:pathLst>
                          </a:custGeom>
                          <a:ln w="9004" cap="flat">
                            <a:miter lim="100000"/>
                          </a:ln>
                        </wps:spPr>
                        <wps:style>
                          <a:lnRef idx="1">
                            <a:srgbClr val="9D9C9C"/>
                          </a:lnRef>
                          <a:fillRef idx="0">
                            <a:srgbClr val="000000">
                              <a:alpha val="0"/>
                            </a:srgbClr>
                          </a:fillRef>
                          <a:effectRef idx="0">
                            <a:scrgbClr r="0" g="0" b="0"/>
                          </a:effectRef>
                          <a:fontRef idx="none"/>
                        </wps:style>
                        <wps:bodyPr/>
                      </wps:wsp>
                      <wps:wsp>
                        <wps:cNvPr id="12810" name="Shape 12810"/>
                        <wps:cNvSpPr/>
                        <wps:spPr>
                          <a:xfrm>
                            <a:off x="2340086" y="1298331"/>
                            <a:ext cx="0" cy="152743"/>
                          </a:xfrm>
                          <a:custGeom>
                            <a:avLst/>
                            <a:gdLst/>
                            <a:ahLst/>
                            <a:cxnLst/>
                            <a:rect l="0" t="0" r="0" b="0"/>
                            <a:pathLst>
                              <a:path h="152743">
                                <a:moveTo>
                                  <a:pt x="0" y="152743"/>
                                </a:moveTo>
                                <a:lnTo>
                                  <a:pt x="0" y="0"/>
                                </a:lnTo>
                              </a:path>
                            </a:pathLst>
                          </a:custGeom>
                          <a:ln w="9004" cap="flat">
                            <a:miter lim="100000"/>
                          </a:ln>
                        </wps:spPr>
                        <wps:style>
                          <a:lnRef idx="1">
                            <a:srgbClr val="9D9C9C"/>
                          </a:lnRef>
                          <a:fillRef idx="0">
                            <a:srgbClr val="000000">
                              <a:alpha val="0"/>
                            </a:srgbClr>
                          </a:fillRef>
                          <a:effectRef idx="0">
                            <a:scrgbClr r="0" g="0" b="0"/>
                          </a:effectRef>
                          <a:fontRef idx="none"/>
                        </wps:style>
                        <wps:bodyPr/>
                      </wps:wsp>
                      <wps:wsp>
                        <wps:cNvPr id="12811" name="Shape 12811"/>
                        <wps:cNvSpPr/>
                        <wps:spPr>
                          <a:xfrm>
                            <a:off x="2296490" y="1298332"/>
                            <a:ext cx="87186" cy="46876"/>
                          </a:xfrm>
                          <a:custGeom>
                            <a:avLst/>
                            <a:gdLst/>
                            <a:ahLst/>
                            <a:cxnLst/>
                            <a:rect l="0" t="0" r="0" b="0"/>
                            <a:pathLst>
                              <a:path w="87186" h="46876">
                                <a:moveTo>
                                  <a:pt x="87186" y="46876"/>
                                </a:moveTo>
                                <a:lnTo>
                                  <a:pt x="43599" y="0"/>
                                </a:lnTo>
                                <a:lnTo>
                                  <a:pt x="0" y="46876"/>
                                </a:lnTo>
                              </a:path>
                            </a:pathLst>
                          </a:custGeom>
                          <a:ln w="9004" cap="flat">
                            <a:miter lim="100000"/>
                          </a:ln>
                        </wps:spPr>
                        <wps:style>
                          <a:lnRef idx="1">
                            <a:srgbClr val="9D9C9C"/>
                          </a:lnRef>
                          <a:fillRef idx="0">
                            <a:srgbClr val="000000">
                              <a:alpha val="0"/>
                            </a:srgbClr>
                          </a:fillRef>
                          <a:effectRef idx="0">
                            <a:scrgbClr r="0" g="0" b="0"/>
                          </a:effectRef>
                          <a:fontRef idx="none"/>
                        </wps:style>
                        <wps:bodyPr/>
                      </wps:wsp>
                      <wps:wsp>
                        <wps:cNvPr id="12812" name="Shape 12812"/>
                        <wps:cNvSpPr/>
                        <wps:spPr>
                          <a:xfrm>
                            <a:off x="2816714" y="1451074"/>
                            <a:ext cx="833628" cy="408737"/>
                          </a:xfrm>
                          <a:custGeom>
                            <a:avLst/>
                            <a:gdLst/>
                            <a:ahLst/>
                            <a:cxnLst/>
                            <a:rect l="0" t="0" r="0" b="0"/>
                            <a:pathLst>
                              <a:path w="833628" h="408737">
                                <a:moveTo>
                                  <a:pt x="36004" y="0"/>
                                </a:moveTo>
                                <a:lnTo>
                                  <a:pt x="797623" y="0"/>
                                </a:lnTo>
                                <a:cubicBezTo>
                                  <a:pt x="817499" y="0"/>
                                  <a:pt x="833628" y="16129"/>
                                  <a:pt x="833628" y="35966"/>
                                </a:cubicBezTo>
                                <a:lnTo>
                                  <a:pt x="833628" y="372720"/>
                                </a:lnTo>
                                <a:cubicBezTo>
                                  <a:pt x="833628" y="392608"/>
                                  <a:pt x="817499" y="408737"/>
                                  <a:pt x="797623" y="408737"/>
                                </a:cubicBezTo>
                                <a:lnTo>
                                  <a:pt x="36004" y="408737"/>
                                </a:lnTo>
                                <a:cubicBezTo>
                                  <a:pt x="16116" y="408737"/>
                                  <a:pt x="0" y="392608"/>
                                  <a:pt x="0" y="372720"/>
                                </a:cubicBezTo>
                                <a:lnTo>
                                  <a:pt x="0" y="35966"/>
                                </a:lnTo>
                                <a:cubicBezTo>
                                  <a:pt x="0" y="16129"/>
                                  <a:pt x="16116" y="0"/>
                                  <a:pt x="36004" y="0"/>
                                </a:cubicBezTo>
                                <a:close/>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12813" name="Shape 12813"/>
                        <wps:cNvSpPr/>
                        <wps:spPr>
                          <a:xfrm>
                            <a:off x="2967029" y="0"/>
                            <a:ext cx="532993" cy="290614"/>
                          </a:xfrm>
                          <a:custGeom>
                            <a:avLst/>
                            <a:gdLst/>
                            <a:ahLst/>
                            <a:cxnLst/>
                            <a:rect l="0" t="0" r="0" b="0"/>
                            <a:pathLst>
                              <a:path w="532993" h="290614">
                                <a:moveTo>
                                  <a:pt x="36004" y="0"/>
                                </a:moveTo>
                                <a:lnTo>
                                  <a:pt x="497002" y="0"/>
                                </a:lnTo>
                                <a:cubicBezTo>
                                  <a:pt x="516877" y="0"/>
                                  <a:pt x="532993" y="16129"/>
                                  <a:pt x="532993" y="35966"/>
                                </a:cubicBezTo>
                                <a:lnTo>
                                  <a:pt x="532993" y="254648"/>
                                </a:lnTo>
                                <a:cubicBezTo>
                                  <a:pt x="532993" y="274536"/>
                                  <a:pt x="516877" y="290614"/>
                                  <a:pt x="497002" y="290614"/>
                                </a:cubicBezTo>
                                <a:lnTo>
                                  <a:pt x="36004" y="290614"/>
                                </a:lnTo>
                                <a:cubicBezTo>
                                  <a:pt x="16116" y="290614"/>
                                  <a:pt x="0" y="274536"/>
                                  <a:pt x="0" y="254648"/>
                                </a:cubicBezTo>
                                <a:lnTo>
                                  <a:pt x="0" y="35966"/>
                                </a:lnTo>
                                <a:cubicBezTo>
                                  <a:pt x="0" y="16129"/>
                                  <a:pt x="16116" y="0"/>
                                  <a:pt x="36004" y="0"/>
                                </a:cubicBezTo>
                                <a:close/>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12814" name="Rectangle 12814"/>
                        <wps:cNvSpPr/>
                        <wps:spPr>
                          <a:xfrm>
                            <a:off x="3081448" y="8537"/>
                            <a:ext cx="476157" cy="203030"/>
                          </a:xfrm>
                          <a:prstGeom prst="rect">
                            <a:avLst/>
                          </a:prstGeom>
                          <a:ln>
                            <a:noFill/>
                          </a:ln>
                        </wps:spPr>
                        <wps:txbx>
                          <w:txbxContent>
                            <w:p w:rsidR="00D27BC6" w:rsidRDefault="004D5071">
                              <w:pPr>
                                <w:spacing w:after="160" w:line="259" w:lineRule="auto"/>
                                <w:ind w:left="0" w:right="0" w:firstLine="0"/>
                                <w:jc w:val="left"/>
                              </w:pPr>
                              <w:r>
                                <w:rPr>
                                  <w:w w:val="105"/>
                                </w:rPr>
                                <w:t>рСКФ</w:t>
                              </w:r>
                              <w:r>
                                <w:rPr>
                                  <w:spacing w:val="-3"/>
                                  <w:w w:val="105"/>
                                </w:rPr>
                                <w:t xml:space="preserve">  </w:t>
                              </w:r>
                            </w:p>
                          </w:txbxContent>
                        </wps:txbx>
                        <wps:bodyPr horzOverflow="overflow" vert="horz" lIns="0" tIns="0" rIns="0" bIns="0" rtlCol="0">
                          <a:noAutofit/>
                        </wps:bodyPr>
                      </wps:wsp>
                      <wps:wsp>
                        <wps:cNvPr id="12815" name="Rectangle 12815"/>
                        <wps:cNvSpPr/>
                        <wps:spPr>
                          <a:xfrm>
                            <a:off x="3130597" y="135537"/>
                            <a:ext cx="273972" cy="203030"/>
                          </a:xfrm>
                          <a:prstGeom prst="rect">
                            <a:avLst/>
                          </a:prstGeom>
                          <a:ln>
                            <a:noFill/>
                          </a:ln>
                        </wps:spPr>
                        <wps:txbx>
                          <w:txbxContent>
                            <w:p w:rsidR="00D27BC6" w:rsidRDefault="004D5071">
                              <w:pPr>
                                <w:spacing w:after="160" w:line="259" w:lineRule="auto"/>
                                <w:ind w:left="0" w:right="0" w:firstLine="0"/>
                                <w:jc w:val="left"/>
                              </w:pPr>
                              <w:r>
                                <w:rPr>
                                  <w:w w:val="107"/>
                                </w:rPr>
                                <w:t>&lt;30</w:t>
                              </w:r>
                            </w:p>
                          </w:txbxContent>
                        </wps:txbx>
                        <wps:bodyPr horzOverflow="overflow" vert="horz" lIns="0" tIns="0" rIns="0" bIns="0" rtlCol="0">
                          <a:noAutofit/>
                        </wps:bodyPr>
                      </wps:wsp>
                      <wps:wsp>
                        <wps:cNvPr id="266686" name="Rectangle 266686"/>
                        <wps:cNvSpPr/>
                        <wps:spPr>
                          <a:xfrm>
                            <a:off x="2843450" y="1459640"/>
                            <a:ext cx="138506" cy="203030"/>
                          </a:xfrm>
                          <a:prstGeom prst="rect">
                            <a:avLst/>
                          </a:prstGeom>
                          <a:ln>
                            <a:noFill/>
                          </a:ln>
                        </wps:spPr>
                        <wps:txbx>
                          <w:txbxContent>
                            <w:p w:rsidR="00D27BC6" w:rsidRDefault="004D5071">
                              <w:pPr>
                                <w:spacing w:after="160" w:line="259" w:lineRule="auto"/>
                                <w:ind w:left="0" w:right="0" w:firstLine="0"/>
                                <w:jc w:val="left"/>
                              </w:pPr>
                              <w:r>
                                <w:t>2-</w:t>
                              </w:r>
                            </w:p>
                          </w:txbxContent>
                        </wps:txbx>
                        <wps:bodyPr horzOverflow="overflow" vert="horz" lIns="0" tIns="0" rIns="0" bIns="0" rtlCol="0">
                          <a:noAutofit/>
                        </wps:bodyPr>
                      </wps:wsp>
                      <wps:wsp>
                        <wps:cNvPr id="266687" name="Rectangle 266687"/>
                        <wps:cNvSpPr/>
                        <wps:spPr>
                          <a:xfrm>
                            <a:off x="2947591" y="1459640"/>
                            <a:ext cx="899277" cy="203030"/>
                          </a:xfrm>
                          <a:prstGeom prst="rect">
                            <a:avLst/>
                          </a:prstGeom>
                          <a:ln>
                            <a:noFill/>
                          </a:ln>
                        </wps:spPr>
                        <wps:txbx>
                          <w:txbxContent>
                            <w:p w:rsidR="00D27BC6" w:rsidRDefault="004D5071">
                              <w:pPr>
                                <w:spacing w:after="160" w:line="259" w:lineRule="auto"/>
                                <w:ind w:left="0" w:right="0" w:firstLine="0"/>
                                <w:jc w:val="left"/>
                              </w:pPr>
                              <w:r>
                                <w:rPr>
                                  <w:w w:val="104"/>
                                </w:rPr>
                                <w:t>летний</w:t>
                              </w:r>
                              <w:r>
                                <w:rPr>
                                  <w:spacing w:val="-3"/>
                                  <w:w w:val="104"/>
                                </w:rPr>
                                <w:t xml:space="preserve"> </w:t>
                              </w:r>
                              <w:r>
                                <w:rPr>
                                  <w:w w:val="104"/>
                                </w:rPr>
                                <w:t>риск</w:t>
                              </w:r>
                            </w:p>
                          </w:txbxContent>
                        </wps:txbx>
                        <wps:bodyPr horzOverflow="overflow" vert="horz" lIns="0" tIns="0" rIns="0" bIns="0" rtlCol="0">
                          <a:noAutofit/>
                        </wps:bodyPr>
                      </wps:wsp>
                      <wps:wsp>
                        <wps:cNvPr id="12817" name="Rectangle 12817"/>
                        <wps:cNvSpPr/>
                        <wps:spPr>
                          <a:xfrm>
                            <a:off x="3120056" y="1586640"/>
                            <a:ext cx="373629" cy="203030"/>
                          </a:xfrm>
                          <a:prstGeom prst="rect">
                            <a:avLst/>
                          </a:prstGeom>
                          <a:ln>
                            <a:noFill/>
                          </a:ln>
                        </wps:spPr>
                        <wps:txbx>
                          <w:txbxContent>
                            <w:p w:rsidR="00D27BC6" w:rsidRDefault="004D5071">
                              <w:pPr>
                                <w:spacing w:after="160" w:line="259" w:lineRule="auto"/>
                                <w:ind w:left="0" w:right="0" w:firstLine="0"/>
                                <w:jc w:val="left"/>
                              </w:pPr>
                              <w:r>
                                <w:rPr>
                                  <w:w w:val="103"/>
                                </w:rPr>
                                <w:t>ТПН</w:t>
                              </w:r>
                              <w:r>
                                <w:rPr>
                                  <w:spacing w:val="-3"/>
                                  <w:w w:val="103"/>
                                </w:rPr>
                                <w:t xml:space="preserve">  </w:t>
                              </w:r>
                            </w:p>
                          </w:txbxContent>
                        </wps:txbx>
                        <wps:bodyPr horzOverflow="overflow" vert="horz" lIns="0" tIns="0" rIns="0" bIns="0" rtlCol="0">
                          <a:noAutofit/>
                        </wps:bodyPr>
                      </wps:wsp>
                      <wps:wsp>
                        <wps:cNvPr id="12818" name="Rectangle 12818"/>
                        <wps:cNvSpPr/>
                        <wps:spPr>
                          <a:xfrm>
                            <a:off x="3080305" y="1713640"/>
                            <a:ext cx="407749" cy="203030"/>
                          </a:xfrm>
                          <a:prstGeom prst="rect">
                            <a:avLst/>
                          </a:prstGeom>
                          <a:ln>
                            <a:noFill/>
                          </a:ln>
                        </wps:spPr>
                        <wps:txbx>
                          <w:txbxContent>
                            <w:p w:rsidR="00D27BC6" w:rsidRDefault="004D5071">
                              <w:pPr>
                                <w:spacing w:after="160" w:line="259" w:lineRule="auto"/>
                                <w:ind w:left="0" w:right="0" w:firstLine="0"/>
                                <w:jc w:val="left"/>
                              </w:pPr>
                              <w:r>
                                <w:rPr>
                                  <w:w w:val="108"/>
                                </w:rPr>
                                <w:t>≥10%</w:t>
                              </w:r>
                            </w:p>
                          </w:txbxContent>
                        </wps:txbx>
                        <wps:bodyPr horzOverflow="overflow" vert="horz" lIns="0" tIns="0" rIns="0" bIns="0" rtlCol="0">
                          <a:noAutofit/>
                        </wps:bodyPr>
                      </wps:wsp>
                      <wps:wsp>
                        <wps:cNvPr id="12819" name="Rectangle 12819"/>
                        <wps:cNvSpPr/>
                        <wps:spPr>
                          <a:xfrm>
                            <a:off x="2901455" y="465396"/>
                            <a:ext cx="904533" cy="160126"/>
                          </a:xfrm>
                          <a:prstGeom prst="rect">
                            <a:avLst/>
                          </a:prstGeom>
                          <a:ln>
                            <a:noFill/>
                          </a:ln>
                        </wps:spPr>
                        <wps:txbx>
                          <w:txbxContent>
                            <w:p w:rsidR="00D27BC6" w:rsidRDefault="004D5071">
                              <w:pPr>
                                <w:spacing w:after="160" w:line="259" w:lineRule="auto"/>
                                <w:ind w:left="0" w:right="0" w:firstLine="0"/>
                                <w:jc w:val="left"/>
                              </w:pPr>
                              <w:r>
                                <w:rPr>
                                  <w:w w:val="76"/>
                                  <w:sz w:val="16"/>
                                </w:rPr>
                                <w:t>Переход</w:t>
                              </w:r>
                              <w:r>
                                <w:rPr>
                                  <w:spacing w:val="-11"/>
                                  <w:w w:val="76"/>
                                  <w:sz w:val="16"/>
                                </w:rPr>
                                <w:t xml:space="preserve"> </w:t>
                              </w:r>
                              <w:r>
                                <w:rPr>
                                  <w:w w:val="76"/>
                                  <w:sz w:val="16"/>
                                </w:rPr>
                                <w:t>к</w:t>
                              </w:r>
                              <w:r>
                                <w:rPr>
                                  <w:spacing w:val="-11"/>
                                  <w:w w:val="76"/>
                                  <w:sz w:val="16"/>
                                </w:rPr>
                                <w:t xml:space="preserve"> </w:t>
                              </w:r>
                              <w:r>
                                <w:rPr>
                                  <w:w w:val="76"/>
                                  <w:sz w:val="16"/>
                                </w:rPr>
                                <w:t>оказанию</w:t>
                              </w:r>
                              <w:r>
                                <w:rPr>
                                  <w:spacing w:val="-11"/>
                                  <w:w w:val="76"/>
                                  <w:sz w:val="16"/>
                                </w:rPr>
                                <w:t xml:space="preserve"> </w:t>
                              </w:r>
                            </w:p>
                          </w:txbxContent>
                        </wps:txbx>
                        <wps:bodyPr horzOverflow="overflow" vert="horz" lIns="0" tIns="0" rIns="0" bIns="0" rtlCol="0">
                          <a:noAutofit/>
                        </wps:bodyPr>
                      </wps:wsp>
                      <wps:wsp>
                        <wps:cNvPr id="12820" name="Rectangle 12820"/>
                        <wps:cNvSpPr/>
                        <wps:spPr>
                          <a:xfrm>
                            <a:off x="2928074" y="566996"/>
                            <a:ext cx="833740" cy="160126"/>
                          </a:xfrm>
                          <a:prstGeom prst="rect">
                            <a:avLst/>
                          </a:prstGeom>
                          <a:ln>
                            <a:noFill/>
                          </a:ln>
                        </wps:spPr>
                        <wps:txbx>
                          <w:txbxContent>
                            <w:p w:rsidR="00D27BC6" w:rsidRDefault="004D5071">
                              <w:pPr>
                                <w:spacing w:after="160" w:line="259" w:lineRule="auto"/>
                                <w:ind w:left="0" w:right="0" w:firstLine="0"/>
                                <w:jc w:val="left"/>
                              </w:pPr>
                              <w:r>
                                <w:rPr>
                                  <w:w w:val="77"/>
                                  <w:sz w:val="16"/>
                                </w:rPr>
                                <w:t>многопрофильной</w:t>
                              </w:r>
                              <w:r>
                                <w:rPr>
                                  <w:spacing w:val="-11"/>
                                  <w:w w:val="77"/>
                                  <w:sz w:val="16"/>
                                </w:rPr>
                                <w:t xml:space="preserve"> </w:t>
                              </w:r>
                            </w:p>
                          </w:txbxContent>
                        </wps:txbx>
                        <wps:bodyPr horzOverflow="overflow" vert="horz" lIns="0" tIns="0" rIns="0" bIns="0" rtlCol="0">
                          <a:noAutofit/>
                        </wps:bodyPr>
                      </wps:wsp>
                      <wps:wsp>
                        <wps:cNvPr id="12821" name="Rectangle 12821"/>
                        <wps:cNvSpPr/>
                        <wps:spPr>
                          <a:xfrm>
                            <a:off x="3096121" y="668596"/>
                            <a:ext cx="365522" cy="160126"/>
                          </a:xfrm>
                          <a:prstGeom prst="rect">
                            <a:avLst/>
                          </a:prstGeom>
                          <a:ln>
                            <a:noFill/>
                          </a:ln>
                        </wps:spPr>
                        <wps:txbx>
                          <w:txbxContent>
                            <w:p w:rsidR="00D27BC6" w:rsidRDefault="004D5071">
                              <w:pPr>
                                <w:spacing w:after="160" w:line="259" w:lineRule="auto"/>
                                <w:ind w:left="0" w:right="0" w:firstLine="0"/>
                                <w:jc w:val="left"/>
                              </w:pPr>
                              <w:r>
                                <w:rPr>
                                  <w:w w:val="77"/>
                                  <w:sz w:val="16"/>
                                </w:rPr>
                                <w:t>помощи</w:t>
                              </w:r>
                            </w:p>
                          </w:txbxContent>
                        </wps:txbx>
                        <wps:bodyPr horzOverflow="overflow" vert="horz" lIns="0" tIns="0" rIns="0" bIns="0" rtlCol="0">
                          <a:noAutofit/>
                        </wps:bodyPr>
                      </wps:wsp>
                      <wps:wsp>
                        <wps:cNvPr id="12822" name="Shape 12822"/>
                        <wps:cNvSpPr/>
                        <wps:spPr>
                          <a:xfrm>
                            <a:off x="3233528" y="290661"/>
                            <a:ext cx="0" cy="152743"/>
                          </a:xfrm>
                          <a:custGeom>
                            <a:avLst/>
                            <a:gdLst/>
                            <a:ahLst/>
                            <a:cxnLst/>
                            <a:rect l="0" t="0" r="0" b="0"/>
                            <a:pathLst>
                              <a:path h="152743">
                                <a:moveTo>
                                  <a:pt x="0" y="0"/>
                                </a:moveTo>
                                <a:lnTo>
                                  <a:pt x="0" y="152743"/>
                                </a:lnTo>
                              </a:path>
                            </a:pathLst>
                          </a:custGeom>
                          <a:ln w="9004" cap="flat">
                            <a:miter lim="100000"/>
                          </a:ln>
                        </wps:spPr>
                        <wps:style>
                          <a:lnRef idx="1">
                            <a:srgbClr val="9D9C9C"/>
                          </a:lnRef>
                          <a:fillRef idx="0">
                            <a:srgbClr val="000000">
                              <a:alpha val="0"/>
                            </a:srgbClr>
                          </a:fillRef>
                          <a:effectRef idx="0">
                            <a:scrgbClr r="0" g="0" b="0"/>
                          </a:effectRef>
                          <a:fontRef idx="none"/>
                        </wps:style>
                        <wps:bodyPr/>
                      </wps:wsp>
                      <wps:wsp>
                        <wps:cNvPr id="12823" name="Shape 12823"/>
                        <wps:cNvSpPr/>
                        <wps:spPr>
                          <a:xfrm>
                            <a:off x="3189933" y="396529"/>
                            <a:ext cx="87185" cy="46876"/>
                          </a:xfrm>
                          <a:custGeom>
                            <a:avLst/>
                            <a:gdLst/>
                            <a:ahLst/>
                            <a:cxnLst/>
                            <a:rect l="0" t="0" r="0" b="0"/>
                            <a:pathLst>
                              <a:path w="87185" h="46876">
                                <a:moveTo>
                                  <a:pt x="87185" y="0"/>
                                </a:moveTo>
                                <a:lnTo>
                                  <a:pt x="43599" y="46876"/>
                                </a:lnTo>
                                <a:lnTo>
                                  <a:pt x="0" y="0"/>
                                </a:lnTo>
                              </a:path>
                            </a:pathLst>
                          </a:custGeom>
                          <a:ln w="9004" cap="flat">
                            <a:miter lim="100000"/>
                          </a:ln>
                        </wps:spPr>
                        <wps:style>
                          <a:lnRef idx="1">
                            <a:srgbClr val="9D9C9C"/>
                          </a:lnRef>
                          <a:fillRef idx="0">
                            <a:srgbClr val="000000">
                              <a:alpha val="0"/>
                            </a:srgbClr>
                          </a:fillRef>
                          <a:effectRef idx="0">
                            <a:scrgbClr r="0" g="0" b="0"/>
                          </a:effectRef>
                          <a:fontRef idx="none"/>
                        </wps:style>
                        <wps:bodyPr/>
                      </wps:wsp>
                      <wps:wsp>
                        <wps:cNvPr id="12824" name="Shape 12824"/>
                        <wps:cNvSpPr/>
                        <wps:spPr>
                          <a:xfrm>
                            <a:off x="3233528" y="1298331"/>
                            <a:ext cx="0" cy="152743"/>
                          </a:xfrm>
                          <a:custGeom>
                            <a:avLst/>
                            <a:gdLst/>
                            <a:ahLst/>
                            <a:cxnLst/>
                            <a:rect l="0" t="0" r="0" b="0"/>
                            <a:pathLst>
                              <a:path h="152743">
                                <a:moveTo>
                                  <a:pt x="0" y="152743"/>
                                </a:moveTo>
                                <a:lnTo>
                                  <a:pt x="0" y="0"/>
                                </a:lnTo>
                              </a:path>
                            </a:pathLst>
                          </a:custGeom>
                          <a:ln w="9004" cap="flat">
                            <a:miter lim="100000"/>
                          </a:ln>
                        </wps:spPr>
                        <wps:style>
                          <a:lnRef idx="1">
                            <a:srgbClr val="9D9C9C"/>
                          </a:lnRef>
                          <a:fillRef idx="0">
                            <a:srgbClr val="000000">
                              <a:alpha val="0"/>
                            </a:srgbClr>
                          </a:fillRef>
                          <a:effectRef idx="0">
                            <a:scrgbClr r="0" g="0" b="0"/>
                          </a:effectRef>
                          <a:fontRef idx="none"/>
                        </wps:style>
                        <wps:bodyPr/>
                      </wps:wsp>
                      <wps:wsp>
                        <wps:cNvPr id="12825" name="Shape 12825"/>
                        <wps:cNvSpPr/>
                        <wps:spPr>
                          <a:xfrm>
                            <a:off x="3189933" y="1298332"/>
                            <a:ext cx="87185" cy="46876"/>
                          </a:xfrm>
                          <a:custGeom>
                            <a:avLst/>
                            <a:gdLst/>
                            <a:ahLst/>
                            <a:cxnLst/>
                            <a:rect l="0" t="0" r="0" b="0"/>
                            <a:pathLst>
                              <a:path w="87185" h="46876">
                                <a:moveTo>
                                  <a:pt x="87185" y="46876"/>
                                </a:moveTo>
                                <a:lnTo>
                                  <a:pt x="43599" y="0"/>
                                </a:lnTo>
                                <a:lnTo>
                                  <a:pt x="0" y="46876"/>
                                </a:lnTo>
                              </a:path>
                            </a:pathLst>
                          </a:custGeom>
                          <a:ln w="9004" cap="flat">
                            <a:miter lim="100000"/>
                          </a:ln>
                        </wps:spPr>
                        <wps:style>
                          <a:lnRef idx="1">
                            <a:srgbClr val="9D9C9C"/>
                          </a:lnRef>
                          <a:fillRef idx="0">
                            <a:srgbClr val="000000">
                              <a:alpha val="0"/>
                            </a:srgbClr>
                          </a:fillRef>
                          <a:effectRef idx="0">
                            <a:scrgbClr r="0" g="0" b="0"/>
                          </a:effectRef>
                          <a:fontRef idx="none"/>
                        </wps:style>
                        <wps:bodyPr/>
                      </wps:wsp>
                      <wps:wsp>
                        <wps:cNvPr id="12826" name="Shape 12826"/>
                        <wps:cNvSpPr/>
                        <wps:spPr>
                          <a:xfrm>
                            <a:off x="3694858" y="1451074"/>
                            <a:ext cx="833628" cy="408737"/>
                          </a:xfrm>
                          <a:custGeom>
                            <a:avLst/>
                            <a:gdLst/>
                            <a:ahLst/>
                            <a:cxnLst/>
                            <a:rect l="0" t="0" r="0" b="0"/>
                            <a:pathLst>
                              <a:path w="833628" h="408737">
                                <a:moveTo>
                                  <a:pt x="36004" y="0"/>
                                </a:moveTo>
                                <a:lnTo>
                                  <a:pt x="797623" y="0"/>
                                </a:lnTo>
                                <a:cubicBezTo>
                                  <a:pt x="817499" y="0"/>
                                  <a:pt x="833628" y="16129"/>
                                  <a:pt x="833628" y="35966"/>
                                </a:cubicBezTo>
                                <a:lnTo>
                                  <a:pt x="833628" y="372720"/>
                                </a:lnTo>
                                <a:cubicBezTo>
                                  <a:pt x="833628" y="392608"/>
                                  <a:pt x="817499" y="408737"/>
                                  <a:pt x="797623" y="408737"/>
                                </a:cubicBezTo>
                                <a:lnTo>
                                  <a:pt x="36004" y="408737"/>
                                </a:lnTo>
                                <a:cubicBezTo>
                                  <a:pt x="16116" y="408737"/>
                                  <a:pt x="0" y="392608"/>
                                  <a:pt x="0" y="372720"/>
                                </a:cubicBezTo>
                                <a:lnTo>
                                  <a:pt x="0" y="35966"/>
                                </a:lnTo>
                                <a:cubicBezTo>
                                  <a:pt x="0" y="16129"/>
                                  <a:pt x="16116" y="0"/>
                                  <a:pt x="36004" y="0"/>
                                </a:cubicBezTo>
                                <a:close/>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12827" name="Shape 12827"/>
                        <wps:cNvSpPr/>
                        <wps:spPr>
                          <a:xfrm>
                            <a:off x="3845172" y="0"/>
                            <a:ext cx="532993" cy="290614"/>
                          </a:xfrm>
                          <a:custGeom>
                            <a:avLst/>
                            <a:gdLst/>
                            <a:ahLst/>
                            <a:cxnLst/>
                            <a:rect l="0" t="0" r="0" b="0"/>
                            <a:pathLst>
                              <a:path w="532993" h="290614">
                                <a:moveTo>
                                  <a:pt x="36004" y="0"/>
                                </a:moveTo>
                                <a:lnTo>
                                  <a:pt x="497002" y="0"/>
                                </a:lnTo>
                                <a:cubicBezTo>
                                  <a:pt x="516877" y="0"/>
                                  <a:pt x="532993" y="16129"/>
                                  <a:pt x="532993" y="35966"/>
                                </a:cubicBezTo>
                                <a:lnTo>
                                  <a:pt x="532993" y="254648"/>
                                </a:lnTo>
                                <a:cubicBezTo>
                                  <a:pt x="532993" y="274536"/>
                                  <a:pt x="516877" y="290614"/>
                                  <a:pt x="497002" y="290614"/>
                                </a:cubicBezTo>
                                <a:lnTo>
                                  <a:pt x="36004" y="290614"/>
                                </a:lnTo>
                                <a:cubicBezTo>
                                  <a:pt x="16116" y="290614"/>
                                  <a:pt x="0" y="274536"/>
                                  <a:pt x="0" y="254648"/>
                                </a:cubicBezTo>
                                <a:lnTo>
                                  <a:pt x="0" y="35966"/>
                                </a:lnTo>
                                <a:cubicBezTo>
                                  <a:pt x="0" y="16129"/>
                                  <a:pt x="16116" y="0"/>
                                  <a:pt x="36004" y="0"/>
                                </a:cubicBezTo>
                                <a:close/>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12828" name="Rectangle 12828"/>
                        <wps:cNvSpPr/>
                        <wps:spPr>
                          <a:xfrm>
                            <a:off x="3959593" y="8537"/>
                            <a:ext cx="476157" cy="203030"/>
                          </a:xfrm>
                          <a:prstGeom prst="rect">
                            <a:avLst/>
                          </a:prstGeom>
                          <a:ln>
                            <a:noFill/>
                          </a:ln>
                        </wps:spPr>
                        <wps:txbx>
                          <w:txbxContent>
                            <w:p w:rsidR="00D27BC6" w:rsidRDefault="004D5071">
                              <w:pPr>
                                <w:spacing w:after="160" w:line="259" w:lineRule="auto"/>
                                <w:ind w:left="0" w:right="0" w:firstLine="0"/>
                                <w:jc w:val="left"/>
                              </w:pPr>
                              <w:r>
                                <w:rPr>
                                  <w:w w:val="105"/>
                                </w:rPr>
                                <w:t>рСКФ</w:t>
                              </w:r>
                              <w:r>
                                <w:rPr>
                                  <w:spacing w:val="-3"/>
                                  <w:w w:val="105"/>
                                </w:rPr>
                                <w:t xml:space="preserve">  </w:t>
                              </w:r>
                            </w:p>
                          </w:txbxContent>
                        </wps:txbx>
                        <wps:bodyPr horzOverflow="overflow" vert="horz" lIns="0" tIns="0" rIns="0" bIns="0" rtlCol="0">
                          <a:noAutofit/>
                        </wps:bodyPr>
                      </wps:wsp>
                      <wps:wsp>
                        <wps:cNvPr id="12829" name="Rectangle 12829"/>
                        <wps:cNvSpPr/>
                        <wps:spPr>
                          <a:xfrm>
                            <a:off x="4041253" y="135537"/>
                            <a:ext cx="187321" cy="203030"/>
                          </a:xfrm>
                          <a:prstGeom prst="rect">
                            <a:avLst/>
                          </a:prstGeom>
                          <a:ln>
                            <a:noFill/>
                          </a:ln>
                        </wps:spPr>
                        <wps:txbx>
                          <w:txbxContent>
                            <w:p w:rsidR="00D27BC6" w:rsidRDefault="004D5071">
                              <w:pPr>
                                <w:spacing w:after="160" w:line="259" w:lineRule="auto"/>
                                <w:ind w:left="0" w:right="0" w:firstLine="0"/>
                                <w:jc w:val="left"/>
                              </w:pPr>
                              <w:r>
                                <w:rPr>
                                  <w:w w:val="110"/>
                                </w:rPr>
                                <w:t>&lt;0</w:t>
                              </w:r>
                            </w:p>
                          </w:txbxContent>
                        </wps:txbx>
                        <wps:bodyPr horzOverflow="overflow" vert="horz" lIns="0" tIns="0" rIns="0" bIns="0" rtlCol="0">
                          <a:noAutofit/>
                        </wps:bodyPr>
                      </wps:wsp>
                      <wps:wsp>
                        <wps:cNvPr id="266688" name="Rectangle 266688"/>
                        <wps:cNvSpPr/>
                        <wps:spPr>
                          <a:xfrm>
                            <a:off x="3721594" y="1462688"/>
                            <a:ext cx="138506" cy="203030"/>
                          </a:xfrm>
                          <a:prstGeom prst="rect">
                            <a:avLst/>
                          </a:prstGeom>
                          <a:ln>
                            <a:noFill/>
                          </a:ln>
                        </wps:spPr>
                        <wps:txbx>
                          <w:txbxContent>
                            <w:p w:rsidR="00D27BC6" w:rsidRDefault="004D5071">
                              <w:pPr>
                                <w:spacing w:after="160" w:line="259" w:lineRule="auto"/>
                                <w:ind w:left="0" w:right="0" w:firstLine="0"/>
                                <w:jc w:val="left"/>
                              </w:pPr>
                              <w:r>
                                <w:t>2-</w:t>
                              </w:r>
                            </w:p>
                          </w:txbxContent>
                        </wps:txbx>
                        <wps:bodyPr horzOverflow="overflow" vert="horz" lIns="0" tIns="0" rIns="0" bIns="0" rtlCol="0">
                          <a:noAutofit/>
                        </wps:bodyPr>
                      </wps:wsp>
                      <wps:wsp>
                        <wps:cNvPr id="266689" name="Rectangle 266689"/>
                        <wps:cNvSpPr/>
                        <wps:spPr>
                          <a:xfrm>
                            <a:off x="3825734" y="1462688"/>
                            <a:ext cx="899277" cy="203030"/>
                          </a:xfrm>
                          <a:prstGeom prst="rect">
                            <a:avLst/>
                          </a:prstGeom>
                          <a:ln>
                            <a:noFill/>
                          </a:ln>
                        </wps:spPr>
                        <wps:txbx>
                          <w:txbxContent>
                            <w:p w:rsidR="00D27BC6" w:rsidRDefault="004D5071">
                              <w:pPr>
                                <w:spacing w:after="160" w:line="259" w:lineRule="auto"/>
                                <w:ind w:left="0" w:right="0" w:firstLine="0"/>
                                <w:jc w:val="left"/>
                              </w:pPr>
                              <w:r>
                                <w:rPr>
                                  <w:w w:val="104"/>
                                </w:rPr>
                                <w:t>летний</w:t>
                              </w:r>
                              <w:r>
                                <w:rPr>
                                  <w:spacing w:val="-3"/>
                                  <w:w w:val="104"/>
                                </w:rPr>
                                <w:t xml:space="preserve"> </w:t>
                              </w:r>
                              <w:r>
                                <w:rPr>
                                  <w:w w:val="104"/>
                                </w:rPr>
                                <w:t>риск</w:t>
                              </w:r>
                            </w:p>
                          </w:txbxContent>
                        </wps:txbx>
                        <wps:bodyPr horzOverflow="overflow" vert="horz" lIns="0" tIns="0" rIns="0" bIns="0" rtlCol="0">
                          <a:noAutofit/>
                        </wps:bodyPr>
                      </wps:wsp>
                      <wps:wsp>
                        <wps:cNvPr id="12831" name="Rectangle 12831"/>
                        <wps:cNvSpPr/>
                        <wps:spPr>
                          <a:xfrm>
                            <a:off x="3998073" y="1589688"/>
                            <a:ext cx="373629" cy="203030"/>
                          </a:xfrm>
                          <a:prstGeom prst="rect">
                            <a:avLst/>
                          </a:prstGeom>
                          <a:ln>
                            <a:noFill/>
                          </a:ln>
                        </wps:spPr>
                        <wps:txbx>
                          <w:txbxContent>
                            <w:p w:rsidR="00D27BC6" w:rsidRDefault="004D5071">
                              <w:pPr>
                                <w:spacing w:after="160" w:line="259" w:lineRule="auto"/>
                                <w:ind w:left="0" w:right="0" w:firstLine="0"/>
                                <w:jc w:val="left"/>
                              </w:pPr>
                              <w:r>
                                <w:rPr>
                                  <w:w w:val="103"/>
                                </w:rPr>
                                <w:t>ТПН</w:t>
                              </w:r>
                              <w:r>
                                <w:rPr>
                                  <w:spacing w:val="-3"/>
                                  <w:w w:val="103"/>
                                </w:rPr>
                                <w:t xml:space="preserve">  </w:t>
                              </w:r>
                            </w:p>
                          </w:txbxContent>
                        </wps:txbx>
                        <wps:bodyPr horzOverflow="overflow" vert="horz" lIns="0" tIns="0" rIns="0" bIns="0" rtlCol="0">
                          <a:noAutofit/>
                        </wps:bodyPr>
                      </wps:wsp>
                      <wps:wsp>
                        <wps:cNvPr id="12832" name="Rectangle 12832"/>
                        <wps:cNvSpPr/>
                        <wps:spPr>
                          <a:xfrm>
                            <a:off x="3958322" y="1716688"/>
                            <a:ext cx="407749" cy="203030"/>
                          </a:xfrm>
                          <a:prstGeom prst="rect">
                            <a:avLst/>
                          </a:prstGeom>
                          <a:ln>
                            <a:noFill/>
                          </a:ln>
                        </wps:spPr>
                        <wps:txbx>
                          <w:txbxContent>
                            <w:p w:rsidR="00D27BC6" w:rsidRDefault="004D5071">
                              <w:pPr>
                                <w:spacing w:after="160" w:line="259" w:lineRule="auto"/>
                                <w:ind w:left="0" w:right="0" w:firstLine="0"/>
                                <w:jc w:val="left"/>
                              </w:pPr>
                              <w:r>
                                <w:rPr>
                                  <w:w w:val="108"/>
                                </w:rPr>
                                <w:t>≥40%</w:t>
                              </w:r>
                            </w:p>
                          </w:txbxContent>
                        </wps:txbx>
                        <wps:bodyPr horzOverflow="overflow" vert="horz" lIns="0" tIns="0" rIns="0" bIns="0" rtlCol="0">
                          <a:noAutofit/>
                        </wps:bodyPr>
                      </wps:wsp>
                      <wps:wsp>
                        <wps:cNvPr id="12833" name="Rectangle 12833"/>
                        <wps:cNvSpPr/>
                        <wps:spPr>
                          <a:xfrm>
                            <a:off x="3760750" y="465396"/>
                            <a:ext cx="954666" cy="160126"/>
                          </a:xfrm>
                          <a:prstGeom prst="rect">
                            <a:avLst/>
                          </a:prstGeom>
                          <a:ln>
                            <a:noFill/>
                          </a:ln>
                        </wps:spPr>
                        <wps:txbx>
                          <w:txbxContent>
                            <w:p w:rsidR="00D27BC6" w:rsidRDefault="004D5071">
                              <w:pPr>
                                <w:spacing w:after="160" w:line="259" w:lineRule="auto"/>
                                <w:ind w:left="0" w:right="0" w:firstLine="0"/>
                                <w:jc w:val="left"/>
                              </w:pPr>
                              <w:r>
                                <w:rPr>
                                  <w:w w:val="76"/>
                                  <w:sz w:val="16"/>
                                </w:rPr>
                                <w:t>Оценка</w:t>
                              </w:r>
                              <w:r>
                                <w:rPr>
                                  <w:spacing w:val="-11"/>
                                  <w:w w:val="76"/>
                                  <w:sz w:val="16"/>
                                </w:rPr>
                                <w:t xml:space="preserve"> </w:t>
                              </w:r>
                              <w:r>
                                <w:rPr>
                                  <w:w w:val="76"/>
                                  <w:sz w:val="16"/>
                                </w:rPr>
                                <w:t>возможности</w:t>
                              </w:r>
                              <w:r>
                                <w:rPr>
                                  <w:spacing w:val="-11"/>
                                  <w:w w:val="76"/>
                                  <w:sz w:val="16"/>
                                </w:rPr>
                                <w:t xml:space="preserve"> </w:t>
                              </w:r>
                            </w:p>
                          </w:txbxContent>
                        </wps:txbx>
                        <wps:bodyPr horzOverflow="overflow" vert="horz" lIns="0" tIns="0" rIns="0" bIns="0" rtlCol="0">
                          <a:noAutofit/>
                        </wps:bodyPr>
                      </wps:wsp>
                      <wps:wsp>
                        <wps:cNvPr id="12834" name="Rectangle 12834"/>
                        <wps:cNvSpPr/>
                        <wps:spPr>
                          <a:xfrm>
                            <a:off x="3845687" y="566996"/>
                            <a:ext cx="728610" cy="160126"/>
                          </a:xfrm>
                          <a:prstGeom prst="rect">
                            <a:avLst/>
                          </a:prstGeom>
                          <a:ln>
                            <a:noFill/>
                          </a:ln>
                        </wps:spPr>
                        <wps:txbx>
                          <w:txbxContent>
                            <w:p w:rsidR="00D27BC6" w:rsidRDefault="004D5071">
                              <w:pPr>
                                <w:spacing w:after="160" w:line="259" w:lineRule="auto"/>
                                <w:ind w:left="0" w:right="0" w:firstLine="0"/>
                                <w:jc w:val="left"/>
                              </w:pPr>
                              <w:r>
                                <w:rPr>
                                  <w:w w:val="76"/>
                                  <w:sz w:val="16"/>
                                </w:rPr>
                                <w:t>и</w:t>
                              </w:r>
                              <w:r>
                                <w:rPr>
                                  <w:spacing w:val="-11"/>
                                  <w:w w:val="76"/>
                                  <w:sz w:val="16"/>
                                </w:rPr>
                                <w:t xml:space="preserve"> </w:t>
                              </w:r>
                              <w:r>
                                <w:rPr>
                                  <w:w w:val="76"/>
                                  <w:sz w:val="16"/>
                                </w:rPr>
                                <w:t>планирование</w:t>
                              </w:r>
                              <w:r>
                                <w:rPr>
                                  <w:spacing w:val="-11"/>
                                  <w:w w:val="76"/>
                                  <w:sz w:val="16"/>
                                </w:rPr>
                                <w:t xml:space="preserve"> </w:t>
                              </w:r>
                            </w:p>
                          </w:txbxContent>
                        </wps:txbx>
                        <wps:bodyPr horzOverflow="overflow" vert="horz" lIns="0" tIns="0" rIns="0" bIns="0" rtlCol="0">
                          <a:noAutofit/>
                        </wps:bodyPr>
                      </wps:wsp>
                      <wps:wsp>
                        <wps:cNvPr id="12835" name="Rectangle 12835"/>
                        <wps:cNvSpPr/>
                        <wps:spPr>
                          <a:xfrm>
                            <a:off x="3846601" y="668596"/>
                            <a:ext cx="704949" cy="160126"/>
                          </a:xfrm>
                          <a:prstGeom prst="rect">
                            <a:avLst/>
                          </a:prstGeom>
                          <a:ln>
                            <a:noFill/>
                          </a:ln>
                        </wps:spPr>
                        <wps:txbx>
                          <w:txbxContent>
                            <w:p w:rsidR="00D27BC6" w:rsidRDefault="004D5071">
                              <w:pPr>
                                <w:spacing w:after="160" w:line="259" w:lineRule="auto"/>
                                <w:ind w:left="0" w:right="0" w:firstLine="0"/>
                                <w:jc w:val="left"/>
                              </w:pPr>
                              <w:r>
                                <w:rPr>
                                  <w:w w:val="76"/>
                                  <w:sz w:val="16"/>
                                </w:rPr>
                                <w:t>трансплантации</w:t>
                              </w:r>
                            </w:p>
                          </w:txbxContent>
                        </wps:txbx>
                        <wps:bodyPr horzOverflow="overflow" vert="horz" lIns="0" tIns="0" rIns="0" bIns="0" rtlCol="0">
                          <a:noAutofit/>
                        </wps:bodyPr>
                      </wps:wsp>
                      <wps:wsp>
                        <wps:cNvPr id="12836" name="Shape 12836"/>
                        <wps:cNvSpPr/>
                        <wps:spPr>
                          <a:xfrm>
                            <a:off x="4111672" y="290661"/>
                            <a:ext cx="0" cy="152743"/>
                          </a:xfrm>
                          <a:custGeom>
                            <a:avLst/>
                            <a:gdLst/>
                            <a:ahLst/>
                            <a:cxnLst/>
                            <a:rect l="0" t="0" r="0" b="0"/>
                            <a:pathLst>
                              <a:path h="152743">
                                <a:moveTo>
                                  <a:pt x="0" y="0"/>
                                </a:moveTo>
                                <a:lnTo>
                                  <a:pt x="0" y="152743"/>
                                </a:lnTo>
                              </a:path>
                            </a:pathLst>
                          </a:custGeom>
                          <a:ln w="9004" cap="flat">
                            <a:miter lim="100000"/>
                          </a:ln>
                        </wps:spPr>
                        <wps:style>
                          <a:lnRef idx="1">
                            <a:srgbClr val="9D9C9C"/>
                          </a:lnRef>
                          <a:fillRef idx="0">
                            <a:srgbClr val="000000">
                              <a:alpha val="0"/>
                            </a:srgbClr>
                          </a:fillRef>
                          <a:effectRef idx="0">
                            <a:scrgbClr r="0" g="0" b="0"/>
                          </a:effectRef>
                          <a:fontRef idx="none"/>
                        </wps:style>
                        <wps:bodyPr/>
                      </wps:wsp>
                      <wps:wsp>
                        <wps:cNvPr id="12837" name="Shape 12837"/>
                        <wps:cNvSpPr/>
                        <wps:spPr>
                          <a:xfrm>
                            <a:off x="4068077" y="396529"/>
                            <a:ext cx="87185" cy="46876"/>
                          </a:xfrm>
                          <a:custGeom>
                            <a:avLst/>
                            <a:gdLst/>
                            <a:ahLst/>
                            <a:cxnLst/>
                            <a:rect l="0" t="0" r="0" b="0"/>
                            <a:pathLst>
                              <a:path w="87185" h="46876">
                                <a:moveTo>
                                  <a:pt x="87185" y="0"/>
                                </a:moveTo>
                                <a:lnTo>
                                  <a:pt x="43599" y="46876"/>
                                </a:lnTo>
                                <a:lnTo>
                                  <a:pt x="0" y="0"/>
                                </a:lnTo>
                              </a:path>
                            </a:pathLst>
                          </a:custGeom>
                          <a:ln w="9004" cap="flat">
                            <a:miter lim="100000"/>
                          </a:ln>
                        </wps:spPr>
                        <wps:style>
                          <a:lnRef idx="1">
                            <a:srgbClr val="9D9C9C"/>
                          </a:lnRef>
                          <a:fillRef idx="0">
                            <a:srgbClr val="000000">
                              <a:alpha val="0"/>
                            </a:srgbClr>
                          </a:fillRef>
                          <a:effectRef idx="0">
                            <a:scrgbClr r="0" g="0" b="0"/>
                          </a:effectRef>
                          <a:fontRef idx="none"/>
                        </wps:style>
                        <wps:bodyPr/>
                      </wps:wsp>
                      <wps:wsp>
                        <wps:cNvPr id="12838" name="Shape 12838"/>
                        <wps:cNvSpPr/>
                        <wps:spPr>
                          <a:xfrm>
                            <a:off x="4111672" y="1298331"/>
                            <a:ext cx="0" cy="152743"/>
                          </a:xfrm>
                          <a:custGeom>
                            <a:avLst/>
                            <a:gdLst/>
                            <a:ahLst/>
                            <a:cxnLst/>
                            <a:rect l="0" t="0" r="0" b="0"/>
                            <a:pathLst>
                              <a:path h="152743">
                                <a:moveTo>
                                  <a:pt x="0" y="152743"/>
                                </a:moveTo>
                                <a:lnTo>
                                  <a:pt x="0" y="0"/>
                                </a:lnTo>
                              </a:path>
                            </a:pathLst>
                          </a:custGeom>
                          <a:ln w="9004" cap="flat">
                            <a:miter lim="100000"/>
                          </a:ln>
                        </wps:spPr>
                        <wps:style>
                          <a:lnRef idx="1">
                            <a:srgbClr val="9D9C9C"/>
                          </a:lnRef>
                          <a:fillRef idx="0">
                            <a:srgbClr val="000000">
                              <a:alpha val="0"/>
                            </a:srgbClr>
                          </a:fillRef>
                          <a:effectRef idx="0">
                            <a:scrgbClr r="0" g="0" b="0"/>
                          </a:effectRef>
                          <a:fontRef idx="none"/>
                        </wps:style>
                        <wps:bodyPr/>
                      </wps:wsp>
                      <wps:wsp>
                        <wps:cNvPr id="12839" name="Shape 12839"/>
                        <wps:cNvSpPr/>
                        <wps:spPr>
                          <a:xfrm>
                            <a:off x="4068077" y="1298332"/>
                            <a:ext cx="87185" cy="46876"/>
                          </a:xfrm>
                          <a:custGeom>
                            <a:avLst/>
                            <a:gdLst/>
                            <a:ahLst/>
                            <a:cxnLst/>
                            <a:rect l="0" t="0" r="0" b="0"/>
                            <a:pathLst>
                              <a:path w="87185" h="46876">
                                <a:moveTo>
                                  <a:pt x="87185" y="46876"/>
                                </a:moveTo>
                                <a:lnTo>
                                  <a:pt x="43599" y="0"/>
                                </a:lnTo>
                                <a:lnTo>
                                  <a:pt x="0" y="46876"/>
                                </a:lnTo>
                              </a:path>
                            </a:pathLst>
                          </a:custGeom>
                          <a:ln w="9004" cap="flat">
                            <a:miter lim="100000"/>
                          </a:ln>
                        </wps:spPr>
                        <wps:style>
                          <a:lnRef idx="1">
                            <a:srgbClr val="9D9C9C"/>
                          </a:lnRef>
                          <a:fillRef idx="0">
                            <a:srgbClr val="000000">
                              <a:alpha val="0"/>
                            </a:srgbClr>
                          </a:fillRef>
                          <a:effectRef idx="0">
                            <a:scrgbClr r="0" g="0" b="0"/>
                          </a:effectRef>
                          <a:fontRef idx="none"/>
                        </wps:style>
                        <wps:bodyPr/>
                      </wps:wsp>
                      <wps:wsp>
                        <wps:cNvPr id="12840" name="Rectangle 12840"/>
                        <wps:cNvSpPr/>
                        <wps:spPr>
                          <a:xfrm>
                            <a:off x="0" y="1956988"/>
                            <a:ext cx="2819135" cy="162424"/>
                          </a:xfrm>
                          <a:prstGeom prst="rect">
                            <a:avLst/>
                          </a:prstGeom>
                          <a:ln>
                            <a:noFill/>
                          </a:ln>
                        </wps:spPr>
                        <wps:txbx>
                          <w:txbxContent>
                            <w:p w:rsidR="00D27BC6" w:rsidRDefault="004D5071">
                              <w:pPr>
                                <w:spacing w:after="160" w:line="259" w:lineRule="auto"/>
                                <w:ind w:left="0" w:right="0" w:firstLine="0"/>
                                <w:jc w:val="left"/>
                              </w:pPr>
                              <w:r>
                                <w:rPr>
                                  <w:w w:val="104"/>
                                  <w:sz w:val="16"/>
                                </w:rPr>
                                <w:t>ТПН</w:t>
                              </w:r>
                              <w:r>
                                <w:rPr>
                                  <w:spacing w:val="-2"/>
                                  <w:w w:val="104"/>
                                  <w:sz w:val="16"/>
                                </w:rPr>
                                <w:t xml:space="preserve"> </w:t>
                              </w:r>
                              <w:r>
                                <w:rPr>
                                  <w:w w:val="104"/>
                                  <w:sz w:val="16"/>
                                </w:rPr>
                                <w:t>–</w:t>
                              </w:r>
                              <w:r>
                                <w:rPr>
                                  <w:spacing w:val="-2"/>
                                  <w:w w:val="104"/>
                                  <w:sz w:val="16"/>
                                </w:rPr>
                                <w:t xml:space="preserve"> </w:t>
                              </w:r>
                              <w:r>
                                <w:rPr>
                                  <w:w w:val="104"/>
                                  <w:sz w:val="16"/>
                                </w:rPr>
                                <w:t>терминальная</w:t>
                              </w:r>
                              <w:r>
                                <w:rPr>
                                  <w:spacing w:val="-2"/>
                                  <w:w w:val="104"/>
                                  <w:sz w:val="16"/>
                                </w:rPr>
                                <w:t xml:space="preserve"> </w:t>
                              </w:r>
                              <w:r>
                                <w:rPr>
                                  <w:w w:val="104"/>
                                  <w:sz w:val="16"/>
                                </w:rPr>
                                <w:t>почечная</w:t>
                              </w:r>
                              <w:r>
                                <w:rPr>
                                  <w:spacing w:val="-2"/>
                                  <w:w w:val="104"/>
                                  <w:sz w:val="16"/>
                                </w:rPr>
                                <w:t xml:space="preserve"> </w:t>
                              </w:r>
                              <w:r>
                                <w:rPr>
                                  <w:w w:val="104"/>
                                  <w:sz w:val="16"/>
                                </w:rPr>
                                <w:t>недостаточность</w:t>
                              </w:r>
                            </w:p>
                          </w:txbxContent>
                        </wps:txbx>
                        <wps:bodyPr horzOverflow="overflow" vert="horz" lIns="0" tIns="0" rIns="0" bIns="0" rtlCol="0">
                          <a:noAutofit/>
                        </wps:bodyPr>
                      </wps:wsp>
                    </wpg:wgp>
                  </a:graphicData>
                </a:graphic>
              </wp:anchor>
            </w:drawing>
          </mc:Choice>
          <mc:Fallback xmlns:a="http://schemas.openxmlformats.org/drawingml/2006/main">
            <w:pict>
              <v:group id="Group 335212" style="width:482.84pt;height:163.71pt;position:absolute;mso-position-horizontal-relative:text;mso-position-horizontal:absolute;margin-left:0.0951385pt;mso-position-vertical-relative:text;margin-top:16.2608pt;" coordsize="61320,20791">
                <v:rect id="Rectangle 12780" style="position:absolute;width:464;height:1690;left:3479;top:17629;" filled="f" stroked="f">
                  <v:textbox inset="0,0,0,0">
                    <w:txbxContent>
                      <w:p>
                        <w:pPr>
                          <w:spacing w:before="0" w:after="160" w:line="259" w:lineRule="auto"/>
                          <w:ind w:left="0" w:right="0" w:firstLine="0"/>
                          <w:jc w:val="left"/>
                        </w:pPr>
                        <w:r>
                          <w:rPr>
                            <w:rFonts w:cs="Times New Roman" w:hAnsi="Times New Roman" w:eastAsia="Times New Roman" w:ascii="Times New Roman"/>
                            <w:sz w:val="22"/>
                          </w:rPr>
                          <w:t xml:space="preserve"> </w:t>
                        </w:r>
                      </w:p>
                    </w:txbxContent>
                  </v:textbox>
                </v:rect>
                <v:shape id="Shape 12781" style="position:absolute;width:10657;height:4486;left:50663;top:8183;" coordsize="1065759,448691" path="m0,0l753885,0l1065759,224346l753885,448691l0,448691l311874,224346l0,0x">
                  <v:stroke weight="0pt" endcap="flat" joinstyle="miter" miterlimit="10" on="false" color="#000000" opacity="0"/>
                  <v:fill on="true" color="#de2c34"/>
                </v:shape>
                <v:shape id="Shape 12782" style="position:absolute;width:10657;height:4486;left:41784;top:8183;" coordsize="1065759,448691" path="m0,0l753885,0l1065759,224346l753885,448691l0,448691l311874,224346l0,0x">
                  <v:stroke weight="0pt" endcap="flat" joinstyle="miter" miterlimit="10" on="false" color="#000000" opacity="0"/>
                  <v:fill on="true" color="#e74310"/>
                </v:shape>
                <v:shape id="Shape 12783" style="position:absolute;width:10646;height:4486;left:32906;top:8183;" coordsize="1064603,448691" path="m0,0l753072,0l1064603,224346l753072,448691l0,448691l311544,224346l0,0x">
                  <v:stroke weight="0pt" endcap="flat" joinstyle="miter" miterlimit="10" on="false" color="#000000" opacity="0"/>
                  <v:fill on="true" color="#f0822b"/>
                </v:shape>
                <v:shape id="Shape 12784" style="position:absolute;width:10646;height:4486;left:24027;top:8183;" coordsize="1064603,448691" path="m0,0l753072,0l1064603,224346l753072,448691l0,448691l311544,224346l0,0x">
                  <v:stroke weight="0pt" endcap="flat" joinstyle="miter" miterlimit="10" on="false" color="#000000" opacity="0"/>
                  <v:fill on="true" color="#f9b535"/>
                </v:shape>
                <v:shape id="Shape 12785" style="position:absolute;width:10646;height:4486;left:15149;top:8183;" coordsize="1064603,448691" path="m0,0l753072,0l1064603,224346l753072,448691l0,448691l311544,224346l0,0x">
                  <v:stroke weight="0pt" endcap="flat" joinstyle="miter" miterlimit="10" on="false" color="#000000" opacity="0"/>
                  <v:fill on="true" color="#ffe04f"/>
                </v:shape>
                <v:shape id="Shape 12786" style="position:absolute;width:10646;height:4486;left:6270;top:8183;" coordsize="1064603,448691" path="m0,0l753072,0l1064603,224346l753072,448691l0,448691l311544,224346l0,0x">
                  <v:stroke weight="0pt" endcap="flat" joinstyle="miter" miterlimit="10" on="false" color="#000000" opacity="0"/>
                  <v:fill on="true" color="#c4d32f"/>
                </v:shape>
                <v:rect id="Rectangle 12787" style="position:absolute;width:9480;height:2092;left:3828;top:492;" filled="f" stroked="f">
                  <v:textbox inset="0,0,0,0">
                    <w:txbxContent>
                      <w:p>
                        <w:pPr>
                          <w:spacing w:before="0" w:after="160" w:line="259" w:lineRule="auto"/>
                          <w:ind w:left="0" w:right="0" w:firstLine="0"/>
                          <w:jc w:val="left"/>
                        </w:pPr>
                        <w:r>
                          <w:rPr>
                            <w:rFonts w:cs="Calibri" w:hAnsi="Calibri" w:eastAsia="Calibri" w:ascii="Calibri"/>
                            <w:b w:val="1"/>
                            <w:w w:val="112"/>
                          </w:rPr>
                          <w:t xml:space="preserve">Показатель</w:t>
                        </w:r>
                        <w:r>
                          <w:rPr>
                            <w:rFonts w:cs="Calibri" w:hAnsi="Calibri" w:eastAsia="Calibri" w:ascii="Calibri"/>
                            <w:b w:val="1"/>
                            <w:spacing w:val="-5"/>
                            <w:w w:val="112"/>
                          </w:rPr>
                          <w:t xml:space="preserve"> </w:t>
                        </w:r>
                      </w:p>
                    </w:txbxContent>
                  </v:textbox>
                </v:rect>
                <v:rect id="Rectangle 12789" style="position:absolute;width:9480;height:2092;left:3828;top:15071;" filled="f" stroked="f">
                  <v:textbox inset="0,0,0,0">
                    <w:txbxContent>
                      <w:p>
                        <w:pPr>
                          <w:spacing w:before="0" w:after="160" w:line="259" w:lineRule="auto"/>
                          <w:ind w:left="0" w:right="0" w:firstLine="0"/>
                          <w:jc w:val="left"/>
                        </w:pPr>
                        <w:r>
                          <w:rPr>
                            <w:rFonts w:cs="Calibri" w:hAnsi="Calibri" w:eastAsia="Calibri" w:ascii="Calibri"/>
                            <w:b w:val="1"/>
                            <w:w w:val="112"/>
                          </w:rPr>
                          <w:t xml:space="preserve">Показатель</w:t>
                        </w:r>
                        <w:r>
                          <w:rPr>
                            <w:rFonts w:cs="Calibri" w:hAnsi="Calibri" w:eastAsia="Calibri" w:ascii="Calibri"/>
                            <w:b w:val="1"/>
                            <w:spacing w:val="-5"/>
                            <w:w w:val="112"/>
                          </w:rPr>
                          <w:t xml:space="preserve"> </w:t>
                        </w:r>
                      </w:p>
                    </w:txbxContent>
                  </v:textbox>
                </v:rect>
                <v:rect id="Rectangle 12790" style="position:absolute;width:4584;height:2092;left:3828;top:16341;" filled="f" stroked="f">
                  <v:textbox inset="0,0,0,0">
                    <w:txbxContent>
                      <w:p>
                        <w:pPr>
                          <w:spacing w:before="0" w:after="160" w:line="259" w:lineRule="auto"/>
                          <w:ind w:left="0" w:right="0" w:firstLine="0"/>
                          <w:jc w:val="left"/>
                        </w:pPr>
                        <w:r>
                          <w:rPr>
                            <w:rFonts w:cs="Calibri" w:hAnsi="Calibri" w:eastAsia="Calibri" w:ascii="Calibri"/>
                            <w:b w:val="1"/>
                            <w:w w:val="112"/>
                          </w:rPr>
                          <w:t xml:space="preserve">риска</w:t>
                        </w:r>
                      </w:p>
                    </w:txbxContent>
                  </v:textbox>
                </v:rect>
                <v:rect id="Rectangle 12792" style="position:absolute;width:1874;height:2092;left:10888;top:9646;" filled="f" stroked="f">
                  <v:textbox inset="0,0,0,0">
                    <w:txbxContent>
                      <w:p>
                        <w:pPr>
                          <w:spacing w:before="0" w:after="160" w:line="259" w:lineRule="auto"/>
                          <w:ind w:left="0" w:right="0" w:firstLine="0"/>
                          <w:jc w:val="left"/>
                        </w:pPr>
                        <w:r>
                          <w:rPr>
                            <w:rFonts w:cs="Calibri" w:hAnsi="Calibri" w:eastAsia="Calibri" w:ascii="Calibri"/>
                            <w:b w:val="1"/>
                            <w:w w:val="109"/>
                          </w:rPr>
                          <w:t xml:space="preserve">90</w:t>
                        </w:r>
                      </w:p>
                    </w:txbxContent>
                  </v:textbox>
                </v:rect>
                <v:rect id="Rectangle 12793" style="position:absolute;width:1874;height:2092;left:19767;top:9646;" filled="f" stroked="f">
                  <v:textbox inset="0,0,0,0">
                    <w:txbxContent>
                      <w:p>
                        <w:pPr>
                          <w:spacing w:before="0" w:after="160" w:line="259" w:lineRule="auto"/>
                          <w:ind w:left="0" w:right="0" w:firstLine="0"/>
                          <w:jc w:val="left"/>
                        </w:pPr>
                        <w:r>
                          <w:rPr>
                            <w:rFonts w:cs="Calibri" w:hAnsi="Calibri" w:eastAsia="Calibri" w:ascii="Calibri"/>
                            <w:b w:val="1"/>
                            <w:w w:val="109"/>
                          </w:rPr>
                          <w:t xml:space="preserve">60</w:t>
                        </w:r>
                      </w:p>
                    </w:txbxContent>
                  </v:textbox>
                </v:rect>
                <v:rect id="Rectangle 12794" style="position:absolute;width:1874;height:2092;left:28645;top:9646;" filled="f" stroked="f">
                  <v:textbox inset="0,0,0,0">
                    <w:txbxContent>
                      <w:p>
                        <w:pPr>
                          <w:spacing w:before="0" w:after="160" w:line="259" w:lineRule="auto"/>
                          <w:ind w:left="0" w:right="0" w:firstLine="0"/>
                          <w:jc w:val="left"/>
                        </w:pPr>
                        <w:r>
                          <w:rPr>
                            <w:rFonts w:cs="Calibri" w:hAnsi="Calibri" w:eastAsia="Calibri" w:ascii="Calibri"/>
                            <w:b w:val="1"/>
                            <w:w w:val="109"/>
                          </w:rPr>
                          <w:t xml:space="preserve">30</w:t>
                        </w:r>
                      </w:p>
                    </w:txbxContent>
                  </v:textbox>
                </v:rect>
                <v:rect id="Rectangle 12795" style="position:absolute;width:1874;height:2092;left:37524;top:9646;" filled="f" stroked="f">
                  <v:textbox inset="0,0,0,0">
                    <w:txbxContent>
                      <w:p>
                        <w:pPr>
                          <w:spacing w:before="0" w:after="160" w:line="259" w:lineRule="auto"/>
                          <w:ind w:left="0" w:right="0" w:firstLine="0"/>
                          <w:jc w:val="left"/>
                        </w:pPr>
                        <w:r>
                          <w:rPr>
                            <w:rFonts w:cs="Calibri" w:hAnsi="Calibri" w:eastAsia="Calibri" w:ascii="Calibri"/>
                            <w:b w:val="1"/>
                            <w:w w:val="109"/>
                          </w:rPr>
                          <w:t xml:space="preserve">20</w:t>
                        </w:r>
                      </w:p>
                    </w:txbxContent>
                  </v:textbox>
                </v:rect>
                <v:rect id="Rectangle 12796" style="position:absolute;width:2881;height:2092;left:46029;top:9646;" filled="f" stroked="f">
                  <v:textbox inset="0,0,0,0">
                    <w:txbxContent>
                      <w:p>
                        <w:pPr>
                          <w:spacing w:before="0" w:after="160" w:line="259" w:lineRule="auto"/>
                          <w:ind w:left="0" w:right="0" w:firstLine="0"/>
                          <w:jc w:val="left"/>
                        </w:pPr>
                        <w:r>
                          <w:rPr>
                            <w:rFonts w:cs="Calibri" w:hAnsi="Calibri" w:eastAsia="Calibri" w:ascii="Calibri"/>
                            <w:b w:val="1"/>
                            <w:w w:val="112"/>
                          </w:rPr>
                          <w:t xml:space="preserve">≤10</w:t>
                        </w:r>
                      </w:p>
                    </w:txbxContent>
                  </v:textbox>
                </v:rect>
                <v:rect id="Rectangle 12797" style="position:absolute;width:3232;height:2092;left:54775;top:9646;" filled="f" stroked="f">
                  <v:textbox inset="0,0,0,0">
                    <w:txbxContent>
                      <w:p>
                        <w:pPr>
                          <w:spacing w:before="0" w:after="160" w:line="259" w:lineRule="auto"/>
                          <w:ind w:left="0" w:right="0" w:firstLine="0"/>
                          <w:jc w:val="left"/>
                        </w:pPr>
                        <w:r>
                          <w:rPr>
                            <w:rFonts w:cs="Calibri" w:hAnsi="Calibri" w:eastAsia="Calibri" w:ascii="Calibri"/>
                            <w:b w:val="1"/>
                            <w:color w:val="ffffff"/>
                            <w:w w:val="111"/>
                          </w:rPr>
                          <w:t xml:space="preserve">ТПН</w:t>
                        </w:r>
                      </w:p>
                    </w:txbxContent>
                  </v:textbox>
                </v:rect>
                <v:shape id="Shape 12798" style="position:absolute;width:5329;height:2906;left:20735;top:0;" coordsize="532994,290614" path="m36005,0l497002,0c516877,0,532994,16129,532994,35966l532994,254648c532994,274536,516877,290614,497002,290614l36005,290614c16116,290614,0,274536,0,254648l0,35966c0,16129,16116,0,36005,0x">
                  <v:stroke weight="0pt" endcap="flat" joinstyle="miter" miterlimit="10" on="false" color="#000000" opacity="0"/>
                  <v:fill on="true" color="#dadad9"/>
                </v:shape>
                <v:shape id="Shape 12799" style="position:absolute;width:8336;height:4087;left:19232;top:14510;" coordsize="833628,408737" path="m36005,0l797624,0c817499,0,833628,16129,833628,35966l833628,372720c833628,392608,817499,408737,797624,408737l36005,408737c16116,408737,0,392608,0,372720l0,35966c0,16129,16116,0,36005,0x">
                  <v:stroke weight="0pt" endcap="flat" joinstyle="miter" miterlimit="10" on="false" color="#000000" opacity="0"/>
                  <v:fill on="true" color="#dadad9"/>
                </v:shape>
                <v:rect id="Rectangle 12800" style="position:absolute;width:4403;height:2030;left:21880;top:85;" filled="f" stroked="f">
                  <v:textbox inset="0,0,0,0">
                    <w:txbxContent>
                      <w:p>
                        <w:pPr>
                          <w:spacing w:before="0" w:after="160" w:line="259" w:lineRule="auto"/>
                          <w:ind w:left="0" w:right="0" w:firstLine="0"/>
                          <w:jc w:val="left"/>
                        </w:pPr>
                        <w:r>
                          <w:rPr>
                            <w:w w:val="105"/>
                          </w:rPr>
                          <w:t xml:space="preserve">рСКФ</w:t>
                        </w:r>
                        <w:r>
                          <w:rPr>
                            <w:spacing w:val="-3"/>
                            <w:w w:val="105"/>
                          </w:rPr>
                          <w:t xml:space="preserve"> </w:t>
                        </w:r>
                      </w:p>
                    </w:txbxContent>
                  </v:textbox>
                </v:rect>
                <v:rect id="Rectangle 266681" style="position:absolute;width:1733;height:2030;left:21781;top:1355;" filled="f" stroked="f">
                  <v:textbox inset="0,0,0,0">
                    <w:txbxContent>
                      <w:p>
                        <w:pPr>
                          <w:spacing w:before="0" w:after="160" w:line="259" w:lineRule="auto"/>
                          <w:ind w:left="0" w:right="0" w:firstLine="0"/>
                          <w:jc w:val="left"/>
                        </w:pPr>
                        <w:r>
                          <w:rPr>
                            <w:w w:val="101"/>
                          </w:rPr>
                          <w:t xml:space="preserve">30</w:t>
                        </w:r>
                      </w:p>
                    </w:txbxContent>
                  </v:textbox>
                </v:rect>
                <v:rect id="Rectangle 266683" style="position:absolute;width:844;height:2030;left:23084;top:1355;" filled="f" stroked="f">
                  <v:textbox inset="0,0,0,0">
                    <w:txbxContent>
                      <w:p>
                        <w:pPr>
                          <w:spacing w:before="0" w:after="160" w:line="259" w:lineRule="auto"/>
                          <w:ind w:left="0" w:right="0" w:firstLine="0"/>
                          <w:jc w:val="left"/>
                        </w:pPr>
                        <w:r>
                          <w:rPr>
                            <w:w w:val="100"/>
                          </w:rPr>
                          <w:t xml:space="preserve">–</w:t>
                        </w:r>
                      </w:p>
                    </w:txbxContent>
                  </v:textbox>
                </v:rect>
                <v:rect id="Rectangle 266682" style="position:absolute;width:1733;height:2030;left:23719;top:1355;" filled="f" stroked="f">
                  <v:textbox inset="0,0,0,0">
                    <w:txbxContent>
                      <w:p>
                        <w:pPr>
                          <w:spacing w:before="0" w:after="160" w:line="259" w:lineRule="auto"/>
                          <w:ind w:left="0" w:right="0" w:firstLine="0"/>
                          <w:jc w:val="left"/>
                        </w:pPr>
                        <w:r>
                          <w:rPr>
                            <w:w w:val="101"/>
                          </w:rPr>
                          <w:t xml:space="preserve">60</w:t>
                        </w:r>
                      </w:p>
                    </w:txbxContent>
                  </v:textbox>
                </v:rect>
                <v:rect id="Rectangle 266685" style="position:absolute;width:9350;height:2030;left:20541;top:14596;" filled="f" stroked="f">
                  <v:textbox inset="0,0,0,0">
                    <w:txbxContent>
                      <w:p>
                        <w:pPr>
                          <w:spacing w:before="0" w:after="160" w:line="259" w:lineRule="auto"/>
                          <w:ind w:left="0" w:right="0" w:firstLine="0"/>
                          <w:jc w:val="left"/>
                        </w:pPr>
                        <w:r>
                          <w:rPr>
                            <w:w w:val="104"/>
                          </w:rPr>
                          <w:t xml:space="preserve">летний</w:t>
                        </w:r>
                        <w:r>
                          <w:rPr>
                            <w:spacing w:val="-3"/>
                            <w:w w:val="104"/>
                          </w:rPr>
                          <w:t xml:space="preserve"> </w:t>
                        </w:r>
                        <w:r>
                          <w:rPr>
                            <w:w w:val="104"/>
                          </w:rPr>
                          <w:t xml:space="preserve">риск</w:t>
                        </w:r>
                        <w:r>
                          <w:rPr>
                            <w:spacing w:val="-3"/>
                            <w:w w:val="104"/>
                          </w:rPr>
                          <w:t xml:space="preserve"> </w:t>
                        </w:r>
                      </w:p>
                    </w:txbxContent>
                  </v:textbox>
                </v:rect>
                <v:rect id="Rectangle 266684" style="position:absolute;width:1385;height:2030;left:19500;top:14596;" filled="f" stroked="f">
                  <v:textbox inset="0,0,0,0">
                    <w:txbxContent>
                      <w:p>
                        <w:pPr>
                          <w:spacing w:before="0" w:after="160" w:line="259" w:lineRule="auto"/>
                          <w:ind w:left="0" w:right="0" w:firstLine="0"/>
                          <w:jc w:val="left"/>
                        </w:pPr>
                        <w:r>
                          <w:rPr>
                            <w:w w:val="100"/>
                          </w:rPr>
                          <w:t xml:space="preserve">5-</w:t>
                        </w:r>
                      </w:p>
                    </w:txbxContent>
                  </v:textbox>
                </v:rect>
                <v:rect id="Rectangle 12803" style="position:absolute;width:3020;height:2030;left:22266;top:15866;" filled="f" stroked="f">
                  <v:textbox inset="0,0,0,0">
                    <w:txbxContent>
                      <w:p>
                        <w:pPr>
                          <w:spacing w:before="0" w:after="160" w:line="259" w:lineRule="auto"/>
                          <w:ind w:left="0" w:right="0" w:firstLine="0"/>
                          <w:jc w:val="left"/>
                        </w:pPr>
                        <w:r>
                          <w:rPr>
                            <w:w w:val="103"/>
                          </w:rPr>
                          <w:t xml:space="preserve">ТПН</w:t>
                        </w:r>
                      </w:p>
                    </w:txbxContent>
                  </v:textbox>
                </v:rect>
                <v:rect id="Rectangle 12804" style="position:absolute;width:4922;height:2030;left:21551;top:17136;" filled="f" stroked="f">
                  <v:textbox inset="0,0,0,0">
                    <w:txbxContent>
                      <w:p>
                        <w:pPr>
                          <w:spacing w:before="0" w:after="160" w:line="259" w:lineRule="auto"/>
                          <w:ind w:left="0" w:right="0" w:firstLine="0"/>
                          <w:jc w:val="left"/>
                        </w:pPr>
                        <w:r>
                          <w:rPr>
                            <w:w w:val="107"/>
                          </w:rPr>
                          <w:t xml:space="preserve">≥3–5%</w:t>
                        </w:r>
                      </w:p>
                    </w:txbxContent>
                  </v:textbox>
                </v:rect>
                <v:rect id="Rectangle 12805" style="position:absolute;width:6028;height:1601;left:21214;top:4653;" filled="f" stroked="f">
                  <v:textbox inset="0,0,0,0">
                    <w:txbxContent>
                      <w:p>
                        <w:pPr>
                          <w:spacing w:before="0" w:after="160" w:line="259" w:lineRule="auto"/>
                          <w:ind w:left="0" w:right="0" w:firstLine="0"/>
                          <w:jc w:val="left"/>
                        </w:pPr>
                        <w:r>
                          <w:rPr>
                            <w:rFonts w:cs="Calibri" w:hAnsi="Calibri" w:eastAsia="Calibri" w:ascii="Calibri"/>
                            <w:w w:val="76"/>
                            <w:sz w:val="16"/>
                          </w:rPr>
                          <w:t xml:space="preserve">Направление</w:t>
                        </w:r>
                        <w:r>
                          <w:rPr>
                            <w:rFonts w:cs="Calibri" w:hAnsi="Calibri" w:eastAsia="Calibri" w:ascii="Calibri"/>
                            <w:spacing w:val="-11"/>
                            <w:w w:val="76"/>
                            <w:sz w:val="16"/>
                          </w:rPr>
                          <w:t xml:space="preserve"> </w:t>
                        </w:r>
                      </w:p>
                    </w:txbxContent>
                  </v:textbox>
                </v:rect>
                <v:rect id="Rectangle 12806" style="position:absolute;width:9287;height:1601;left:19989;top:5669;" filled="f" stroked="f">
                  <v:textbox inset="0,0,0,0">
                    <w:txbxContent>
                      <w:p>
                        <w:pPr>
                          <w:spacing w:before="0" w:after="160" w:line="259" w:lineRule="auto"/>
                          <w:ind w:left="0" w:right="0" w:firstLine="0"/>
                          <w:jc w:val="left"/>
                        </w:pPr>
                        <w:r>
                          <w:rPr>
                            <w:rFonts w:cs="Calibri" w:hAnsi="Calibri" w:eastAsia="Calibri" w:ascii="Calibri"/>
                            <w:w w:val="77"/>
                            <w:sz w:val="16"/>
                          </w:rPr>
                          <w:t xml:space="preserve">из</w:t>
                        </w:r>
                        <w:r>
                          <w:rPr>
                            <w:rFonts w:cs="Calibri" w:hAnsi="Calibri" w:eastAsia="Calibri" w:ascii="Calibri"/>
                            <w:spacing w:val="-11"/>
                            <w:w w:val="77"/>
                            <w:sz w:val="16"/>
                          </w:rPr>
                          <w:t xml:space="preserve"> </w:t>
                        </w:r>
                        <w:r>
                          <w:rPr>
                            <w:rFonts w:cs="Calibri" w:hAnsi="Calibri" w:eastAsia="Calibri" w:ascii="Calibri"/>
                            <w:w w:val="77"/>
                            <w:sz w:val="16"/>
                          </w:rPr>
                          <w:t xml:space="preserve">первичного</w:t>
                        </w:r>
                        <w:r>
                          <w:rPr>
                            <w:rFonts w:cs="Calibri" w:hAnsi="Calibri" w:eastAsia="Calibri" w:ascii="Calibri"/>
                            <w:spacing w:val="-11"/>
                            <w:w w:val="77"/>
                            <w:sz w:val="16"/>
                          </w:rPr>
                          <w:t xml:space="preserve"> </w:t>
                        </w:r>
                        <w:r>
                          <w:rPr>
                            <w:rFonts w:cs="Calibri" w:hAnsi="Calibri" w:eastAsia="Calibri" w:ascii="Calibri"/>
                            <w:w w:val="77"/>
                            <w:sz w:val="16"/>
                          </w:rPr>
                          <w:t xml:space="preserve">звена</w:t>
                        </w:r>
                        <w:r>
                          <w:rPr>
                            <w:rFonts w:cs="Calibri" w:hAnsi="Calibri" w:eastAsia="Calibri" w:ascii="Calibri"/>
                            <w:spacing w:val="-11"/>
                            <w:w w:val="77"/>
                            <w:sz w:val="16"/>
                          </w:rPr>
                          <w:t xml:space="preserve"> </w:t>
                        </w:r>
                      </w:p>
                    </w:txbxContent>
                  </v:textbox>
                </v:rect>
                <v:rect id="Rectangle 12807" style="position:absolute;width:5359;height:1601;left:21386;top:6685;" filled="f" stroked="f">
                  <v:textbox inset="0,0,0,0">
                    <w:txbxContent>
                      <w:p>
                        <w:pPr>
                          <w:spacing w:before="0" w:after="160" w:line="259" w:lineRule="auto"/>
                          <w:ind w:left="0" w:right="0" w:firstLine="0"/>
                          <w:jc w:val="left"/>
                        </w:pPr>
                        <w:r>
                          <w:rPr>
                            <w:rFonts w:cs="Calibri" w:hAnsi="Calibri" w:eastAsia="Calibri" w:ascii="Calibri"/>
                            <w:w w:val="77"/>
                            <w:sz w:val="16"/>
                          </w:rPr>
                          <w:t xml:space="preserve">к</w:t>
                        </w:r>
                        <w:r>
                          <w:rPr>
                            <w:rFonts w:cs="Calibri" w:hAnsi="Calibri" w:eastAsia="Calibri" w:ascii="Calibri"/>
                            <w:spacing w:val="-11"/>
                            <w:w w:val="77"/>
                            <w:sz w:val="16"/>
                          </w:rPr>
                          <w:t xml:space="preserve"> </w:t>
                        </w:r>
                        <w:r>
                          <w:rPr>
                            <w:rFonts w:cs="Calibri" w:hAnsi="Calibri" w:eastAsia="Calibri" w:ascii="Calibri"/>
                            <w:w w:val="77"/>
                            <w:sz w:val="16"/>
                          </w:rPr>
                          <w:t xml:space="preserve">нефрологу</w:t>
                        </w:r>
                      </w:p>
                    </w:txbxContent>
                  </v:textbox>
                </v:rect>
                <v:shape id="Shape 12808" style="position:absolute;width:0;height:1527;left:23400;top:2906;" coordsize="0,152743" path="m0,0l0,152743">
                  <v:stroke weight="0.709pt" endcap="flat" joinstyle="miter" miterlimit="4" on="true" color="#9d9c9c"/>
                  <v:fill on="false" color="#000000" opacity="0"/>
                </v:shape>
                <v:shape id="Shape 12809" style="position:absolute;width:871;height:468;left:22964;top:3965;" coordsize="87186,46876" path="m87186,0l43599,46876l0,0">
                  <v:stroke weight="0.709pt" endcap="flat" joinstyle="miter" miterlimit="4" on="true" color="#9d9c9c"/>
                  <v:fill on="false" color="#000000" opacity="0"/>
                </v:shape>
                <v:shape id="Shape 12810" style="position:absolute;width:0;height:1527;left:23400;top:12983;" coordsize="0,152743" path="m0,152743l0,0">
                  <v:stroke weight="0.709pt" endcap="flat" joinstyle="miter" miterlimit="4" on="true" color="#9d9c9c"/>
                  <v:fill on="false" color="#000000" opacity="0"/>
                </v:shape>
                <v:shape id="Shape 12811" style="position:absolute;width:871;height:468;left:22964;top:12983;" coordsize="87186,46876" path="m87186,46876l43599,0l0,46876">
                  <v:stroke weight="0.709pt" endcap="flat" joinstyle="miter" miterlimit="4" on="true" color="#9d9c9c"/>
                  <v:fill on="false" color="#000000" opacity="0"/>
                </v:shape>
                <v:shape id="Shape 12812" style="position:absolute;width:8336;height:4087;left:28167;top:14510;" coordsize="833628,408737" path="m36004,0l797623,0c817499,0,833628,16129,833628,35966l833628,372720c833628,392608,817499,408737,797623,408737l36004,408737c16116,408737,0,392608,0,372720l0,35966c0,16129,16116,0,36004,0x">
                  <v:stroke weight="0pt" endcap="flat" joinstyle="miter" miterlimit="4" on="false" color="#000000" opacity="0"/>
                  <v:fill on="true" color="#dadad9"/>
                </v:shape>
                <v:shape id="Shape 12813" style="position:absolute;width:5329;height:2906;left:29670;top:0;" coordsize="532993,290614" path="m36004,0l497002,0c516877,0,532993,16129,532993,35966l532993,254648c532993,274536,516877,290614,497002,290614l36004,290614c16116,290614,0,274536,0,254648l0,35966c0,16129,16116,0,36004,0x">
                  <v:stroke weight="0pt" endcap="flat" joinstyle="miter" miterlimit="4" on="false" color="#000000" opacity="0"/>
                  <v:fill on="true" color="#dadad9"/>
                </v:shape>
                <v:rect id="Rectangle 12814" style="position:absolute;width:4761;height:2030;left:30814;top:85;" filled="f" stroked="f">
                  <v:textbox inset="0,0,0,0">
                    <w:txbxContent>
                      <w:p>
                        <w:pPr>
                          <w:spacing w:before="0" w:after="160" w:line="259" w:lineRule="auto"/>
                          <w:ind w:left="0" w:right="0" w:firstLine="0"/>
                          <w:jc w:val="left"/>
                        </w:pPr>
                        <w:r>
                          <w:rPr>
                            <w:w w:val="105"/>
                          </w:rPr>
                          <w:t xml:space="preserve">рСКФ</w:t>
                        </w:r>
                        <w:r>
                          <w:rPr>
                            <w:spacing w:val="-3"/>
                            <w:w w:val="105"/>
                          </w:rPr>
                          <w:t xml:space="preserve"> </w:t>
                        </w:r>
                        <w:r>
                          <w:rPr>
                            <w:spacing w:val="-3"/>
                            <w:w w:val="105"/>
                          </w:rPr>
                          <w:t xml:space="preserve"> </w:t>
                        </w:r>
                      </w:p>
                    </w:txbxContent>
                  </v:textbox>
                </v:rect>
                <v:rect id="Rectangle 12815" style="position:absolute;width:2739;height:2030;left:31305;top:1355;" filled="f" stroked="f">
                  <v:textbox inset="0,0,0,0">
                    <w:txbxContent>
                      <w:p>
                        <w:pPr>
                          <w:spacing w:before="0" w:after="160" w:line="259" w:lineRule="auto"/>
                          <w:ind w:left="0" w:right="0" w:firstLine="0"/>
                          <w:jc w:val="left"/>
                        </w:pPr>
                        <w:r>
                          <w:rPr>
                            <w:w w:val="107"/>
                          </w:rPr>
                          <w:t xml:space="preserve">&lt;30</w:t>
                        </w:r>
                      </w:p>
                    </w:txbxContent>
                  </v:textbox>
                </v:rect>
                <v:rect id="Rectangle 266686" style="position:absolute;width:1385;height:2030;left:28434;top:14596;" filled="f" stroked="f">
                  <v:textbox inset="0,0,0,0">
                    <w:txbxContent>
                      <w:p>
                        <w:pPr>
                          <w:spacing w:before="0" w:after="160" w:line="259" w:lineRule="auto"/>
                          <w:ind w:left="0" w:right="0" w:firstLine="0"/>
                          <w:jc w:val="left"/>
                        </w:pPr>
                        <w:r>
                          <w:rPr>
                            <w:w w:val="100"/>
                          </w:rPr>
                          <w:t xml:space="preserve">2-</w:t>
                        </w:r>
                      </w:p>
                    </w:txbxContent>
                  </v:textbox>
                </v:rect>
                <v:rect id="Rectangle 266687" style="position:absolute;width:8992;height:2030;left:29475;top:14596;" filled="f" stroked="f">
                  <v:textbox inset="0,0,0,0">
                    <w:txbxContent>
                      <w:p>
                        <w:pPr>
                          <w:spacing w:before="0" w:after="160" w:line="259" w:lineRule="auto"/>
                          <w:ind w:left="0" w:right="0" w:firstLine="0"/>
                          <w:jc w:val="left"/>
                        </w:pPr>
                        <w:r>
                          <w:rPr>
                            <w:w w:val="104"/>
                          </w:rPr>
                          <w:t xml:space="preserve">летний</w:t>
                        </w:r>
                        <w:r>
                          <w:rPr>
                            <w:spacing w:val="-3"/>
                            <w:w w:val="104"/>
                          </w:rPr>
                          <w:t xml:space="preserve"> </w:t>
                        </w:r>
                        <w:r>
                          <w:rPr>
                            <w:w w:val="104"/>
                          </w:rPr>
                          <w:t xml:space="preserve">риск</w:t>
                        </w:r>
                      </w:p>
                    </w:txbxContent>
                  </v:textbox>
                </v:rect>
                <v:rect id="Rectangle 12817" style="position:absolute;width:3736;height:2030;left:31200;top:15866;" filled="f" stroked="f">
                  <v:textbox inset="0,0,0,0">
                    <w:txbxContent>
                      <w:p>
                        <w:pPr>
                          <w:spacing w:before="0" w:after="160" w:line="259" w:lineRule="auto"/>
                          <w:ind w:left="0" w:right="0" w:firstLine="0"/>
                          <w:jc w:val="left"/>
                        </w:pPr>
                        <w:r>
                          <w:rPr>
                            <w:w w:val="103"/>
                          </w:rPr>
                          <w:t xml:space="preserve">ТПН</w:t>
                        </w:r>
                        <w:r>
                          <w:rPr>
                            <w:spacing w:val="-3"/>
                            <w:w w:val="103"/>
                          </w:rPr>
                          <w:t xml:space="preserve"> </w:t>
                        </w:r>
                        <w:r>
                          <w:rPr>
                            <w:spacing w:val="-3"/>
                            <w:w w:val="103"/>
                          </w:rPr>
                          <w:t xml:space="preserve"> </w:t>
                        </w:r>
                      </w:p>
                    </w:txbxContent>
                  </v:textbox>
                </v:rect>
                <v:rect id="Rectangle 12818" style="position:absolute;width:4077;height:2030;left:30803;top:17136;" filled="f" stroked="f">
                  <v:textbox inset="0,0,0,0">
                    <w:txbxContent>
                      <w:p>
                        <w:pPr>
                          <w:spacing w:before="0" w:after="160" w:line="259" w:lineRule="auto"/>
                          <w:ind w:left="0" w:right="0" w:firstLine="0"/>
                          <w:jc w:val="left"/>
                        </w:pPr>
                        <w:r>
                          <w:rPr>
                            <w:w w:val="108"/>
                          </w:rPr>
                          <w:t xml:space="preserve">≥10%</w:t>
                        </w:r>
                      </w:p>
                    </w:txbxContent>
                  </v:textbox>
                </v:rect>
                <v:rect id="Rectangle 12819" style="position:absolute;width:9045;height:1601;left:29014;top:4653;" filled="f" stroked="f">
                  <v:textbox inset="0,0,0,0">
                    <w:txbxContent>
                      <w:p>
                        <w:pPr>
                          <w:spacing w:before="0" w:after="160" w:line="259" w:lineRule="auto"/>
                          <w:ind w:left="0" w:right="0" w:firstLine="0"/>
                          <w:jc w:val="left"/>
                        </w:pPr>
                        <w:r>
                          <w:rPr>
                            <w:rFonts w:cs="Calibri" w:hAnsi="Calibri" w:eastAsia="Calibri" w:ascii="Calibri"/>
                            <w:w w:val="76"/>
                            <w:sz w:val="16"/>
                          </w:rPr>
                          <w:t xml:space="preserve">Переход</w:t>
                        </w:r>
                        <w:r>
                          <w:rPr>
                            <w:rFonts w:cs="Calibri" w:hAnsi="Calibri" w:eastAsia="Calibri" w:ascii="Calibri"/>
                            <w:spacing w:val="-11"/>
                            <w:w w:val="76"/>
                            <w:sz w:val="16"/>
                          </w:rPr>
                          <w:t xml:space="preserve"> </w:t>
                        </w:r>
                        <w:r>
                          <w:rPr>
                            <w:rFonts w:cs="Calibri" w:hAnsi="Calibri" w:eastAsia="Calibri" w:ascii="Calibri"/>
                            <w:w w:val="76"/>
                            <w:sz w:val="16"/>
                          </w:rPr>
                          <w:t xml:space="preserve">к</w:t>
                        </w:r>
                        <w:r>
                          <w:rPr>
                            <w:rFonts w:cs="Calibri" w:hAnsi="Calibri" w:eastAsia="Calibri" w:ascii="Calibri"/>
                            <w:spacing w:val="-11"/>
                            <w:w w:val="76"/>
                            <w:sz w:val="16"/>
                          </w:rPr>
                          <w:t xml:space="preserve"> </w:t>
                        </w:r>
                        <w:r>
                          <w:rPr>
                            <w:rFonts w:cs="Calibri" w:hAnsi="Calibri" w:eastAsia="Calibri" w:ascii="Calibri"/>
                            <w:w w:val="76"/>
                            <w:sz w:val="16"/>
                          </w:rPr>
                          <w:t xml:space="preserve">оказанию</w:t>
                        </w:r>
                        <w:r>
                          <w:rPr>
                            <w:rFonts w:cs="Calibri" w:hAnsi="Calibri" w:eastAsia="Calibri" w:ascii="Calibri"/>
                            <w:spacing w:val="-11"/>
                            <w:w w:val="76"/>
                            <w:sz w:val="16"/>
                          </w:rPr>
                          <w:t xml:space="preserve"> </w:t>
                        </w:r>
                      </w:p>
                    </w:txbxContent>
                  </v:textbox>
                </v:rect>
                <v:rect id="Rectangle 12820" style="position:absolute;width:8337;height:1601;left:29280;top:5669;" filled="f" stroked="f">
                  <v:textbox inset="0,0,0,0">
                    <w:txbxContent>
                      <w:p>
                        <w:pPr>
                          <w:spacing w:before="0" w:after="160" w:line="259" w:lineRule="auto"/>
                          <w:ind w:left="0" w:right="0" w:firstLine="0"/>
                          <w:jc w:val="left"/>
                        </w:pPr>
                        <w:r>
                          <w:rPr>
                            <w:rFonts w:cs="Calibri" w:hAnsi="Calibri" w:eastAsia="Calibri" w:ascii="Calibri"/>
                            <w:w w:val="77"/>
                            <w:sz w:val="16"/>
                          </w:rPr>
                          <w:t xml:space="preserve">многопрофильной</w:t>
                        </w:r>
                        <w:r>
                          <w:rPr>
                            <w:rFonts w:cs="Calibri" w:hAnsi="Calibri" w:eastAsia="Calibri" w:ascii="Calibri"/>
                            <w:spacing w:val="-11"/>
                            <w:w w:val="77"/>
                            <w:sz w:val="16"/>
                          </w:rPr>
                          <w:t xml:space="preserve"> </w:t>
                        </w:r>
                      </w:p>
                    </w:txbxContent>
                  </v:textbox>
                </v:rect>
                <v:rect id="Rectangle 12821" style="position:absolute;width:3655;height:1601;left:30961;top:6685;" filled="f" stroked="f">
                  <v:textbox inset="0,0,0,0">
                    <w:txbxContent>
                      <w:p>
                        <w:pPr>
                          <w:spacing w:before="0" w:after="160" w:line="259" w:lineRule="auto"/>
                          <w:ind w:left="0" w:right="0" w:firstLine="0"/>
                          <w:jc w:val="left"/>
                        </w:pPr>
                        <w:r>
                          <w:rPr>
                            <w:rFonts w:cs="Calibri" w:hAnsi="Calibri" w:eastAsia="Calibri" w:ascii="Calibri"/>
                            <w:w w:val="77"/>
                            <w:sz w:val="16"/>
                          </w:rPr>
                          <w:t xml:space="preserve">помощи</w:t>
                        </w:r>
                      </w:p>
                    </w:txbxContent>
                  </v:textbox>
                </v:rect>
                <v:shape id="Shape 12822" style="position:absolute;width:0;height:1527;left:32335;top:2906;" coordsize="0,152743" path="m0,0l0,152743">
                  <v:stroke weight="0.709pt" endcap="flat" joinstyle="miter" miterlimit="4" on="true" color="#9d9c9c"/>
                  <v:fill on="false" color="#000000" opacity="0"/>
                </v:shape>
                <v:shape id="Shape 12823" style="position:absolute;width:871;height:468;left:31899;top:3965;" coordsize="87185,46876" path="m87185,0l43599,46876l0,0">
                  <v:stroke weight="0.709pt" endcap="flat" joinstyle="miter" miterlimit="4" on="true" color="#9d9c9c"/>
                  <v:fill on="false" color="#000000" opacity="0"/>
                </v:shape>
                <v:shape id="Shape 12824" style="position:absolute;width:0;height:1527;left:32335;top:12983;" coordsize="0,152743" path="m0,152743l0,0">
                  <v:stroke weight="0.709pt" endcap="flat" joinstyle="miter" miterlimit="4" on="true" color="#9d9c9c"/>
                  <v:fill on="false" color="#000000" opacity="0"/>
                </v:shape>
                <v:shape id="Shape 12825" style="position:absolute;width:871;height:468;left:31899;top:12983;" coordsize="87185,46876" path="m87185,46876l43599,0l0,46876">
                  <v:stroke weight="0.709pt" endcap="flat" joinstyle="miter" miterlimit="4" on="true" color="#9d9c9c"/>
                  <v:fill on="false" color="#000000" opacity="0"/>
                </v:shape>
                <v:shape id="Shape 12826" style="position:absolute;width:8336;height:4087;left:36948;top:14510;" coordsize="833628,408737" path="m36004,0l797623,0c817499,0,833628,16129,833628,35966l833628,372720c833628,392608,817499,408737,797623,408737l36004,408737c16116,408737,0,392608,0,372720l0,35966c0,16129,16116,0,36004,0x">
                  <v:stroke weight="0pt" endcap="flat" joinstyle="miter" miterlimit="4" on="false" color="#000000" opacity="0"/>
                  <v:fill on="true" color="#dadad9"/>
                </v:shape>
                <v:shape id="Shape 12827" style="position:absolute;width:5329;height:2906;left:38451;top:0;" coordsize="532993,290614" path="m36004,0l497002,0c516877,0,532993,16129,532993,35966l532993,254648c532993,274536,516877,290614,497002,290614l36004,290614c16116,290614,0,274536,0,254648l0,35966c0,16129,16116,0,36004,0x">
                  <v:stroke weight="0pt" endcap="flat" joinstyle="miter" miterlimit="4" on="false" color="#000000" opacity="0"/>
                  <v:fill on="true" color="#dadad9"/>
                </v:shape>
                <v:rect id="Rectangle 12828" style="position:absolute;width:4761;height:2030;left:39595;top:85;" filled="f" stroked="f">
                  <v:textbox inset="0,0,0,0">
                    <w:txbxContent>
                      <w:p>
                        <w:pPr>
                          <w:spacing w:before="0" w:after="160" w:line="259" w:lineRule="auto"/>
                          <w:ind w:left="0" w:right="0" w:firstLine="0"/>
                          <w:jc w:val="left"/>
                        </w:pPr>
                        <w:r>
                          <w:rPr>
                            <w:w w:val="105"/>
                          </w:rPr>
                          <w:t xml:space="preserve">рСКФ</w:t>
                        </w:r>
                        <w:r>
                          <w:rPr>
                            <w:spacing w:val="-3"/>
                            <w:w w:val="105"/>
                          </w:rPr>
                          <w:t xml:space="preserve"> </w:t>
                        </w:r>
                        <w:r>
                          <w:rPr>
                            <w:spacing w:val="-3"/>
                            <w:w w:val="105"/>
                          </w:rPr>
                          <w:t xml:space="preserve"> </w:t>
                        </w:r>
                      </w:p>
                    </w:txbxContent>
                  </v:textbox>
                </v:rect>
                <v:rect id="Rectangle 12829" style="position:absolute;width:1873;height:2030;left:40412;top:1355;" filled="f" stroked="f">
                  <v:textbox inset="0,0,0,0">
                    <w:txbxContent>
                      <w:p>
                        <w:pPr>
                          <w:spacing w:before="0" w:after="160" w:line="259" w:lineRule="auto"/>
                          <w:ind w:left="0" w:right="0" w:firstLine="0"/>
                          <w:jc w:val="left"/>
                        </w:pPr>
                        <w:r>
                          <w:rPr>
                            <w:w w:val="110"/>
                          </w:rPr>
                          <w:t xml:space="preserve">&lt;0</w:t>
                        </w:r>
                      </w:p>
                    </w:txbxContent>
                  </v:textbox>
                </v:rect>
                <v:rect id="Rectangle 266688" style="position:absolute;width:1385;height:2030;left:37215;top:14626;" filled="f" stroked="f">
                  <v:textbox inset="0,0,0,0">
                    <w:txbxContent>
                      <w:p>
                        <w:pPr>
                          <w:spacing w:before="0" w:after="160" w:line="259" w:lineRule="auto"/>
                          <w:ind w:left="0" w:right="0" w:firstLine="0"/>
                          <w:jc w:val="left"/>
                        </w:pPr>
                        <w:r>
                          <w:rPr>
                            <w:w w:val="100"/>
                          </w:rPr>
                          <w:t xml:space="preserve">2-</w:t>
                        </w:r>
                      </w:p>
                    </w:txbxContent>
                  </v:textbox>
                </v:rect>
                <v:rect id="Rectangle 266689" style="position:absolute;width:8992;height:2030;left:38257;top:14626;" filled="f" stroked="f">
                  <v:textbox inset="0,0,0,0">
                    <w:txbxContent>
                      <w:p>
                        <w:pPr>
                          <w:spacing w:before="0" w:after="160" w:line="259" w:lineRule="auto"/>
                          <w:ind w:left="0" w:right="0" w:firstLine="0"/>
                          <w:jc w:val="left"/>
                        </w:pPr>
                        <w:r>
                          <w:rPr>
                            <w:w w:val="104"/>
                          </w:rPr>
                          <w:t xml:space="preserve">летний</w:t>
                        </w:r>
                        <w:r>
                          <w:rPr>
                            <w:spacing w:val="-3"/>
                            <w:w w:val="104"/>
                          </w:rPr>
                          <w:t xml:space="preserve"> </w:t>
                        </w:r>
                        <w:r>
                          <w:rPr>
                            <w:w w:val="104"/>
                          </w:rPr>
                          <w:t xml:space="preserve">риск</w:t>
                        </w:r>
                      </w:p>
                    </w:txbxContent>
                  </v:textbox>
                </v:rect>
                <v:rect id="Rectangle 12831" style="position:absolute;width:3736;height:2030;left:39980;top:15896;" filled="f" stroked="f">
                  <v:textbox inset="0,0,0,0">
                    <w:txbxContent>
                      <w:p>
                        <w:pPr>
                          <w:spacing w:before="0" w:after="160" w:line="259" w:lineRule="auto"/>
                          <w:ind w:left="0" w:right="0" w:firstLine="0"/>
                          <w:jc w:val="left"/>
                        </w:pPr>
                        <w:r>
                          <w:rPr>
                            <w:w w:val="103"/>
                          </w:rPr>
                          <w:t xml:space="preserve">ТПН</w:t>
                        </w:r>
                        <w:r>
                          <w:rPr>
                            <w:spacing w:val="-3"/>
                            <w:w w:val="103"/>
                          </w:rPr>
                          <w:t xml:space="preserve"> </w:t>
                        </w:r>
                        <w:r>
                          <w:rPr>
                            <w:spacing w:val="-3"/>
                            <w:w w:val="103"/>
                          </w:rPr>
                          <w:t xml:space="preserve"> </w:t>
                        </w:r>
                      </w:p>
                    </w:txbxContent>
                  </v:textbox>
                </v:rect>
                <v:rect id="Rectangle 12832" style="position:absolute;width:4077;height:2030;left:39583;top:17166;" filled="f" stroked="f">
                  <v:textbox inset="0,0,0,0">
                    <w:txbxContent>
                      <w:p>
                        <w:pPr>
                          <w:spacing w:before="0" w:after="160" w:line="259" w:lineRule="auto"/>
                          <w:ind w:left="0" w:right="0" w:firstLine="0"/>
                          <w:jc w:val="left"/>
                        </w:pPr>
                        <w:r>
                          <w:rPr>
                            <w:w w:val="108"/>
                          </w:rPr>
                          <w:t xml:space="preserve">≥40%</w:t>
                        </w:r>
                      </w:p>
                    </w:txbxContent>
                  </v:textbox>
                </v:rect>
                <v:rect id="Rectangle 12833" style="position:absolute;width:9546;height:1601;left:37607;top:4653;" filled="f" stroked="f">
                  <v:textbox inset="0,0,0,0">
                    <w:txbxContent>
                      <w:p>
                        <w:pPr>
                          <w:spacing w:before="0" w:after="160" w:line="259" w:lineRule="auto"/>
                          <w:ind w:left="0" w:right="0" w:firstLine="0"/>
                          <w:jc w:val="left"/>
                        </w:pPr>
                        <w:r>
                          <w:rPr>
                            <w:rFonts w:cs="Calibri" w:hAnsi="Calibri" w:eastAsia="Calibri" w:ascii="Calibri"/>
                            <w:w w:val="76"/>
                            <w:sz w:val="16"/>
                          </w:rPr>
                          <w:t xml:space="preserve">Оценка</w:t>
                        </w:r>
                        <w:r>
                          <w:rPr>
                            <w:rFonts w:cs="Calibri" w:hAnsi="Calibri" w:eastAsia="Calibri" w:ascii="Calibri"/>
                            <w:spacing w:val="-11"/>
                            <w:w w:val="76"/>
                            <w:sz w:val="16"/>
                          </w:rPr>
                          <w:t xml:space="preserve"> </w:t>
                        </w:r>
                        <w:r>
                          <w:rPr>
                            <w:rFonts w:cs="Calibri" w:hAnsi="Calibri" w:eastAsia="Calibri" w:ascii="Calibri"/>
                            <w:w w:val="76"/>
                            <w:sz w:val="16"/>
                          </w:rPr>
                          <w:t xml:space="preserve">возможности</w:t>
                        </w:r>
                        <w:r>
                          <w:rPr>
                            <w:rFonts w:cs="Calibri" w:hAnsi="Calibri" w:eastAsia="Calibri" w:ascii="Calibri"/>
                            <w:spacing w:val="-11"/>
                            <w:w w:val="76"/>
                            <w:sz w:val="16"/>
                          </w:rPr>
                          <w:t xml:space="preserve"> </w:t>
                        </w:r>
                      </w:p>
                    </w:txbxContent>
                  </v:textbox>
                </v:rect>
                <v:rect id="Rectangle 12834" style="position:absolute;width:7286;height:1601;left:38456;top:5669;" filled="f" stroked="f">
                  <v:textbox inset="0,0,0,0">
                    <w:txbxContent>
                      <w:p>
                        <w:pPr>
                          <w:spacing w:before="0" w:after="160" w:line="259" w:lineRule="auto"/>
                          <w:ind w:left="0" w:right="0" w:firstLine="0"/>
                          <w:jc w:val="left"/>
                        </w:pPr>
                        <w:r>
                          <w:rPr>
                            <w:rFonts w:cs="Calibri" w:hAnsi="Calibri" w:eastAsia="Calibri" w:ascii="Calibri"/>
                            <w:w w:val="76"/>
                            <w:sz w:val="16"/>
                          </w:rPr>
                          <w:t xml:space="preserve">и</w:t>
                        </w:r>
                        <w:r>
                          <w:rPr>
                            <w:rFonts w:cs="Calibri" w:hAnsi="Calibri" w:eastAsia="Calibri" w:ascii="Calibri"/>
                            <w:spacing w:val="-11"/>
                            <w:w w:val="76"/>
                            <w:sz w:val="16"/>
                          </w:rPr>
                          <w:t xml:space="preserve"> </w:t>
                        </w:r>
                        <w:r>
                          <w:rPr>
                            <w:rFonts w:cs="Calibri" w:hAnsi="Calibri" w:eastAsia="Calibri" w:ascii="Calibri"/>
                            <w:w w:val="76"/>
                            <w:sz w:val="16"/>
                          </w:rPr>
                          <w:t xml:space="preserve">планирование</w:t>
                        </w:r>
                        <w:r>
                          <w:rPr>
                            <w:rFonts w:cs="Calibri" w:hAnsi="Calibri" w:eastAsia="Calibri" w:ascii="Calibri"/>
                            <w:spacing w:val="-11"/>
                            <w:w w:val="76"/>
                            <w:sz w:val="16"/>
                          </w:rPr>
                          <w:t xml:space="preserve"> </w:t>
                        </w:r>
                      </w:p>
                    </w:txbxContent>
                  </v:textbox>
                </v:rect>
                <v:rect id="Rectangle 12835" style="position:absolute;width:7049;height:1601;left:38466;top:6685;" filled="f" stroked="f">
                  <v:textbox inset="0,0,0,0">
                    <w:txbxContent>
                      <w:p>
                        <w:pPr>
                          <w:spacing w:before="0" w:after="160" w:line="259" w:lineRule="auto"/>
                          <w:ind w:left="0" w:right="0" w:firstLine="0"/>
                          <w:jc w:val="left"/>
                        </w:pPr>
                        <w:r>
                          <w:rPr>
                            <w:rFonts w:cs="Calibri" w:hAnsi="Calibri" w:eastAsia="Calibri" w:ascii="Calibri"/>
                            <w:w w:val="76"/>
                            <w:sz w:val="16"/>
                          </w:rPr>
                          <w:t xml:space="preserve">трансплантации</w:t>
                        </w:r>
                      </w:p>
                    </w:txbxContent>
                  </v:textbox>
                </v:rect>
                <v:shape id="Shape 12836" style="position:absolute;width:0;height:1527;left:41116;top:2906;" coordsize="0,152743" path="m0,0l0,152743">
                  <v:stroke weight="0.709pt" endcap="flat" joinstyle="miter" miterlimit="4" on="true" color="#9d9c9c"/>
                  <v:fill on="false" color="#000000" opacity="0"/>
                </v:shape>
                <v:shape id="Shape 12837" style="position:absolute;width:871;height:468;left:40680;top:3965;" coordsize="87185,46876" path="m87185,0l43599,46876l0,0">
                  <v:stroke weight="0.709pt" endcap="flat" joinstyle="miter" miterlimit="4" on="true" color="#9d9c9c"/>
                  <v:fill on="false" color="#000000" opacity="0"/>
                </v:shape>
                <v:shape id="Shape 12838" style="position:absolute;width:0;height:1527;left:41116;top:12983;" coordsize="0,152743" path="m0,152743l0,0">
                  <v:stroke weight="0.709pt" endcap="flat" joinstyle="miter" miterlimit="4" on="true" color="#9d9c9c"/>
                  <v:fill on="false" color="#000000" opacity="0"/>
                </v:shape>
                <v:shape id="Shape 12839" style="position:absolute;width:871;height:468;left:40680;top:12983;" coordsize="87185,46876" path="m87185,46876l43599,0l0,46876">
                  <v:stroke weight="0.709pt" endcap="flat" joinstyle="miter" miterlimit="4" on="true" color="#9d9c9c"/>
                  <v:fill on="false" color="#000000" opacity="0"/>
                </v:shape>
                <v:rect id="Rectangle 12840" style="position:absolute;width:28191;height:1624;left:0;top:19569;" filled="f" stroked="f">
                  <v:textbox inset="0,0,0,0">
                    <w:txbxContent>
                      <w:p>
                        <w:pPr>
                          <w:spacing w:before="0" w:after="160" w:line="259" w:lineRule="auto"/>
                          <w:ind w:left="0" w:right="0" w:firstLine="0"/>
                          <w:jc w:val="left"/>
                        </w:pPr>
                        <w:r>
                          <w:rPr>
                            <w:w w:val="104"/>
                            <w:sz w:val="16"/>
                          </w:rPr>
                          <w:t xml:space="preserve">ТПН</w:t>
                        </w:r>
                        <w:r>
                          <w:rPr>
                            <w:spacing w:val="-2"/>
                            <w:w w:val="104"/>
                            <w:sz w:val="16"/>
                          </w:rPr>
                          <w:t xml:space="preserve"> </w:t>
                        </w:r>
                        <w:r>
                          <w:rPr>
                            <w:w w:val="104"/>
                            <w:sz w:val="16"/>
                          </w:rPr>
                          <w:t xml:space="preserve">–</w:t>
                        </w:r>
                        <w:r>
                          <w:rPr>
                            <w:spacing w:val="-2"/>
                            <w:w w:val="104"/>
                            <w:sz w:val="16"/>
                          </w:rPr>
                          <w:t xml:space="preserve"> </w:t>
                        </w:r>
                        <w:r>
                          <w:rPr>
                            <w:w w:val="104"/>
                            <w:sz w:val="16"/>
                          </w:rPr>
                          <w:t xml:space="preserve">терминальная</w:t>
                        </w:r>
                        <w:r>
                          <w:rPr>
                            <w:spacing w:val="-2"/>
                            <w:w w:val="104"/>
                            <w:sz w:val="16"/>
                          </w:rPr>
                          <w:t xml:space="preserve"> </w:t>
                        </w:r>
                        <w:r>
                          <w:rPr>
                            <w:w w:val="104"/>
                            <w:sz w:val="16"/>
                          </w:rPr>
                          <w:t xml:space="preserve">почечная</w:t>
                        </w:r>
                        <w:r>
                          <w:rPr>
                            <w:spacing w:val="-2"/>
                            <w:w w:val="104"/>
                            <w:sz w:val="16"/>
                          </w:rPr>
                          <w:t xml:space="preserve"> </w:t>
                        </w:r>
                        <w:r>
                          <w:rPr>
                            <w:w w:val="104"/>
                            <w:sz w:val="16"/>
                          </w:rPr>
                          <w:t xml:space="preserve">недостаточность</w:t>
                        </w:r>
                      </w:p>
                    </w:txbxContent>
                  </v:textbox>
                </v:rect>
                <w10:wrap type="square"/>
              </v:group>
            </w:pict>
          </mc:Fallback>
        </mc:AlternateContent>
      </w:r>
      <w:r>
        <w:t xml:space="preserve">Прогнозируемый риск и маршрутизация пациентов с ХБП </w:t>
      </w:r>
      <w:r>
        <w:rPr>
          <w:color w:val="000000"/>
        </w:rPr>
        <w:t>рСКФ</w:t>
      </w:r>
    </w:p>
    <w:p w:rsidR="00D27BC6" w:rsidRDefault="004D5071">
      <w:pPr>
        <w:spacing w:after="1738"/>
        <w:ind w:left="615" w:right="0"/>
      </w:pPr>
      <w:r>
        <w:rPr>
          <w:b/>
        </w:rPr>
        <w:t>рСКФ</w:t>
      </w:r>
    </w:p>
    <w:p w:rsidR="00D27BC6" w:rsidRDefault="004D5071">
      <w:pPr>
        <w:numPr>
          <w:ilvl w:val="0"/>
          <w:numId w:val="66"/>
        </w:numPr>
        <w:ind w:right="0" w:hanging="283"/>
      </w:pPr>
      <w:r>
        <w:t>5-летний риск терминальной почечной недостаточности в размере 3–5% может использоваться для определения необходимости направления к нефрологу;</w:t>
      </w:r>
    </w:p>
    <w:p w:rsidR="00D27BC6" w:rsidRDefault="004D5071">
      <w:pPr>
        <w:numPr>
          <w:ilvl w:val="0"/>
          <w:numId w:val="66"/>
        </w:numPr>
        <w:ind w:right="0" w:hanging="283"/>
      </w:pPr>
      <w:r>
        <w:t>2-летний риск почечной недостаточности &gt; 10% может использоваться для определения сроков многопрофильной помощи;</w:t>
      </w:r>
    </w:p>
    <w:p w:rsidR="00D27BC6" w:rsidRDefault="004D5071">
      <w:pPr>
        <w:numPr>
          <w:ilvl w:val="0"/>
          <w:numId w:val="66"/>
        </w:numPr>
        <w:spacing w:after="230"/>
        <w:ind w:right="0" w:hanging="283"/>
      </w:pPr>
      <w:r>
        <w:t xml:space="preserve">2-летний риск почечной недостаточности &gt; 40% может использоваться для определения модальности обучения, сроков подготовки к ЗПТ, включая планирование сосудистого доступа или направление на трансплантацию. </w:t>
      </w:r>
    </w:p>
    <w:p w:rsidR="00D27BC6" w:rsidRDefault="004D5071">
      <w:pPr>
        <w:pStyle w:val="Heading2"/>
        <w:ind w:left="-3"/>
      </w:pPr>
      <w:r>
        <w:t>Мониторинг в зависимости от стадии ДН</w:t>
      </w:r>
    </w:p>
    <w:tbl>
      <w:tblPr>
        <w:tblStyle w:val="TableGrid"/>
        <w:tblW w:w="10191" w:type="dxa"/>
        <w:tblInd w:w="9" w:type="dxa"/>
        <w:tblCellMar>
          <w:top w:w="9" w:type="dxa"/>
          <w:left w:w="57" w:type="dxa"/>
          <w:bottom w:w="0" w:type="dxa"/>
          <w:right w:w="52" w:type="dxa"/>
        </w:tblCellMar>
        <w:tblLook w:val="04A0" w:firstRow="1" w:lastRow="0" w:firstColumn="1" w:lastColumn="0" w:noHBand="0" w:noVBand="1"/>
      </w:tblPr>
      <w:tblGrid>
        <w:gridCol w:w="843"/>
        <w:gridCol w:w="4674"/>
        <w:gridCol w:w="4674"/>
      </w:tblGrid>
      <w:tr w:rsidR="00D27BC6">
        <w:trPr>
          <w:trHeight w:val="537"/>
        </w:trPr>
        <w:tc>
          <w:tcPr>
            <w:tcW w:w="843"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36" w:right="0" w:firstLine="0"/>
            </w:pPr>
            <w:r>
              <w:rPr>
                <w:b/>
              </w:rPr>
              <w:t xml:space="preserve">Стадия </w:t>
            </w:r>
          </w:p>
          <w:p w:rsidR="00D27BC6" w:rsidRDefault="004D5071">
            <w:pPr>
              <w:spacing w:after="0" w:line="259" w:lineRule="auto"/>
              <w:ind w:left="0" w:right="4" w:firstLine="0"/>
              <w:jc w:val="center"/>
            </w:pPr>
            <w:r>
              <w:rPr>
                <w:b/>
              </w:rPr>
              <w:t>ДН</w:t>
            </w:r>
          </w:p>
        </w:tc>
        <w:tc>
          <w:tcPr>
            <w:tcW w:w="4674"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4" w:firstLine="0"/>
              <w:jc w:val="center"/>
            </w:pPr>
            <w:r>
              <w:rPr>
                <w:b/>
              </w:rPr>
              <w:t>Параметры контроля</w:t>
            </w:r>
          </w:p>
        </w:tc>
        <w:tc>
          <w:tcPr>
            <w:tcW w:w="4674"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4" w:firstLine="0"/>
              <w:jc w:val="center"/>
            </w:pPr>
            <w:r>
              <w:rPr>
                <w:b/>
              </w:rPr>
              <w:t>Частота определений</w:t>
            </w:r>
          </w:p>
        </w:tc>
      </w:tr>
      <w:tr w:rsidR="00D27BC6">
        <w:trPr>
          <w:trHeight w:val="256"/>
        </w:trPr>
        <w:tc>
          <w:tcPr>
            <w:tcW w:w="843"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ХБП C1-2 А2-3</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HbA1c</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1 раз в 3 мес.</w:t>
            </w:r>
          </w:p>
        </w:tc>
      </w:tr>
      <w:tr w:rsidR="00D27BC6">
        <w:trPr>
          <w:trHeight w:val="25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Альбуминурия (предпочтительно А/Кр)</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xml:space="preserve">2 раза в год </w:t>
            </w:r>
          </w:p>
        </w:tc>
      </w:tr>
      <w:tr w:rsidR="00D27BC6">
        <w:trPr>
          <w:trHeight w:val="25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АД</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Ежедневно</w:t>
            </w:r>
          </w:p>
        </w:tc>
      </w:tr>
      <w:tr w:rsidR="00D27BC6">
        <w:trPr>
          <w:trHeight w:val="25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Креатинин сыворотки, расчет СКФ</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1 раз в год</w:t>
            </w:r>
          </w:p>
        </w:tc>
      </w:tr>
      <w:tr w:rsidR="00D27BC6">
        <w:trPr>
          <w:trHeight w:val="61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 xml:space="preserve">• Липиды сыворотки </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1 раз в год при нормальных значениях; через 4–12 нед. в случае инициации терапии липидснижающими препаратами или изменения дозы, далее – 1 раз в год</w:t>
            </w:r>
          </w:p>
        </w:tc>
      </w:tr>
      <w:tr w:rsidR="00D27BC6">
        <w:trPr>
          <w:trHeight w:val="57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68"/>
              </w:numPr>
              <w:spacing w:after="0" w:line="259" w:lineRule="auto"/>
              <w:ind w:right="0" w:hanging="170"/>
              <w:jc w:val="left"/>
            </w:pPr>
            <w:r>
              <w:rPr>
                <w:sz w:val="16"/>
              </w:rPr>
              <w:t>Гемоглобин</w:t>
            </w:r>
          </w:p>
          <w:p w:rsidR="00D27BC6" w:rsidRDefault="004D5071">
            <w:pPr>
              <w:numPr>
                <w:ilvl w:val="0"/>
                <w:numId w:val="268"/>
              </w:numPr>
              <w:spacing w:after="0" w:line="259" w:lineRule="auto"/>
              <w:ind w:right="0" w:hanging="170"/>
              <w:jc w:val="left"/>
            </w:pPr>
            <w:r>
              <w:rPr>
                <w:sz w:val="16"/>
              </w:rPr>
              <w:t>Железо, ферритин сыворотки, насыщение трансферрина железом</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1 раз в год при наличии анемии</w:t>
            </w:r>
          </w:p>
        </w:tc>
      </w:tr>
      <w:tr w:rsidR="00D27BC6">
        <w:trPr>
          <w:trHeight w:val="25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xml:space="preserve">• </w:t>
            </w:r>
            <w:r>
              <w:rPr>
                <w:sz w:val="16"/>
              </w:rPr>
              <w:t>ЭКГ + нагрузочные тесты, Эхо-КГ</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Рекомендации кардиолога</w:t>
            </w:r>
          </w:p>
        </w:tc>
      </w:tr>
      <w:tr w:rsidR="00D27BC6">
        <w:trPr>
          <w:trHeight w:val="25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Глазное дно</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Рекомендации офтальмолога</w:t>
            </w:r>
          </w:p>
        </w:tc>
      </w:tr>
      <w:tr w:rsidR="00D27BC6">
        <w:trPr>
          <w:trHeight w:val="256"/>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Осмотр стоп</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При каждом посещении врача</w:t>
            </w:r>
          </w:p>
        </w:tc>
      </w:tr>
      <w:tr w:rsidR="00D27BC6">
        <w:trPr>
          <w:trHeight w:val="256"/>
        </w:trPr>
        <w:tc>
          <w:tcPr>
            <w:tcW w:w="843"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ХБП С3 А1-3</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HbA1c</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1 раз в 3 мес.</w:t>
            </w:r>
          </w:p>
        </w:tc>
      </w:tr>
      <w:tr w:rsidR="00D27BC6">
        <w:trPr>
          <w:trHeight w:val="25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Альбуминурия/протеинурия (предпочтительно А/Кр)</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xml:space="preserve">2 раза в год </w:t>
            </w:r>
          </w:p>
        </w:tc>
      </w:tr>
      <w:tr w:rsidR="00D27BC6">
        <w:trPr>
          <w:trHeight w:val="25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АД</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Ежедневно</w:t>
            </w:r>
          </w:p>
        </w:tc>
      </w:tr>
      <w:tr w:rsidR="00D27BC6">
        <w:trPr>
          <w:trHeight w:val="105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69"/>
              </w:numPr>
              <w:spacing w:after="0" w:line="259" w:lineRule="auto"/>
              <w:ind w:right="0" w:hanging="170"/>
              <w:jc w:val="left"/>
            </w:pPr>
            <w:r>
              <w:rPr>
                <w:sz w:val="16"/>
              </w:rPr>
              <w:t>Креатинин сыворотки, расчет СКФ</w:t>
            </w:r>
          </w:p>
          <w:p w:rsidR="00D27BC6" w:rsidRDefault="004D5071">
            <w:pPr>
              <w:numPr>
                <w:ilvl w:val="0"/>
                <w:numId w:val="269"/>
              </w:numPr>
              <w:spacing w:after="0" w:line="259" w:lineRule="auto"/>
              <w:ind w:right="0" w:hanging="170"/>
              <w:jc w:val="left"/>
            </w:pPr>
            <w:r>
              <w:rPr>
                <w:sz w:val="16"/>
              </w:rPr>
              <w:t>Альбумин сыворотки</w:t>
            </w:r>
          </w:p>
          <w:p w:rsidR="00D27BC6" w:rsidRDefault="004D5071">
            <w:pPr>
              <w:numPr>
                <w:ilvl w:val="0"/>
                <w:numId w:val="269"/>
              </w:numPr>
              <w:spacing w:after="0" w:line="259" w:lineRule="auto"/>
              <w:ind w:right="0" w:hanging="170"/>
              <w:jc w:val="left"/>
            </w:pPr>
            <w:r>
              <w:rPr>
                <w:sz w:val="16"/>
              </w:rPr>
              <w:t>Мочевая кислота сыворотки</w:t>
            </w:r>
          </w:p>
          <w:p w:rsidR="00D27BC6" w:rsidRDefault="004D5071">
            <w:pPr>
              <w:numPr>
                <w:ilvl w:val="0"/>
                <w:numId w:val="269"/>
              </w:numPr>
              <w:spacing w:after="0" w:line="259" w:lineRule="auto"/>
              <w:ind w:right="0" w:hanging="170"/>
              <w:jc w:val="left"/>
            </w:pPr>
            <w:r>
              <w:rPr>
                <w:sz w:val="16"/>
              </w:rPr>
              <w:t>Калий сыворотки</w:t>
            </w:r>
          </w:p>
          <w:p w:rsidR="00D27BC6" w:rsidRDefault="004D5071">
            <w:pPr>
              <w:numPr>
                <w:ilvl w:val="0"/>
                <w:numId w:val="269"/>
              </w:numPr>
              <w:spacing w:after="0" w:line="259" w:lineRule="auto"/>
              <w:ind w:right="0" w:hanging="170"/>
              <w:jc w:val="left"/>
            </w:pPr>
            <w:r>
              <w:rPr>
                <w:sz w:val="16"/>
              </w:rPr>
              <w:t>Кальций сыворотки (общий и ионизированный), фосфор сыворотки, паратгормон, 25(ОН) витамин D</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1 раз в 6–12 мес.</w:t>
            </w:r>
          </w:p>
        </w:tc>
      </w:tr>
      <w:tr w:rsidR="00D27BC6">
        <w:trPr>
          <w:trHeight w:val="57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 Липиды сыворотки</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1 раз в год при нормальных значениях; через 4–12 нед. в случае инициации терапии липидснижающими препаратами или изменения дозы, далее – 1 раз в год</w:t>
            </w:r>
          </w:p>
        </w:tc>
      </w:tr>
      <w:tr w:rsidR="00D27BC6">
        <w:trPr>
          <w:trHeight w:val="57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hanging="170"/>
              <w:jc w:val="left"/>
            </w:pPr>
            <w:r>
              <w:rPr>
                <w:sz w:val="16"/>
              </w:rPr>
              <w:t>• Минеральная плотность костей (рентгеноденситометрия) для оценки риска переломов (особенно при наличии ф</w:t>
            </w:r>
            <w:r>
              <w:rPr>
                <w:sz w:val="16"/>
              </w:rPr>
              <w:t>акторов риска), если это повлияет на принятие решения о лечении</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1 раз в год</w:t>
            </w:r>
          </w:p>
        </w:tc>
      </w:tr>
      <w:tr w:rsidR="00D27BC6">
        <w:trPr>
          <w:trHeight w:val="43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hanging="170"/>
              <w:jc w:val="left"/>
            </w:pPr>
            <w:r>
              <w:rPr>
                <w:sz w:val="16"/>
              </w:rPr>
              <w:t>• Рентгенография грудного и поясничного отделов позвоночника.</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По показаниям</w:t>
            </w:r>
          </w:p>
        </w:tc>
      </w:tr>
      <w:tr w:rsidR="00D27BC6">
        <w:trPr>
          <w:trHeight w:val="57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70"/>
              </w:numPr>
              <w:spacing w:after="0" w:line="259" w:lineRule="auto"/>
              <w:ind w:right="0" w:hanging="170"/>
              <w:jc w:val="left"/>
            </w:pPr>
            <w:r>
              <w:rPr>
                <w:sz w:val="16"/>
              </w:rPr>
              <w:t>Гемоглобин</w:t>
            </w:r>
          </w:p>
          <w:p w:rsidR="00D27BC6" w:rsidRDefault="004D5071">
            <w:pPr>
              <w:numPr>
                <w:ilvl w:val="0"/>
                <w:numId w:val="270"/>
              </w:numPr>
              <w:spacing w:after="0" w:line="259" w:lineRule="auto"/>
              <w:ind w:right="0" w:hanging="170"/>
              <w:jc w:val="left"/>
            </w:pPr>
            <w:r>
              <w:rPr>
                <w:sz w:val="16"/>
              </w:rPr>
              <w:t>Железо, ферритин сыворотки, насыщение трансферрина железом</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1 раз в 6 мес. (чаще – в начале лечения средствами, стимулирующими эритропоэз, и препаратами железа)</w:t>
            </w:r>
          </w:p>
        </w:tc>
      </w:tr>
      <w:tr w:rsidR="00D27BC6">
        <w:trPr>
          <w:trHeight w:val="25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ЭКГ + нагрузочные тесты, Эхо-КГ</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Рекомендации кардиолога</w:t>
            </w:r>
          </w:p>
        </w:tc>
      </w:tr>
      <w:tr w:rsidR="00D27BC6">
        <w:trPr>
          <w:trHeight w:val="25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Глазное дно</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Рекомендации офтальмолога</w:t>
            </w:r>
          </w:p>
        </w:tc>
      </w:tr>
      <w:tr w:rsidR="00D27BC6">
        <w:trPr>
          <w:trHeight w:val="256"/>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Исследование автономной и сенсорной нейропатии</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Рекомендации невролога</w:t>
            </w:r>
          </w:p>
        </w:tc>
      </w:tr>
      <w:tr w:rsidR="00D27BC6">
        <w:trPr>
          <w:trHeight w:val="256"/>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Осмотр стоп</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При каждом посещении врача</w:t>
            </w:r>
          </w:p>
        </w:tc>
      </w:tr>
    </w:tbl>
    <w:p w:rsidR="00D27BC6" w:rsidRDefault="00D27BC6">
      <w:pPr>
        <w:spacing w:after="0" w:line="259" w:lineRule="auto"/>
        <w:ind w:left="-848" w:right="13" w:firstLine="0"/>
        <w:jc w:val="left"/>
      </w:pPr>
    </w:p>
    <w:tbl>
      <w:tblPr>
        <w:tblStyle w:val="TableGrid"/>
        <w:tblW w:w="10191" w:type="dxa"/>
        <w:tblInd w:w="9" w:type="dxa"/>
        <w:tblCellMar>
          <w:top w:w="9" w:type="dxa"/>
          <w:left w:w="57" w:type="dxa"/>
          <w:bottom w:w="0" w:type="dxa"/>
          <w:right w:w="46" w:type="dxa"/>
        </w:tblCellMar>
        <w:tblLook w:val="04A0" w:firstRow="1" w:lastRow="0" w:firstColumn="1" w:lastColumn="0" w:noHBand="0" w:noVBand="1"/>
      </w:tblPr>
      <w:tblGrid>
        <w:gridCol w:w="843"/>
        <w:gridCol w:w="4674"/>
        <w:gridCol w:w="4674"/>
      </w:tblGrid>
      <w:tr w:rsidR="00D27BC6">
        <w:trPr>
          <w:trHeight w:val="537"/>
        </w:trPr>
        <w:tc>
          <w:tcPr>
            <w:tcW w:w="843"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36" w:right="0" w:firstLine="0"/>
            </w:pPr>
            <w:r>
              <w:rPr>
                <w:b/>
              </w:rPr>
              <w:t xml:space="preserve">Стадия </w:t>
            </w:r>
          </w:p>
          <w:p w:rsidR="00D27BC6" w:rsidRDefault="004D5071">
            <w:pPr>
              <w:spacing w:after="0" w:line="259" w:lineRule="auto"/>
              <w:ind w:left="0" w:right="10" w:firstLine="0"/>
              <w:jc w:val="center"/>
            </w:pPr>
            <w:r>
              <w:rPr>
                <w:b/>
              </w:rPr>
              <w:t>ДН</w:t>
            </w:r>
          </w:p>
        </w:tc>
        <w:tc>
          <w:tcPr>
            <w:tcW w:w="4674"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10" w:firstLine="0"/>
              <w:jc w:val="center"/>
            </w:pPr>
            <w:r>
              <w:rPr>
                <w:b/>
              </w:rPr>
              <w:t>Параметры контроля</w:t>
            </w:r>
          </w:p>
        </w:tc>
        <w:tc>
          <w:tcPr>
            <w:tcW w:w="4674"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10" w:firstLine="0"/>
              <w:jc w:val="center"/>
            </w:pPr>
            <w:r>
              <w:rPr>
                <w:b/>
              </w:rPr>
              <w:t>Частота определений</w:t>
            </w:r>
          </w:p>
        </w:tc>
      </w:tr>
      <w:tr w:rsidR="00D27BC6">
        <w:trPr>
          <w:trHeight w:val="267"/>
        </w:trPr>
        <w:tc>
          <w:tcPr>
            <w:tcW w:w="843"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ХБП С4 А1-3</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HbA1c</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1 раз в 3 мес.</w:t>
            </w:r>
          </w:p>
        </w:tc>
      </w:tr>
      <w:tr w:rsidR="00D27BC6">
        <w:trPr>
          <w:trHeight w:val="2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Альбуминурия/протеинурия (предпочтительно А/Кр)</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xml:space="preserve">2 раза в год </w:t>
            </w:r>
          </w:p>
        </w:tc>
      </w:tr>
      <w:tr w:rsidR="00D27BC6">
        <w:trPr>
          <w:trHeight w:val="2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АД</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Ежедневно</w:t>
            </w:r>
          </w:p>
        </w:tc>
      </w:tr>
      <w:tr w:rsidR="00D27BC6">
        <w:trPr>
          <w:trHeight w:val="8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71"/>
              </w:numPr>
              <w:spacing w:after="0" w:line="259" w:lineRule="auto"/>
              <w:ind w:right="0" w:hanging="170"/>
              <w:jc w:val="left"/>
            </w:pPr>
            <w:r>
              <w:rPr>
                <w:sz w:val="16"/>
              </w:rPr>
              <w:t>Креатинин сыворотки, расчет СКФ</w:t>
            </w:r>
          </w:p>
          <w:p w:rsidR="00D27BC6" w:rsidRDefault="004D5071">
            <w:pPr>
              <w:numPr>
                <w:ilvl w:val="0"/>
                <w:numId w:val="271"/>
              </w:numPr>
              <w:spacing w:after="0" w:line="259" w:lineRule="auto"/>
              <w:ind w:right="0" w:hanging="170"/>
              <w:jc w:val="left"/>
            </w:pPr>
            <w:r>
              <w:rPr>
                <w:sz w:val="16"/>
              </w:rPr>
              <w:t>Альбумин сыворотки</w:t>
            </w:r>
          </w:p>
          <w:p w:rsidR="00D27BC6" w:rsidRDefault="004D5071">
            <w:pPr>
              <w:numPr>
                <w:ilvl w:val="0"/>
                <w:numId w:val="271"/>
              </w:numPr>
              <w:spacing w:after="0" w:line="259" w:lineRule="auto"/>
              <w:ind w:right="0" w:hanging="170"/>
              <w:jc w:val="left"/>
            </w:pPr>
            <w:r>
              <w:rPr>
                <w:sz w:val="16"/>
              </w:rPr>
              <w:t>Мочевая кислота сыворотки</w:t>
            </w:r>
          </w:p>
          <w:p w:rsidR="00D27BC6" w:rsidRDefault="004D5071">
            <w:pPr>
              <w:numPr>
                <w:ilvl w:val="0"/>
                <w:numId w:val="271"/>
              </w:numPr>
              <w:spacing w:after="0" w:line="259" w:lineRule="auto"/>
              <w:ind w:right="0" w:hanging="170"/>
              <w:jc w:val="left"/>
            </w:pPr>
            <w:r>
              <w:rPr>
                <w:sz w:val="16"/>
              </w:rPr>
              <w:t>Калий сыворотки</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1 раз в 3 мес.</w:t>
            </w:r>
          </w:p>
        </w:tc>
      </w:tr>
      <w:tr w:rsidR="00D27BC6">
        <w:trPr>
          <w:trHeight w:val="6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72"/>
              </w:numPr>
              <w:spacing w:after="0" w:line="246" w:lineRule="auto"/>
              <w:ind w:right="0" w:hanging="170"/>
              <w:jc w:val="left"/>
            </w:pPr>
            <w:r>
              <w:rPr>
                <w:sz w:val="16"/>
              </w:rPr>
              <w:t>Кальций сыворотки (общий и ионизированный), фосфор сыворотки, ЩФ, паратгормон, 25(ОН) витамин D</w:t>
            </w:r>
          </w:p>
          <w:p w:rsidR="00D27BC6" w:rsidRDefault="004D5071">
            <w:pPr>
              <w:numPr>
                <w:ilvl w:val="0"/>
                <w:numId w:val="272"/>
              </w:numPr>
              <w:spacing w:after="0" w:line="259" w:lineRule="auto"/>
              <w:ind w:right="0" w:hanging="170"/>
              <w:jc w:val="left"/>
            </w:pPr>
            <w:r>
              <w:rPr>
                <w:sz w:val="16"/>
              </w:rPr>
              <w:t>Диагностика кальцификации сосудов</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1 раз в 6–12 мес.</w:t>
            </w:r>
          </w:p>
        </w:tc>
      </w:tr>
      <w:tr w:rsidR="00D27BC6">
        <w:trPr>
          <w:trHeight w:val="6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 Липиды сыворотки</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xml:space="preserve">1 раз в 6 мес. при нормальных значениях; через 4–12 нед. </w:t>
            </w:r>
          </w:p>
          <w:p w:rsidR="00D27BC6" w:rsidRDefault="004D5071">
            <w:pPr>
              <w:spacing w:after="0" w:line="259" w:lineRule="auto"/>
              <w:ind w:left="0" w:right="0" w:firstLine="0"/>
              <w:jc w:val="left"/>
            </w:pPr>
            <w:r>
              <w:rPr>
                <w:sz w:val="16"/>
              </w:rPr>
              <w:t>в случае инициации терапии липидснижающими препаратами или изменения дозы, далее – 1 раз в 6 мес.</w:t>
            </w:r>
          </w:p>
        </w:tc>
      </w:tr>
      <w:tr w:rsidR="00D27BC6">
        <w:trPr>
          <w:trHeight w:val="6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hanging="170"/>
              <w:jc w:val="left"/>
            </w:pPr>
            <w:r>
              <w:rPr>
                <w:sz w:val="16"/>
              </w:rPr>
              <w:t xml:space="preserve">• </w:t>
            </w:r>
            <w:r>
              <w:rPr>
                <w:sz w:val="16"/>
              </w:rPr>
              <w:t>Минеральная плотность костей для оценки риска переломов (особенно при наличии факторов риска), если это повлияет на принятие решения о лечении</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1 раз в год</w:t>
            </w:r>
          </w:p>
        </w:tc>
      </w:tr>
      <w:tr w:rsidR="00D27BC6">
        <w:trPr>
          <w:trHeight w:val="4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hanging="170"/>
              <w:jc w:val="left"/>
            </w:pPr>
            <w:r>
              <w:rPr>
                <w:sz w:val="16"/>
              </w:rPr>
              <w:t>• Рентгенография грудного и поясничного отделов позвоночника.</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По показаниям</w:t>
            </w:r>
          </w:p>
        </w:tc>
      </w:tr>
      <w:tr w:rsidR="00D27BC6">
        <w:trPr>
          <w:trHeight w:val="6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273"/>
              </w:numPr>
              <w:spacing w:after="0" w:line="259" w:lineRule="auto"/>
              <w:ind w:right="0" w:hanging="170"/>
              <w:jc w:val="left"/>
            </w:pPr>
            <w:r>
              <w:rPr>
                <w:sz w:val="16"/>
              </w:rPr>
              <w:t>Гемоглобин</w:t>
            </w:r>
          </w:p>
          <w:p w:rsidR="00D27BC6" w:rsidRDefault="004D5071">
            <w:pPr>
              <w:numPr>
                <w:ilvl w:val="0"/>
                <w:numId w:val="273"/>
              </w:numPr>
              <w:spacing w:after="0" w:line="259" w:lineRule="auto"/>
              <w:ind w:right="0" w:hanging="170"/>
              <w:jc w:val="left"/>
            </w:pPr>
            <w:r>
              <w:rPr>
                <w:sz w:val="16"/>
              </w:rPr>
              <w:t>Железо, ферритин плазмы, насыщение трансферрина железом</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1 раз в 3 мес. (1 раз в мес. – в начале лечения средствами, стимулирующими эритропоэз, и препаратами железа)</w:t>
            </w:r>
          </w:p>
        </w:tc>
      </w:tr>
      <w:tr w:rsidR="00D27BC6">
        <w:trPr>
          <w:trHeight w:val="2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ЭКГ + нагрузочные тесты, Эхо-КГ</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Рекомендации кардиолога</w:t>
            </w:r>
          </w:p>
        </w:tc>
      </w:tr>
      <w:tr w:rsidR="00D27BC6">
        <w:trPr>
          <w:trHeight w:val="2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Глазное дно</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Рекомендации офтальмолога</w:t>
            </w:r>
          </w:p>
        </w:tc>
      </w:tr>
      <w:tr w:rsidR="00D27BC6">
        <w:trPr>
          <w:trHeight w:val="2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Исследование автономной и сенсорной нейропатии</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Рекомендации невролога</w:t>
            </w:r>
          </w:p>
        </w:tc>
      </w:tr>
      <w:tr w:rsidR="00D27BC6">
        <w:trPr>
          <w:trHeight w:val="2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Осмотр стоп</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При каждом посещении врача</w:t>
            </w:r>
          </w:p>
        </w:tc>
      </w:tr>
      <w:tr w:rsidR="00D27BC6">
        <w:trPr>
          <w:trHeight w:val="2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Консультация нефролога</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1 раз в 3 мес.</w:t>
            </w:r>
          </w:p>
        </w:tc>
      </w:tr>
      <w:tr w:rsidR="00D27BC6">
        <w:trPr>
          <w:trHeight w:val="667"/>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hanging="170"/>
              <w:jc w:val="left"/>
            </w:pPr>
            <w:r>
              <w:rPr>
                <w:sz w:val="16"/>
              </w:rPr>
              <w:t xml:space="preserve">• </w:t>
            </w:r>
            <w:r>
              <w:rPr>
                <w:sz w:val="16"/>
              </w:rPr>
              <w:t>Маркеры вирусных гепатитов (определение антигена (HbsAg) вируса гепатита В (Hepatitis B virus) в крови, антител к вирусу гепатита С (Hepatitis C virus) в крови)</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1 раз в 6 мес.</w:t>
            </w:r>
          </w:p>
        </w:tc>
      </w:tr>
      <w:tr w:rsidR="00D27BC6">
        <w:trPr>
          <w:trHeight w:val="267"/>
        </w:trPr>
        <w:tc>
          <w:tcPr>
            <w:tcW w:w="843"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29" w:line="259" w:lineRule="auto"/>
              <w:ind w:left="0" w:right="0" w:firstLine="0"/>
              <w:jc w:val="left"/>
            </w:pPr>
            <w:r>
              <w:rPr>
                <w:sz w:val="16"/>
              </w:rPr>
              <w:t>ХБП С5</w:t>
            </w:r>
          </w:p>
          <w:p w:rsidR="00D27BC6" w:rsidRDefault="004D5071">
            <w:pPr>
              <w:spacing w:after="29" w:line="259" w:lineRule="auto"/>
              <w:ind w:left="0" w:right="0" w:firstLine="0"/>
              <w:jc w:val="left"/>
            </w:pPr>
            <w:r>
              <w:rPr>
                <w:sz w:val="16"/>
              </w:rPr>
              <w:t xml:space="preserve">А1-3 </w:t>
            </w:r>
          </w:p>
          <w:p w:rsidR="00D27BC6" w:rsidRDefault="004D5071">
            <w:pPr>
              <w:spacing w:after="0" w:line="259" w:lineRule="auto"/>
              <w:ind w:left="0" w:right="0" w:firstLine="0"/>
              <w:jc w:val="left"/>
            </w:pPr>
            <w:r>
              <w:rPr>
                <w:sz w:val="16"/>
              </w:rPr>
              <w:t>(без ЗПТ)</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HbA1c</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1 раз в 3 мес.</w:t>
            </w:r>
          </w:p>
        </w:tc>
      </w:tr>
      <w:tr w:rsidR="00D27BC6">
        <w:trPr>
          <w:trHeight w:val="2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xml:space="preserve">• </w:t>
            </w:r>
            <w:r>
              <w:rPr>
                <w:sz w:val="16"/>
              </w:rPr>
              <w:t>Альбуминурия (предпочтительно А/Кр)</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1 раз в 3 мес.</w:t>
            </w:r>
          </w:p>
        </w:tc>
      </w:tr>
      <w:tr w:rsidR="00D27BC6">
        <w:trPr>
          <w:trHeight w:val="2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АД</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Ежедневно</w:t>
            </w:r>
          </w:p>
        </w:tc>
      </w:tr>
      <w:tr w:rsidR="00D27BC6">
        <w:trPr>
          <w:trHeight w:val="2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Креатинин сыворотки, расчет СКФ</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1 раз в мес.</w:t>
            </w:r>
          </w:p>
        </w:tc>
      </w:tr>
      <w:tr w:rsidR="00D27BC6">
        <w:trPr>
          <w:trHeight w:val="6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74"/>
              </w:numPr>
              <w:spacing w:after="0" w:line="259" w:lineRule="auto"/>
              <w:ind w:right="0" w:hanging="170"/>
              <w:jc w:val="left"/>
            </w:pPr>
            <w:r>
              <w:rPr>
                <w:sz w:val="16"/>
              </w:rPr>
              <w:t xml:space="preserve">Альбумин сыворотки, </w:t>
            </w:r>
          </w:p>
          <w:p w:rsidR="00D27BC6" w:rsidRDefault="004D5071">
            <w:pPr>
              <w:numPr>
                <w:ilvl w:val="0"/>
                <w:numId w:val="274"/>
              </w:numPr>
              <w:spacing w:after="0" w:line="259" w:lineRule="auto"/>
              <w:ind w:right="0" w:hanging="170"/>
              <w:jc w:val="left"/>
            </w:pPr>
            <w:r>
              <w:rPr>
                <w:sz w:val="16"/>
              </w:rPr>
              <w:t>Мочевая кислота сыворотки</w:t>
            </w:r>
          </w:p>
          <w:p w:rsidR="00D27BC6" w:rsidRDefault="004D5071">
            <w:pPr>
              <w:numPr>
                <w:ilvl w:val="0"/>
                <w:numId w:val="274"/>
              </w:numPr>
              <w:spacing w:after="0" w:line="259" w:lineRule="auto"/>
              <w:ind w:right="0" w:hanging="170"/>
              <w:jc w:val="left"/>
            </w:pPr>
            <w:r>
              <w:rPr>
                <w:sz w:val="16"/>
              </w:rPr>
              <w:t>Калий сыворотки</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1 раз в 3 мес.</w:t>
            </w:r>
          </w:p>
        </w:tc>
      </w:tr>
      <w:tr w:rsidR="00D27BC6">
        <w:trPr>
          <w:trHeight w:val="4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hanging="170"/>
              <w:jc w:val="left"/>
            </w:pPr>
            <w:r>
              <w:rPr>
                <w:sz w:val="16"/>
              </w:rPr>
              <w:t xml:space="preserve">• </w:t>
            </w:r>
            <w:r>
              <w:rPr>
                <w:sz w:val="16"/>
              </w:rPr>
              <w:t>Кальций сыворотки (общий и ионизированный), фосфор сыворотки, ЩФ, паратгормон, 25 (ОН) витамин D</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1 раз в 3 мес.</w:t>
            </w:r>
          </w:p>
        </w:tc>
      </w:tr>
      <w:tr w:rsidR="00D27BC6">
        <w:trPr>
          <w:trHeight w:val="2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Диагностика кальцификации сосудов</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1 раз в 6 мес.</w:t>
            </w:r>
          </w:p>
        </w:tc>
      </w:tr>
      <w:tr w:rsidR="00D27BC6">
        <w:trPr>
          <w:trHeight w:val="667"/>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 Липиды сыворотки</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xml:space="preserve">1 раз в 6 мес. при нормальных значениях; через 4–12 нед. </w:t>
            </w:r>
          </w:p>
          <w:p w:rsidR="00D27BC6" w:rsidRDefault="004D5071">
            <w:pPr>
              <w:spacing w:after="0" w:line="259" w:lineRule="auto"/>
              <w:ind w:left="0" w:right="0" w:firstLine="0"/>
              <w:jc w:val="left"/>
            </w:pPr>
            <w:r>
              <w:rPr>
                <w:sz w:val="16"/>
              </w:rPr>
              <w:t>в случае инициации терапии липидснижающими препаратами или изменения дозы, далее – 1 раз в 6 мес.</w:t>
            </w:r>
          </w:p>
        </w:tc>
      </w:tr>
      <w:tr w:rsidR="00D27BC6">
        <w:trPr>
          <w:trHeight w:val="667"/>
        </w:trPr>
        <w:tc>
          <w:tcPr>
            <w:tcW w:w="843"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29" w:line="259" w:lineRule="auto"/>
              <w:ind w:left="0" w:right="0" w:firstLine="0"/>
              <w:jc w:val="left"/>
            </w:pPr>
            <w:r>
              <w:rPr>
                <w:sz w:val="16"/>
              </w:rPr>
              <w:t>ХБП С5</w:t>
            </w:r>
          </w:p>
          <w:p w:rsidR="00D27BC6" w:rsidRDefault="004D5071">
            <w:pPr>
              <w:spacing w:after="29" w:line="259" w:lineRule="auto"/>
              <w:ind w:left="0" w:right="0" w:firstLine="0"/>
              <w:jc w:val="left"/>
            </w:pPr>
            <w:r>
              <w:rPr>
                <w:sz w:val="16"/>
              </w:rPr>
              <w:t xml:space="preserve">А1-3 </w:t>
            </w:r>
          </w:p>
          <w:p w:rsidR="00D27BC6" w:rsidRDefault="004D5071">
            <w:pPr>
              <w:spacing w:after="0" w:line="259" w:lineRule="auto"/>
              <w:ind w:left="0" w:right="0" w:firstLine="0"/>
              <w:jc w:val="left"/>
            </w:pPr>
            <w:r>
              <w:rPr>
                <w:sz w:val="16"/>
              </w:rPr>
              <w:t>(без ЗПТ)</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275"/>
              </w:numPr>
              <w:spacing w:after="0" w:line="259" w:lineRule="auto"/>
              <w:ind w:right="0" w:hanging="170"/>
              <w:jc w:val="left"/>
            </w:pPr>
            <w:r>
              <w:rPr>
                <w:sz w:val="16"/>
              </w:rPr>
              <w:t>Гемоглобин</w:t>
            </w:r>
          </w:p>
          <w:p w:rsidR="00D27BC6" w:rsidRDefault="004D5071">
            <w:pPr>
              <w:numPr>
                <w:ilvl w:val="0"/>
                <w:numId w:val="275"/>
              </w:numPr>
              <w:spacing w:after="0" w:line="259" w:lineRule="auto"/>
              <w:ind w:right="0" w:hanging="170"/>
              <w:jc w:val="left"/>
            </w:pPr>
            <w:r>
              <w:rPr>
                <w:sz w:val="16"/>
              </w:rPr>
              <w:t>Железо, ферритин плазмы, насыщение трансферрина железом</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1 раз в 3 мес. (1 раз в мес. – в начале лечения средствами, стимулирующими эритропоэз и препаратами железа)</w:t>
            </w:r>
          </w:p>
        </w:tc>
      </w:tr>
      <w:tr w:rsidR="00D27BC6">
        <w:trPr>
          <w:trHeight w:val="6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hanging="170"/>
              <w:jc w:val="left"/>
            </w:pPr>
            <w:r>
              <w:rPr>
                <w:sz w:val="16"/>
              </w:rPr>
              <w:t>• Минеральная плотность костей для оценки риска переломов (особенно при наличии факторов риска), если это повлияет на принятие решения о лечении</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1</w:t>
            </w:r>
            <w:r>
              <w:rPr>
                <w:sz w:val="16"/>
              </w:rPr>
              <w:t xml:space="preserve"> раз в год</w:t>
            </w:r>
          </w:p>
        </w:tc>
      </w:tr>
      <w:tr w:rsidR="00D27BC6">
        <w:trPr>
          <w:trHeight w:val="4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hanging="170"/>
              <w:jc w:val="left"/>
            </w:pPr>
            <w:r>
              <w:rPr>
                <w:sz w:val="16"/>
              </w:rPr>
              <w:t>• Рентгенография грудного и поясничного отделов позвоночника.</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По показаниям</w:t>
            </w:r>
          </w:p>
        </w:tc>
      </w:tr>
      <w:tr w:rsidR="00D27BC6">
        <w:trPr>
          <w:trHeight w:val="2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ЭКГ + нагрузочные тесты, Эхо-КГ</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Рекомендации кардиолога</w:t>
            </w:r>
          </w:p>
        </w:tc>
      </w:tr>
      <w:tr w:rsidR="00D27BC6">
        <w:trPr>
          <w:trHeight w:val="2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Глазное дно</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Рекомендации офтальмолога</w:t>
            </w:r>
          </w:p>
        </w:tc>
      </w:tr>
      <w:tr w:rsidR="00D27BC6">
        <w:trPr>
          <w:trHeight w:val="2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Исследование автономной и сенсорной нейропатии</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Рекомендации невролога</w:t>
            </w:r>
          </w:p>
        </w:tc>
      </w:tr>
      <w:tr w:rsidR="00D27BC6">
        <w:trPr>
          <w:trHeight w:val="2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Осмотр стоп</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При каждом посещении врача</w:t>
            </w:r>
          </w:p>
        </w:tc>
      </w:tr>
      <w:tr w:rsidR="00D27BC6">
        <w:trPr>
          <w:trHeight w:val="26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 Консультация нефролога</w:t>
            </w: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1 раз в 3 мес.</w:t>
            </w:r>
          </w:p>
        </w:tc>
      </w:tr>
      <w:tr w:rsidR="00D27BC6">
        <w:trPr>
          <w:trHeight w:val="667"/>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46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hanging="170"/>
              <w:jc w:val="left"/>
            </w:pPr>
            <w:r>
              <w:rPr>
                <w:sz w:val="16"/>
              </w:rPr>
              <w:t xml:space="preserve">• </w:t>
            </w:r>
            <w:r>
              <w:rPr>
                <w:sz w:val="16"/>
              </w:rPr>
              <w:t>Маркеры вирусных гепатитов (определение антигена (HbsAg) вируса гепатита В (Hepatitis B virus) в крови, антител к вирусу гепатита С (Hepatitis C virus) в крови)</w:t>
            </w:r>
          </w:p>
        </w:tc>
        <w:tc>
          <w:tcPr>
            <w:tcW w:w="467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1 раз в 6 мес.</w:t>
            </w:r>
          </w:p>
        </w:tc>
      </w:tr>
    </w:tbl>
    <w:p w:rsidR="00D27BC6" w:rsidRDefault="004D5071">
      <w:pPr>
        <w:spacing w:after="243" w:line="259" w:lineRule="auto"/>
        <w:ind w:left="10" w:right="4"/>
        <w:jc w:val="center"/>
      </w:pPr>
      <w:r>
        <w:rPr>
          <w:b/>
          <w:color w:val="6F6F6E"/>
          <w:sz w:val="18"/>
          <w:u w:val="single" w:color="6F6F6E"/>
        </w:rPr>
        <w:t>ЛЕЧЕНИЕ ДН</w:t>
      </w:r>
    </w:p>
    <w:p w:rsidR="00D27BC6" w:rsidRDefault="004D5071">
      <w:pPr>
        <w:ind w:left="-11" w:right="0" w:firstLine="283"/>
      </w:pPr>
      <w:r>
        <w:t>Всех пациентов с СД 1 типа и СД 2 типа и ХБП следует лечить по комплексному плану для оптимизации питания, физической активности, отказа от курения и снижения веса (при избытке или ожирении). Фармакологические методы лечения, основанные на доказательствах,</w:t>
      </w:r>
      <w:r>
        <w:t xml:space="preserve"> направлены на сохранение функции органов, улучшение кардиоваскулярного прогноза, нормализацию активности РААС и достижение промежуточных целевых показателей гликемии, АД и липидов, контроль хронического воспаления и фиброза, предотвращение развития и прог</w:t>
      </w:r>
      <w:r>
        <w:t>рессирования осложнений ХБП (анемии, электролитных нарушений, минерально-костных нарушений и др.), отсрочку инициации ЗПТ.</w:t>
      </w:r>
    </w:p>
    <w:tbl>
      <w:tblPr>
        <w:tblStyle w:val="TableGrid"/>
        <w:tblW w:w="10191" w:type="dxa"/>
        <w:tblInd w:w="9" w:type="dxa"/>
        <w:tblCellMar>
          <w:top w:w="0" w:type="dxa"/>
          <w:left w:w="0" w:type="dxa"/>
          <w:bottom w:w="0" w:type="dxa"/>
          <w:right w:w="17" w:type="dxa"/>
        </w:tblCellMar>
        <w:tblLook w:val="04A0" w:firstRow="1" w:lastRow="0" w:firstColumn="1" w:lastColumn="0" w:noHBand="0" w:noVBand="1"/>
      </w:tblPr>
      <w:tblGrid>
        <w:gridCol w:w="843"/>
        <w:gridCol w:w="9347"/>
      </w:tblGrid>
      <w:tr w:rsidR="00D27BC6">
        <w:trPr>
          <w:trHeight w:val="560"/>
        </w:trPr>
        <w:tc>
          <w:tcPr>
            <w:tcW w:w="843"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36" w:right="0" w:firstLine="0"/>
            </w:pPr>
            <w:r>
              <w:rPr>
                <w:b/>
              </w:rPr>
              <w:t xml:space="preserve">Стадия </w:t>
            </w:r>
          </w:p>
          <w:p w:rsidR="00D27BC6" w:rsidRDefault="004D5071">
            <w:pPr>
              <w:spacing w:after="0" w:line="259" w:lineRule="auto"/>
              <w:ind w:left="0" w:right="40" w:firstLine="0"/>
              <w:jc w:val="center"/>
            </w:pPr>
            <w:r>
              <w:rPr>
                <w:b/>
              </w:rPr>
              <w:t>ДН</w:t>
            </w:r>
          </w:p>
        </w:tc>
        <w:tc>
          <w:tcPr>
            <w:tcW w:w="9347"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40" w:firstLine="0"/>
              <w:jc w:val="center"/>
            </w:pPr>
            <w:r>
              <w:rPr>
                <w:b/>
              </w:rPr>
              <w:t>Принципы лечения</w:t>
            </w:r>
          </w:p>
        </w:tc>
      </w:tr>
      <w:tr w:rsidR="00D27BC6">
        <w:trPr>
          <w:trHeight w:val="5927"/>
        </w:trPr>
        <w:tc>
          <w:tcPr>
            <w:tcW w:w="843"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ХБП </w:t>
            </w:r>
          </w:p>
          <w:p w:rsidR="00D27BC6" w:rsidRDefault="004D5071">
            <w:pPr>
              <w:spacing w:after="0" w:line="259" w:lineRule="auto"/>
              <w:ind w:left="0" w:right="0" w:firstLine="0"/>
              <w:jc w:val="left"/>
            </w:pPr>
            <w:r>
              <w:t>С1-3 А2</w:t>
            </w:r>
          </w:p>
        </w:tc>
        <w:tc>
          <w:tcPr>
            <w:tcW w:w="934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76"/>
              </w:numPr>
              <w:spacing w:after="47" w:line="216" w:lineRule="auto"/>
              <w:ind w:right="0" w:hanging="170"/>
              <w:jc w:val="left"/>
            </w:pPr>
            <w:r>
              <w:t>Оптимизация контроля гликемии. Целевой индивидуальный уровень HbA1c не отличается от общей популяции пациентов с СД. Для пациентов с СД 2 типа рассмотреть возможность применения иНГЛТ-2, показавших снижение риска прогрессирования ХБП и развития кардиоваску</w:t>
            </w:r>
            <w:r>
              <w:t>лярных событий независимо от уровня HbA1c или необходимости дополнительного снижения уровня глюкозы (предпочтительно канаглифлозин, дапаглифлозин, эмпаглифлозин). При недостижении индивидуального целевого контроля гликемии при применении иНГЛТ-2, их непере</w:t>
            </w:r>
            <w:r>
              <w:t>носимости или наличия противопоказаний рассмотреть возможность применения арГПП-1, показавших снижение риска прогрессирования ХБП и развития кардиоваскулярных событий. Дополнительные сахароснижающие препараты могут быть добавлены пациентам с СД 2 типа по м</w:t>
            </w:r>
            <w:r>
              <w:t>ере необходимости для достижения индивидуальных целевых показателей гликемии с учетом особенностей пациента и рСКФ.</w:t>
            </w:r>
          </w:p>
          <w:p w:rsidR="00D27BC6" w:rsidRDefault="004D5071">
            <w:pPr>
              <w:numPr>
                <w:ilvl w:val="0"/>
                <w:numId w:val="276"/>
              </w:numPr>
              <w:spacing w:after="47" w:line="216" w:lineRule="auto"/>
              <w:ind w:right="0" w:hanging="170"/>
              <w:jc w:val="left"/>
            </w:pPr>
            <w:r>
              <w:t>Финеренон пациентам с нормальной концентрацией калия в сыворотке для снижения риска прогрессирования ХБП и развития кардиоваскулярных событи</w:t>
            </w:r>
            <w:r>
              <w:t>й</w:t>
            </w:r>
          </w:p>
          <w:p w:rsidR="00D27BC6" w:rsidRDefault="004D5071">
            <w:pPr>
              <w:numPr>
                <w:ilvl w:val="0"/>
                <w:numId w:val="276"/>
              </w:numPr>
              <w:spacing w:after="3" w:line="259" w:lineRule="auto"/>
              <w:ind w:right="0" w:hanging="170"/>
              <w:jc w:val="left"/>
            </w:pPr>
            <w:r>
              <w:t>Контроль статуса питания.</w:t>
            </w:r>
          </w:p>
          <w:p w:rsidR="00D27BC6" w:rsidRDefault="004D5071">
            <w:pPr>
              <w:numPr>
                <w:ilvl w:val="0"/>
                <w:numId w:val="276"/>
              </w:numPr>
              <w:spacing w:after="3" w:line="259" w:lineRule="auto"/>
              <w:ind w:right="0" w:hanging="170"/>
              <w:jc w:val="left"/>
            </w:pPr>
            <w:r>
              <w:t>Ограничение натрия до 2,3 г/сут (поваренной соли до 5 г/сут).</w:t>
            </w:r>
          </w:p>
          <w:p w:rsidR="00D27BC6" w:rsidRDefault="004D5071">
            <w:pPr>
              <w:numPr>
                <w:ilvl w:val="0"/>
                <w:numId w:val="276"/>
              </w:numPr>
              <w:spacing w:after="47" w:line="216" w:lineRule="auto"/>
              <w:ind w:right="0" w:hanging="170"/>
              <w:jc w:val="left"/>
            </w:pPr>
            <w:r>
              <w:t xml:space="preserve">Оптимизация контроля АД для снижения риска прогрессирования ХБП. Целевой уровень АД &lt;130/80 мм рт.ст. может рассматриваться на основании индивидуальных ожидаемых преимуществ и рисков. </w:t>
            </w:r>
          </w:p>
          <w:p w:rsidR="00D27BC6" w:rsidRDefault="004D5071">
            <w:pPr>
              <w:numPr>
                <w:ilvl w:val="0"/>
                <w:numId w:val="276"/>
              </w:numPr>
              <w:spacing w:after="47" w:line="216" w:lineRule="auto"/>
              <w:ind w:right="0" w:hanging="170"/>
              <w:jc w:val="left"/>
            </w:pPr>
            <w:r>
              <w:t>Для небеременных пациентов препараты выбора: иАПФ или БРА под контролем</w:t>
            </w:r>
            <w:r>
              <w:t xml:space="preserve"> креатинина и калия сыворотки с титрованием до максимально переносимой дозы.</w:t>
            </w:r>
          </w:p>
          <w:p w:rsidR="00D27BC6" w:rsidRDefault="004D5071">
            <w:pPr>
              <w:numPr>
                <w:ilvl w:val="0"/>
                <w:numId w:val="276"/>
              </w:numPr>
              <w:spacing w:after="3" w:line="259" w:lineRule="auto"/>
              <w:ind w:right="0" w:hanging="170"/>
              <w:jc w:val="left"/>
            </w:pPr>
            <w:r>
              <w:t>Коррекция дислипидемии (статины, эзетимиб, ингибиторы PCSK-9).</w:t>
            </w:r>
          </w:p>
          <w:p w:rsidR="00D27BC6" w:rsidRDefault="004D5071">
            <w:pPr>
              <w:numPr>
                <w:ilvl w:val="0"/>
                <w:numId w:val="276"/>
              </w:numPr>
              <w:spacing w:after="3" w:line="259" w:lineRule="auto"/>
              <w:ind w:right="0" w:hanging="170"/>
              <w:jc w:val="left"/>
            </w:pPr>
            <w:r>
              <w:t>Коррекция анемии (средства, стимулирующие эритропоэз, препараты железа).</w:t>
            </w:r>
          </w:p>
          <w:p w:rsidR="00D27BC6" w:rsidRDefault="004D5071">
            <w:pPr>
              <w:numPr>
                <w:ilvl w:val="0"/>
                <w:numId w:val="276"/>
              </w:numPr>
              <w:spacing w:after="47" w:line="216" w:lineRule="auto"/>
              <w:ind w:right="0" w:hanging="170"/>
              <w:jc w:val="left"/>
            </w:pPr>
            <w:r>
              <w:t>Коррекция минерально-костных нарушений (в случае дефицита/недостаточности 25(ОН) витамина D компенсировать также, как в общей популяции).</w:t>
            </w:r>
          </w:p>
          <w:p w:rsidR="00D27BC6" w:rsidRDefault="004D5071">
            <w:pPr>
              <w:numPr>
                <w:ilvl w:val="0"/>
                <w:numId w:val="276"/>
              </w:numPr>
              <w:spacing w:after="47" w:line="216" w:lineRule="auto"/>
              <w:ind w:right="0" w:hanging="170"/>
              <w:jc w:val="left"/>
            </w:pPr>
            <w:r>
              <w:t>Избегать применения нефротоксических средств (аминогликозиды, нестероидные противовоспалительные препараты).</w:t>
            </w:r>
          </w:p>
          <w:p w:rsidR="00D27BC6" w:rsidRDefault="004D5071">
            <w:pPr>
              <w:numPr>
                <w:ilvl w:val="0"/>
                <w:numId w:val="276"/>
              </w:numPr>
              <w:spacing w:after="0" w:line="259" w:lineRule="auto"/>
              <w:ind w:right="0" w:hanging="170"/>
              <w:jc w:val="left"/>
            </w:pPr>
            <w:r>
              <w:t>Осторожно</w:t>
            </w:r>
            <w:r>
              <w:t>сть при проведении рентгеноконтрастных процедур.</w:t>
            </w:r>
          </w:p>
        </w:tc>
      </w:tr>
      <w:tr w:rsidR="00D27BC6">
        <w:trPr>
          <w:trHeight w:val="5927"/>
        </w:trPr>
        <w:tc>
          <w:tcPr>
            <w:tcW w:w="843"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ХБП </w:t>
            </w:r>
          </w:p>
          <w:p w:rsidR="00D27BC6" w:rsidRDefault="004D5071">
            <w:pPr>
              <w:spacing w:after="0" w:line="259" w:lineRule="auto"/>
              <w:ind w:left="0" w:right="0" w:firstLine="0"/>
              <w:jc w:val="left"/>
            </w:pPr>
            <w:r>
              <w:t>С1-3 А3</w:t>
            </w:r>
          </w:p>
        </w:tc>
        <w:tc>
          <w:tcPr>
            <w:tcW w:w="934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77"/>
              </w:numPr>
              <w:spacing w:after="47" w:line="216" w:lineRule="auto"/>
              <w:ind w:right="0" w:hanging="170"/>
              <w:jc w:val="left"/>
            </w:pPr>
            <w:r>
              <w:t>Оптимизация контроля гликемии. Целевой индивидуальный уровень HbA1c не отличается от общей популяции пациентов с СД. Для пациентов с СД 2 типа рассмотреть возможность применения иНГЛТ-2, показавших снижение риска прогрессирования ХБП и развития кардиоваску</w:t>
            </w:r>
            <w:r>
              <w:t>лярных событий независимо от уровня HbA1c или необходимости дополнительного снижения уровня глюкозы (предпочтительно канаглифлозин, дапаглифлозин, эмпаглифлозин). При недостижении индивидуального целевого контроля гликемии при применении иНГЛТ-2, их непере</w:t>
            </w:r>
            <w:r>
              <w:t>носимости или наличия противопоказаний рассмотреть возможность применения арГПП-1, показавших снижение риска прогрессирования ХБП и развития кардиоваскулярных событий. Дополнительные сахароснижающие препараты могут быть добавлены пациентам с СД 2 типа по м</w:t>
            </w:r>
            <w:r>
              <w:t>ере необходимости для достижения индивидуальных целевых показателей гликемии с учетом особенностей пациента и рСКФ.</w:t>
            </w:r>
          </w:p>
          <w:p w:rsidR="00D27BC6" w:rsidRDefault="004D5071">
            <w:pPr>
              <w:numPr>
                <w:ilvl w:val="0"/>
                <w:numId w:val="277"/>
              </w:numPr>
              <w:spacing w:after="47" w:line="216" w:lineRule="auto"/>
              <w:ind w:right="0" w:hanging="170"/>
              <w:jc w:val="left"/>
            </w:pPr>
            <w:r>
              <w:t>Финеренон пациентам с нормальной концентрацией калия в сыворотке для снижения риска прогрессирования ХБП и развития кардиоваскулярных событи</w:t>
            </w:r>
            <w:r>
              <w:t>й</w:t>
            </w:r>
          </w:p>
          <w:p w:rsidR="00D27BC6" w:rsidRDefault="004D5071">
            <w:pPr>
              <w:numPr>
                <w:ilvl w:val="0"/>
                <w:numId w:val="277"/>
              </w:numPr>
              <w:spacing w:after="3" w:line="259" w:lineRule="auto"/>
              <w:ind w:right="0" w:hanging="170"/>
              <w:jc w:val="left"/>
            </w:pPr>
            <w:r>
              <w:t>Ограничение натрия до 2,3 г/сут (поваренной соли до 5 г/сут).</w:t>
            </w:r>
          </w:p>
          <w:p w:rsidR="00D27BC6" w:rsidRDefault="004D5071">
            <w:pPr>
              <w:numPr>
                <w:ilvl w:val="0"/>
                <w:numId w:val="277"/>
              </w:numPr>
              <w:spacing w:after="3" w:line="259" w:lineRule="auto"/>
              <w:ind w:right="0" w:hanging="170"/>
              <w:jc w:val="left"/>
            </w:pPr>
            <w:r>
              <w:t xml:space="preserve">Контроль статуса питания. </w:t>
            </w:r>
          </w:p>
          <w:p w:rsidR="00D27BC6" w:rsidRDefault="004D5071">
            <w:pPr>
              <w:numPr>
                <w:ilvl w:val="0"/>
                <w:numId w:val="277"/>
              </w:numPr>
              <w:spacing w:after="47" w:line="216" w:lineRule="auto"/>
              <w:ind w:right="0" w:hanging="170"/>
              <w:jc w:val="left"/>
            </w:pPr>
            <w:r>
              <w:t>Оптимизация контроля АД для снижения риска прогрессирования ХБП. Целевой уровень АД &lt;130/80 мм рт.ст. может рассматриваться на основании индивидуальных ожидаемых пре</w:t>
            </w:r>
            <w:r>
              <w:t>имуществ и рисков.</w:t>
            </w:r>
          </w:p>
          <w:p w:rsidR="00D27BC6" w:rsidRDefault="004D5071">
            <w:pPr>
              <w:numPr>
                <w:ilvl w:val="0"/>
                <w:numId w:val="277"/>
              </w:numPr>
              <w:spacing w:after="47" w:line="216" w:lineRule="auto"/>
              <w:ind w:right="0" w:hanging="170"/>
              <w:jc w:val="left"/>
            </w:pPr>
            <w:r>
              <w:t>Для небеременных пациентов препараты выбора: иАПФ или БРА под контролем креатинина и калия сыворотки с титрованием до максимально переносимой дозы.</w:t>
            </w:r>
          </w:p>
          <w:p w:rsidR="00D27BC6" w:rsidRDefault="004D5071">
            <w:pPr>
              <w:numPr>
                <w:ilvl w:val="0"/>
                <w:numId w:val="277"/>
              </w:numPr>
              <w:spacing w:after="3" w:line="259" w:lineRule="auto"/>
              <w:ind w:right="0" w:hanging="170"/>
              <w:jc w:val="left"/>
            </w:pPr>
            <w:r>
              <w:t>Коррекция дислипидемии (статины, эзетимиб, ингибиторы PCSK-9).</w:t>
            </w:r>
          </w:p>
          <w:p w:rsidR="00D27BC6" w:rsidRDefault="004D5071">
            <w:pPr>
              <w:numPr>
                <w:ilvl w:val="0"/>
                <w:numId w:val="277"/>
              </w:numPr>
              <w:spacing w:after="3" w:line="259" w:lineRule="auto"/>
              <w:ind w:right="0" w:hanging="170"/>
              <w:jc w:val="left"/>
            </w:pPr>
            <w:r>
              <w:t>Коррекция анемии (средства</w:t>
            </w:r>
            <w:r>
              <w:t>, стимулирующие эритропоэз, препараты железа).</w:t>
            </w:r>
          </w:p>
          <w:p w:rsidR="00D27BC6" w:rsidRDefault="004D5071">
            <w:pPr>
              <w:numPr>
                <w:ilvl w:val="0"/>
                <w:numId w:val="277"/>
              </w:numPr>
              <w:spacing w:after="47" w:line="216" w:lineRule="auto"/>
              <w:ind w:right="0" w:hanging="170"/>
              <w:jc w:val="left"/>
            </w:pPr>
            <w:r>
              <w:t xml:space="preserve">Коррекция минерально-костных нарушений (в случае дефицита/недостаточности 25(ОН) витамина D компенсировать также, как в общей популяции). </w:t>
            </w:r>
          </w:p>
          <w:p w:rsidR="00D27BC6" w:rsidRDefault="004D5071">
            <w:pPr>
              <w:numPr>
                <w:ilvl w:val="0"/>
                <w:numId w:val="277"/>
              </w:numPr>
              <w:spacing w:after="47" w:line="216" w:lineRule="auto"/>
              <w:ind w:right="0" w:hanging="170"/>
              <w:jc w:val="left"/>
            </w:pPr>
            <w:r>
              <w:t>Избегать применения нефротоксических средств (аминогликозиды, нестерои</w:t>
            </w:r>
            <w:r>
              <w:t>дные противовоспалительные препараты).</w:t>
            </w:r>
          </w:p>
          <w:p w:rsidR="00D27BC6" w:rsidRDefault="004D5071">
            <w:pPr>
              <w:numPr>
                <w:ilvl w:val="0"/>
                <w:numId w:val="277"/>
              </w:numPr>
              <w:spacing w:after="0" w:line="259" w:lineRule="auto"/>
              <w:ind w:right="0" w:hanging="170"/>
              <w:jc w:val="left"/>
            </w:pPr>
            <w:r>
              <w:t>Осторожность при проведении рентгеноконтрастных процедур.</w:t>
            </w:r>
          </w:p>
        </w:tc>
      </w:tr>
      <w:tr w:rsidR="00D27BC6">
        <w:trPr>
          <w:trHeight w:val="560"/>
        </w:trPr>
        <w:tc>
          <w:tcPr>
            <w:tcW w:w="843" w:type="dxa"/>
            <w:tcBorders>
              <w:top w:val="single" w:sz="6" w:space="0" w:color="000000"/>
              <w:left w:val="single" w:sz="6" w:space="0" w:color="000000"/>
              <w:bottom w:val="nil"/>
              <w:right w:val="single" w:sz="6" w:space="0" w:color="000000"/>
            </w:tcBorders>
            <w:shd w:val="clear" w:color="auto" w:fill="DADAD9"/>
          </w:tcPr>
          <w:p w:rsidR="00D27BC6" w:rsidRDefault="004D5071">
            <w:pPr>
              <w:spacing w:after="0" w:line="259" w:lineRule="auto"/>
              <w:ind w:left="93" w:right="0" w:firstLine="0"/>
            </w:pPr>
            <w:r>
              <w:rPr>
                <w:b/>
              </w:rPr>
              <w:t xml:space="preserve">Стадия </w:t>
            </w:r>
          </w:p>
          <w:p w:rsidR="00D27BC6" w:rsidRDefault="004D5071">
            <w:pPr>
              <w:spacing w:after="0" w:line="259" w:lineRule="auto"/>
              <w:ind w:left="52" w:right="0" w:firstLine="0"/>
              <w:jc w:val="center"/>
            </w:pPr>
            <w:r>
              <w:rPr>
                <w:b/>
              </w:rPr>
              <w:t>ДН</w:t>
            </w:r>
          </w:p>
        </w:tc>
        <w:tc>
          <w:tcPr>
            <w:tcW w:w="9347"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52" w:right="0" w:firstLine="0"/>
              <w:jc w:val="center"/>
            </w:pPr>
            <w:r>
              <w:rPr>
                <w:b/>
              </w:rPr>
              <w:t>Принципы лечения</w:t>
            </w:r>
          </w:p>
        </w:tc>
      </w:tr>
      <w:tr w:rsidR="00D27BC6">
        <w:trPr>
          <w:trHeight w:val="6600"/>
        </w:trPr>
        <w:tc>
          <w:tcPr>
            <w:tcW w:w="843" w:type="dxa"/>
            <w:tcBorders>
              <w:top w:val="nil"/>
              <w:left w:val="single" w:sz="6" w:space="0" w:color="000000"/>
              <w:bottom w:val="single" w:sz="6" w:space="0" w:color="000000"/>
              <w:right w:val="single" w:sz="6" w:space="0" w:color="000000"/>
            </w:tcBorders>
            <w:vAlign w:val="center"/>
          </w:tcPr>
          <w:p w:rsidR="00D27BC6" w:rsidRDefault="004D5071">
            <w:pPr>
              <w:spacing w:after="0" w:line="259" w:lineRule="auto"/>
              <w:ind w:left="57" w:right="0" w:firstLine="0"/>
              <w:jc w:val="left"/>
            </w:pPr>
            <w:r>
              <w:t>ХБП С4</w:t>
            </w:r>
          </w:p>
        </w:tc>
        <w:tc>
          <w:tcPr>
            <w:tcW w:w="9347" w:type="dxa"/>
            <w:tcBorders>
              <w:top w:val="single" w:sz="6" w:space="0" w:color="000000"/>
              <w:left w:val="single" w:sz="6" w:space="0" w:color="000000"/>
              <w:bottom w:val="single" w:sz="6" w:space="0" w:color="000000"/>
              <w:right w:val="single" w:sz="6" w:space="0" w:color="000000"/>
            </w:tcBorders>
            <w:vAlign w:val="bottom"/>
          </w:tcPr>
          <w:p w:rsidR="00D27BC6" w:rsidRDefault="004D5071">
            <w:pPr>
              <w:spacing w:after="16" w:line="259" w:lineRule="auto"/>
              <w:ind w:left="-850" w:right="0" w:firstLine="0"/>
              <w:jc w:val="left"/>
            </w:pPr>
            <w:r>
              <w:rPr>
                <w:noProof/>
              </w:rPr>
              <w:drawing>
                <wp:inline distT="0" distB="0" distL="0" distR="0">
                  <wp:extent cx="6397753" cy="1310640"/>
                  <wp:effectExtent l="0" t="0" r="0" b="0"/>
                  <wp:docPr id="358183" name="Picture 358183"/>
                  <wp:cNvGraphicFramePr/>
                  <a:graphic xmlns:a="http://schemas.openxmlformats.org/drawingml/2006/main">
                    <a:graphicData uri="http://schemas.openxmlformats.org/drawingml/2006/picture">
                      <pic:pic xmlns:pic="http://schemas.openxmlformats.org/drawingml/2006/picture">
                        <pic:nvPicPr>
                          <pic:cNvPr id="358183" name="Picture 358183"/>
                          <pic:cNvPicPr/>
                        </pic:nvPicPr>
                        <pic:blipFill>
                          <a:blip r:embed="rId78"/>
                          <a:stretch>
                            <a:fillRect/>
                          </a:stretch>
                        </pic:blipFill>
                        <pic:spPr>
                          <a:xfrm>
                            <a:off x="0" y="0"/>
                            <a:ext cx="6397753" cy="1310640"/>
                          </a:xfrm>
                          <a:prstGeom prst="rect">
                            <a:avLst/>
                          </a:prstGeom>
                        </pic:spPr>
                      </pic:pic>
                    </a:graphicData>
                  </a:graphic>
                </wp:inline>
              </w:drawing>
            </w:r>
          </w:p>
          <w:p w:rsidR="00D27BC6" w:rsidRDefault="004D5071">
            <w:pPr>
              <w:numPr>
                <w:ilvl w:val="0"/>
                <w:numId w:val="278"/>
              </w:numPr>
              <w:spacing w:after="0" w:line="259" w:lineRule="auto"/>
              <w:ind w:right="0" w:hanging="170"/>
              <w:jc w:val="left"/>
            </w:pPr>
            <w:r>
              <w:t xml:space="preserve">Финеренон пациентам с нормальной концентрацией калия в сыворотке, рСКФ </w:t>
            </w:r>
          </w:p>
          <w:p w:rsidR="00D27BC6" w:rsidRDefault="004D5071">
            <w:pPr>
              <w:spacing w:after="34" w:line="219" w:lineRule="auto"/>
              <w:ind w:left="227" w:right="622" w:firstLine="0"/>
              <w:jc w:val="left"/>
            </w:pPr>
            <w:r>
              <w:t>≥25 мл/мин/1,73 м</w:t>
            </w:r>
            <w:r>
              <w:rPr>
                <w:sz w:val="18"/>
                <w:vertAlign w:val="superscript"/>
              </w:rPr>
              <w:t>2</w:t>
            </w:r>
            <w:r>
              <w:t xml:space="preserve"> альбуминурией (А/Кр ≥30 мг/г) для снижения риска прогрессирования ХБП и развития кардиоваскулярных событий.</w:t>
            </w:r>
          </w:p>
          <w:p w:rsidR="00D27BC6" w:rsidRDefault="004D5071">
            <w:pPr>
              <w:numPr>
                <w:ilvl w:val="0"/>
                <w:numId w:val="278"/>
              </w:numPr>
              <w:spacing w:after="0" w:line="259" w:lineRule="auto"/>
              <w:ind w:right="0" w:hanging="170"/>
              <w:jc w:val="left"/>
            </w:pPr>
            <w:r>
              <w:t>Ограничение натрия до 2,3 г/сут (поваренной соли до 5 г/сут).</w:t>
            </w:r>
          </w:p>
          <w:p w:rsidR="00D27BC6" w:rsidRDefault="004D5071">
            <w:pPr>
              <w:numPr>
                <w:ilvl w:val="0"/>
                <w:numId w:val="278"/>
              </w:numPr>
              <w:spacing w:after="0" w:line="259" w:lineRule="auto"/>
              <w:ind w:right="0" w:hanging="170"/>
              <w:jc w:val="left"/>
            </w:pPr>
            <w:r>
              <w:t xml:space="preserve">Контроль статуса питания. </w:t>
            </w:r>
          </w:p>
          <w:p w:rsidR="00D27BC6" w:rsidRDefault="004D5071">
            <w:pPr>
              <w:numPr>
                <w:ilvl w:val="0"/>
                <w:numId w:val="278"/>
              </w:numPr>
              <w:spacing w:after="0" w:line="259" w:lineRule="auto"/>
              <w:ind w:right="0" w:hanging="170"/>
              <w:jc w:val="left"/>
            </w:pPr>
            <w:r>
              <w:t>Оптимизация контроля АД для снижения риска прогрессировани</w:t>
            </w:r>
            <w:r>
              <w:t xml:space="preserve">я ХБП. Целевой уровень </w:t>
            </w:r>
          </w:p>
          <w:p w:rsidR="00D27BC6" w:rsidRDefault="004D5071">
            <w:pPr>
              <w:spacing w:after="37" w:line="216" w:lineRule="auto"/>
              <w:ind w:left="227" w:right="11" w:firstLine="0"/>
            </w:pPr>
            <w:r>
              <w:t>АД &lt;130/80 мм рт.ст. может рассматриваться на основании индивидуальных ожидаемых преимуществ и рисков.</w:t>
            </w:r>
          </w:p>
          <w:p w:rsidR="00D27BC6" w:rsidRDefault="004D5071">
            <w:pPr>
              <w:numPr>
                <w:ilvl w:val="0"/>
                <w:numId w:val="278"/>
              </w:numPr>
              <w:spacing w:after="37" w:line="216" w:lineRule="auto"/>
              <w:ind w:right="0" w:hanging="170"/>
              <w:jc w:val="left"/>
            </w:pPr>
            <w:r>
              <w:t>Для небеременных пациентов препараты выбора: иАПФ или БРА; может потребоваться уменьшение дозы под контролем креатинина и калия с</w:t>
            </w:r>
            <w:r>
              <w:t xml:space="preserve">ыворотки. </w:t>
            </w:r>
          </w:p>
          <w:p w:rsidR="00D27BC6" w:rsidRDefault="004D5071">
            <w:pPr>
              <w:numPr>
                <w:ilvl w:val="0"/>
                <w:numId w:val="278"/>
              </w:numPr>
              <w:spacing w:after="0" w:line="259" w:lineRule="auto"/>
              <w:ind w:right="0" w:hanging="170"/>
              <w:jc w:val="left"/>
            </w:pPr>
            <w:r>
              <w:t xml:space="preserve">Комбинированная терапия артериальной гипертензии для достижения целевого АД. </w:t>
            </w:r>
          </w:p>
          <w:p w:rsidR="00D27BC6" w:rsidRDefault="004D5071">
            <w:pPr>
              <w:numPr>
                <w:ilvl w:val="0"/>
                <w:numId w:val="278"/>
              </w:numPr>
              <w:spacing w:after="0" w:line="259" w:lineRule="auto"/>
              <w:ind w:right="0" w:hanging="170"/>
              <w:jc w:val="left"/>
            </w:pPr>
            <w:r>
              <w:t>Коррекция гиперкалиемии.</w:t>
            </w:r>
          </w:p>
          <w:p w:rsidR="00D27BC6" w:rsidRDefault="004D5071">
            <w:pPr>
              <w:numPr>
                <w:ilvl w:val="0"/>
                <w:numId w:val="278"/>
              </w:numPr>
              <w:spacing w:after="0" w:line="259" w:lineRule="auto"/>
              <w:ind w:right="0" w:hanging="170"/>
              <w:jc w:val="left"/>
            </w:pPr>
            <w:r>
              <w:t>Коррекция дислипидемии (статины, эзетимиб, ингибиторы PCSK-9)</w:t>
            </w:r>
          </w:p>
          <w:p w:rsidR="00D27BC6" w:rsidRDefault="004D5071">
            <w:pPr>
              <w:numPr>
                <w:ilvl w:val="0"/>
                <w:numId w:val="278"/>
              </w:numPr>
              <w:spacing w:after="0" w:line="259" w:lineRule="auto"/>
              <w:ind w:right="0" w:hanging="170"/>
              <w:jc w:val="left"/>
            </w:pPr>
            <w:r>
              <w:t>Коррекция анемии (средства, стимулирующие эритропоэз, препараты железа).</w:t>
            </w:r>
          </w:p>
          <w:p w:rsidR="00D27BC6" w:rsidRDefault="004D5071">
            <w:pPr>
              <w:numPr>
                <w:ilvl w:val="0"/>
                <w:numId w:val="278"/>
              </w:numPr>
              <w:spacing w:after="37" w:line="216" w:lineRule="auto"/>
              <w:ind w:right="0" w:hanging="170"/>
              <w:jc w:val="left"/>
            </w:pPr>
            <w:r>
              <w:t>Коррекц</w:t>
            </w:r>
            <w:r>
              <w:t>ия минерально-костных нарушений (в случае дефицита/недостаточности 25(ОН) витамина D компенсировать также, как в общей популяции)</w:t>
            </w:r>
          </w:p>
          <w:p w:rsidR="00D27BC6" w:rsidRDefault="004D5071">
            <w:pPr>
              <w:numPr>
                <w:ilvl w:val="0"/>
                <w:numId w:val="278"/>
              </w:numPr>
              <w:spacing w:after="37" w:line="216" w:lineRule="auto"/>
              <w:ind w:right="0" w:hanging="170"/>
              <w:jc w:val="left"/>
            </w:pPr>
            <w:r>
              <w:t>Избегать применения нефротоксических средств (аминогликозиды, нестероидные противовоспалительные препараты).</w:t>
            </w:r>
          </w:p>
          <w:p w:rsidR="00D27BC6" w:rsidRDefault="004D5071">
            <w:pPr>
              <w:numPr>
                <w:ilvl w:val="0"/>
                <w:numId w:val="278"/>
              </w:numPr>
              <w:spacing w:after="0" w:line="259" w:lineRule="auto"/>
              <w:ind w:right="0" w:hanging="170"/>
              <w:jc w:val="left"/>
            </w:pPr>
            <w:r>
              <w:t xml:space="preserve">Осторожность при </w:t>
            </w:r>
            <w:r>
              <w:t>проведении рентгеноконтрастных процедур.</w:t>
            </w:r>
          </w:p>
        </w:tc>
      </w:tr>
      <w:tr w:rsidR="00D27BC6">
        <w:trPr>
          <w:trHeight w:val="1370"/>
        </w:trPr>
        <w:tc>
          <w:tcPr>
            <w:tcW w:w="843"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7" w:right="0" w:firstLine="0"/>
              <w:jc w:val="left"/>
            </w:pPr>
            <w:r>
              <w:t>ХБП С5</w:t>
            </w:r>
          </w:p>
        </w:tc>
        <w:tc>
          <w:tcPr>
            <w:tcW w:w="934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79"/>
              </w:numPr>
              <w:spacing w:after="13" w:line="259" w:lineRule="auto"/>
              <w:ind w:right="0" w:hanging="170"/>
              <w:jc w:val="left"/>
            </w:pPr>
            <w:r>
              <w:t>Гемодиализ.</w:t>
            </w:r>
          </w:p>
          <w:p w:rsidR="00D27BC6" w:rsidRDefault="004D5071">
            <w:pPr>
              <w:numPr>
                <w:ilvl w:val="0"/>
                <w:numId w:val="279"/>
              </w:numPr>
              <w:spacing w:after="13" w:line="259" w:lineRule="auto"/>
              <w:ind w:right="0" w:hanging="170"/>
              <w:jc w:val="left"/>
            </w:pPr>
            <w:r>
              <w:t>Перитонеальный диализ.</w:t>
            </w:r>
          </w:p>
          <w:p w:rsidR="00D27BC6" w:rsidRDefault="004D5071">
            <w:pPr>
              <w:numPr>
                <w:ilvl w:val="0"/>
                <w:numId w:val="279"/>
              </w:numPr>
              <w:spacing w:after="13" w:line="259" w:lineRule="auto"/>
              <w:ind w:right="0" w:hanging="170"/>
              <w:jc w:val="left"/>
            </w:pPr>
            <w:r>
              <w:t>Трансплантация почки или сочетанная трансплантация почки и поджелудочной железы.</w:t>
            </w:r>
          </w:p>
          <w:p w:rsidR="00D27BC6" w:rsidRDefault="004D5071">
            <w:pPr>
              <w:numPr>
                <w:ilvl w:val="0"/>
                <w:numId w:val="279"/>
              </w:numPr>
              <w:spacing w:after="0" w:line="259" w:lineRule="auto"/>
              <w:ind w:right="0" w:hanging="170"/>
              <w:jc w:val="left"/>
            </w:pPr>
            <w:r>
              <w:t>Проведение терапии осложнений ХБП в соответствии с клиническими рекомендациями для этой популяции пациентов</w:t>
            </w:r>
          </w:p>
        </w:tc>
      </w:tr>
    </w:tbl>
    <w:p w:rsidR="00D27BC6" w:rsidRDefault="004D5071">
      <w:pPr>
        <w:numPr>
          <w:ilvl w:val="0"/>
          <w:numId w:val="67"/>
        </w:numPr>
        <w:ind w:right="0" w:hanging="283"/>
      </w:pPr>
      <w:r>
        <w:t>Ограничение белка (не более 0,8 г/кг массы тела в сутки) рекомендуется при ХБП С3-5 и/или А3. В случае появления признаков саркопении, приоритетом диетической схемы должно быть восстановление нутриционного статуса с учетом анаболической резистентности. В э</w:t>
      </w:r>
      <w:r>
        <w:t>том случае рекомендации по калориям и белку в размере 30 ккал/кг/день и 1 г/кг/день соответственно покроют потребности в питании и могут предотвратить развитие белково-энергетической недостаточности. Для пациентов на диализе необходимо более высокое потреб</w:t>
      </w:r>
      <w:r>
        <w:t>ление белка (1,2–1,4 г/кг массы тела в сутки) – см. приложение 8.</w:t>
      </w:r>
    </w:p>
    <w:p w:rsidR="00D27BC6" w:rsidRDefault="004D5071">
      <w:pPr>
        <w:numPr>
          <w:ilvl w:val="0"/>
          <w:numId w:val="67"/>
        </w:numPr>
        <w:ind w:right="0" w:hanging="283"/>
      </w:pPr>
      <w:r>
        <w:t>Физическая активность умеренной интенсивности соответственно сердечно-сосудистой и физической толерантности с учетом имеющихся ограничений (возраст, риск падения, потеря мышечной массы, анем</w:t>
      </w:r>
      <w:r>
        <w:t>ия, периферическая и автономная нейропатия) рекомендуется пациентам с СД и ХБП (как минимум по 30 мин 5 раз в неделю).</w:t>
      </w:r>
    </w:p>
    <w:p w:rsidR="00D27BC6" w:rsidRDefault="004D5071">
      <w:pPr>
        <w:numPr>
          <w:ilvl w:val="0"/>
          <w:numId w:val="67"/>
        </w:numPr>
        <w:ind w:right="0" w:hanging="283"/>
      </w:pPr>
      <w:r>
        <w:t>Потребление натрия и калия необходимо индивидуализировать с учетом коморбидности, применяемых препаратов, уровня АД и лабораторных данных</w:t>
      </w:r>
      <w:r>
        <w:t>.</w:t>
      </w:r>
    </w:p>
    <w:p w:rsidR="00D27BC6" w:rsidRDefault="004D5071">
      <w:pPr>
        <w:numPr>
          <w:ilvl w:val="0"/>
          <w:numId w:val="67"/>
        </w:numPr>
        <w:ind w:right="0" w:hanging="283"/>
      </w:pPr>
      <w:r>
        <w:t xml:space="preserve">Контроль веса у пациентов с СД и ХБП с избыточным весом или ожирением. </w:t>
      </w:r>
    </w:p>
    <w:p w:rsidR="00D27BC6" w:rsidRDefault="004D5071">
      <w:pPr>
        <w:numPr>
          <w:ilvl w:val="0"/>
          <w:numId w:val="67"/>
        </w:numPr>
        <w:ind w:right="0" w:hanging="283"/>
      </w:pPr>
      <w:r>
        <w:t>Отказ от курения.</w:t>
      </w:r>
    </w:p>
    <w:p w:rsidR="00D27BC6" w:rsidRDefault="004D5071">
      <w:pPr>
        <w:numPr>
          <w:ilvl w:val="0"/>
          <w:numId w:val="67"/>
        </w:numPr>
        <w:ind w:right="0" w:hanging="283"/>
      </w:pPr>
      <w:r>
        <w:t xml:space="preserve">Индивидуальный целевой уровень HbA1c от &lt;6,5% до &lt;8,0% для пациентов с СД и ХБП с учетом ограничения точности в качестве показателя гликемического статуса. </w:t>
      </w:r>
    </w:p>
    <w:p w:rsidR="00D27BC6" w:rsidRDefault="004D5071">
      <w:pPr>
        <w:numPr>
          <w:ilvl w:val="0"/>
          <w:numId w:val="67"/>
        </w:numPr>
        <w:ind w:right="0" w:hanging="283"/>
      </w:pPr>
      <w:r>
        <w:t>иАПФ и БРА не рекомендуются для первичной профилактики ХБП у пациентов с СД при нормальном АД, нормоальбуминурии (соотношение альбумин/креатинин &lt;3 мг/ммоль) и нормальном уровне рСКФ.</w:t>
      </w:r>
    </w:p>
    <w:p w:rsidR="00D27BC6" w:rsidRDefault="004D5071">
      <w:pPr>
        <w:numPr>
          <w:ilvl w:val="0"/>
          <w:numId w:val="67"/>
        </w:numPr>
        <w:ind w:right="0" w:hanging="283"/>
      </w:pPr>
      <w:r>
        <w:t>Режим дозирования иАПФ и БРА должен быть индивидуальным с учетом показат</w:t>
      </w:r>
      <w:r>
        <w:t xml:space="preserve">елей рСКФ пациента и особенностей фармакокинетики препарата, указанных в инструкции. </w:t>
      </w:r>
    </w:p>
    <w:p w:rsidR="00D27BC6" w:rsidRDefault="004D5071">
      <w:pPr>
        <w:numPr>
          <w:ilvl w:val="0"/>
          <w:numId w:val="67"/>
        </w:numPr>
        <w:ind w:right="0" w:hanging="283"/>
      </w:pPr>
      <w:r>
        <w:t>Для небеременных пациентов с СД рекомендуются иАПФ или БРА при умеренном повышении в моче соотношения альбумин/креатинин (3–30 мг/ммоль) и в обязательном порядке при соот</w:t>
      </w:r>
      <w:r>
        <w:t>ношении &gt;30 мг/ммоль и/или при установленной рСКФ &lt;60 мл/мин/1,73 м</w:t>
      </w:r>
      <w:r>
        <w:rPr>
          <w:sz w:val="18"/>
          <w:vertAlign w:val="superscript"/>
        </w:rPr>
        <w:t>2</w:t>
      </w:r>
      <w:r>
        <w:t xml:space="preserve"> НЕЗАВИСИМО ОТ НАЛИЧИЯ АГ с титрацией до максимальной антигипертензивной или максимально переносимой дозы. </w:t>
      </w:r>
    </w:p>
    <w:p w:rsidR="00D27BC6" w:rsidRDefault="004D5071">
      <w:pPr>
        <w:numPr>
          <w:ilvl w:val="0"/>
          <w:numId w:val="67"/>
        </w:numPr>
        <w:ind w:right="0" w:hanging="283"/>
      </w:pPr>
      <w:r>
        <w:t>Комбинированная терапия иАПФ и БРА не рекомендуется во избежание гиперкалиемии и</w:t>
      </w:r>
      <w:r>
        <w:t>ли острого повреждения почек.</w:t>
      </w:r>
    </w:p>
    <w:p w:rsidR="00D27BC6" w:rsidRDefault="004D5071">
      <w:pPr>
        <w:numPr>
          <w:ilvl w:val="0"/>
          <w:numId w:val="67"/>
        </w:numPr>
        <w:ind w:right="0" w:hanging="283"/>
      </w:pPr>
      <w:r>
        <w:t>Для достижения целевых показателей АД можно рассмотреть дополнительную антигипертензивную терапию дигидропиридиновым блокатором кальциевых каналов или диуретиком.</w:t>
      </w:r>
    </w:p>
    <w:p w:rsidR="00D27BC6" w:rsidRDefault="004D5071">
      <w:pPr>
        <w:numPr>
          <w:ilvl w:val="0"/>
          <w:numId w:val="67"/>
        </w:numPr>
        <w:ind w:right="0" w:hanging="283"/>
      </w:pPr>
      <w:r>
        <w:t xml:space="preserve">Не следует отменять препараты, блокирующие РААС, при повышении </w:t>
      </w:r>
      <w:r>
        <w:t>креатинина ≤30% в отсутствие гиповолемии.</w:t>
      </w:r>
    </w:p>
    <w:p w:rsidR="00D27BC6" w:rsidRDefault="004D5071">
      <w:pPr>
        <w:numPr>
          <w:ilvl w:val="0"/>
          <w:numId w:val="67"/>
        </w:numPr>
        <w:spacing w:after="230"/>
        <w:ind w:right="0" w:hanging="283"/>
      </w:pPr>
      <w:r>
        <w:t>Терапия статинами умеренной интенсивности рекомендуются для всех пациентов с СД 1 типа или СД 2 типа и ХБП для первичной профилактики АССЗ или высокой интенсивности для пациентов с известным АССЗ и некоторым пациен</w:t>
      </w:r>
      <w:r>
        <w:t xml:space="preserve">там с множественными факторами риска АССЗ. При недостижении целевой концентрации ЛПНП добавление эзетимиба и/или ингибитора PCSK-9. </w:t>
      </w:r>
    </w:p>
    <w:p w:rsidR="00D27BC6" w:rsidRDefault="004D5071">
      <w:pPr>
        <w:pStyle w:val="Heading2"/>
        <w:ind w:left="-3"/>
      </w:pPr>
      <w:r>
        <w:t>Сахароснижающие препараты, допустимые к применению на различных стадиях ХБП</w:t>
      </w:r>
    </w:p>
    <w:tbl>
      <w:tblPr>
        <w:tblStyle w:val="TableGrid"/>
        <w:tblW w:w="10195" w:type="dxa"/>
        <w:tblInd w:w="9" w:type="dxa"/>
        <w:tblCellMar>
          <w:top w:w="9" w:type="dxa"/>
          <w:left w:w="57" w:type="dxa"/>
          <w:bottom w:w="0" w:type="dxa"/>
          <w:right w:w="115" w:type="dxa"/>
        </w:tblCellMar>
        <w:tblLook w:val="04A0" w:firstRow="1" w:lastRow="0" w:firstColumn="1" w:lastColumn="0" w:noHBand="0" w:noVBand="1"/>
      </w:tblPr>
      <w:tblGrid>
        <w:gridCol w:w="5097"/>
        <w:gridCol w:w="5097"/>
      </w:tblGrid>
      <w:tr w:rsidR="00D27BC6">
        <w:trPr>
          <w:trHeight w:val="32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Препараты</w:t>
            </w:r>
          </w:p>
        </w:tc>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Стадия ХБП</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Метформин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28" w:right="0" w:firstLine="0"/>
              <w:jc w:val="center"/>
            </w:pPr>
            <w:r>
              <w:t>С 1 – 3*</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Глибенкламид (в т.ч. микронизированный)</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С 1 – 2</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Гликлазид и гликлазид МВ</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28" w:right="0" w:firstLine="0"/>
              <w:jc w:val="center"/>
            </w:pPr>
            <w:r>
              <w:t>С 1 – 4*</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Глимепирид</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28" w:right="0" w:firstLine="0"/>
              <w:jc w:val="center"/>
            </w:pPr>
            <w:r>
              <w:t>С 1 – 4*</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Гликвидон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С 1 – 5</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Глипизид и глипизид ретард</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28" w:right="0" w:firstLine="0"/>
              <w:jc w:val="center"/>
            </w:pPr>
            <w:r>
              <w:t>С 1 – 4*</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Репаглинид</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С 1 – 5</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Натеглинид</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28" w:right="0" w:firstLine="0"/>
              <w:jc w:val="center"/>
            </w:pPr>
            <w:r>
              <w:t>С 1 – 3*</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Пиоглитазон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С 1 – 4</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Ситаглиптин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28" w:right="0" w:firstLine="0"/>
              <w:jc w:val="center"/>
            </w:pPr>
            <w:r>
              <w:t>С 1 – 5*</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Вилдаглиптин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28" w:right="0" w:firstLine="0"/>
              <w:jc w:val="center"/>
            </w:pPr>
            <w:r>
              <w:t>С 1 – 5*</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Саксаглиптин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28" w:right="0" w:firstLine="0"/>
              <w:jc w:val="center"/>
            </w:pPr>
            <w:r>
              <w:t>С 1 – 5*</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Линаглиптин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С 1 – 5</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Алоглиптин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28" w:right="0" w:firstLine="0"/>
              <w:jc w:val="center"/>
            </w:pPr>
            <w:r>
              <w:t>С 1 – 5*</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Гозоглиптин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41" w:right="0" w:firstLine="0"/>
              <w:jc w:val="center"/>
            </w:pPr>
            <w:r>
              <w:t>С 1 – 3а</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Гемиглиптин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С 1 – 5</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Эвоглиптин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С 1 – 4</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Эксенатид</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С 1 – 3</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Лираглутид</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С 1 – 4</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Ликсисенатид</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С 1 – 3</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Дулаглутид</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С 1 – 4</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Семаглутид</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С 1 – 4</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Дапаглифлозин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211" w:right="0" w:firstLine="0"/>
              <w:jc w:val="center"/>
            </w:pPr>
            <w:r>
              <w:t>С 1 – 4**</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Эмпаглифлозин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294" w:right="0" w:firstLine="0"/>
              <w:jc w:val="center"/>
            </w:pPr>
            <w:r>
              <w:t>С 1 – 4***</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Канаглифлозин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377" w:right="0" w:firstLine="0"/>
              <w:jc w:val="center"/>
            </w:pPr>
            <w:r>
              <w:t>С 1 – 4****</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Ипраглифлозин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С 1 – 3</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Лусеоглифлозин</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С 1 – 3</w:t>
            </w:r>
          </w:p>
        </w:tc>
      </w:tr>
      <w:tr w:rsidR="00D27BC6">
        <w:trPr>
          <w:trHeight w:val="80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Тирзепатид</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96" w:firstLine="0"/>
              <w:jc w:val="left"/>
            </w:pPr>
            <w:r>
              <w:t>Коррекция дозы при почечной недостаточности не требуется, однако следует соблюдать осторожность, так как опыт использования ограничен.</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Инсулины, включая аналоги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28" w:right="0" w:firstLine="0"/>
              <w:jc w:val="center"/>
            </w:pPr>
            <w:r>
              <w:t>С 1 – 5*</w:t>
            </w:r>
          </w:p>
        </w:tc>
      </w:tr>
    </w:tbl>
    <w:p w:rsidR="00D27BC6" w:rsidRDefault="004D5071">
      <w:pPr>
        <w:spacing w:after="4"/>
        <w:ind w:left="-3" w:right="0"/>
      </w:pPr>
      <w:r>
        <w:rPr>
          <w:sz w:val="16"/>
        </w:rPr>
        <w:t>*</w:t>
      </w:r>
      <w:r>
        <w:rPr>
          <w:sz w:val="14"/>
          <w:vertAlign w:val="superscript"/>
        </w:rPr>
        <w:t xml:space="preserve"> </w:t>
      </w:r>
      <w:r>
        <w:rPr>
          <w:sz w:val="16"/>
        </w:rPr>
        <w:t>При ХБП С3б-5 необходима коррекция дозы препарата.</w:t>
      </w:r>
    </w:p>
    <w:p w:rsidR="00D27BC6" w:rsidRDefault="004D5071">
      <w:pPr>
        <w:spacing w:after="4"/>
        <w:ind w:left="-3" w:right="0"/>
      </w:pPr>
      <w:r>
        <w:rPr>
          <w:sz w:val="16"/>
        </w:rPr>
        <w:t>Необходимо помнить о повышении риска развития гипогликемии у больных на инсулинотерапии по мере прогрессирования заболевания почек от ХБП С1-2 до С3-5, что требует снижения дозы инсулина.</w:t>
      </w:r>
    </w:p>
    <w:p w:rsidR="00D27BC6" w:rsidRDefault="004D5071">
      <w:pPr>
        <w:spacing w:after="4"/>
        <w:ind w:left="-3" w:right="0"/>
      </w:pPr>
      <w:r>
        <w:rPr>
          <w:sz w:val="16"/>
        </w:rPr>
        <w:t>** Не инициировать при рСКФ &lt; 25 мл/мин/1,73 м</w:t>
      </w:r>
      <w:r>
        <w:rPr>
          <w:sz w:val="14"/>
          <w:vertAlign w:val="superscript"/>
        </w:rPr>
        <w:t>2</w:t>
      </w:r>
      <w:r>
        <w:rPr>
          <w:sz w:val="16"/>
        </w:rPr>
        <w:t xml:space="preserve"> (можно продолжить у ранее получавших терапию), на диализе противопоказан</w:t>
      </w:r>
    </w:p>
    <w:p w:rsidR="00D27BC6" w:rsidRDefault="004D5071">
      <w:pPr>
        <w:spacing w:after="4"/>
        <w:ind w:left="-3" w:right="0"/>
      </w:pPr>
      <w:r>
        <w:rPr>
          <w:sz w:val="16"/>
        </w:rPr>
        <w:t>*** Не инициировать при рСКФ &lt; 20 мл/мин/1,73 м</w:t>
      </w:r>
      <w:r>
        <w:rPr>
          <w:sz w:val="14"/>
          <w:vertAlign w:val="superscript"/>
        </w:rPr>
        <w:t>2</w:t>
      </w:r>
      <w:r>
        <w:rPr>
          <w:sz w:val="16"/>
        </w:rPr>
        <w:t xml:space="preserve"> (можно продолжить у ранее получавших терапию), на диализе противопоказан </w:t>
      </w:r>
    </w:p>
    <w:p w:rsidR="00D27BC6" w:rsidRDefault="004D5071">
      <w:pPr>
        <w:spacing w:after="4"/>
        <w:ind w:left="-3" w:right="0"/>
      </w:pPr>
      <w:r>
        <w:rPr>
          <w:sz w:val="16"/>
        </w:rPr>
        <w:t>**** Не инициировать при рСКФ &lt; 30 мл/мин/1,73 м</w:t>
      </w:r>
      <w:r>
        <w:rPr>
          <w:sz w:val="14"/>
          <w:vertAlign w:val="superscript"/>
        </w:rPr>
        <w:t>2</w:t>
      </w:r>
      <w:r>
        <w:rPr>
          <w:sz w:val="16"/>
        </w:rPr>
        <w:t xml:space="preserve"> (можно пр</w:t>
      </w:r>
      <w:r>
        <w:rPr>
          <w:sz w:val="16"/>
        </w:rPr>
        <w:t>одолжить при альбуминурии &gt; 300 мг/сут у ранее получавших терапию), на диализе противопоказан.</w:t>
      </w:r>
    </w:p>
    <w:p w:rsidR="00D27BC6" w:rsidRDefault="004D5071">
      <w:pPr>
        <w:pStyle w:val="Heading3"/>
        <w:ind w:left="162" w:right="156"/>
      </w:pPr>
      <w:r>
        <w:t>Заместительная почечная терапия у пациентов с СД</w:t>
      </w:r>
    </w:p>
    <w:p w:rsidR="00D27BC6" w:rsidRDefault="004D5071">
      <w:pPr>
        <w:ind w:left="295" w:right="0"/>
      </w:pPr>
      <w:r>
        <w:rPr>
          <w:b/>
        </w:rPr>
        <w:t>Заместительная почечная терапия</w:t>
      </w:r>
      <w:r>
        <w:t xml:space="preserve"> – замещение утраченных функций почек методом диализа – экстракорпо-</w:t>
      </w:r>
    </w:p>
    <w:p w:rsidR="00D27BC6" w:rsidRDefault="004D5071">
      <w:pPr>
        <w:spacing w:after="230"/>
        <w:ind w:left="-1" w:right="0"/>
      </w:pPr>
      <w:r>
        <w:t>ральным (гем</w:t>
      </w:r>
      <w:r>
        <w:t xml:space="preserve">одиализ) и интракорпоральным (перитонеальный диализ) или трансплантацией (пересадка) почки (трупная или родственная). </w:t>
      </w:r>
    </w:p>
    <w:p w:rsidR="00D27BC6" w:rsidRDefault="004D5071">
      <w:pPr>
        <w:ind w:left="2" w:right="51" w:firstLine="283"/>
        <w:jc w:val="left"/>
      </w:pPr>
      <w:r>
        <w:rPr>
          <w:b/>
        </w:rPr>
        <w:t>Показания к началу заместительной почечной терапии диализом у пациентов с СД и терминальной почечной недостаточностью</w:t>
      </w:r>
    </w:p>
    <w:p w:rsidR="00D27BC6" w:rsidRDefault="004D5071">
      <w:pPr>
        <w:spacing w:after="8" w:line="231" w:lineRule="auto"/>
        <w:ind w:left="-13" w:right="0" w:firstLine="283"/>
        <w:jc w:val="left"/>
      </w:pPr>
      <w:r>
        <w:t xml:space="preserve">Принятие решения о </w:t>
      </w:r>
      <w:r>
        <w:t>начале заместительной почечной терапии и выборе вида диализного лечения с учетом показаний и противопоказаний, социальных условий, предпочтений пациента основывается на снижении рСКФ &lt; 15 мл/мин/1,73 м</w:t>
      </w:r>
      <w:r>
        <w:rPr>
          <w:sz w:val="18"/>
          <w:vertAlign w:val="superscript"/>
        </w:rPr>
        <w:t>2</w:t>
      </w:r>
      <w:r>
        <w:t xml:space="preserve"> и наличии нижеперечисленных симптомов:</w:t>
      </w:r>
    </w:p>
    <w:p w:rsidR="00D27BC6" w:rsidRDefault="004D5071">
      <w:pPr>
        <w:numPr>
          <w:ilvl w:val="0"/>
          <w:numId w:val="68"/>
        </w:numPr>
        <w:ind w:right="0" w:hanging="283"/>
      </w:pPr>
      <w:r>
        <w:t>олигурия, анур</w:t>
      </w:r>
      <w:r>
        <w:t>ия с нарастанием гидратации с риском развития отека легких и мозга;</w:t>
      </w:r>
    </w:p>
    <w:p w:rsidR="00D27BC6" w:rsidRDefault="004D5071">
      <w:pPr>
        <w:numPr>
          <w:ilvl w:val="0"/>
          <w:numId w:val="68"/>
        </w:numPr>
        <w:ind w:right="0" w:hanging="283"/>
      </w:pPr>
      <w:r>
        <w:t xml:space="preserve">выраженный полисерозит с риском развития тампонады сердца; </w:t>
      </w:r>
    </w:p>
    <w:p w:rsidR="00D27BC6" w:rsidRDefault="004D5071">
      <w:pPr>
        <w:numPr>
          <w:ilvl w:val="0"/>
          <w:numId w:val="68"/>
        </w:numPr>
        <w:ind w:right="0" w:hanging="283"/>
      </w:pPr>
      <w:r>
        <w:t>нарушение кислотно-основного (тяжелый метаболический ацидоз) и электролитного (неконтролируемая гиперкалиемия) баланса;</w:t>
      </w:r>
    </w:p>
    <w:p w:rsidR="00D27BC6" w:rsidRDefault="004D5071">
      <w:pPr>
        <w:numPr>
          <w:ilvl w:val="0"/>
          <w:numId w:val="68"/>
        </w:numPr>
        <w:ind w:right="0" w:hanging="283"/>
      </w:pPr>
      <w:r>
        <w:t>выраженн</w:t>
      </w:r>
      <w:r>
        <w:t>ый кожный зуд, геморрагический диатез;</w:t>
      </w:r>
    </w:p>
    <w:p w:rsidR="00D27BC6" w:rsidRDefault="004D5071">
      <w:pPr>
        <w:numPr>
          <w:ilvl w:val="0"/>
          <w:numId w:val="68"/>
        </w:numPr>
        <w:ind w:right="0" w:hanging="283"/>
      </w:pPr>
      <w:r>
        <w:t xml:space="preserve">трудно контролируемая артериальная гипертензия; </w:t>
      </w:r>
    </w:p>
    <w:p w:rsidR="00D27BC6" w:rsidRDefault="004D5071">
      <w:pPr>
        <w:numPr>
          <w:ilvl w:val="0"/>
          <w:numId w:val="68"/>
        </w:numPr>
        <w:ind w:right="0" w:hanging="283"/>
      </w:pPr>
      <w:r>
        <w:t xml:space="preserve">прогрессивное ухудшение нутритивного статуса, нарастание белково-энергетической недостаточности; </w:t>
      </w:r>
    </w:p>
    <w:p w:rsidR="00D27BC6" w:rsidRDefault="004D5071">
      <w:pPr>
        <w:numPr>
          <w:ilvl w:val="0"/>
          <w:numId w:val="68"/>
        </w:numPr>
        <w:spacing w:after="226"/>
        <w:ind w:right="0" w:hanging="283"/>
      </w:pPr>
      <w:r>
        <w:t>энцефалопатия и когнитивные нарушения, изменение ментального статуса на фоне уремической интоксикации.</w:t>
      </w:r>
    </w:p>
    <w:p w:rsidR="00D27BC6" w:rsidRDefault="004D5071">
      <w:pPr>
        <w:ind w:left="281" w:right="51"/>
        <w:jc w:val="left"/>
      </w:pPr>
      <w:r>
        <w:rPr>
          <w:b/>
        </w:rPr>
        <w:t>Оптимальные условия начала диализной терапии:</w:t>
      </w:r>
    </w:p>
    <w:p w:rsidR="00D27BC6" w:rsidRDefault="004D5071">
      <w:pPr>
        <w:numPr>
          <w:ilvl w:val="0"/>
          <w:numId w:val="68"/>
        </w:numPr>
        <w:ind w:right="0" w:hanging="283"/>
      </w:pPr>
      <w:r>
        <w:t>в плановом порядке в амбулаторных условиях или при плановой госпитализации, не связанной с осложнениями ХБП;</w:t>
      </w:r>
    </w:p>
    <w:p w:rsidR="00D27BC6" w:rsidRDefault="004D5071">
      <w:pPr>
        <w:numPr>
          <w:ilvl w:val="0"/>
          <w:numId w:val="68"/>
        </w:numPr>
        <w:spacing w:after="230"/>
        <w:ind w:right="0" w:hanging="283"/>
      </w:pPr>
      <w:r>
        <w:t xml:space="preserve">предшествующее наблюдение нефролога; • </w:t>
      </w:r>
      <w:r>
        <w:tab/>
        <w:t>наличие постоянного диализного доступа.</w:t>
      </w:r>
    </w:p>
    <w:p w:rsidR="00D27BC6" w:rsidRDefault="004D5071">
      <w:pPr>
        <w:ind w:left="281" w:right="51"/>
        <w:jc w:val="left"/>
      </w:pPr>
      <w:r>
        <w:rPr>
          <w:b/>
        </w:rPr>
        <w:t>Контроль гликемии у пациентов с СД на диализе</w:t>
      </w:r>
    </w:p>
    <w:p w:rsidR="00D27BC6" w:rsidRDefault="004D5071">
      <w:pPr>
        <w:numPr>
          <w:ilvl w:val="0"/>
          <w:numId w:val="68"/>
        </w:numPr>
        <w:ind w:right="0" w:hanging="283"/>
      </w:pPr>
      <w:r>
        <w:t>Целевой уровень HbA1c</w:t>
      </w:r>
      <w:r>
        <w:t xml:space="preserve"> для пациентов, получающих диализную терапию, не установлен в связи с тем, что достоверность HbA1с как показателя компенсации углеводного обмена ограничена из-за уменьшения периода полужизни эритроцитов, изменения их свойств под действием метаболических и </w:t>
      </w:r>
      <w:r>
        <w:t xml:space="preserve">механических факторов, влияния терапии. Тем не менее, необходимость контроля гликемии очевидна при большой осторожности при его интенсификации с учетом повышенного риска кардиоваскулярной смертности в соответствии с выраженностью почечной дисфункции; </w:t>
      </w:r>
    </w:p>
    <w:p w:rsidR="00D27BC6" w:rsidRDefault="004D5071">
      <w:pPr>
        <w:numPr>
          <w:ilvl w:val="0"/>
          <w:numId w:val="68"/>
        </w:numPr>
        <w:ind w:right="0" w:hanging="283"/>
      </w:pPr>
      <w:r>
        <w:t>Конт</w:t>
      </w:r>
      <w:r>
        <w:t>роль гликемии при проведении сеансов гемодиализа – ежечасно;</w:t>
      </w:r>
    </w:p>
    <w:p w:rsidR="00D27BC6" w:rsidRDefault="004D5071">
      <w:pPr>
        <w:numPr>
          <w:ilvl w:val="0"/>
          <w:numId w:val="68"/>
        </w:numPr>
        <w:spacing w:after="230"/>
        <w:ind w:right="0" w:hanging="283"/>
      </w:pPr>
      <w:r>
        <w:t>Возможно проведение непрерывного мониторирования глюкозы с целью оптимизации гликемического контроля.</w:t>
      </w:r>
    </w:p>
    <w:p w:rsidR="00D27BC6" w:rsidRDefault="004D5071">
      <w:pPr>
        <w:ind w:left="281" w:right="51"/>
        <w:jc w:val="left"/>
      </w:pPr>
      <w:r>
        <w:rPr>
          <w:b/>
        </w:rPr>
        <w:t>Контроль АД у пациентов с СД на диализе</w:t>
      </w:r>
    </w:p>
    <w:p w:rsidR="00D27BC6" w:rsidRDefault="004D5071">
      <w:pPr>
        <w:numPr>
          <w:ilvl w:val="0"/>
          <w:numId w:val="68"/>
        </w:numPr>
        <w:ind w:right="0" w:hanging="283"/>
      </w:pPr>
      <w:r>
        <w:t>Целевой уровень АД у пациентов с СД до диализа и межд</w:t>
      </w:r>
      <w:r>
        <w:t>у сеансами диализа не отличается от рекомендованного для всей популяции диализных больных в целом – &lt; 140/90 мм рт.ст.</w:t>
      </w:r>
    </w:p>
    <w:p w:rsidR="00D27BC6" w:rsidRDefault="004D5071">
      <w:pPr>
        <w:numPr>
          <w:ilvl w:val="0"/>
          <w:numId w:val="68"/>
        </w:numPr>
        <w:spacing w:after="226"/>
        <w:ind w:right="0" w:hanging="283"/>
      </w:pPr>
      <w:r>
        <w:t>Не рекомендуется добиваться снижения систолического АД &lt; 120 мм рт.ст. и диастолического АД &lt; 70 мм рт.ст.</w:t>
      </w:r>
    </w:p>
    <w:p w:rsidR="00D27BC6" w:rsidRDefault="004D5071">
      <w:pPr>
        <w:spacing w:line="347" w:lineRule="auto"/>
        <w:ind w:left="-11" w:right="2545" w:firstLine="3645"/>
      </w:pPr>
      <w:r>
        <w:rPr>
          <w:b/>
          <w:color w:val="1E5D99"/>
        </w:rPr>
        <w:t xml:space="preserve">Анемия у пациентов с СД и ХБП </w:t>
      </w:r>
      <w:r>
        <w:t>Диагностика анемии: Hb крови &lt;130 г/л у мужчин и &lt;120 г/л у женщин.</w:t>
      </w:r>
    </w:p>
    <w:p w:rsidR="00D27BC6" w:rsidRDefault="004D5071">
      <w:pPr>
        <w:ind w:left="281" w:right="51"/>
        <w:jc w:val="left"/>
      </w:pPr>
      <w:r>
        <w:rPr>
          <w:b/>
        </w:rPr>
        <w:t xml:space="preserve">Пациенты на додиализных стадиях ХБП: </w:t>
      </w:r>
    </w:p>
    <w:p w:rsidR="00D27BC6" w:rsidRDefault="004D5071">
      <w:pPr>
        <w:numPr>
          <w:ilvl w:val="0"/>
          <w:numId w:val="68"/>
        </w:numPr>
        <w:spacing w:after="226"/>
        <w:ind w:right="0" w:hanging="283"/>
      </w:pPr>
      <w:r>
        <w:t>коррекция анемии средствами, стимулирующими эритропоэз (ССЭ) – начинать при Hb крови &lt; 100 г/л.</w:t>
      </w:r>
    </w:p>
    <w:p w:rsidR="00D27BC6" w:rsidRDefault="004D5071">
      <w:pPr>
        <w:ind w:left="281" w:right="51"/>
        <w:jc w:val="left"/>
      </w:pPr>
      <w:r>
        <w:rPr>
          <w:b/>
        </w:rPr>
        <w:t xml:space="preserve">Пациенты на диализе: </w:t>
      </w:r>
    </w:p>
    <w:p w:rsidR="00D27BC6" w:rsidRDefault="004D5071">
      <w:pPr>
        <w:numPr>
          <w:ilvl w:val="0"/>
          <w:numId w:val="68"/>
        </w:numPr>
        <w:spacing w:after="226"/>
        <w:ind w:right="0" w:hanging="283"/>
      </w:pPr>
      <w:r>
        <w:t>терапия ССЭ направлена на предот</w:t>
      </w:r>
      <w:r>
        <w:t>вращения снижения Hb крови &lt; 90–100 г/л;</w:t>
      </w:r>
    </w:p>
    <w:p w:rsidR="00D27BC6" w:rsidRDefault="004D5071">
      <w:pPr>
        <w:ind w:left="281" w:right="51"/>
        <w:jc w:val="left"/>
      </w:pPr>
      <w:r>
        <w:rPr>
          <w:b/>
        </w:rPr>
        <w:t xml:space="preserve">Пациенты на всех стадиях ХБП, включая диализную: </w:t>
      </w:r>
    </w:p>
    <w:p w:rsidR="00D27BC6" w:rsidRDefault="004D5071">
      <w:pPr>
        <w:numPr>
          <w:ilvl w:val="0"/>
          <w:numId w:val="68"/>
        </w:numPr>
        <w:ind w:right="0" w:hanging="283"/>
      </w:pPr>
      <w:r>
        <w:t>для улучшения качества жизни у некоторых пациентов терапия ССЭ может быть начата при Hb крови выше 100 г/л;</w:t>
      </w:r>
    </w:p>
    <w:p w:rsidR="00D27BC6" w:rsidRDefault="004D5071">
      <w:pPr>
        <w:numPr>
          <w:ilvl w:val="0"/>
          <w:numId w:val="68"/>
        </w:numPr>
        <w:ind w:right="0" w:hanging="283"/>
      </w:pPr>
      <w:r>
        <w:t>желательно добиться повышения значения Hb крови без начал</w:t>
      </w:r>
      <w:r>
        <w:t xml:space="preserve">а терапии ССЭ назначением препаратов железа c достижением целевых значений показателей обмена железа, как насыщения трансферрина железом – 20–30% и ферритина плазмы: </w:t>
      </w:r>
      <w:r>
        <w:rPr>
          <w:b/>
        </w:rPr>
        <w:t>на додиализной стадии ХБП</w:t>
      </w:r>
      <w:r>
        <w:t xml:space="preserve"> – &gt;100 нг/мл, </w:t>
      </w:r>
      <w:r>
        <w:rPr>
          <w:b/>
        </w:rPr>
        <w:t>на диализе</w:t>
      </w:r>
      <w:r>
        <w:t xml:space="preserve"> – 200–500 нг/мл;</w:t>
      </w:r>
    </w:p>
    <w:p w:rsidR="00D27BC6" w:rsidRDefault="004D5071">
      <w:pPr>
        <w:numPr>
          <w:ilvl w:val="0"/>
          <w:numId w:val="68"/>
        </w:numPr>
        <w:ind w:right="0" w:hanging="283"/>
      </w:pPr>
      <w:r>
        <w:t>не рекомендуется приме</w:t>
      </w:r>
      <w:r>
        <w:t xml:space="preserve">нять ССЭ при достижении Hb крови &gt; 115 г/л (только для улучшения качества жизни и с учетом риска развития сердечно-сосудистых осложнений) и намеренно повышать Hb крови &gt; 130 г/л; </w:t>
      </w:r>
    </w:p>
    <w:p w:rsidR="00D27BC6" w:rsidRDefault="004D5071">
      <w:pPr>
        <w:numPr>
          <w:ilvl w:val="0"/>
          <w:numId w:val="68"/>
        </w:numPr>
        <w:ind w:right="0" w:hanging="283"/>
      </w:pPr>
      <w:r>
        <w:t>ограничить проведение гемотрансфузий ургентными показаниями и случаями неэфф</w:t>
      </w:r>
      <w:r>
        <w:t>ективности лечения ССЭ и препаратами железа.</w:t>
      </w:r>
    </w:p>
    <w:tbl>
      <w:tblPr>
        <w:tblStyle w:val="TableGrid"/>
        <w:tblW w:w="10191" w:type="dxa"/>
        <w:tblInd w:w="9" w:type="dxa"/>
        <w:tblCellMar>
          <w:top w:w="9" w:type="dxa"/>
          <w:left w:w="56" w:type="dxa"/>
          <w:bottom w:w="0" w:type="dxa"/>
          <w:right w:w="115" w:type="dxa"/>
        </w:tblCellMar>
        <w:tblLook w:val="04A0" w:firstRow="1" w:lastRow="0" w:firstColumn="1" w:lastColumn="0" w:noHBand="0" w:noVBand="1"/>
      </w:tblPr>
      <w:tblGrid>
        <w:gridCol w:w="3397"/>
        <w:gridCol w:w="3397"/>
        <w:gridCol w:w="3397"/>
      </w:tblGrid>
      <w:tr w:rsidR="00D27BC6">
        <w:trPr>
          <w:trHeight w:val="320"/>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Рекомбинантные человеческие эритропоэтины</w:t>
            </w:r>
          </w:p>
        </w:tc>
      </w:tr>
      <w:tr w:rsidR="00D27BC6">
        <w:trPr>
          <w:trHeight w:val="320"/>
        </w:trPr>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Название препарата</w:t>
            </w:r>
          </w:p>
        </w:tc>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Способ введения</w:t>
            </w:r>
          </w:p>
        </w:tc>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Кратность введения</w:t>
            </w:r>
          </w:p>
        </w:tc>
      </w:tr>
      <w:tr w:rsidR="00D27BC6">
        <w:trPr>
          <w:trHeight w:val="560"/>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Эпоэтин альфа</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1178" w:firstLine="0"/>
              <w:jc w:val="left"/>
            </w:pPr>
            <w:r>
              <w:t>Подкожно Внутривенно</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1–3 раза в нед.</w:t>
            </w:r>
          </w:p>
        </w:tc>
      </w:tr>
      <w:tr w:rsidR="00D27BC6">
        <w:trPr>
          <w:trHeight w:val="560"/>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Эпоэтин бета</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179" w:firstLine="0"/>
              <w:jc w:val="left"/>
            </w:pPr>
            <w:r>
              <w:t>Подкожно Внутривенно</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1–3 раза в нед.</w:t>
            </w:r>
          </w:p>
        </w:tc>
      </w:tr>
      <w:tr w:rsidR="00D27BC6">
        <w:trPr>
          <w:trHeight w:val="560"/>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Дарбэпоэтин альфа</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179" w:firstLine="0"/>
              <w:jc w:val="left"/>
            </w:pPr>
            <w:r>
              <w:t>Подкожно Внутривенно</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1 раз в 2–4 нед.</w:t>
            </w:r>
          </w:p>
        </w:tc>
      </w:tr>
      <w:tr w:rsidR="00D27BC6">
        <w:trPr>
          <w:trHeight w:val="560"/>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1" w:firstLine="0"/>
              <w:jc w:val="left"/>
            </w:pPr>
            <w:r>
              <w:t>Метоксиполиэтиленглюколь Эпоэтин бета</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179" w:firstLine="0"/>
              <w:jc w:val="left"/>
            </w:pPr>
            <w:r>
              <w:t>Подкожно Внутривенно</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1 раз в 2–4 нед.</w:t>
            </w:r>
          </w:p>
        </w:tc>
      </w:tr>
      <w:tr w:rsidR="00D27BC6">
        <w:trPr>
          <w:trHeight w:val="320"/>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58" w:right="0" w:firstLine="0"/>
              <w:jc w:val="center"/>
            </w:pPr>
            <w:r>
              <w:rPr>
                <w:b/>
              </w:rPr>
              <w:t>Ингибитор ферментов пролил-4-гидроксилазы, разрушающих фактор, индуцируемый гипоксией (HIF)</w:t>
            </w:r>
          </w:p>
        </w:tc>
      </w:tr>
      <w:tr w:rsidR="00D27BC6">
        <w:trPr>
          <w:trHeight w:val="320"/>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Роксадустат*</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Внутрь</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3 раза в нед.</w:t>
            </w:r>
          </w:p>
        </w:tc>
      </w:tr>
    </w:tbl>
    <w:p w:rsidR="00D27BC6" w:rsidRDefault="004D5071">
      <w:pPr>
        <w:spacing w:after="224"/>
        <w:ind w:left="-3" w:right="0"/>
      </w:pPr>
      <w:r>
        <w:rPr>
          <w:sz w:val="16"/>
        </w:rPr>
        <w:t>*Вместо эритропоэтина</w:t>
      </w:r>
    </w:p>
    <w:p w:rsidR="00D27BC6" w:rsidRDefault="004D5071">
      <w:pPr>
        <w:pStyle w:val="Heading3"/>
        <w:ind w:left="162" w:right="156"/>
      </w:pPr>
      <w:r>
        <w:t>Минеральные и костные нарушения у пациентов с СД и ХБП</w:t>
      </w:r>
    </w:p>
    <w:p w:rsidR="00D27BC6" w:rsidRDefault="004D5071">
      <w:pPr>
        <w:ind w:left="281" w:right="51"/>
        <w:jc w:val="left"/>
      </w:pPr>
      <w:r>
        <w:rPr>
          <w:b/>
        </w:rPr>
        <w:t>Пациенты на додиализных стадиях ХБП:</w:t>
      </w:r>
    </w:p>
    <w:p w:rsidR="00D27BC6" w:rsidRDefault="004D5071">
      <w:pPr>
        <w:numPr>
          <w:ilvl w:val="0"/>
          <w:numId w:val="69"/>
        </w:numPr>
        <w:ind w:right="0" w:hanging="283"/>
      </w:pPr>
      <w:r>
        <w:t>исследовать кальций, фосфор сыворотки 1 раз в 6–12 мес. (ХБП С3-4); 1 раз в 3 мес. (ХБП С5); паратгормон 1 раз в 6–12 мес. (ХБП С3-4); 1 раз в 3 мес. (ХБП С5); ЩФ 1 раз в 12 мес. (ХБП С4-5);</w:t>
      </w:r>
    </w:p>
    <w:p w:rsidR="00D27BC6" w:rsidRDefault="004D5071">
      <w:pPr>
        <w:numPr>
          <w:ilvl w:val="0"/>
          <w:numId w:val="69"/>
        </w:numPr>
        <w:ind w:right="0" w:hanging="283"/>
      </w:pPr>
      <w:r>
        <w:t>исследовать уровень 25(ОН) витамина D в плазме независимо от стад</w:t>
      </w:r>
      <w:r>
        <w:t>ии ХБП, восполнение дефицита/ недостаточности как в общей популяции;</w:t>
      </w:r>
    </w:p>
    <w:p w:rsidR="00D27BC6" w:rsidRDefault="004D5071">
      <w:pPr>
        <w:numPr>
          <w:ilvl w:val="0"/>
          <w:numId w:val="69"/>
        </w:numPr>
        <w:ind w:right="0" w:hanging="283"/>
      </w:pPr>
      <w:r>
        <w:t>целевой уровень кальция и фосфора – референсные интервалы лаборатории, оптимальный уровень паратгормона – неизвестен;</w:t>
      </w:r>
    </w:p>
    <w:p w:rsidR="00D27BC6" w:rsidRDefault="004D5071">
      <w:pPr>
        <w:numPr>
          <w:ilvl w:val="0"/>
          <w:numId w:val="69"/>
        </w:numPr>
        <w:ind w:right="0" w:hanging="283"/>
      </w:pPr>
      <w:r>
        <w:t>исследовать минеральную плотность костей для оценки риска переломов (</w:t>
      </w:r>
      <w:r>
        <w:t>особенно при наличии факторов риска остеопороза), по показаниям – провести рентгенографию грудного и поясничного отдела позвоночника, если это повлияет на принятие решения о лечении;</w:t>
      </w:r>
    </w:p>
    <w:p w:rsidR="00D27BC6" w:rsidRDefault="004D5071">
      <w:pPr>
        <w:numPr>
          <w:ilvl w:val="0"/>
          <w:numId w:val="69"/>
        </w:numPr>
        <w:spacing w:after="230"/>
        <w:ind w:right="0" w:hanging="283"/>
      </w:pPr>
      <w:r>
        <w:t>для лечения вторичного гиперпаратиреоза использовать препараты витамина D</w:t>
      </w:r>
      <w:r>
        <w:t xml:space="preserve"> и его аналоги (альфакальцидол, кальцитриол, парикальцитол, колекальциферол), препараты кальция.</w:t>
      </w:r>
    </w:p>
    <w:p w:rsidR="00D27BC6" w:rsidRDefault="004D5071">
      <w:pPr>
        <w:ind w:left="281" w:right="51"/>
        <w:jc w:val="left"/>
      </w:pPr>
      <w:r>
        <w:rPr>
          <w:b/>
        </w:rPr>
        <w:t xml:space="preserve">Пациенты на диализе: </w:t>
      </w:r>
    </w:p>
    <w:p w:rsidR="00D27BC6" w:rsidRDefault="004D5071">
      <w:pPr>
        <w:numPr>
          <w:ilvl w:val="0"/>
          <w:numId w:val="69"/>
        </w:numPr>
        <w:ind w:right="0" w:hanging="283"/>
      </w:pPr>
      <w:r>
        <w:t>исследовать кальций, фосфор сыворотки 1 раз в 1–3 мес., паратгормон 1 раз в 3 мес., ЩФ 1 раз в 12 мес.;</w:t>
      </w:r>
    </w:p>
    <w:p w:rsidR="00D27BC6" w:rsidRDefault="004D5071">
      <w:pPr>
        <w:numPr>
          <w:ilvl w:val="0"/>
          <w:numId w:val="69"/>
        </w:numPr>
        <w:ind w:right="0" w:hanging="283"/>
      </w:pPr>
      <w:r>
        <w:t>исследовать уровень 25(ОН) витами</w:t>
      </w:r>
      <w:r>
        <w:t>на D в плазме, восполнение дефицита/недостаточности как в общей популяции;</w:t>
      </w:r>
    </w:p>
    <w:p w:rsidR="00D27BC6" w:rsidRDefault="004D5071">
      <w:pPr>
        <w:numPr>
          <w:ilvl w:val="0"/>
          <w:numId w:val="69"/>
        </w:numPr>
        <w:ind w:right="0" w:hanging="283"/>
      </w:pPr>
      <w:r>
        <w:t>целевой уровень кальция и фосфора – референсные интервалы лаборатории, оптимальный уровень паратгормона – 130–585 пг/мл (в 2–9 раз выше верхней границы нормы);</w:t>
      </w:r>
    </w:p>
    <w:p w:rsidR="00D27BC6" w:rsidRDefault="004D5071">
      <w:pPr>
        <w:numPr>
          <w:ilvl w:val="0"/>
          <w:numId w:val="69"/>
        </w:numPr>
        <w:ind w:right="0" w:hanging="283"/>
      </w:pPr>
      <w:r>
        <w:t>использовать концентр</w:t>
      </w:r>
      <w:r>
        <w:t>ацию кальция в диализате 1,25 и 1,50 ммоль/л;</w:t>
      </w:r>
    </w:p>
    <w:p w:rsidR="00D27BC6" w:rsidRDefault="004D5071">
      <w:pPr>
        <w:numPr>
          <w:ilvl w:val="0"/>
          <w:numId w:val="69"/>
        </w:numPr>
        <w:ind w:right="0" w:hanging="283"/>
      </w:pPr>
      <w:r>
        <w:t>ограничить дозу фосфатбиндеров, содержащих кальций;</w:t>
      </w:r>
    </w:p>
    <w:p w:rsidR="00D27BC6" w:rsidRDefault="004D5071">
      <w:pPr>
        <w:numPr>
          <w:ilvl w:val="0"/>
          <w:numId w:val="69"/>
        </w:numPr>
        <w:ind w:right="0" w:hanging="283"/>
      </w:pPr>
      <w:r>
        <w:t>избегать применения алюминий-содержащих фосфатбиндеров;</w:t>
      </w:r>
    </w:p>
    <w:p w:rsidR="00D27BC6" w:rsidRDefault="004D5071">
      <w:pPr>
        <w:numPr>
          <w:ilvl w:val="0"/>
          <w:numId w:val="69"/>
        </w:numPr>
        <w:ind w:right="0" w:hanging="283"/>
      </w:pPr>
      <w:r>
        <w:t xml:space="preserve">ограничить потребление фосфора с продуктами питания (&lt;1000 мг/сут за счет продуктов, содержащих фосфор в виде пищевых добавок, продуктов с низкой биодоступностью фосфора, предпочтение продуктов питания с отношением фосфор/белок &lt;12 мг/г); </w:t>
      </w:r>
    </w:p>
    <w:p w:rsidR="00D27BC6" w:rsidRDefault="004D5071">
      <w:pPr>
        <w:numPr>
          <w:ilvl w:val="0"/>
          <w:numId w:val="69"/>
        </w:numPr>
        <w:ind w:right="0" w:hanging="283"/>
      </w:pPr>
      <w:r>
        <w:t>исследовать мине</w:t>
      </w:r>
      <w:r>
        <w:t>ральную плотность костей для оценки риска переломов (особенно при наличии факторов риска остеопороза), по показаниям – провести рентгенографию грудного и поясничного отделов позвоночника, если это повлияет на принятие решения о лечении;</w:t>
      </w:r>
    </w:p>
    <w:p w:rsidR="00D27BC6" w:rsidRDefault="004D5071">
      <w:pPr>
        <w:numPr>
          <w:ilvl w:val="0"/>
          <w:numId w:val="69"/>
        </w:numPr>
        <w:ind w:right="0" w:hanging="283"/>
      </w:pPr>
      <w:r>
        <w:t>для лечения вторичн</w:t>
      </w:r>
      <w:r>
        <w:t>ого гиперпаратиреоза использовать кальцимиметики, препараты витамина D и его аналоги (альфакальцидол, кальцитриол, парикальцитол, колекальциферол), фосфатбиндеры (предпочтительно, не кальцийсодержащие).</w:t>
      </w:r>
    </w:p>
    <w:p w:rsidR="00D27BC6" w:rsidRDefault="004D5071">
      <w:pPr>
        <w:spacing w:after="202"/>
        <w:ind w:left="-1" w:right="0"/>
      </w:pPr>
      <w:r>
        <w:t>Подробные рекомендации по лечению осложнений ХБП (ане</w:t>
      </w:r>
      <w:r>
        <w:t>мии, электролитных нарушений, минерально-костных нарушений) см. в соответствующих клинических рекомендациях профильных сообществ.</w:t>
      </w:r>
    </w:p>
    <w:p w:rsidR="00D27BC6" w:rsidRDefault="004D5071">
      <w:pPr>
        <w:pStyle w:val="Heading3"/>
        <w:ind w:left="162" w:right="156"/>
      </w:pPr>
      <w:r>
        <w:t>Профилактика почечных повреждений при визуализирующих исследованиях у пациентов с СД и ХБП</w:t>
      </w:r>
    </w:p>
    <w:p w:rsidR="00D27BC6" w:rsidRDefault="004D5071">
      <w:pPr>
        <w:ind w:left="2" w:right="51" w:firstLine="283"/>
        <w:jc w:val="left"/>
      </w:pPr>
      <w:r>
        <w:rPr>
          <w:b/>
        </w:rPr>
        <w:t>При проведении исследований с в/в в</w:t>
      </w:r>
      <w:r>
        <w:rPr>
          <w:b/>
        </w:rPr>
        <w:t>ведением йодосодержащих рентгеноконтрастных препаратов необходимо:</w:t>
      </w:r>
    </w:p>
    <w:p w:rsidR="00D27BC6" w:rsidRDefault="004D5071">
      <w:pPr>
        <w:numPr>
          <w:ilvl w:val="0"/>
          <w:numId w:val="70"/>
        </w:numPr>
        <w:ind w:right="0" w:hanging="283"/>
      </w:pPr>
      <w:r>
        <w:t>избегать применения высокоосмолярных препаратов;</w:t>
      </w:r>
    </w:p>
    <w:p w:rsidR="00D27BC6" w:rsidRDefault="004D5071">
      <w:pPr>
        <w:numPr>
          <w:ilvl w:val="0"/>
          <w:numId w:val="70"/>
        </w:numPr>
        <w:ind w:right="0" w:hanging="283"/>
      </w:pPr>
      <w:r>
        <w:t>использовать минимально возможную дозу рентгеноконтрастного препарата;</w:t>
      </w:r>
    </w:p>
    <w:p w:rsidR="00D27BC6" w:rsidRDefault="004D5071">
      <w:pPr>
        <w:numPr>
          <w:ilvl w:val="0"/>
          <w:numId w:val="70"/>
        </w:numPr>
        <w:ind w:right="0" w:hanging="283"/>
      </w:pPr>
      <w:r>
        <w:t>отменить метформин, нестероидные противовоспалительные средства, иНГЛ</w:t>
      </w:r>
      <w:r>
        <w:t>Т-2, иАПФ/БРА, диуретики (по возможности), потенциально нефротоксичные препараты за 48 ч до и после процедуры;</w:t>
      </w:r>
    </w:p>
    <w:p w:rsidR="00D27BC6" w:rsidRDefault="004D5071">
      <w:pPr>
        <w:numPr>
          <w:ilvl w:val="0"/>
          <w:numId w:val="70"/>
        </w:numPr>
        <w:ind w:right="0" w:hanging="283"/>
      </w:pPr>
      <w:r>
        <w:t>проводить адекватную гидратацию пациента с использованием физиологического раствора до, во время и после проведения исследования (1 мл/кг/ч);</w:t>
      </w:r>
    </w:p>
    <w:p w:rsidR="00D27BC6" w:rsidRDefault="004D5071">
      <w:pPr>
        <w:numPr>
          <w:ilvl w:val="0"/>
          <w:numId w:val="70"/>
        </w:numPr>
        <w:ind w:right="0" w:hanging="283"/>
      </w:pPr>
      <w:r>
        <w:t>оце</w:t>
      </w:r>
      <w:r>
        <w:t>нить рСКФ через 48–96 часов после исследования.</w:t>
      </w:r>
    </w:p>
    <w:p w:rsidR="00D27BC6" w:rsidRDefault="004D5071">
      <w:pPr>
        <w:spacing w:after="230"/>
        <w:ind w:left="-11" w:right="0" w:firstLine="283"/>
      </w:pPr>
      <w:r>
        <w:t>Возможно применение гадолиниевых препаратов на основе макроциклических хелатных комплексов для пациентов с рСКФ &lt;30 мл/мин/1,73 м</w:t>
      </w:r>
      <w:r>
        <w:rPr>
          <w:sz w:val="18"/>
          <w:vertAlign w:val="superscript"/>
        </w:rPr>
        <w:t>2</w:t>
      </w:r>
      <w:r>
        <w:t xml:space="preserve"> (ХБП С4). Применение этих препаратов при рСКФ &lt;15 мл/мин/1,73 м</w:t>
      </w:r>
      <w:r>
        <w:rPr>
          <w:sz w:val="18"/>
          <w:vertAlign w:val="superscript"/>
        </w:rPr>
        <w:t>2</w:t>
      </w:r>
      <w:r>
        <w:t xml:space="preserve"> (ХБП С5) не </w:t>
      </w:r>
      <w:r>
        <w:t>рекомендуется (риск развития нефрогенного системного фиброза) и допустимо только в случаях крайней необходимости при отсутствии альтернативных методов исследования.</w:t>
      </w:r>
    </w:p>
    <w:p w:rsidR="00D27BC6" w:rsidRDefault="004D5071">
      <w:pPr>
        <w:pStyle w:val="Heading3"/>
        <w:ind w:left="162" w:right="156"/>
      </w:pPr>
      <w:r>
        <w:t>Трансплантация органов у пациентов с СД</w:t>
      </w:r>
    </w:p>
    <w:p w:rsidR="00D27BC6" w:rsidRDefault="004D5071">
      <w:pPr>
        <w:numPr>
          <w:ilvl w:val="0"/>
          <w:numId w:val="71"/>
        </w:numPr>
        <w:ind w:right="0" w:hanging="283"/>
      </w:pPr>
      <w:r>
        <w:t>Наличие СД не является противопоказанием к транспла</w:t>
      </w:r>
      <w:r>
        <w:t>нтации органов (почки или почки в сочетании с поджелудочной железой). Заблаговременно до трансплантации необходимо детальное обследование пациентов.</w:t>
      </w:r>
    </w:p>
    <w:p w:rsidR="00D27BC6" w:rsidRDefault="004D5071">
      <w:pPr>
        <w:numPr>
          <w:ilvl w:val="0"/>
          <w:numId w:val="71"/>
        </w:numPr>
        <w:ind w:right="0" w:hanging="283"/>
      </w:pPr>
      <w:r>
        <w:t>Пациентам с СД 1 типа после изолированной трансплантации почки целесообразен режим непрерывной подкожной ин</w:t>
      </w:r>
      <w:r>
        <w:t xml:space="preserve">фузии инсулина с помощью инсулиновой помпы (при отсутствии противопоказаний) с позиции долгосрочной эффективности и влияния на выживаемость трансплантата и реципиента. </w:t>
      </w:r>
    </w:p>
    <w:p w:rsidR="00D27BC6" w:rsidRDefault="004D5071">
      <w:pPr>
        <w:numPr>
          <w:ilvl w:val="0"/>
          <w:numId w:val="71"/>
        </w:numPr>
        <w:spacing w:after="226"/>
        <w:ind w:right="0" w:hanging="283"/>
      </w:pPr>
      <w:r>
        <w:t>Изолированная трансплантация поджелудочной железы нецелесообразна для лечения СД!</w:t>
      </w:r>
    </w:p>
    <w:p w:rsidR="00D27BC6" w:rsidRDefault="004D5071">
      <w:pPr>
        <w:pStyle w:val="Heading3"/>
        <w:ind w:left="162" w:right="156"/>
      </w:pPr>
      <w:r>
        <w:t>Контроль гликемии при посттрансплантационном диабете</w:t>
      </w:r>
    </w:p>
    <w:p w:rsidR="00D27BC6" w:rsidRDefault="004D5071">
      <w:pPr>
        <w:spacing w:after="322"/>
        <w:ind w:left="-11" w:right="0" w:firstLine="283"/>
      </w:pPr>
      <w:r>
        <w:t>При посттрансплантационном диабете реципиентов почечного трансплантата целесообразно лечить метформином в соответствии с рСКФ, как и в более широкой популяции с СД 2 типа. Трансплантация почки и ее лечен</w:t>
      </w:r>
      <w:r>
        <w:t xml:space="preserve">ие существенно не изменяют известные риски и преимущества других сахароснижающих препаратов, за исключением ограничений, связанных с рСКФ. </w:t>
      </w:r>
    </w:p>
    <w:p w:rsidR="00D27BC6" w:rsidRDefault="004D5071">
      <w:pPr>
        <w:spacing w:after="14"/>
        <w:ind w:left="313" w:right="309"/>
        <w:jc w:val="center"/>
      </w:pPr>
      <w:r>
        <w:rPr>
          <w:b/>
          <w:sz w:val="24"/>
        </w:rPr>
        <w:t xml:space="preserve">10. ДИАБЕТИЧЕСКИЕ МАКРОАНГИОПАТИИ </w:t>
      </w:r>
    </w:p>
    <w:p w:rsidR="00D27BC6" w:rsidRDefault="004D5071">
      <w:pPr>
        <w:pStyle w:val="Heading1"/>
        <w:spacing w:after="276"/>
        <w:ind w:left="313" w:right="307"/>
      </w:pPr>
      <w:r>
        <w:t>(сердечно-сосудистые заболевания атеросклеротического генеза)</w:t>
      </w:r>
    </w:p>
    <w:p w:rsidR="00D27BC6" w:rsidRDefault="004D5071">
      <w:pPr>
        <w:ind w:left="-11" w:right="0" w:firstLine="283"/>
      </w:pPr>
      <w:r>
        <w:t>СД является одним и</w:t>
      </w:r>
      <w:r>
        <w:t>з основных факторов, влияющих на раннее развитие и быстрое прогрессирование атеросклероза артерий.</w:t>
      </w:r>
    </w:p>
    <w:p w:rsidR="00D27BC6" w:rsidRDefault="004D5071">
      <w:pPr>
        <w:ind w:left="295" w:right="0"/>
      </w:pPr>
      <w:r>
        <w:t>Атеросклеротическое поражение крупных и средних артерий при СД принято называть макроангиопатиями.</w:t>
      </w:r>
    </w:p>
    <w:p w:rsidR="00D27BC6" w:rsidRDefault="004D5071">
      <w:pPr>
        <w:ind w:left="295" w:right="0"/>
      </w:pPr>
      <w:r>
        <w:t>К основным сердечно-сосудистым заболеваниям атеросклеротич</w:t>
      </w:r>
      <w:r>
        <w:t>еского генеза относятся:</w:t>
      </w:r>
    </w:p>
    <w:p w:rsidR="00D27BC6" w:rsidRDefault="004D5071">
      <w:pPr>
        <w:numPr>
          <w:ilvl w:val="0"/>
          <w:numId w:val="72"/>
        </w:numPr>
        <w:ind w:right="0" w:hanging="283"/>
      </w:pPr>
      <w:r>
        <w:t>ишемическая болезнь сердца (ИБС).</w:t>
      </w:r>
    </w:p>
    <w:p w:rsidR="00D27BC6" w:rsidRDefault="004D5071">
      <w:pPr>
        <w:numPr>
          <w:ilvl w:val="0"/>
          <w:numId w:val="72"/>
        </w:numPr>
        <w:ind w:right="0" w:hanging="283"/>
      </w:pPr>
      <w:r>
        <w:t>цереброваскулярные заболевания.</w:t>
      </w:r>
    </w:p>
    <w:p w:rsidR="00D27BC6" w:rsidRDefault="004D5071">
      <w:pPr>
        <w:numPr>
          <w:ilvl w:val="0"/>
          <w:numId w:val="72"/>
        </w:numPr>
        <w:ind w:right="0" w:hanging="283"/>
      </w:pPr>
      <w:r>
        <w:t>заболевания артерий нижних конечностей.</w:t>
      </w:r>
    </w:p>
    <w:p w:rsidR="00D27BC6" w:rsidRDefault="004D5071">
      <w:pPr>
        <w:spacing w:after="230"/>
        <w:ind w:left="-11" w:right="0" w:firstLine="283"/>
      </w:pPr>
      <w:r>
        <w:t>Перечисленные заболевания не являются непосредственно осложнениями СД, однако СД приводит к раннему развитию, увеличивает тяж</w:t>
      </w:r>
      <w:r>
        <w:t>есть, ухудшает течение, видоизменяет клинические проявления этих заболеваний.</w:t>
      </w:r>
    </w:p>
    <w:p w:rsidR="00D27BC6" w:rsidRDefault="004D5071">
      <w:pPr>
        <w:pStyle w:val="Heading2"/>
        <w:spacing w:after="229" w:line="248" w:lineRule="auto"/>
        <w:ind w:left="162" w:right="156"/>
        <w:jc w:val="center"/>
      </w:pPr>
      <w:r>
        <w:rPr>
          <w:color w:val="1E5D99"/>
        </w:rPr>
        <w:t>Стратификация сердечно-сосудистого риска</w:t>
      </w:r>
    </w:p>
    <w:p w:rsidR="00D27BC6" w:rsidRDefault="004D5071">
      <w:pPr>
        <w:ind w:left="-11" w:right="0" w:firstLine="283"/>
      </w:pPr>
      <w:r>
        <w:t>В настоящее время сердечно-сосудистый риск в общей популяции оценивается по шкале SCORE2. Для пациентов с СД 2 типа без АССЗ и без поражения органов-мишеней сердечно-сосудистый риск оценивают по шкале SCORE2-Diabetes, которая объединяет информацию об обычн</w:t>
      </w:r>
      <w:r>
        <w:t>ых факторах риска ССЗ (возраст, статус курения, уровень систолического АД, общего холестерина, ХЛПВП) с факторами, относящимися к СД (возраст при постановке диагноза диабета, HbA1c и рСКФ). Алгоритм SCORE2-Diabetes откалиброван для прогнозирования риска СС</w:t>
      </w:r>
      <w:r>
        <w:t xml:space="preserve">З в регионах Европы с низким, умеренным, высоким и очень высоким риском. По определению экспертов, РФ является страной очень высокого сердечно-сосудистого риска. Пациенты с СД 2 типа ≥ 40 лет без АССЗ или без поражения органов-мишеней, набравших более 20% </w:t>
      </w:r>
      <w:r>
        <w:t>по шкале SCORE2-Diabetes, относятся к очень высокому сердечно-сосудистому риску, от 10 до 19% – высокому риску, 5–9% – среднему риску. Применение алгоритма SCORE2-Diabetes в клинической практике помогает определить стратегию по первичной профилактике ССЗ у</w:t>
      </w:r>
      <w:r>
        <w:t xml:space="preserve"> пациентов с СД 2 типа старше 40 лет, уточнить цели лечения с учетом индивидуальных особенностей пациента. </w:t>
      </w:r>
    </w:p>
    <w:p w:rsidR="00D27BC6" w:rsidRDefault="004D5071">
      <w:pPr>
        <w:numPr>
          <w:ilvl w:val="0"/>
          <w:numId w:val="73"/>
        </w:numPr>
        <w:ind w:right="0" w:hanging="283"/>
      </w:pPr>
      <w:r>
        <w:t>Применение шкалы SCORE2-Diabetes для оценки сердечно-сосудистого риска у пациентов с СД 1 типа не рекомендуется.</w:t>
      </w:r>
    </w:p>
    <w:p w:rsidR="00D27BC6" w:rsidRDefault="004D5071">
      <w:pPr>
        <w:numPr>
          <w:ilvl w:val="0"/>
          <w:numId w:val="73"/>
        </w:numPr>
        <w:ind w:right="0" w:hanging="283"/>
      </w:pPr>
      <w:r>
        <w:t>Большинство больных СД 1 типа относ</w:t>
      </w:r>
      <w:r>
        <w:t>ятся к высокому сердечно-сосудистому риску:</w:t>
      </w:r>
    </w:p>
    <w:p w:rsidR="00D27BC6" w:rsidRDefault="004D5071">
      <w:pPr>
        <w:numPr>
          <w:ilvl w:val="2"/>
          <w:numId w:val="74"/>
        </w:numPr>
        <w:ind w:left="568" w:right="0" w:hanging="283"/>
      </w:pPr>
      <w:r>
        <w:t xml:space="preserve">Пациенты без поражения органов-мишеней с длительностью СД ≥10 лет </w:t>
      </w:r>
    </w:p>
    <w:p w:rsidR="00D27BC6" w:rsidRDefault="004D5071">
      <w:pPr>
        <w:numPr>
          <w:ilvl w:val="2"/>
          <w:numId w:val="74"/>
        </w:numPr>
        <w:ind w:left="568" w:right="0" w:hanging="283"/>
      </w:pPr>
      <w:r>
        <w:t xml:space="preserve">Пациенты без поражения органов-мишеней с 1 или 2 основными факторами сердечно-сосудистого риска </w:t>
      </w:r>
    </w:p>
    <w:p w:rsidR="00D27BC6" w:rsidRDefault="004D5071">
      <w:pPr>
        <w:numPr>
          <w:ilvl w:val="0"/>
          <w:numId w:val="73"/>
        </w:numPr>
        <w:ind w:right="0" w:hanging="283"/>
      </w:pPr>
      <w:r>
        <w:t>Молодые больные с СД 1 типа младше 35 лет с длит</w:t>
      </w:r>
      <w:r>
        <w:t xml:space="preserve">ельностью СД &lt;10 лет без поражения органов-мишеней и без факторов сердечно-сосудистого риска относятся к среднему сердечно-сосудистому риску. </w:t>
      </w:r>
    </w:p>
    <w:p w:rsidR="00D27BC6" w:rsidRDefault="004D5071">
      <w:pPr>
        <w:ind w:left="295" w:right="0"/>
      </w:pPr>
      <w:r>
        <w:t>Основной задачей у больных СД в профилактике ССЗ является модификация образа жизни и контроль ФР.</w:t>
      </w:r>
    </w:p>
    <w:p w:rsidR="00D27BC6" w:rsidRDefault="004D5071">
      <w:pPr>
        <w:ind w:left="295" w:right="0"/>
      </w:pPr>
      <w:r>
        <w:rPr>
          <w:b/>
        </w:rPr>
        <w:t>Основные задачи</w:t>
      </w:r>
      <w:r>
        <w:rPr>
          <w:b/>
        </w:rPr>
        <w:t xml:space="preserve"> лечения у больных СД:</w:t>
      </w:r>
    </w:p>
    <w:p w:rsidR="00D27BC6" w:rsidRDefault="004D5071">
      <w:pPr>
        <w:numPr>
          <w:ilvl w:val="0"/>
          <w:numId w:val="73"/>
        </w:numPr>
        <w:ind w:right="0" w:hanging="283"/>
      </w:pPr>
      <w:r>
        <w:t>Изменение образа жизни</w:t>
      </w:r>
    </w:p>
    <w:p w:rsidR="00D27BC6" w:rsidRDefault="004D5071">
      <w:pPr>
        <w:numPr>
          <w:ilvl w:val="0"/>
          <w:numId w:val="73"/>
        </w:numPr>
        <w:ind w:right="0" w:hanging="283"/>
      </w:pPr>
      <w:r>
        <w:t>Контроль массы тела</w:t>
      </w:r>
    </w:p>
    <w:p w:rsidR="00D27BC6" w:rsidRDefault="004D5071">
      <w:pPr>
        <w:numPr>
          <w:ilvl w:val="0"/>
          <w:numId w:val="73"/>
        </w:numPr>
        <w:ind w:right="0" w:hanging="283"/>
      </w:pPr>
      <w:r>
        <w:t>Отказ от курения</w:t>
      </w:r>
    </w:p>
    <w:p w:rsidR="00D27BC6" w:rsidRDefault="004D5071">
      <w:pPr>
        <w:numPr>
          <w:ilvl w:val="0"/>
          <w:numId w:val="73"/>
        </w:numPr>
        <w:ind w:right="0" w:hanging="283"/>
      </w:pPr>
      <w:r>
        <w:t>Сбалансированная диета</w:t>
      </w:r>
    </w:p>
    <w:p w:rsidR="00D27BC6" w:rsidRDefault="004D5071">
      <w:pPr>
        <w:numPr>
          <w:ilvl w:val="0"/>
          <w:numId w:val="73"/>
        </w:numPr>
        <w:ind w:right="0" w:hanging="283"/>
      </w:pPr>
      <w:r>
        <w:t>Регулярные физические тренировки</w:t>
      </w:r>
    </w:p>
    <w:p w:rsidR="00D27BC6" w:rsidRDefault="004D5071">
      <w:pPr>
        <w:numPr>
          <w:ilvl w:val="0"/>
          <w:numId w:val="73"/>
        </w:numPr>
        <w:ind w:right="0" w:hanging="283"/>
      </w:pPr>
      <w:r>
        <w:t>Достижение целевых показателей:</w:t>
      </w:r>
    </w:p>
    <w:p w:rsidR="00D27BC6" w:rsidRDefault="004D5071">
      <w:pPr>
        <w:numPr>
          <w:ilvl w:val="2"/>
          <w:numId w:val="75"/>
        </w:numPr>
        <w:ind w:left="568" w:right="0" w:hanging="283"/>
      </w:pPr>
      <w:r>
        <w:t>АД</w:t>
      </w:r>
    </w:p>
    <w:p w:rsidR="00D27BC6" w:rsidRDefault="004D5071">
      <w:pPr>
        <w:numPr>
          <w:ilvl w:val="2"/>
          <w:numId w:val="75"/>
        </w:numPr>
        <w:ind w:left="568" w:right="0" w:hanging="283"/>
      </w:pPr>
      <w:r>
        <w:t>уровня ХЛНП</w:t>
      </w:r>
    </w:p>
    <w:p w:rsidR="00D27BC6" w:rsidRDefault="004D5071">
      <w:pPr>
        <w:numPr>
          <w:ilvl w:val="2"/>
          <w:numId w:val="75"/>
        </w:numPr>
        <w:ind w:left="568" w:right="0" w:hanging="283"/>
      </w:pPr>
      <w:r>
        <w:t>уровня гликемии и HbA1c</w:t>
      </w:r>
    </w:p>
    <w:p w:rsidR="00D27BC6" w:rsidRDefault="004D5071">
      <w:pPr>
        <w:spacing w:after="230"/>
        <w:ind w:left="-11" w:right="0" w:firstLine="283"/>
      </w:pPr>
      <w:r>
        <w:t xml:space="preserve">У пожилых больных с длительно существующим СД </w:t>
      </w:r>
      <w:r>
        <w:t>или низкой ожидаемой продолжительностью жизни или тяжелыми сопутствующими заболеваниями целевые показатели лечения, прежде всего гликемии, могут быть не столь строгие.</w:t>
      </w:r>
    </w:p>
    <w:p w:rsidR="00D27BC6" w:rsidRDefault="004D5071">
      <w:pPr>
        <w:spacing w:after="226"/>
        <w:ind w:left="290" w:right="285"/>
        <w:jc w:val="center"/>
      </w:pPr>
      <w:r>
        <w:rPr>
          <w:b/>
        </w:rPr>
        <w:t>10.1. ИШЕМИЧЕСКАЯ БОЛЕЗНЬ СЕРДЦА (ИБС)</w:t>
      </w:r>
    </w:p>
    <w:p w:rsidR="00D27BC6" w:rsidRDefault="004D5071">
      <w:pPr>
        <w:spacing w:after="244" w:line="231" w:lineRule="auto"/>
        <w:ind w:left="-13" w:right="0" w:firstLine="283"/>
        <w:jc w:val="left"/>
      </w:pPr>
      <w:r>
        <w:t>СД является независимым фактором риска ССЗ. Наличие СД повышает риск развития ИБС в 2–4 раза. При СД женский пол не является защитным фактором в отношении раннего начала ИБС в отличие от общей популяции. К возрасту старше 40 лет у 40–50% больных СД возника</w:t>
      </w:r>
      <w:r>
        <w:t>ет, по меньшей мере одно ССЗ. Течение ИБС зависит от длительности СД. Смертность при развитии острого коронарного синдрома (ОКС) у больных СД выше в 2–3 раза.</w:t>
      </w:r>
    </w:p>
    <w:p w:rsidR="00D27BC6" w:rsidRDefault="004D5071">
      <w:pPr>
        <w:pStyle w:val="Heading2"/>
        <w:spacing w:after="10" w:line="248" w:lineRule="auto"/>
        <w:ind w:left="162" w:right="155"/>
        <w:jc w:val="center"/>
      </w:pPr>
      <w:r>
        <w:rPr>
          <w:color w:val="1E5D99"/>
        </w:rPr>
        <w:t>Особенности ИБС при СД</w:t>
      </w:r>
    </w:p>
    <w:tbl>
      <w:tblPr>
        <w:tblStyle w:val="TableGrid"/>
        <w:tblW w:w="10185" w:type="dxa"/>
        <w:tblInd w:w="12" w:type="dxa"/>
        <w:tblCellMar>
          <w:top w:w="73" w:type="dxa"/>
          <w:left w:w="113" w:type="dxa"/>
          <w:bottom w:w="0" w:type="dxa"/>
          <w:right w:w="115" w:type="dxa"/>
        </w:tblCellMar>
        <w:tblLook w:val="04A0" w:firstRow="1" w:lastRow="0" w:firstColumn="1" w:lastColumn="0" w:noHBand="0" w:noVBand="1"/>
      </w:tblPr>
      <w:tblGrid>
        <w:gridCol w:w="10185"/>
      </w:tblGrid>
      <w:tr w:rsidR="00D27BC6">
        <w:trPr>
          <w:trHeight w:val="2510"/>
        </w:trPr>
        <w:tc>
          <w:tcPr>
            <w:tcW w:w="10185" w:type="dxa"/>
            <w:tcBorders>
              <w:top w:val="single" w:sz="8" w:space="0" w:color="000000"/>
              <w:left w:val="single" w:sz="8" w:space="0" w:color="000000"/>
              <w:bottom w:val="single" w:sz="8" w:space="0" w:color="000000"/>
              <w:right w:val="single" w:sz="8" w:space="0" w:color="000000"/>
            </w:tcBorders>
          </w:tcPr>
          <w:p w:rsidR="00D27BC6" w:rsidRDefault="004D5071">
            <w:pPr>
              <w:numPr>
                <w:ilvl w:val="0"/>
                <w:numId w:val="280"/>
              </w:numPr>
              <w:spacing w:after="33" w:line="259" w:lineRule="auto"/>
              <w:ind w:right="0" w:hanging="283"/>
              <w:jc w:val="left"/>
            </w:pPr>
            <w:r>
              <w:t>Высокая частота безболевых («немых») форм ИБС и инфаркта миокарда (ИМ).</w:t>
            </w:r>
          </w:p>
          <w:p w:rsidR="00D27BC6" w:rsidRDefault="004D5071">
            <w:pPr>
              <w:numPr>
                <w:ilvl w:val="0"/>
                <w:numId w:val="280"/>
              </w:numPr>
              <w:spacing w:after="33" w:line="259" w:lineRule="auto"/>
              <w:ind w:right="0" w:hanging="283"/>
              <w:jc w:val="left"/>
            </w:pPr>
            <w:r>
              <w:t>Ча</w:t>
            </w:r>
            <w:r>
              <w:t>сто диагностируется диффузное поражение коронарных артерий.</w:t>
            </w:r>
          </w:p>
          <w:p w:rsidR="00D27BC6" w:rsidRDefault="004D5071">
            <w:pPr>
              <w:numPr>
                <w:ilvl w:val="0"/>
                <w:numId w:val="280"/>
              </w:numPr>
              <w:spacing w:after="33" w:line="259" w:lineRule="auto"/>
              <w:ind w:right="0" w:hanging="283"/>
              <w:jc w:val="left"/>
            </w:pPr>
            <w:r>
              <w:t>Высокий риск «внезапной смерти».</w:t>
            </w:r>
          </w:p>
          <w:p w:rsidR="00D27BC6" w:rsidRDefault="004D5071">
            <w:pPr>
              <w:numPr>
                <w:ilvl w:val="0"/>
                <w:numId w:val="280"/>
              </w:numPr>
              <w:spacing w:after="33" w:line="259" w:lineRule="auto"/>
              <w:ind w:right="0" w:hanging="283"/>
              <w:jc w:val="left"/>
            </w:pPr>
            <w:r>
              <w:t>Имеется большая вероятность рестеноза в месте имплантации стента.</w:t>
            </w:r>
          </w:p>
          <w:p w:rsidR="00D27BC6" w:rsidRDefault="004D5071">
            <w:pPr>
              <w:numPr>
                <w:ilvl w:val="0"/>
                <w:numId w:val="280"/>
              </w:numPr>
              <w:spacing w:after="33" w:line="259" w:lineRule="auto"/>
              <w:ind w:right="0" w:hanging="283"/>
              <w:jc w:val="left"/>
            </w:pPr>
            <w:r>
              <w:t>Высокая частота развития постинфарктных осложнений:</w:t>
            </w:r>
          </w:p>
          <w:p w:rsidR="00D27BC6" w:rsidRDefault="004D5071">
            <w:pPr>
              <w:numPr>
                <w:ilvl w:val="1"/>
                <w:numId w:val="280"/>
              </w:numPr>
              <w:spacing w:after="33" w:line="259" w:lineRule="auto"/>
              <w:ind w:left="566" w:right="0" w:hanging="283"/>
              <w:jc w:val="left"/>
            </w:pPr>
            <w:r>
              <w:t>кардиогенного шока,</w:t>
            </w:r>
          </w:p>
          <w:p w:rsidR="00D27BC6" w:rsidRDefault="004D5071">
            <w:pPr>
              <w:numPr>
                <w:ilvl w:val="1"/>
                <w:numId w:val="280"/>
              </w:numPr>
              <w:spacing w:after="33" w:line="259" w:lineRule="auto"/>
              <w:ind w:left="566" w:right="0" w:hanging="283"/>
              <w:jc w:val="left"/>
            </w:pPr>
            <w:r>
              <w:t>застойной сердечной недос</w:t>
            </w:r>
            <w:r>
              <w:t>таточности,</w:t>
            </w:r>
          </w:p>
          <w:p w:rsidR="00D27BC6" w:rsidRDefault="004D5071">
            <w:pPr>
              <w:numPr>
                <w:ilvl w:val="1"/>
                <w:numId w:val="280"/>
              </w:numPr>
              <w:spacing w:after="0" w:line="259" w:lineRule="auto"/>
              <w:ind w:left="566" w:right="0" w:hanging="283"/>
              <w:jc w:val="left"/>
            </w:pPr>
            <w:r>
              <w:t>нарушений сердечного ритма.</w:t>
            </w:r>
          </w:p>
        </w:tc>
      </w:tr>
    </w:tbl>
    <w:p w:rsidR="00D27BC6" w:rsidRDefault="004D5071">
      <w:pPr>
        <w:pStyle w:val="Heading2"/>
        <w:spacing w:after="229" w:line="248" w:lineRule="auto"/>
        <w:ind w:left="162" w:right="156"/>
        <w:jc w:val="center"/>
      </w:pPr>
      <w:r>
        <w:rPr>
          <w:color w:val="1E5D99"/>
        </w:rPr>
        <w:t>Диагностика ИБС</w:t>
      </w:r>
    </w:p>
    <w:p w:rsidR="00D27BC6" w:rsidRDefault="004D5071">
      <w:pPr>
        <w:ind w:left="-11" w:right="0" w:firstLine="283"/>
      </w:pPr>
      <w:r>
        <w:t>Методы диагностики ИБС у пациентов с СД аналогичны методам диагностики у больных без СД с соответствующими показаниями и противопоказаниями:</w:t>
      </w:r>
    </w:p>
    <w:p w:rsidR="00D27BC6" w:rsidRDefault="004D5071">
      <w:pPr>
        <w:numPr>
          <w:ilvl w:val="0"/>
          <w:numId w:val="76"/>
        </w:numPr>
        <w:ind w:right="0" w:hanging="283"/>
      </w:pPr>
      <w:r>
        <w:t>пробы с физической нагрузкой: тредмил-тест, велоэргометрия;</w:t>
      </w:r>
    </w:p>
    <w:p w:rsidR="00D27BC6" w:rsidRDefault="004D5071">
      <w:pPr>
        <w:numPr>
          <w:ilvl w:val="0"/>
          <w:numId w:val="76"/>
        </w:numPr>
        <w:ind w:right="0" w:hanging="283"/>
      </w:pPr>
      <w:r>
        <w:t>однофотонная эмиссионная компьютерная томография (перфузионная сцинтиграфия) миокарда с нагрузкой;</w:t>
      </w:r>
    </w:p>
    <w:p w:rsidR="00D27BC6" w:rsidRDefault="004D5071">
      <w:pPr>
        <w:numPr>
          <w:ilvl w:val="0"/>
          <w:numId w:val="76"/>
        </w:numPr>
        <w:ind w:right="0" w:hanging="283"/>
      </w:pPr>
      <w:r>
        <w:t xml:space="preserve">эхокардиография с нагрузкой, с добутамином; • </w:t>
      </w:r>
      <w:r>
        <w:tab/>
        <w:t>МСКТ коронарных артерий;</w:t>
      </w:r>
    </w:p>
    <w:p w:rsidR="00D27BC6" w:rsidRDefault="004D5071">
      <w:pPr>
        <w:numPr>
          <w:ilvl w:val="0"/>
          <w:numId w:val="76"/>
        </w:numPr>
        <w:ind w:right="0" w:hanging="283"/>
      </w:pPr>
      <w:r>
        <w:t>коронароангиография.</w:t>
      </w:r>
    </w:p>
    <w:p w:rsidR="00D27BC6" w:rsidRDefault="004D5071">
      <w:pPr>
        <w:spacing w:after="378"/>
        <w:ind w:left="-11" w:right="0" w:firstLine="283"/>
      </w:pPr>
      <w:r>
        <w:t>Эхок</w:t>
      </w:r>
      <w:r>
        <w:t>ардиография с нагрузкой и однофотонная эмиссионная компьютерная томография (ОФЭКТ) с физической нагрузкой или фармакологической пробой с использованием добутамина являются наиболее чувствительными и специфичными методами в диагностике ИБС. Проба с физическ</w:t>
      </w:r>
      <w:r>
        <w:t>ой нагрузкой на беговой дорожке (тредмиле) или велоэргометре под контролем ЭКГ в 12-ти отведениях обладает меньшей чувствительностью и специфичностью по сравнению с эхокардиографией с нагрузкой и ОФЭКТ. Однако, в связи с простотой проведения и широкой дост</w:t>
      </w:r>
      <w:r>
        <w:t>упностью может использоваться как начальный метод диагностики у пациентов с подозрением на ИБС.</w:t>
      </w:r>
    </w:p>
    <w:p w:rsidR="00D27BC6" w:rsidRDefault="004D5071">
      <w:pPr>
        <w:pBdr>
          <w:top w:val="single" w:sz="8" w:space="0" w:color="000000"/>
          <w:left w:val="single" w:sz="8" w:space="0" w:color="000000"/>
          <w:bottom w:val="single" w:sz="8" w:space="0" w:color="000000"/>
          <w:right w:val="single" w:sz="8" w:space="0" w:color="000000"/>
        </w:pBdr>
        <w:spacing w:after="559"/>
        <w:ind w:left="120" w:right="114"/>
      </w:pPr>
      <w:r>
        <w:t>Пациентам с СД при подозрении на ИБС рекомендуется выполнение ЭКГ покоя в 12 отведениях</w:t>
      </w:r>
    </w:p>
    <w:p w:rsidR="00D27BC6" w:rsidRDefault="004D5071">
      <w:pPr>
        <w:ind w:left="281" w:right="51"/>
        <w:jc w:val="left"/>
      </w:pPr>
      <w:r>
        <w:rPr>
          <w:b/>
        </w:rPr>
        <w:t>Показания к проведению нагрузочных проб</w:t>
      </w:r>
    </w:p>
    <w:p w:rsidR="00D27BC6" w:rsidRDefault="004D5071">
      <w:pPr>
        <w:numPr>
          <w:ilvl w:val="0"/>
          <w:numId w:val="76"/>
        </w:numPr>
        <w:ind w:right="0" w:hanging="283"/>
      </w:pPr>
      <w:r>
        <w:t>Дифференциальная диагностика ИБС</w:t>
      </w:r>
    </w:p>
    <w:p w:rsidR="00D27BC6" w:rsidRDefault="004D5071">
      <w:pPr>
        <w:numPr>
          <w:ilvl w:val="0"/>
          <w:numId w:val="76"/>
        </w:numPr>
        <w:ind w:right="0" w:hanging="283"/>
      </w:pPr>
      <w:r>
        <w:t>Определение индивидуальной толерантности к физической нагрузке</w:t>
      </w:r>
    </w:p>
    <w:p w:rsidR="00D27BC6" w:rsidRDefault="004D5071">
      <w:pPr>
        <w:numPr>
          <w:ilvl w:val="0"/>
          <w:numId w:val="76"/>
        </w:numPr>
        <w:ind w:right="0" w:hanging="283"/>
      </w:pPr>
      <w:r>
        <w:t xml:space="preserve">Оценка эффективности лечебных мероприятий (антиангинальных препаратов) • </w:t>
      </w:r>
      <w:r>
        <w:tab/>
        <w:t>Оценка прогноза</w:t>
      </w:r>
    </w:p>
    <w:p w:rsidR="00D27BC6" w:rsidRDefault="004D5071">
      <w:pPr>
        <w:pBdr>
          <w:top w:val="single" w:sz="8" w:space="0" w:color="000000"/>
          <w:left w:val="single" w:sz="8" w:space="0" w:color="000000"/>
          <w:bottom w:val="single" w:sz="8" w:space="0" w:color="000000"/>
          <w:right w:val="single" w:sz="8" w:space="0" w:color="000000"/>
        </w:pBdr>
        <w:spacing w:after="99"/>
        <w:ind w:left="120" w:right="114"/>
      </w:pPr>
      <w:r>
        <w:t>Проведение рутинного скрининга ИБС у пациентов СД 2 типа без клинических проявлений ИБС нецелесообразн</w:t>
      </w:r>
      <w:r>
        <w:t>о.</w:t>
      </w:r>
    </w:p>
    <w:p w:rsidR="00D27BC6" w:rsidRDefault="004D5071">
      <w:pPr>
        <w:pBdr>
          <w:top w:val="single" w:sz="8" w:space="0" w:color="000000"/>
          <w:left w:val="single" w:sz="8" w:space="0" w:color="000000"/>
          <w:bottom w:val="single" w:sz="8" w:space="0" w:color="000000"/>
          <w:right w:val="single" w:sz="8" w:space="0" w:color="000000"/>
        </w:pBdr>
        <w:spacing w:after="346"/>
        <w:ind w:left="120" w:right="114"/>
      </w:pPr>
      <w:r>
        <w:t>Скрининг для выявления безболевой ишемии миокарда может быть проведен у части пациентов с СД и высоким риском</w:t>
      </w:r>
    </w:p>
    <w:p w:rsidR="00D27BC6" w:rsidRDefault="004D5071">
      <w:pPr>
        <w:spacing w:after="243" w:line="259" w:lineRule="auto"/>
        <w:ind w:left="10" w:right="4"/>
        <w:jc w:val="center"/>
      </w:pPr>
      <w:r>
        <w:rPr>
          <w:b/>
          <w:color w:val="6F6F6E"/>
          <w:sz w:val="18"/>
          <w:u w:val="single" w:color="6F6F6E"/>
        </w:rPr>
        <w:t>ЛЕЧЕНИЕ</w:t>
      </w:r>
    </w:p>
    <w:p w:rsidR="00D27BC6" w:rsidRDefault="004D5071">
      <w:pPr>
        <w:ind w:left="281" w:right="51"/>
        <w:jc w:val="left"/>
      </w:pPr>
      <w:r>
        <w:rPr>
          <w:b/>
        </w:rPr>
        <w:t>Модификация образа жизни при СД и ИБС</w:t>
      </w:r>
    </w:p>
    <w:p w:rsidR="00D27BC6" w:rsidRDefault="004D5071">
      <w:pPr>
        <w:numPr>
          <w:ilvl w:val="0"/>
          <w:numId w:val="76"/>
        </w:numPr>
        <w:ind w:right="0" w:hanging="283"/>
      </w:pPr>
      <w:r>
        <w:rPr>
          <w:b/>
          <w:i/>
        </w:rPr>
        <w:t>Прекращение курения.</w:t>
      </w:r>
      <w:r>
        <w:t xml:space="preserve"> Отказ от курения улучшает прогноз у пациентов с ИБС, в том числе приводит к снижению смертности на 36% для тех, кто бросил курить. При клинических беседах с курильщиками целесообразно следовать принципу “Five As” (5 шагов): </w:t>
      </w:r>
      <w:r>
        <w:rPr>
          <w:rFonts w:ascii="Wingdings" w:eastAsia="Wingdings" w:hAnsi="Wingdings" w:cs="Wingdings"/>
        </w:rPr>
        <w:t></w:t>
      </w:r>
      <w:r>
        <w:t xml:space="preserve"> спрашивать о курении, </w:t>
      </w:r>
    </w:p>
    <w:p w:rsidR="00D27BC6" w:rsidRDefault="004D5071">
      <w:pPr>
        <w:numPr>
          <w:ilvl w:val="1"/>
          <w:numId w:val="76"/>
        </w:numPr>
        <w:ind w:left="568" w:right="0" w:hanging="283"/>
      </w:pPr>
      <w:r>
        <w:t>совето</w:t>
      </w:r>
      <w:r>
        <w:t xml:space="preserve">вать бросить курить, </w:t>
      </w:r>
    </w:p>
    <w:p w:rsidR="00D27BC6" w:rsidRDefault="004D5071">
      <w:pPr>
        <w:numPr>
          <w:ilvl w:val="1"/>
          <w:numId w:val="76"/>
        </w:numPr>
        <w:ind w:left="568" w:right="0" w:hanging="283"/>
      </w:pPr>
      <w:r>
        <w:t xml:space="preserve">оценивать готовность бросить курить, </w:t>
      </w:r>
    </w:p>
    <w:p w:rsidR="00D27BC6" w:rsidRDefault="004D5071">
      <w:pPr>
        <w:numPr>
          <w:ilvl w:val="1"/>
          <w:numId w:val="76"/>
        </w:numPr>
        <w:ind w:left="568" w:right="0" w:hanging="283"/>
      </w:pPr>
      <w:r>
        <w:t xml:space="preserve">помогать с прекращением курения: фармакологическая поддержка и направление на поведенческое консультирование (консультация по коррекции поведения, телефонная поддержка или меры самопомощи) </w:t>
      </w:r>
    </w:p>
    <w:p w:rsidR="00D27BC6" w:rsidRDefault="004D5071">
      <w:pPr>
        <w:numPr>
          <w:ilvl w:val="1"/>
          <w:numId w:val="76"/>
        </w:numPr>
        <w:ind w:left="568" w:right="0" w:hanging="283"/>
      </w:pPr>
      <w:r>
        <w:t>организовывать последующее наблюдение Пациентам также следует избегать пассивного курения.</w:t>
      </w:r>
    </w:p>
    <w:p w:rsidR="00D27BC6" w:rsidRDefault="004D5071">
      <w:pPr>
        <w:numPr>
          <w:ilvl w:val="0"/>
          <w:numId w:val="76"/>
        </w:numPr>
        <w:ind w:right="0" w:hanging="283"/>
      </w:pPr>
      <w:r>
        <w:rPr>
          <w:b/>
          <w:i/>
        </w:rPr>
        <w:t>Питание.</w:t>
      </w:r>
      <w:r>
        <w:t xml:space="preserve"> Общее содержание жиров в питании следует снизить &lt;35%, насыщенных жиров &lt;10% и мононенасыщенных жиров &gt;10% от общей калорийности. С целью снижения риска раз</w:t>
      </w:r>
      <w:r>
        <w:t>вития сердечно-сосудистых событий целесообразно рекомендовать средиземноморскую диету, обогащенную полиненасыщенными и мононенасыщенными жирами. Употребление овощей и фруктов не менее 200 г в день. Умеренное употребление орехов до 30 г в день, употребление</w:t>
      </w:r>
      <w:r>
        <w:t xml:space="preserve"> 35–45 г клетчатки в день, ограничение употребления соли до 5–6 г в сутки. Ограничение употребления алкоголя до &lt; 100 г в неделю или &lt;15 г в день (в пересчете на этанол). Избегать энергетически насыщенных продуктов, таких как сладкие безалкогольные напитки</w:t>
      </w:r>
      <w:r>
        <w:t>.</w:t>
      </w:r>
    </w:p>
    <w:p w:rsidR="00D27BC6" w:rsidRDefault="004D5071">
      <w:pPr>
        <w:numPr>
          <w:ilvl w:val="0"/>
          <w:numId w:val="76"/>
        </w:numPr>
        <w:spacing w:after="230"/>
        <w:ind w:right="0" w:hanging="283"/>
      </w:pPr>
      <w:r>
        <w:rPr>
          <w:b/>
          <w:i/>
        </w:rPr>
        <w:t>Физическая нагрузка.</w:t>
      </w:r>
      <w:r>
        <w:t xml:space="preserve"> 30–60 минут аэробных физических нагрузок средней интенсивности ≥ 5 дней в неделю снижают риск развития сердечно-сосудистых осложнений. Комбинация аэробных упражнений и статических нагрузок способствует улучшению активности инсулина, </w:t>
      </w:r>
      <w:r>
        <w:t>контроля гликемии, уровней липидов и АД. Упражнения с отягощениями поддерживают мышечную массу и силу. Повышение физической активности на любую величину приносит пользу. Любая нерегулярная физическая активность, которая осуществляется в свободное время, сн</w:t>
      </w:r>
      <w:r>
        <w:t xml:space="preserve">ижает риск смертности у пациентов с ИБС, которые ранее вели сидячий образ жизни. </w:t>
      </w:r>
    </w:p>
    <w:p w:rsidR="00D27BC6" w:rsidRDefault="004D5071">
      <w:pPr>
        <w:pStyle w:val="Heading2"/>
        <w:spacing w:after="10" w:line="248" w:lineRule="auto"/>
        <w:ind w:left="162" w:right="156"/>
        <w:jc w:val="center"/>
      </w:pPr>
      <w:r>
        <w:rPr>
          <w:color w:val="1E5D99"/>
        </w:rPr>
        <w:t xml:space="preserve">Контроль артериального давления </w:t>
      </w:r>
    </w:p>
    <w:p w:rsidR="00D27BC6" w:rsidRDefault="004D5071">
      <w:pPr>
        <w:spacing w:after="216" w:line="259" w:lineRule="auto"/>
        <w:ind w:left="10" w:right="4"/>
        <w:jc w:val="center"/>
      </w:pPr>
      <w:r>
        <w:rPr>
          <w:color w:val="1E5D99"/>
        </w:rPr>
        <w:t>(см. раздел 15)</w:t>
      </w:r>
    </w:p>
    <w:p w:rsidR="00D27BC6" w:rsidRDefault="004D5071">
      <w:pPr>
        <w:pStyle w:val="Heading2"/>
        <w:spacing w:after="229" w:line="248" w:lineRule="auto"/>
        <w:ind w:left="162" w:right="156"/>
        <w:jc w:val="center"/>
      </w:pPr>
      <w:r>
        <w:rPr>
          <w:color w:val="1E5D99"/>
        </w:rPr>
        <w:t>Дислипидемия</w:t>
      </w:r>
    </w:p>
    <w:p w:rsidR="00D27BC6" w:rsidRDefault="004D5071">
      <w:pPr>
        <w:numPr>
          <w:ilvl w:val="0"/>
          <w:numId w:val="77"/>
        </w:numPr>
        <w:ind w:right="0" w:hanging="283"/>
      </w:pPr>
      <w:r>
        <w:t>У больных СД часто наблюдается сочетанное повышение уровней холестерина и триглицеридов.</w:t>
      </w:r>
    </w:p>
    <w:p w:rsidR="00D27BC6" w:rsidRDefault="004D5071">
      <w:pPr>
        <w:numPr>
          <w:ilvl w:val="0"/>
          <w:numId w:val="77"/>
        </w:numPr>
        <w:ind w:right="0" w:hanging="283"/>
      </w:pPr>
      <w:r>
        <w:t>Лечение гиперхолестерин</w:t>
      </w:r>
      <w:r>
        <w:t>емии – один из главных механизмов снижения сердечно-сосудистого риска как у больных СД 2 типа, так и у больных СД 1 типа.</w:t>
      </w:r>
    </w:p>
    <w:p w:rsidR="00D27BC6" w:rsidRDefault="004D5071">
      <w:pPr>
        <w:numPr>
          <w:ilvl w:val="0"/>
          <w:numId w:val="77"/>
        </w:numPr>
        <w:ind w:right="0" w:hanging="283"/>
      </w:pPr>
      <w:r>
        <w:t>У больных СД очень высокого риска необходимо добиваться снижения уровня ХЛНП менее 1,4 ммоль/л.</w:t>
      </w:r>
    </w:p>
    <w:p w:rsidR="00D27BC6" w:rsidRDefault="004D5071">
      <w:pPr>
        <w:numPr>
          <w:ilvl w:val="0"/>
          <w:numId w:val="77"/>
        </w:numPr>
        <w:ind w:right="0" w:hanging="283"/>
      </w:pPr>
      <w:r>
        <w:t>У больных СД высокого риска необходимо</w:t>
      </w:r>
      <w:r>
        <w:t xml:space="preserve"> добиваться снижения уровня ХЛНП менее 1,8 ммоль/л.</w:t>
      </w:r>
    </w:p>
    <w:p w:rsidR="00D27BC6" w:rsidRDefault="004D5071">
      <w:pPr>
        <w:numPr>
          <w:ilvl w:val="0"/>
          <w:numId w:val="77"/>
        </w:numPr>
        <w:ind w:right="0" w:hanging="283"/>
      </w:pPr>
      <w:r>
        <w:t>У больных СД среднего риска необходимо добиваться снижения уровня ХЛНП менее 2,6 ммоль/л.</w:t>
      </w:r>
    </w:p>
    <w:p w:rsidR="00D27BC6" w:rsidRDefault="004D5071">
      <w:pPr>
        <w:numPr>
          <w:ilvl w:val="0"/>
          <w:numId w:val="77"/>
        </w:numPr>
        <w:ind w:right="0" w:hanging="283"/>
      </w:pPr>
      <w:r>
        <w:t xml:space="preserve">Статины (ингибиторы ГМГ-КоА редуктазы) являются препаратами первой линии в лечении дислипидемии у пациентов с СД. </w:t>
      </w:r>
      <w:r>
        <w:t>Применение статинов ассоциировано со снижением сердечно-сосудистой смертности и уменьшением числа неблагоприятных сердечно-сосудистых событий.</w:t>
      </w:r>
    </w:p>
    <w:p w:rsidR="00D27BC6" w:rsidRDefault="004D5071">
      <w:pPr>
        <w:numPr>
          <w:ilvl w:val="0"/>
          <w:numId w:val="77"/>
        </w:numPr>
        <w:ind w:right="0" w:hanging="283"/>
      </w:pPr>
      <w:r>
        <w:t>При недостижении целевого уровня ХЛНП у пациентов с СД очень высокого риска на фоне приема максимально переносимы</w:t>
      </w:r>
      <w:r>
        <w:t>х доз статинов рекомендована комбинированная терапия, включающая статин и эзетимиб.</w:t>
      </w:r>
    </w:p>
    <w:p w:rsidR="00D27BC6" w:rsidRDefault="004D5071">
      <w:pPr>
        <w:numPr>
          <w:ilvl w:val="0"/>
          <w:numId w:val="77"/>
        </w:numPr>
        <w:ind w:right="0" w:hanging="283"/>
      </w:pPr>
      <w:r>
        <w:t>Больным с СД очень высокого риска и нецелевыми показателями ХЛНП несмотря на комбинированную терапию статином в максимально переносимой дозе и эзетимибом, показано назначен</w:t>
      </w:r>
      <w:r>
        <w:t>ие ингибиторов пропротеиновой конвертазы субтилизин-кексинового типа 9 (PCSK-9) – эволокумаба, алирокумаба или инклисирана, лекарственного препарата, механизм действия которого основан на принципах РНК- интерференции, ингибирующего трансляцию белка PCSK9.</w:t>
      </w:r>
    </w:p>
    <w:p w:rsidR="00D27BC6" w:rsidRDefault="004D5071">
      <w:pPr>
        <w:numPr>
          <w:ilvl w:val="0"/>
          <w:numId w:val="77"/>
        </w:numPr>
        <w:ind w:right="0" w:hanging="283"/>
      </w:pPr>
      <w:r>
        <w:t>При доказанной непереносимости статинов в качестве гиполипидемической терапии рекомендовано применение ингибиторов PCSK-9 или инклисирана, лекарственного препарата, механизм действия которого основан на принципах РНК-интерференции, ингибирующего трансляцию</w:t>
      </w:r>
      <w:r>
        <w:t xml:space="preserve"> белка PCSK9.</w:t>
      </w:r>
    </w:p>
    <w:p w:rsidR="00D27BC6" w:rsidRDefault="004D5071">
      <w:pPr>
        <w:numPr>
          <w:ilvl w:val="0"/>
          <w:numId w:val="77"/>
        </w:numPr>
        <w:ind w:right="0" w:hanging="283"/>
      </w:pPr>
      <w:r>
        <w:t>У больных СД при сохраняющемся, несмотря на достижение целевого уровня ХЛНП на фоне терапии статинами, высоком уровне триглицеридов (&gt;2,3 ммоль/л), рекомендуется рассмотреть назначение фибратов и омега3 ПНЖК. Рекомендуется целевой уровень триглицеридов мен</w:t>
      </w:r>
      <w:r>
        <w:t xml:space="preserve">ее 1,7 ммоль/л. </w:t>
      </w:r>
    </w:p>
    <w:p w:rsidR="00D27BC6" w:rsidRDefault="004D5071">
      <w:pPr>
        <w:pStyle w:val="Heading2"/>
        <w:spacing w:after="229" w:line="248" w:lineRule="auto"/>
        <w:ind w:left="162" w:right="156"/>
        <w:jc w:val="center"/>
      </w:pPr>
      <w:r>
        <w:rPr>
          <w:color w:val="1E5D99"/>
        </w:rPr>
        <w:t>Антитромботическая терапия</w:t>
      </w:r>
    </w:p>
    <w:p w:rsidR="00D27BC6" w:rsidRDefault="004D5071">
      <w:pPr>
        <w:numPr>
          <w:ilvl w:val="0"/>
          <w:numId w:val="78"/>
        </w:numPr>
        <w:ind w:right="0" w:hanging="283"/>
      </w:pPr>
      <w:r>
        <w:t>Терапия ацетилсалициловой кислотой, как правило, не показана больным СД без АССЗ. Такая терапия может быть назначена у некоторых больных СД с множественными факторами риска и низким риском желудочно-кишечного кро</w:t>
      </w:r>
      <w:r>
        <w:t>вотечения.</w:t>
      </w:r>
    </w:p>
    <w:p w:rsidR="00D27BC6" w:rsidRDefault="004D5071">
      <w:pPr>
        <w:numPr>
          <w:ilvl w:val="0"/>
          <w:numId w:val="78"/>
        </w:numPr>
        <w:ind w:right="0" w:hanging="283"/>
      </w:pPr>
      <w:r>
        <w:t>Ацетилсалициловая кислота в дозе 75–150 мг в сутки рекомендована для вторичной профилактики.</w:t>
      </w:r>
    </w:p>
    <w:p w:rsidR="00D27BC6" w:rsidRDefault="004D5071">
      <w:pPr>
        <w:numPr>
          <w:ilvl w:val="0"/>
          <w:numId w:val="78"/>
        </w:numPr>
        <w:ind w:right="0" w:hanging="283"/>
      </w:pPr>
      <w:r>
        <w:t>У больных СД с поражением артерий нижних конечностей в качестве вторичной профилактики антиагрегантная монотерапия клопидогрелем обладает большей эффект</w:t>
      </w:r>
      <w:r>
        <w:t>ивностью перед монотерапией ацетилсалициловой кислотой.</w:t>
      </w:r>
    </w:p>
    <w:p w:rsidR="00D27BC6" w:rsidRDefault="004D5071">
      <w:pPr>
        <w:numPr>
          <w:ilvl w:val="0"/>
          <w:numId w:val="78"/>
        </w:numPr>
        <w:ind w:right="0" w:hanging="283"/>
      </w:pPr>
      <w:r>
        <w:t>Не получено данных об улучшении прогноза у пациентов с СД с атеросклеротическим поражением артерий нижних конечностей при назначении двойной антиагрегантной терапии (ДААТ), включающей клопидогрел и ац</w:t>
      </w:r>
      <w:r>
        <w:t xml:space="preserve">етилсалициловую кислоту в качестве вторичной профилактики. </w:t>
      </w:r>
    </w:p>
    <w:p w:rsidR="00D27BC6" w:rsidRDefault="004D5071">
      <w:pPr>
        <w:numPr>
          <w:ilvl w:val="0"/>
          <w:numId w:val="78"/>
        </w:numPr>
        <w:ind w:right="0" w:hanging="283"/>
      </w:pPr>
      <w:r>
        <w:t xml:space="preserve">У пациентов с СД, перенесших ранее ИМ, и многососудистым поражением коронарных артерий без высокого риска кровотечений целесообразно рассмотреть возможность назначения второго антитромботического </w:t>
      </w:r>
      <w:r>
        <w:t xml:space="preserve">препарата – тикагрелора в дозе 60 мг 2 раза в сутки. </w:t>
      </w:r>
    </w:p>
    <w:p w:rsidR="00D27BC6" w:rsidRDefault="004D5071">
      <w:pPr>
        <w:numPr>
          <w:ilvl w:val="0"/>
          <w:numId w:val="78"/>
        </w:numPr>
        <w:ind w:right="0" w:hanging="283"/>
      </w:pPr>
      <w:r>
        <w:t>У пациентов с СД, перенесших ранее ИМ или имеющих многососудистый коронарный атеросклероз в сочетании с атеросклеротическим поражением других сосудистых бассейнов, и у пациентов с СД и симптомным пораже</w:t>
      </w:r>
      <w:r>
        <w:t xml:space="preserve">нием артерий нижних конечностей без высокого риска кровотечений целесообразно назначение второго антитромботического препарата в добавление к ацетилсалициловой кислоте – ривароксабана в дозе 2,5 мг 2 раза в сутки. </w:t>
      </w:r>
    </w:p>
    <w:p w:rsidR="00D27BC6" w:rsidRDefault="004D5071">
      <w:pPr>
        <w:numPr>
          <w:ilvl w:val="0"/>
          <w:numId w:val="78"/>
        </w:numPr>
        <w:ind w:right="0" w:hanging="283"/>
      </w:pPr>
      <w:r>
        <w:t>У пациентов с ОКС в дополнение к ацетилса</w:t>
      </w:r>
      <w:r>
        <w:t>лициловой кислоте рекомендуется прием прасугрела или тикагрелора в течение 1 года.</w:t>
      </w:r>
    </w:p>
    <w:p w:rsidR="00D27BC6" w:rsidRDefault="004D5071">
      <w:pPr>
        <w:numPr>
          <w:ilvl w:val="0"/>
          <w:numId w:val="78"/>
        </w:numPr>
        <w:ind w:right="0" w:hanging="283"/>
      </w:pPr>
      <w:r>
        <w:t>После чрескожного коронарного вмешательства (ЧКВ) при стабильном течении ИБС ДААТ – ацетилсалициловая кислота и клопидогрел – рекомендована в течение 6 мес., независимо от т</w:t>
      </w:r>
      <w:r>
        <w:t>ипа стента. При высоком риске опасных для жизни кровотечений возможна более короткая продолжительность ДААТ.</w:t>
      </w:r>
    </w:p>
    <w:p w:rsidR="00D27BC6" w:rsidRDefault="004D5071">
      <w:pPr>
        <w:numPr>
          <w:ilvl w:val="0"/>
          <w:numId w:val="78"/>
        </w:numPr>
        <w:spacing w:after="230"/>
        <w:ind w:right="0" w:hanging="283"/>
      </w:pPr>
      <w:r>
        <w:t>Пациентам с высоким риском желудочно-кишечного кровотечения, получающим монотерапию ацетилсалициловой кислотой, ДААТ или монотерапию пероральными а</w:t>
      </w:r>
      <w:r>
        <w:t>нтикоагулянтами, рекомендуется одновременный прием ингибитора протонной помпы.</w:t>
      </w:r>
    </w:p>
    <w:p w:rsidR="00D27BC6" w:rsidRDefault="004D5071">
      <w:pPr>
        <w:pStyle w:val="Heading2"/>
        <w:spacing w:after="229" w:line="248" w:lineRule="auto"/>
        <w:ind w:left="162" w:right="156"/>
        <w:jc w:val="center"/>
      </w:pPr>
      <w:r>
        <w:rPr>
          <w:color w:val="1E5D99"/>
        </w:rPr>
        <w:t>Реваскуляризация миокарда</w:t>
      </w:r>
    </w:p>
    <w:p w:rsidR="00D27BC6" w:rsidRDefault="004D5071">
      <w:pPr>
        <w:numPr>
          <w:ilvl w:val="0"/>
          <w:numId w:val="79"/>
        </w:numPr>
        <w:ind w:right="0" w:hanging="283"/>
      </w:pPr>
      <w:r>
        <w:t>Цель реваскуляризации миокарда заключается в устранении миокардиальной ишемии, независимо от наличия или отсутствия СД.</w:t>
      </w:r>
    </w:p>
    <w:p w:rsidR="00D27BC6" w:rsidRDefault="004D5071">
      <w:pPr>
        <w:numPr>
          <w:ilvl w:val="0"/>
          <w:numId w:val="79"/>
        </w:numPr>
        <w:ind w:right="0" w:hanging="283"/>
      </w:pPr>
      <w:r>
        <w:t>Необходимость проведения реваскуляризации миокарда должна быть определена индивидуально в каждом конкретном клиническом случае.</w:t>
      </w:r>
    </w:p>
    <w:p w:rsidR="00D27BC6" w:rsidRDefault="004D5071">
      <w:pPr>
        <w:numPr>
          <w:ilvl w:val="0"/>
          <w:numId w:val="79"/>
        </w:numPr>
        <w:ind w:right="0" w:hanging="283"/>
      </w:pPr>
      <w:r>
        <w:t>У пациентов с СД и многососудистым поражением коронарных артерий необходим комплексный междисциплинарный подход к реваскуляризац</w:t>
      </w:r>
      <w:r>
        <w:t>ии миокарда, учитывающий тяжесть поражения коронарного русла, общее состояние больного, наличие сопутствующих осложнений СД.</w:t>
      </w:r>
    </w:p>
    <w:p w:rsidR="00D27BC6" w:rsidRDefault="004D5071">
      <w:pPr>
        <w:numPr>
          <w:ilvl w:val="0"/>
          <w:numId w:val="79"/>
        </w:numPr>
        <w:ind w:right="0" w:hanging="283"/>
      </w:pPr>
      <w:r>
        <w:t>У больных с ОКС без подъема сегмента ST ранняя инвазивная стратегия лечения обладает преимуществом перед консервативной тактикой ле</w:t>
      </w:r>
      <w:r>
        <w:t>чения.</w:t>
      </w:r>
    </w:p>
    <w:p w:rsidR="00D27BC6" w:rsidRDefault="004D5071">
      <w:pPr>
        <w:numPr>
          <w:ilvl w:val="0"/>
          <w:numId w:val="79"/>
        </w:numPr>
        <w:ind w:right="0" w:hanging="283"/>
      </w:pPr>
      <w:r>
        <w:t>У больных со стабильной ИБС и многососудистым поражением коронарных артерий и приемлемым хирургическим риском аортокоронарное шунтирование обладает преимуществом перед ЧКВ.</w:t>
      </w:r>
    </w:p>
    <w:p w:rsidR="00D27BC6" w:rsidRDefault="004D5071">
      <w:pPr>
        <w:numPr>
          <w:ilvl w:val="0"/>
          <w:numId w:val="79"/>
        </w:numPr>
        <w:ind w:right="0" w:hanging="283"/>
      </w:pPr>
      <w:r>
        <w:t>При проведении ЧКВ у больных СД необходимо использовать только стенты с лека</w:t>
      </w:r>
      <w:r>
        <w:t>рственным покрытием.</w:t>
      </w:r>
    </w:p>
    <w:p w:rsidR="00D27BC6" w:rsidRDefault="004D5071">
      <w:pPr>
        <w:numPr>
          <w:ilvl w:val="0"/>
          <w:numId w:val="79"/>
        </w:numPr>
        <w:spacing w:after="226"/>
        <w:ind w:right="0" w:hanging="283"/>
      </w:pPr>
      <w:r>
        <w:t>У больных с СД риск рестеноза коронарных артерий после ЧКВ выше, чем у больных без СД.</w:t>
      </w:r>
    </w:p>
    <w:p w:rsidR="00D27BC6" w:rsidRDefault="004D5071">
      <w:pPr>
        <w:pStyle w:val="Heading2"/>
        <w:spacing w:after="10" w:line="248" w:lineRule="auto"/>
        <w:ind w:left="162" w:right="156"/>
        <w:jc w:val="center"/>
      </w:pPr>
      <w:r>
        <w:rPr>
          <w:color w:val="1E5D99"/>
        </w:rPr>
        <w:t xml:space="preserve">Гликемический контроль при СД и АССЗ </w:t>
      </w:r>
    </w:p>
    <w:p w:rsidR="00D27BC6" w:rsidRDefault="004D5071">
      <w:pPr>
        <w:pStyle w:val="Heading3"/>
        <w:spacing w:after="216" w:line="259" w:lineRule="auto"/>
      </w:pPr>
      <w:r>
        <w:rPr>
          <w:b w:val="0"/>
        </w:rPr>
        <w:t>Более подробно в разделах 6.1.3–6.1.7</w:t>
      </w:r>
    </w:p>
    <w:p w:rsidR="00D27BC6" w:rsidRDefault="004D5071">
      <w:pPr>
        <w:numPr>
          <w:ilvl w:val="0"/>
          <w:numId w:val="80"/>
        </w:numPr>
        <w:ind w:right="0" w:hanging="283"/>
      </w:pPr>
      <w:r>
        <w:t>Целевые значения показателей углеводного обмена должны быть индивидуализированы.</w:t>
      </w:r>
    </w:p>
    <w:p w:rsidR="00D27BC6" w:rsidRDefault="004D5071">
      <w:pPr>
        <w:numPr>
          <w:ilvl w:val="0"/>
          <w:numId w:val="80"/>
        </w:numPr>
        <w:ind w:right="0" w:hanging="283"/>
      </w:pPr>
      <w:r>
        <w:t>Строгий контроль гипергликемии снижает риск микрососудистых осложнений и в значительно меньшей степени влияет на развитие и прогрессирование АССЗ.</w:t>
      </w:r>
    </w:p>
    <w:p w:rsidR="00D27BC6" w:rsidRDefault="004D5071">
      <w:pPr>
        <w:numPr>
          <w:ilvl w:val="0"/>
          <w:numId w:val="80"/>
        </w:numPr>
        <w:ind w:right="0" w:hanging="283"/>
      </w:pPr>
      <w:r>
        <w:t>Применение иНГЛТ-2 у пациент</w:t>
      </w:r>
      <w:r>
        <w:t>ов с СД и АССЗ снижает риск развития неблагоприятных сердечно-сосудистых событий.</w:t>
      </w:r>
    </w:p>
    <w:p w:rsidR="00D27BC6" w:rsidRDefault="004D5071">
      <w:pPr>
        <w:numPr>
          <w:ilvl w:val="0"/>
          <w:numId w:val="80"/>
        </w:numPr>
        <w:spacing w:after="230"/>
        <w:ind w:right="0" w:hanging="283"/>
      </w:pPr>
      <w:r>
        <w:t>Применение арГПП-1 у пациентов с СД и АССЗ снижает риск развития неблагоприятных сердечно-сосудистых событий.</w:t>
      </w:r>
    </w:p>
    <w:p w:rsidR="00D27BC6" w:rsidRDefault="004D5071">
      <w:pPr>
        <w:spacing w:after="216" w:line="259" w:lineRule="auto"/>
        <w:ind w:left="119" w:right="0"/>
        <w:jc w:val="left"/>
      </w:pPr>
      <w:r>
        <w:rPr>
          <w:b/>
          <w:color w:val="1E5D99"/>
        </w:rPr>
        <w:t>Рекомендации по контролю гликемии у пациентов с ОКС с подъемом с</w:t>
      </w:r>
      <w:r>
        <w:rPr>
          <w:b/>
          <w:color w:val="1E5D99"/>
        </w:rPr>
        <w:t>егмента ST/без подъема сегмента ST</w:t>
      </w:r>
    </w:p>
    <w:p w:rsidR="00D27BC6" w:rsidRDefault="004D5071">
      <w:pPr>
        <w:ind w:left="-11" w:right="0" w:firstLine="283"/>
      </w:pPr>
      <w:r>
        <w:t>Гипергликемия, выявляемая у пациентов с ОКС без предшествующего СД, может быть транзиторной гипергликемией. В этой ситуации решить вопрос о наличии СД или транзиторной гипергликемии позволяет измерение HbA1c. Вопрос прове</w:t>
      </w:r>
      <w:r>
        <w:t>дения в этих случаях сахароснижающей терапии решается в зависимости от клинической ситуации, однако при повышении глюкозы плазмы более 10,0 ммоль/л назначение сахароснижающей терапии является необходимым.</w:t>
      </w:r>
    </w:p>
    <w:p w:rsidR="00D27BC6" w:rsidRDefault="004D5071">
      <w:pPr>
        <w:ind w:left="281" w:right="51"/>
        <w:jc w:val="left"/>
      </w:pPr>
      <w:r>
        <w:rPr>
          <w:b/>
        </w:rPr>
        <w:t>Контроль гликемии</w:t>
      </w:r>
    </w:p>
    <w:p w:rsidR="00D27BC6" w:rsidRDefault="004D5071">
      <w:pPr>
        <w:numPr>
          <w:ilvl w:val="0"/>
          <w:numId w:val="80"/>
        </w:numPr>
        <w:ind w:right="0" w:hanging="283"/>
      </w:pPr>
      <w:r>
        <w:t xml:space="preserve">Гипергликемия – один из основных </w:t>
      </w:r>
      <w:r>
        <w:t>предикторов неблагоприятных исходов у больных ОКС.</w:t>
      </w:r>
    </w:p>
    <w:p w:rsidR="00D27BC6" w:rsidRDefault="004D5071">
      <w:pPr>
        <w:numPr>
          <w:ilvl w:val="0"/>
          <w:numId w:val="80"/>
        </w:numPr>
        <w:ind w:right="0" w:hanging="283"/>
      </w:pPr>
      <w:r>
        <w:t>Гипогликемия может усиливать ишемию миокарда и отрицательно влиять на течение ОКС у больных СД.</w:t>
      </w:r>
    </w:p>
    <w:p w:rsidR="00D27BC6" w:rsidRDefault="004D5071">
      <w:pPr>
        <w:numPr>
          <w:ilvl w:val="0"/>
          <w:numId w:val="80"/>
        </w:numPr>
        <w:spacing w:after="226"/>
        <w:ind w:right="0" w:hanging="283"/>
      </w:pPr>
      <w:r>
        <w:t>Достижение целевых уровней гликемического контроля улучшает исходы ИМ у больных СД.</w:t>
      </w:r>
    </w:p>
    <w:p w:rsidR="00D27BC6" w:rsidRDefault="004D5071">
      <w:pPr>
        <w:ind w:left="281" w:right="51"/>
        <w:jc w:val="left"/>
      </w:pPr>
      <w:r>
        <w:rPr>
          <w:b/>
        </w:rPr>
        <w:t>Целевые уровни гликемии</w:t>
      </w:r>
    </w:p>
    <w:p w:rsidR="00D27BC6" w:rsidRDefault="004D5071">
      <w:pPr>
        <w:ind w:left="-11" w:right="0" w:firstLine="283"/>
      </w:pPr>
      <w:r>
        <w:t>О</w:t>
      </w:r>
      <w:r>
        <w:t>бщепринятый целевой диапазон гликемии у больных с ОКС окончательно не определен. По результатам клинических исследований, для большинства больных обоснованными являются следующие показатели:</w:t>
      </w:r>
    </w:p>
    <w:p w:rsidR="00D27BC6" w:rsidRDefault="004D5071">
      <w:pPr>
        <w:numPr>
          <w:ilvl w:val="0"/>
          <w:numId w:val="80"/>
        </w:numPr>
        <w:ind w:right="0" w:hanging="283"/>
      </w:pPr>
      <w:r>
        <w:t>Уровень глюкозы плазмы перед едой в течение суток 6,1–7,8 ммоль/л</w:t>
      </w:r>
      <w:r>
        <w:t>.</w:t>
      </w:r>
    </w:p>
    <w:p w:rsidR="00D27BC6" w:rsidRDefault="004D5071">
      <w:pPr>
        <w:numPr>
          <w:ilvl w:val="0"/>
          <w:numId w:val="80"/>
        </w:numPr>
        <w:ind w:right="0" w:hanging="283"/>
      </w:pPr>
      <w:r>
        <w:t>Допустимо периодическое повышение глюкозы плазмы до 11,1 ммоль/л натощак.</w:t>
      </w:r>
    </w:p>
    <w:p w:rsidR="00D27BC6" w:rsidRDefault="004D5071">
      <w:pPr>
        <w:numPr>
          <w:ilvl w:val="0"/>
          <w:numId w:val="80"/>
        </w:numPr>
        <w:spacing w:after="226"/>
        <w:ind w:right="0" w:hanging="283"/>
      </w:pPr>
      <w:r>
        <w:t>Необходимо избегать снижения глюкозы плазмы менее 6,0 ммоль/л.</w:t>
      </w:r>
    </w:p>
    <w:p w:rsidR="00D27BC6" w:rsidRDefault="004D5071">
      <w:pPr>
        <w:spacing w:after="213"/>
        <w:ind w:left="281" w:right="51"/>
        <w:jc w:val="left"/>
      </w:pPr>
      <w:r>
        <w:rPr>
          <w:b/>
        </w:rPr>
        <w:t>Методы достижения целевых уровней гликемии</w:t>
      </w:r>
    </w:p>
    <w:p w:rsidR="00D27BC6" w:rsidRDefault="004D5071">
      <w:pPr>
        <w:pBdr>
          <w:top w:val="single" w:sz="8" w:space="0" w:color="000000"/>
          <w:left w:val="single" w:sz="8" w:space="0" w:color="000000"/>
          <w:bottom w:val="single" w:sz="8" w:space="0" w:color="000000"/>
          <w:right w:val="single" w:sz="8" w:space="0" w:color="000000"/>
        </w:pBdr>
        <w:spacing w:after="244"/>
        <w:ind w:left="120" w:right="114"/>
      </w:pPr>
      <w:r>
        <w:t>Выбор сахароснижающей терапии для достижения целевого уровня гликемии зависит от клинической ситуации и должен быть индивидуализирован.</w:t>
      </w:r>
    </w:p>
    <w:p w:rsidR="00D27BC6" w:rsidRDefault="004D5071">
      <w:pPr>
        <w:pStyle w:val="Heading2"/>
        <w:spacing w:after="229" w:line="248" w:lineRule="auto"/>
        <w:ind w:left="162" w:right="156"/>
        <w:jc w:val="center"/>
      </w:pPr>
      <w:r>
        <w:rPr>
          <w:color w:val="1E5D99"/>
        </w:rPr>
        <w:t>Cахароснижающая терапия при ОКС</w:t>
      </w:r>
    </w:p>
    <w:p w:rsidR="00D27BC6" w:rsidRDefault="004D5071">
      <w:pPr>
        <w:numPr>
          <w:ilvl w:val="0"/>
          <w:numId w:val="81"/>
        </w:numPr>
        <w:ind w:right="0" w:hanging="283"/>
      </w:pPr>
      <w:r>
        <w:t>Тиазолидиндионы и бигуаниды при развитии ОКС должны быть немедленно отменены. Тиазолидин</w:t>
      </w:r>
      <w:r>
        <w:t>дионы могут вызывать задержку жидкости, способствуя тем самым развитию застойной сердечной недостаточности.</w:t>
      </w:r>
    </w:p>
    <w:p w:rsidR="00D27BC6" w:rsidRDefault="004D5071">
      <w:pPr>
        <w:numPr>
          <w:ilvl w:val="0"/>
          <w:numId w:val="81"/>
        </w:numPr>
        <w:ind w:right="0" w:hanging="283"/>
      </w:pPr>
      <w:r>
        <w:t>Перед проведением рентгеноконтрастных вмешательств следует отменить иНГЛТ-2 за 72 часа.</w:t>
      </w:r>
    </w:p>
    <w:p w:rsidR="00D27BC6" w:rsidRDefault="004D5071">
      <w:pPr>
        <w:numPr>
          <w:ilvl w:val="0"/>
          <w:numId w:val="81"/>
        </w:numPr>
        <w:ind w:right="0" w:hanging="283"/>
      </w:pPr>
      <w:r>
        <w:t>Наличие у больного СД 2 типа ОКС не является показанием к пе</w:t>
      </w:r>
      <w:r>
        <w:t>реводу на инсулинотерапию. Показания к назначению инсулина в целом такие же, как у больных без ОКС.</w:t>
      </w:r>
    </w:p>
    <w:p w:rsidR="00D27BC6" w:rsidRDefault="004D5071">
      <w:pPr>
        <w:numPr>
          <w:ilvl w:val="0"/>
          <w:numId w:val="81"/>
        </w:numPr>
        <w:ind w:right="0" w:hanging="283"/>
      </w:pPr>
      <w:r>
        <w:t>Метформин противопоказан больным СД и ОКС из-за риска развития лактатацидоза при развитии тканевой гипоксии и неизученного влияния на ранние и отдаленные кл</w:t>
      </w:r>
      <w:r>
        <w:t>инические исходы ОКС.</w:t>
      </w:r>
    </w:p>
    <w:p w:rsidR="00D27BC6" w:rsidRDefault="004D5071">
      <w:pPr>
        <w:numPr>
          <w:ilvl w:val="0"/>
          <w:numId w:val="81"/>
        </w:numPr>
        <w:spacing w:after="230"/>
        <w:ind w:right="0" w:hanging="283"/>
      </w:pPr>
      <w:r>
        <w:t>Пациенты с СД и ОКС, могут находиться на предшествующей сахароснижающей терапии, включая современные препараты (иНГЛТ-2, арГПП-1, иДПП-4 (за исключением саксаглиптина)) при условии, если она позволяет поддерживать целевой диапазон гли</w:t>
      </w:r>
      <w:r>
        <w:t>кемии.</w:t>
      </w:r>
    </w:p>
    <w:p w:rsidR="00D27BC6" w:rsidRDefault="004D5071">
      <w:pPr>
        <w:pStyle w:val="Heading2"/>
        <w:spacing w:after="229" w:line="248" w:lineRule="auto"/>
        <w:ind w:left="162" w:right="156"/>
        <w:jc w:val="center"/>
      </w:pPr>
      <w:r>
        <w:rPr>
          <w:color w:val="1E5D99"/>
        </w:rPr>
        <w:t>Показания для инсулинотерапии у больных СД и ОКС</w:t>
      </w:r>
    </w:p>
    <w:p w:rsidR="00D27BC6" w:rsidRDefault="004D5071">
      <w:pPr>
        <w:numPr>
          <w:ilvl w:val="0"/>
          <w:numId w:val="82"/>
        </w:numPr>
        <w:ind w:right="0" w:hanging="283"/>
      </w:pPr>
      <w:r>
        <w:t>СД 1 типа.</w:t>
      </w:r>
    </w:p>
    <w:p w:rsidR="00D27BC6" w:rsidRDefault="004D5071">
      <w:pPr>
        <w:numPr>
          <w:ilvl w:val="0"/>
          <w:numId w:val="82"/>
        </w:numPr>
        <w:spacing w:after="226"/>
        <w:ind w:right="0" w:hanging="283"/>
      </w:pPr>
      <w:r>
        <w:t>Уровень глюкозы плазмы при поступлении стойко выше 10 ммоль/л.</w:t>
      </w:r>
    </w:p>
    <w:p w:rsidR="00D27BC6" w:rsidRDefault="004D5071">
      <w:pPr>
        <w:pStyle w:val="Heading2"/>
        <w:spacing w:after="229" w:line="248" w:lineRule="auto"/>
        <w:ind w:left="162" w:right="156"/>
        <w:jc w:val="center"/>
      </w:pPr>
      <w:r>
        <w:rPr>
          <w:color w:val="1E5D99"/>
        </w:rPr>
        <w:t>Тактика инсулинотерапии у больных СД с ОКС</w:t>
      </w:r>
    </w:p>
    <w:p w:rsidR="00D27BC6" w:rsidRDefault="004D5071">
      <w:pPr>
        <w:numPr>
          <w:ilvl w:val="0"/>
          <w:numId w:val="83"/>
        </w:numPr>
        <w:ind w:right="0" w:hanging="283"/>
      </w:pPr>
      <w:r>
        <w:t xml:space="preserve">Тактика инсулинотерапии у пациентов с СД и ОКС в целом такая же, как у больных без ОКС, зависит от уровня гликемии, наличия или отсутствия кетоацидоза. </w:t>
      </w:r>
    </w:p>
    <w:p w:rsidR="00D27BC6" w:rsidRDefault="004D5071">
      <w:pPr>
        <w:numPr>
          <w:ilvl w:val="0"/>
          <w:numId w:val="83"/>
        </w:numPr>
        <w:ind w:right="0" w:hanging="283"/>
      </w:pPr>
      <w:r>
        <w:t>Контроль гликемии у пациентов с СД и ОКС должен осуществляться регулярно. Необходимо поддерживать целев</w:t>
      </w:r>
      <w:r>
        <w:t>ые уровни гликемии</w:t>
      </w:r>
    </w:p>
    <w:p w:rsidR="00D27BC6" w:rsidRDefault="004D5071">
      <w:pPr>
        <w:numPr>
          <w:ilvl w:val="0"/>
          <w:numId w:val="83"/>
        </w:numPr>
        <w:spacing w:after="226"/>
        <w:ind w:right="0" w:hanging="283"/>
      </w:pPr>
      <w:r>
        <w:t>Тактика коррекции кетоацидоза у пациентов с СД и ОКС такая же, как у больных без ОКС, – см. раздел 8.1</w:t>
      </w:r>
    </w:p>
    <w:p w:rsidR="00D27BC6" w:rsidRDefault="004D5071">
      <w:pPr>
        <w:spacing w:after="326"/>
        <w:ind w:left="290" w:right="286"/>
        <w:jc w:val="center"/>
      </w:pPr>
      <w:r>
        <w:rPr>
          <w:b/>
        </w:rPr>
        <w:t>10.2. ЦЕРЕБРОВАСКУЛЯРНЫЕ ЗАБОЛЕВАНИЯ</w:t>
      </w:r>
    </w:p>
    <w:p w:rsidR="00D27BC6" w:rsidRDefault="004D5071">
      <w:pPr>
        <w:pBdr>
          <w:top w:val="single" w:sz="8" w:space="0" w:color="000000"/>
          <w:left w:val="single" w:sz="8" w:space="0" w:color="000000"/>
          <w:bottom w:val="single" w:sz="8" w:space="0" w:color="000000"/>
          <w:right w:val="single" w:sz="8" w:space="0" w:color="000000"/>
        </w:pBdr>
        <w:spacing w:after="380" w:line="236" w:lineRule="auto"/>
        <w:ind w:left="120" w:right="104"/>
      </w:pPr>
      <w:r>
        <w:rPr>
          <w:b/>
        </w:rPr>
        <w:t>Заболевания и патологические состояния, приводящие к нарушениям кровообращения в головном мозге.</w:t>
      </w:r>
    </w:p>
    <w:p w:rsidR="00D27BC6" w:rsidRDefault="004D5071">
      <w:pPr>
        <w:ind w:left="295" w:right="0"/>
      </w:pPr>
      <w:r>
        <w:t>Нарушения мозгового кровообращения могут быть острыми и хроническими.</w:t>
      </w:r>
    </w:p>
    <w:p w:rsidR="00D27BC6" w:rsidRDefault="004D5071">
      <w:pPr>
        <w:ind w:left="-11" w:right="0" w:firstLine="283"/>
      </w:pPr>
      <w:r>
        <w:rPr>
          <w:b/>
        </w:rPr>
        <w:t xml:space="preserve">Острое нарушение мозгового кровообращения </w:t>
      </w:r>
      <w:r>
        <w:t>– наиболее тяжелая форма сосудистой патологии мозга, развивающаяся остро или подостро и сопровождающаяся очаговой и/или общемозговой неврологиче</w:t>
      </w:r>
      <w:r>
        <w:t xml:space="preserve">ской симптоматикой (с продолжительностью более 24 часов – инсульт, менее 24 часов – </w:t>
      </w:r>
      <w:r>
        <w:rPr>
          <w:b/>
        </w:rPr>
        <w:t>транзиторная ишемическая атака</w:t>
      </w:r>
      <w:r>
        <w:t>).</w:t>
      </w:r>
    </w:p>
    <w:p w:rsidR="00D27BC6" w:rsidRDefault="004D5071">
      <w:pPr>
        <w:ind w:left="295" w:right="0"/>
      </w:pPr>
      <w:r>
        <w:rPr>
          <w:b/>
        </w:rPr>
        <w:t>Хронические нарушения мозгового кровообращения</w:t>
      </w:r>
      <w:r>
        <w:t xml:space="preserve"> (в отечественной литературе обозначаются собиратель-</w:t>
      </w:r>
    </w:p>
    <w:p w:rsidR="00D27BC6" w:rsidRDefault="004D5071">
      <w:pPr>
        <w:ind w:left="-1" w:right="0"/>
      </w:pPr>
      <w:r>
        <w:t>ным термином «дисциркуляторная энцефало</w:t>
      </w:r>
      <w:r>
        <w:t>патия»):</w:t>
      </w:r>
    </w:p>
    <w:p w:rsidR="00D27BC6" w:rsidRDefault="004D5071">
      <w:pPr>
        <w:numPr>
          <w:ilvl w:val="0"/>
          <w:numId w:val="83"/>
        </w:numPr>
        <w:ind w:right="0" w:hanging="283"/>
      </w:pPr>
      <w:r>
        <w:t>Для уточнения конкретной формы и степени тяжести хронических нарушений мозгового кровообращения необходимо углубленное обследование неврологом и/или психиатром.</w:t>
      </w:r>
    </w:p>
    <w:p w:rsidR="00D27BC6" w:rsidRDefault="004D5071">
      <w:pPr>
        <w:numPr>
          <w:ilvl w:val="0"/>
          <w:numId w:val="83"/>
        </w:numPr>
        <w:ind w:right="0" w:hanging="283"/>
      </w:pPr>
      <w:r>
        <w:t>Обусловлены диффузными или очаговыми органическими изменениями головного мозга сосудис</w:t>
      </w:r>
      <w:r>
        <w:t>того генеза.</w:t>
      </w:r>
    </w:p>
    <w:p w:rsidR="00D27BC6" w:rsidRDefault="004D5071">
      <w:pPr>
        <w:numPr>
          <w:ilvl w:val="0"/>
          <w:numId w:val="83"/>
        </w:numPr>
        <w:ind w:right="0" w:hanging="283"/>
      </w:pPr>
      <w:r>
        <w:t>Проявляются неврологическими симптомами и различной степенью когнитивных нарушений, вплоть до развития деменции.</w:t>
      </w:r>
    </w:p>
    <w:p w:rsidR="00D27BC6" w:rsidRDefault="004D5071">
      <w:pPr>
        <w:numPr>
          <w:ilvl w:val="0"/>
          <w:numId w:val="83"/>
        </w:numPr>
        <w:ind w:right="0" w:hanging="283"/>
      </w:pPr>
      <w:r>
        <w:t>Первым этапом диагностического поиска при подозрении на когнитивные нарушения / деменцию является объективизация когнитивных расстройств с помощью нейропсихологических методов исследования. Объем и выбор конкретных тестов определяется неврологом / психиатр</w:t>
      </w:r>
      <w:r>
        <w:t>ом.</w:t>
      </w:r>
    </w:p>
    <w:p w:rsidR="00D27BC6" w:rsidRDefault="004D5071">
      <w:pPr>
        <w:numPr>
          <w:ilvl w:val="0"/>
          <w:numId w:val="83"/>
        </w:numPr>
        <w:spacing w:after="230"/>
        <w:ind w:right="0" w:hanging="283"/>
      </w:pPr>
      <w:r>
        <w:t>Наиболее простым и информативным для скрининга на ранние проявления деменции является тест Mini-Cog – см. приложение 9.</w:t>
      </w:r>
    </w:p>
    <w:p w:rsidR="00D27BC6" w:rsidRDefault="004D5071">
      <w:pPr>
        <w:pStyle w:val="Heading2"/>
        <w:spacing w:after="10" w:line="248" w:lineRule="auto"/>
        <w:ind w:left="162" w:right="156"/>
        <w:jc w:val="center"/>
      </w:pPr>
      <w:r>
        <w:rPr>
          <w:color w:val="1E5D99"/>
        </w:rPr>
        <w:t>Факторы риска инсульта</w:t>
      </w:r>
    </w:p>
    <w:tbl>
      <w:tblPr>
        <w:tblStyle w:val="TableGrid"/>
        <w:tblW w:w="10195" w:type="dxa"/>
        <w:tblInd w:w="9" w:type="dxa"/>
        <w:tblCellMar>
          <w:top w:w="9" w:type="dxa"/>
          <w:left w:w="57" w:type="dxa"/>
          <w:bottom w:w="0" w:type="dxa"/>
          <w:right w:w="110" w:type="dxa"/>
        </w:tblCellMar>
        <w:tblLook w:val="04A0" w:firstRow="1" w:lastRow="0" w:firstColumn="1" w:lastColumn="0" w:noHBand="0" w:noVBand="1"/>
      </w:tblPr>
      <w:tblGrid>
        <w:gridCol w:w="5097"/>
        <w:gridCol w:w="5097"/>
      </w:tblGrid>
      <w:tr w:rsidR="00D27BC6">
        <w:trPr>
          <w:trHeight w:val="32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4" w:right="0" w:firstLine="0"/>
              <w:jc w:val="center"/>
            </w:pPr>
            <w:r>
              <w:rPr>
                <w:b/>
              </w:rPr>
              <w:t>Немодифицируемые</w:t>
            </w:r>
          </w:p>
        </w:tc>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3" w:right="0" w:firstLine="0"/>
              <w:jc w:val="center"/>
            </w:pPr>
            <w:r>
              <w:rPr>
                <w:b/>
              </w:rPr>
              <w:t>Модифицируемые</w:t>
            </w:r>
          </w:p>
        </w:tc>
      </w:tr>
      <w:tr w:rsidR="00D27BC6">
        <w:trPr>
          <w:trHeight w:val="2694"/>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81"/>
              </w:numPr>
              <w:spacing w:after="33" w:line="259" w:lineRule="auto"/>
              <w:ind w:right="0" w:hanging="170"/>
              <w:jc w:val="left"/>
            </w:pPr>
            <w:r>
              <w:t>Возраст</w:t>
            </w:r>
          </w:p>
          <w:p w:rsidR="00D27BC6" w:rsidRDefault="004D5071">
            <w:pPr>
              <w:numPr>
                <w:ilvl w:val="0"/>
                <w:numId w:val="281"/>
              </w:numPr>
              <w:spacing w:after="33" w:line="259" w:lineRule="auto"/>
              <w:ind w:right="0" w:hanging="170"/>
              <w:jc w:val="left"/>
            </w:pPr>
            <w:r>
              <w:t>Пол</w:t>
            </w:r>
          </w:p>
          <w:p w:rsidR="00D27BC6" w:rsidRDefault="004D5071">
            <w:pPr>
              <w:numPr>
                <w:ilvl w:val="0"/>
                <w:numId w:val="281"/>
              </w:numPr>
              <w:spacing w:after="0" w:line="259" w:lineRule="auto"/>
              <w:ind w:right="0" w:hanging="170"/>
              <w:jc w:val="left"/>
            </w:pPr>
            <w:r>
              <w:t>Семейный анамнез</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82"/>
              </w:numPr>
              <w:spacing w:after="33" w:line="259" w:lineRule="auto"/>
              <w:ind w:right="0" w:hanging="170"/>
              <w:jc w:val="left"/>
            </w:pPr>
            <w:r>
              <w:t>Артериальная гипертензия</w:t>
            </w:r>
          </w:p>
          <w:p w:rsidR="00D27BC6" w:rsidRDefault="004D5071">
            <w:pPr>
              <w:numPr>
                <w:ilvl w:val="0"/>
                <w:numId w:val="282"/>
              </w:numPr>
              <w:spacing w:after="33" w:line="259" w:lineRule="auto"/>
              <w:ind w:right="0" w:hanging="170"/>
              <w:jc w:val="left"/>
            </w:pPr>
            <w:r>
              <w:t>Сахарный диабет</w:t>
            </w:r>
          </w:p>
          <w:p w:rsidR="00D27BC6" w:rsidRDefault="004D5071">
            <w:pPr>
              <w:numPr>
                <w:ilvl w:val="0"/>
                <w:numId w:val="282"/>
              </w:numPr>
              <w:spacing w:after="33" w:line="259" w:lineRule="auto"/>
              <w:ind w:right="0" w:hanging="170"/>
              <w:jc w:val="left"/>
            </w:pPr>
            <w:r>
              <w:t>Курение</w:t>
            </w:r>
          </w:p>
          <w:p w:rsidR="00D27BC6" w:rsidRDefault="004D5071">
            <w:pPr>
              <w:numPr>
                <w:ilvl w:val="0"/>
                <w:numId w:val="282"/>
              </w:numPr>
              <w:spacing w:after="33" w:line="259" w:lineRule="auto"/>
              <w:ind w:right="0" w:hanging="170"/>
              <w:jc w:val="left"/>
            </w:pPr>
            <w:r>
              <w:t>Злоупотреблением алкоголем</w:t>
            </w:r>
          </w:p>
          <w:p w:rsidR="00D27BC6" w:rsidRDefault="004D5071">
            <w:pPr>
              <w:numPr>
                <w:ilvl w:val="0"/>
                <w:numId w:val="282"/>
              </w:numPr>
              <w:spacing w:after="33" w:line="259" w:lineRule="auto"/>
              <w:ind w:right="0" w:hanging="170"/>
              <w:jc w:val="left"/>
            </w:pPr>
            <w:r>
              <w:t>Фибрилляция предсердий</w:t>
            </w:r>
          </w:p>
          <w:p w:rsidR="00D27BC6" w:rsidRDefault="004D5071">
            <w:pPr>
              <w:numPr>
                <w:ilvl w:val="0"/>
                <w:numId w:val="282"/>
              </w:numPr>
              <w:spacing w:after="33" w:line="259" w:lineRule="auto"/>
              <w:ind w:right="0" w:hanging="170"/>
              <w:jc w:val="left"/>
            </w:pPr>
            <w:r>
              <w:t>Употребление наркотических и психотропных средств</w:t>
            </w:r>
          </w:p>
          <w:p w:rsidR="00D27BC6" w:rsidRDefault="004D5071">
            <w:pPr>
              <w:numPr>
                <w:ilvl w:val="0"/>
                <w:numId w:val="282"/>
              </w:numPr>
              <w:spacing w:after="33" w:line="259" w:lineRule="auto"/>
              <w:ind w:right="0" w:hanging="170"/>
              <w:jc w:val="left"/>
            </w:pPr>
            <w:r>
              <w:t>Прием пероральных контрацептивов</w:t>
            </w:r>
          </w:p>
          <w:p w:rsidR="00D27BC6" w:rsidRDefault="004D5071">
            <w:pPr>
              <w:numPr>
                <w:ilvl w:val="0"/>
                <w:numId w:val="282"/>
              </w:numPr>
              <w:spacing w:after="33" w:line="259" w:lineRule="auto"/>
              <w:ind w:right="0" w:hanging="170"/>
              <w:jc w:val="left"/>
            </w:pPr>
            <w:r>
              <w:t>Мигрень</w:t>
            </w:r>
          </w:p>
          <w:p w:rsidR="00D27BC6" w:rsidRDefault="004D5071">
            <w:pPr>
              <w:numPr>
                <w:ilvl w:val="0"/>
                <w:numId w:val="282"/>
              </w:numPr>
              <w:spacing w:after="0" w:line="259" w:lineRule="auto"/>
              <w:ind w:right="0" w:hanging="170"/>
              <w:jc w:val="left"/>
            </w:pPr>
            <w:r>
              <w:t>Гипергомоцистеинемия</w:t>
            </w:r>
          </w:p>
        </w:tc>
      </w:tr>
    </w:tbl>
    <w:p w:rsidR="00D27BC6" w:rsidRDefault="004D5071">
      <w:pPr>
        <w:pStyle w:val="Heading2"/>
        <w:spacing w:after="229" w:line="248" w:lineRule="auto"/>
        <w:ind w:left="162" w:right="156"/>
        <w:jc w:val="center"/>
      </w:pPr>
      <w:r>
        <w:rPr>
          <w:color w:val="1E5D99"/>
        </w:rPr>
        <w:t>Факторы риска инсульта, специфические для СД</w:t>
      </w:r>
    </w:p>
    <w:p w:rsidR="00D27BC6" w:rsidRDefault="004D5071">
      <w:pPr>
        <w:numPr>
          <w:ilvl w:val="0"/>
          <w:numId w:val="84"/>
        </w:numPr>
        <w:ind w:right="0" w:hanging="283"/>
      </w:pPr>
      <w:r>
        <w:t>Гипергликемия</w:t>
      </w:r>
    </w:p>
    <w:p w:rsidR="00D27BC6" w:rsidRDefault="004D5071">
      <w:pPr>
        <w:numPr>
          <w:ilvl w:val="0"/>
          <w:numId w:val="84"/>
        </w:numPr>
        <w:ind w:right="0" w:hanging="283"/>
      </w:pPr>
      <w:r>
        <w:t>Гипогликемия</w:t>
      </w:r>
    </w:p>
    <w:p w:rsidR="00D27BC6" w:rsidRDefault="004D5071">
      <w:pPr>
        <w:numPr>
          <w:ilvl w:val="0"/>
          <w:numId w:val="84"/>
        </w:numPr>
        <w:ind w:right="0" w:hanging="283"/>
      </w:pPr>
      <w:r>
        <w:t>Альбуминурия</w:t>
      </w:r>
    </w:p>
    <w:p w:rsidR="00D27BC6" w:rsidRDefault="004D5071">
      <w:pPr>
        <w:numPr>
          <w:ilvl w:val="0"/>
          <w:numId w:val="84"/>
        </w:numPr>
        <w:ind w:right="0" w:hanging="283"/>
      </w:pPr>
      <w:r>
        <w:t>Снижение СКФ</w:t>
      </w:r>
    </w:p>
    <w:p w:rsidR="00D27BC6" w:rsidRDefault="004D5071">
      <w:pPr>
        <w:numPr>
          <w:ilvl w:val="0"/>
          <w:numId w:val="84"/>
        </w:numPr>
        <w:spacing w:after="226"/>
        <w:ind w:right="0" w:hanging="283"/>
      </w:pPr>
      <w:r>
        <w:t>Инсулинорезистентность</w:t>
      </w:r>
    </w:p>
    <w:p w:rsidR="00D27BC6" w:rsidRDefault="004D5071">
      <w:pPr>
        <w:pStyle w:val="Heading2"/>
        <w:spacing w:after="229" w:line="248" w:lineRule="auto"/>
        <w:ind w:left="162" w:right="156"/>
        <w:jc w:val="center"/>
      </w:pPr>
      <w:r>
        <w:rPr>
          <w:color w:val="1E5D99"/>
        </w:rPr>
        <w:t>Диагностика</w:t>
      </w:r>
    </w:p>
    <w:p w:rsidR="00D27BC6" w:rsidRDefault="004D5071">
      <w:pPr>
        <w:numPr>
          <w:ilvl w:val="0"/>
          <w:numId w:val="85"/>
        </w:numPr>
        <w:ind w:right="0" w:hanging="283"/>
      </w:pPr>
      <w:r>
        <w:t>Клиническая (характерная неврологическая симптоматика)</w:t>
      </w:r>
    </w:p>
    <w:p w:rsidR="00D27BC6" w:rsidRDefault="004D5071">
      <w:pPr>
        <w:numPr>
          <w:ilvl w:val="0"/>
          <w:numId w:val="85"/>
        </w:numPr>
        <w:ind w:right="0" w:hanging="283"/>
      </w:pPr>
      <w:r>
        <w:t>Компьютерная томография или МРТ головного мозга</w:t>
      </w:r>
    </w:p>
    <w:p w:rsidR="00D27BC6" w:rsidRDefault="004D5071">
      <w:pPr>
        <w:numPr>
          <w:ilvl w:val="0"/>
          <w:numId w:val="85"/>
        </w:numPr>
        <w:ind w:right="0" w:hanging="283"/>
      </w:pPr>
      <w:r>
        <w:t>Ультразвуковое исследование сосудов головы и шеи</w:t>
      </w:r>
    </w:p>
    <w:p w:rsidR="00D27BC6" w:rsidRDefault="004D5071">
      <w:pPr>
        <w:numPr>
          <w:ilvl w:val="0"/>
          <w:numId w:val="85"/>
        </w:numPr>
        <w:ind w:right="0" w:hanging="283"/>
      </w:pPr>
      <w:r>
        <w:t>Исследование реологических свойств крови</w:t>
      </w:r>
    </w:p>
    <w:p w:rsidR="00D27BC6" w:rsidRDefault="004D5071">
      <w:pPr>
        <w:numPr>
          <w:ilvl w:val="0"/>
          <w:numId w:val="85"/>
        </w:numPr>
        <w:spacing w:after="226"/>
        <w:ind w:right="0" w:hanging="283"/>
      </w:pPr>
      <w:r>
        <w:t>Нейропсихологич</w:t>
      </w:r>
      <w:r>
        <w:t>еское обследование</w:t>
      </w:r>
    </w:p>
    <w:p w:rsidR="00D27BC6" w:rsidRDefault="004D5071">
      <w:pPr>
        <w:pStyle w:val="Heading2"/>
        <w:spacing w:after="327" w:line="248" w:lineRule="auto"/>
        <w:ind w:left="162" w:right="156"/>
        <w:jc w:val="center"/>
      </w:pPr>
      <w:r>
        <w:rPr>
          <w:color w:val="1E5D99"/>
        </w:rPr>
        <w:t>Профилактика</w:t>
      </w:r>
    </w:p>
    <w:p w:rsidR="00D27BC6" w:rsidRDefault="004D5071">
      <w:pPr>
        <w:pBdr>
          <w:top w:val="single" w:sz="8" w:space="0" w:color="000000"/>
          <w:left w:val="single" w:sz="8" w:space="0" w:color="000000"/>
          <w:bottom w:val="single" w:sz="8" w:space="0" w:color="000000"/>
          <w:right w:val="single" w:sz="8" w:space="0" w:color="000000"/>
        </w:pBdr>
        <w:spacing w:after="366"/>
        <w:ind w:left="159" w:right="134"/>
        <w:jc w:val="center"/>
      </w:pPr>
      <w:r>
        <w:rPr>
          <w:b/>
        </w:rPr>
        <w:t>Профилактику макрососудистых осложнений у больных СД осуществляет ЭНДОКРИНОЛОГ!</w:t>
      </w:r>
    </w:p>
    <w:p w:rsidR="00D27BC6" w:rsidRDefault="004D5071">
      <w:pPr>
        <w:numPr>
          <w:ilvl w:val="0"/>
          <w:numId w:val="86"/>
        </w:numPr>
        <w:ind w:right="0" w:hanging="283"/>
      </w:pPr>
      <w:r>
        <w:t>достижение индивидуальных целевых показателей гликемического контроля.</w:t>
      </w:r>
    </w:p>
    <w:p w:rsidR="00D27BC6" w:rsidRDefault="004D5071">
      <w:pPr>
        <w:ind w:left="-11" w:right="0" w:firstLine="283"/>
      </w:pPr>
      <w:r>
        <w:t>Целевой диапазон гликемии у больных с нарушениями мозгового кровообращения окончательно не определен, однако при выборе схемы лечения следует избегать гипогликемий, как острых – провоцирующих развитие нарушений сердечного ритма, так и хронических, повышающ</w:t>
      </w:r>
      <w:r>
        <w:t>их риски деменции и когнитивных расстройств;</w:t>
      </w:r>
    </w:p>
    <w:p w:rsidR="00D27BC6" w:rsidRDefault="004D5071">
      <w:pPr>
        <w:numPr>
          <w:ilvl w:val="0"/>
          <w:numId w:val="86"/>
        </w:numPr>
        <w:ind w:right="0" w:hanging="283"/>
      </w:pPr>
      <w:r>
        <w:t>здоровый образ жизни (отказ от курения, регулярная физическая активность);</w:t>
      </w:r>
    </w:p>
    <w:p w:rsidR="00D27BC6" w:rsidRDefault="004D5071">
      <w:pPr>
        <w:numPr>
          <w:ilvl w:val="0"/>
          <w:numId w:val="86"/>
        </w:numPr>
        <w:ind w:right="0" w:hanging="283"/>
      </w:pPr>
      <w:r>
        <w:t>снижение массы тела;</w:t>
      </w:r>
    </w:p>
    <w:p w:rsidR="00D27BC6" w:rsidRDefault="004D5071">
      <w:pPr>
        <w:numPr>
          <w:ilvl w:val="0"/>
          <w:numId w:val="86"/>
        </w:numPr>
        <w:ind w:right="0" w:hanging="283"/>
      </w:pPr>
      <w:r>
        <w:t>коррекция АД (целевой уровень САД ≥ 120 и &lt; 130, ДАД ≥ 70 и &lt; 80 мм рт.ст.);</w:t>
      </w:r>
    </w:p>
    <w:p w:rsidR="00D27BC6" w:rsidRDefault="004D5071">
      <w:pPr>
        <w:numPr>
          <w:ilvl w:val="0"/>
          <w:numId w:val="86"/>
        </w:numPr>
        <w:ind w:right="0" w:hanging="283"/>
      </w:pPr>
      <w:r>
        <w:t>коррекция дислипидемии (см. раздел 10.1);</w:t>
      </w:r>
    </w:p>
    <w:p w:rsidR="00D27BC6" w:rsidRDefault="004D5071">
      <w:pPr>
        <w:numPr>
          <w:ilvl w:val="0"/>
          <w:numId w:val="86"/>
        </w:numPr>
        <w:ind w:right="0" w:hanging="283"/>
      </w:pPr>
      <w:r>
        <w:t>профилактика гиперкоагуляции и тромбоза (см. раздел 10.1;</w:t>
      </w:r>
    </w:p>
    <w:p w:rsidR="00D27BC6" w:rsidRDefault="004D5071">
      <w:pPr>
        <w:numPr>
          <w:ilvl w:val="0"/>
          <w:numId w:val="86"/>
        </w:numPr>
        <w:spacing w:after="226"/>
        <w:ind w:right="0" w:hanging="283"/>
      </w:pPr>
      <w:r>
        <w:t xml:space="preserve">для снижения риска инсульта преимущества могут иметь пиоглитазон и некоторые препараты арГПП-1. </w:t>
      </w:r>
    </w:p>
    <w:p w:rsidR="00D27BC6" w:rsidRDefault="004D5071">
      <w:pPr>
        <w:pStyle w:val="Heading2"/>
        <w:spacing w:after="229" w:line="248" w:lineRule="auto"/>
        <w:ind w:left="162" w:right="156"/>
        <w:jc w:val="center"/>
      </w:pPr>
      <w:r>
        <w:rPr>
          <w:color w:val="1E5D99"/>
        </w:rPr>
        <w:t>Показания к инсулинотерапии у больных с острым нарушением м</w:t>
      </w:r>
      <w:r>
        <w:rPr>
          <w:color w:val="1E5D99"/>
        </w:rPr>
        <w:t>озгового кровообращения</w:t>
      </w:r>
    </w:p>
    <w:p w:rsidR="00D27BC6" w:rsidRDefault="004D5071">
      <w:pPr>
        <w:numPr>
          <w:ilvl w:val="0"/>
          <w:numId w:val="87"/>
        </w:numPr>
        <w:ind w:right="0" w:hanging="283"/>
      </w:pPr>
      <w:r>
        <w:t>любая степень нарушения сознания.</w:t>
      </w:r>
    </w:p>
    <w:p w:rsidR="00D27BC6" w:rsidRDefault="004D5071">
      <w:pPr>
        <w:numPr>
          <w:ilvl w:val="0"/>
          <w:numId w:val="87"/>
        </w:numPr>
        <w:ind w:right="0" w:hanging="283"/>
      </w:pPr>
      <w:r>
        <w:t>дисфагия.</w:t>
      </w:r>
    </w:p>
    <w:p w:rsidR="00D27BC6" w:rsidRDefault="004D5071">
      <w:pPr>
        <w:numPr>
          <w:ilvl w:val="0"/>
          <w:numId w:val="87"/>
        </w:numPr>
        <w:ind w:right="0" w:hanging="283"/>
      </w:pPr>
      <w:r>
        <w:t>парентеральное питание, питание через зонд.</w:t>
      </w:r>
    </w:p>
    <w:p w:rsidR="00D27BC6" w:rsidRDefault="004D5071">
      <w:pPr>
        <w:numPr>
          <w:ilvl w:val="0"/>
          <w:numId w:val="87"/>
        </w:numPr>
        <w:ind w:right="0" w:hanging="283"/>
      </w:pPr>
      <w:r>
        <w:t>стойкое повышение уровня глюкозы плазмы более 10 ммоль/л.</w:t>
      </w:r>
    </w:p>
    <w:p w:rsidR="00D27BC6" w:rsidRDefault="004D5071">
      <w:pPr>
        <w:pStyle w:val="Heading2"/>
        <w:spacing w:after="229" w:line="248" w:lineRule="auto"/>
        <w:ind w:left="162" w:right="156"/>
        <w:jc w:val="center"/>
      </w:pPr>
      <w:r>
        <w:rPr>
          <w:color w:val="1E5D99"/>
        </w:rPr>
        <w:t>Лечение острых нарушений мозгового кровообращения</w:t>
      </w:r>
    </w:p>
    <w:p w:rsidR="00D27BC6" w:rsidRDefault="004D5071">
      <w:pPr>
        <w:pBdr>
          <w:top w:val="single" w:sz="8" w:space="0" w:color="000000"/>
          <w:left w:val="single" w:sz="8" w:space="0" w:color="000000"/>
          <w:bottom w:val="single" w:sz="8" w:space="0" w:color="000000"/>
          <w:right w:val="single" w:sz="8" w:space="0" w:color="000000"/>
        </w:pBdr>
        <w:spacing w:after="230" w:line="259" w:lineRule="auto"/>
        <w:ind w:left="6" w:right="0" w:firstLine="0"/>
        <w:jc w:val="center"/>
      </w:pPr>
      <w:r>
        <w:t>Проводится в специализированном неврологическом стационаре.</w:t>
      </w:r>
    </w:p>
    <w:p w:rsidR="00D27BC6" w:rsidRDefault="004D5071">
      <w:pPr>
        <w:spacing w:after="330"/>
        <w:ind w:left="290" w:right="285"/>
        <w:jc w:val="center"/>
      </w:pPr>
      <w:r>
        <w:rPr>
          <w:b/>
        </w:rPr>
        <w:t>10.3. ЗАБОЛЕВАНИЯ АРТЕРИЙ НИЖНИХ КОНЕЧНОСТЕЙ</w:t>
      </w:r>
    </w:p>
    <w:p w:rsidR="00D27BC6" w:rsidRDefault="004D5071">
      <w:pPr>
        <w:pBdr>
          <w:top w:val="single" w:sz="8" w:space="0" w:color="000000"/>
          <w:left w:val="single" w:sz="8" w:space="0" w:color="000000"/>
          <w:bottom w:val="single" w:sz="8" w:space="0" w:color="000000"/>
          <w:right w:val="single" w:sz="8" w:space="0" w:color="000000"/>
        </w:pBdr>
        <w:spacing w:after="130"/>
        <w:ind w:left="120" w:right="114"/>
      </w:pPr>
      <w:r>
        <w:rPr>
          <w:b/>
        </w:rPr>
        <w:t>Заболевания артерий нижних конечностей (ЗАНК)</w:t>
      </w:r>
      <w:r>
        <w:t xml:space="preserve"> у пациентов с СД рассматриваются в рамках сердечно-сосудистых заболеваний атеросклеротического генеза (АС</w:t>
      </w:r>
      <w:r>
        <w:t xml:space="preserve">СЗ). </w:t>
      </w:r>
    </w:p>
    <w:p w:rsidR="00D27BC6" w:rsidRDefault="004D5071">
      <w:pPr>
        <w:ind w:left="281" w:right="51"/>
        <w:jc w:val="left"/>
      </w:pPr>
      <w:r>
        <w:rPr>
          <w:b/>
        </w:rPr>
        <w:t>Группы риска наличия ЗАНК:</w:t>
      </w:r>
    </w:p>
    <w:p w:rsidR="00D27BC6" w:rsidRDefault="004D5071">
      <w:pPr>
        <w:numPr>
          <w:ilvl w:val="0"/>
          <w:numId w:val="88"/>
        </w:numPr>
        <w:ind w:right="0" w:hanging="283"/>
      </w:pPr>
      <w:r>
        <w:t>Пациенты в возрасте &gt; 50 лет;</w:t>
      </w:r>
    </w:p>
    <w:p w:rsidR="00D27BC6" w:rsidRDefault="004D5071">
      <w:pPr>
        <w:numPr>
          <w:ilvl w:val="0"/>
          <w:numId w:val="88"/>
        </w:numPr>
        <w:ind w:right="0" w:hanging="283"/>
      </w:pPr>
      <w:r>
        <w:t>Пациенты в возрасте &lt; 50 лет и наличием 1 ФР (курение, дислипидемия, сердечно-сосудистые заболевания, цереброваскулярные заболевания, артериальная гипертензия, неудовлетворительный контроль гли</w:t>
      </w:r>
      <w:r>
        <w:t>кемии, повышенный уровень гомоцистеина повышенная концентрация высокочувствительного С-реактивного белка, аполипопротеина В, повышенная вязкость крови и гиперкоагуляция, ХБП (рСКФ &lt; 60 мл/мин/1,73 м</w:t>
      </w:r>
      <w:r>
        <w:rPr>
          <w:sz w:val="18"/>
          <w:vertAlign w:val="superscript"/>
        </w:rPr>
        <w:t>2</w:t>
      </w:r>
      <w:r>
        <w:t>); семейный анамнез ССЗ, хронические воспалительные забол</w:t>
      </w:r>
      <w:r>
        <w:t xml:space="preserve">евания (например, ревматоидный артрит, псориаз, хроническая ВИЧ-инфекция). </w:t>
      </w:r>
    </w:p>
    <w:p w:rsidR="00D27BC6" w:rsidRDefault="004D5071">
      <w:pPr>
        <w:numPr>
          <w:ilvl w:val="0"/>
          <w:numId w:val="88"/>
        </w:numPr>
        <w:spacing w:after="213"/>
        <w:ind w:right="0" w:hanging="283"/>
      </w:pPr>
      <w:r>
        <w:t xml:space="preserve">Пациенты с СД и наличием трофических нарушений мягких тканей нижних конечностей независимо от возраста. </w:t>
      </w:r>
    </w:p>
    <w:p w:rsidR="00D27BC6" w:rsidRDefault="004D5071">
      <w:pPr>
        <w:pBdr>
          <w:top w:val="single" w:sz="8" w:space="0" w:color="000000"/>
          <w:left w:val="single" w:sz="8" w:space="0" w:color="000000"/>
          <w:bottom w:val="single" w:sz="8" w:space="0" w:color="000000"/>
          <w:right w:val="single" w:sz="8" w:space="0" w:color="000000"/>
        </w:pBdr>
        <w:spacing w:after="104"/>
        <w:ind w:left="120" w:right="114"/>
      </w:pPr>
      <w:r>
        <w:t xml:space="preserve">Своевременный скрининг и профилактика может предупредить или замедлить развитие ЗАНК, тем самым сохранить качество жизни пациента, снизить число ампутаций. </w:t>
      </w:r>
    </w:p>
    <w:p w:rsidR="00D27BC6" w:rsidRDefault="004D5071">
      <w:pPr>
        <w:pBdr>
          <w:top w:val="single" w:sz="8" w:space="0" w:color="000000"/>
          <w:left w:val="single" w:sz="8" w:space="0" w:color="000000"/>
          <w:bottom w:val="single" w:sz="8" w:space="0" w:color="000000"/>
          <w:right w:val="single" w:sz="8" w:space="0" w:color="000000"/>
        </w:pBdr>
        <w:spacing w:after="370"/>
        <w:ind w:left="120" w:right="114"/>
      </w:pPr>
      <w:r>
        <w:t>Пациенты с ЗАНК имеют высокую вероятность поражения других артериальных бассейнов. В связи с этим с</w:t>
      </w:r>
      <w:r>
        <w:t xml:space="preserve">воевременная диагностика ЗАНК и коррекция модифицируемых ФР развития атеросклероза предупреждает развитие АССЗ, таких как ИМ, острое нарушение мозгового кровообращения, снижает раннюю смертность. </w:t>
      </w:r>
    </w:p>
    <w:p w:rsidR="00D27BC6" w:rsidRDefault="004D5071">
      <w:pPr>
        <w:pStyle w:val="Heading2"/>
        <w:spacing w:after="229" w:line="248" w:lineRule="auto"/>
        <w:ind w:left="162" w:right="156"/>
        <w:jc w:val="center"/>
      </w:pPr>
      <w:r>
        <w:rPr>
          <w:color w:val="1E5D99"/>
        </w:rPr>
        <w:t>Клиническая картина ЗАНК при СД</w:t>
      </w:r>
    </w:p>
    <w:p w:rsidR="00D27BC6" w:rsidRDefault="004D5071">
      <w:pPr>
        <w:ind w:left="2" w:right="51" w:firstLine="283"/>
        <w:jc w:val="left"/>
      </w:pPr>
      <w:r>
        <w:rPr>
          <w:b/>
        </w:rPr>
        <w:t xml:space="preserve">Жалобы ишемического генеза </w:t>
      </w:r>
      <w:r>
        <w:rPr>
          <w:b/>
        </w:rPr>
        <w:t xml:space="preserve">(часто отсутствуют у лиц с СД в связи с сопутствующей диабетической нейропатией): </w:t>
      </w:r>
    </w:p>
    <w:p w:rsidR="00D27BC6" w:rsidRDefault="004D5071">
      <w:pPr>
        <w:numPr>
          <w:ilvl w:val="0"/>
          <w:numId w:val="89"/>
        </w:numPr>
        <w:ind w:right="0" w:hanging="283"/>
      </w:pPr>
      <w:r>
        <w:t>симптомы перемежающейся хромоты (недомогание, боль, дискомфорт в мышцах нижних конечностей (чаще в икроножных мышцах, реже в ягодичной области, бедре и стопе), возникающее п</w:t>
      </w:r>
      <w:r>
        <w:t>ри физической нагрузке;</w:t>
      </w:r>
    </w:p>
    <w:p w:rsidR="00D27BC6" w:rsidRDefault="004D5071">
      <w:pPr>
        <w:numPr>
          <w:ilvl w:val="0"/>
          <w:numId w:val="89"/>
        </w:numPr>
        <w:spacing w:after="226"/>
        <w:ind w:right="0" w:hanging="283"/>
      </w:pPr>
      <w:r>
        <w:t xml:space="preserve">наличие боли или дискомфорт в нижних конечностях в покое, усиливающиеся в положении лежа. </w:t>
      </w:r>
    </w:p>
    <w:p w:rsidR="00D27BC6" w:rsidRDefault="004D5071">
      <w:pPr>
        <w:ind w:left="281" w:right="51"/>
        <w:jc w:val="left"/>
      </w:pPr>
      <w:r>
        <w:rPr>
          <w:b/>
        </w:rPr>
        <w:t xml:space="preserve">Осмотр нижних конечностей: </w:t>
      </w:r>
    </w:p>
    <w:p w:rsidR="00D27BC6" w:rsidRDefault="004D5071">
      <w:pPr>
        <w:numPr>
          <w:ilvl w:val="0"/>
          <w:numId w:val="89"/>
        </w:numPr>
        <w:ind w:right="0" w:hanging="283"/>
      </w:pPr>
      <w:r>
        <w:t>Отсутствие/снижение пульсации на артериях стоп (обнаружение факта отсутствия пульсации на стопе может привести к гипердиагностике, поэтому диагноз ЗАНК должен подтверждаться с помощью неинвазивных методик);</w:t>
      </w:r>
    </w:p>
    <w:p w:rsidR="00D27BC6" w:rsidRDefault="004D5071">
      <w:pPr>
        <w:numPr>
          <w:ilvl w:val="0"/>
          <w:numId w:val="89"/>
        </w:numPr>
        <w:ind w:right="0" w:hanging="283"/>
      </w:pPr>
      <w:r>
        <w:t>выпадение волос на нижних конечностях;</w:t>
      </w:r>
    </w:p>
    <w:p w:rsidR="00D27BC6" w:rsidRDefault="004D5071">
      <w:pPr>
        <w:numPr>
          <w:ilvl w:val="0"/>
          <w:numId w:val="89"/>
        </w:numPr>
        <w:ind w:right="0" w:hanging="283"/>
      </w:pPr>
      <w:r>
        <w:t>мышечная а</w:t>
      </w:r>
      <w:r>
        <w:t>трофия;</w:t>
      </w:r>
    </w:p>
    <w:p w:rsidR="00D27BC6" w:rsidRDefault="004D5071">
      <w:pPr>
        <w:numPr>
          <w:ilvl w:val="0"/>
          <w:numId w:val="89"/>
        </w:numPr>
        <w:ind w:right="0" w:hanging="283"/>
      </w:pPr>
      <w:r>
        <w:t xml:space="preserve">бледность кожных покровов, наличие петехиальных элементов, экхимоз, рубеоз (цвет и температура кожи менее специфичны и зависят от наличия инфекционного воспаления, сопутствующей автономной нейропатии); </w:t>
      </w:r>
    </w:p>
    <w:p w:rsidR="00D27BC6" w:rsidRDefault="004D5071">
      <w:pPr>
        <w:numPr>
          <w:ilvl w:val="0"/>
          <w:numId w:val="89"/>
        </w:numPr>
        <w:spacing w:after="226"/>
        <w:ind w:right="0" w:hanging="283"/>
      </w:pPr>
      <w:r>
        <w:t>наличие язвенных дефектов, акральных некрозов</w:t>
      </w:r>
      <w:r>
        <w:t>, гангрены пальцев и стопы.</w:t>
      </w:r>
    </w:p>
    <w:p w:rsidR="00D27BC6" w:rsidRDefault="004D5071">
      <w:pPr>
        <w:ind w:left="281" w:right="51"/>
        <w:jc w:val="left"/>
      </w:pPr>
      <w:r>
        <w:rPr>
          <w:b/>
        </w:rPr>
        <w:t>Анамнез:</w:t>
      </w:r>
    </w:p>
    <w:p w:rsidR="00D27BC6" w:rsidRDefault="004D5071">
      <w:pPr>
        <w:ind w:left="-11" w:right="0" w:firstLine="283"/>
      </w:pPr>
      <w:r>
        <w:t>Оценка основных и дополнительных ФР атеросклероза, микро- и макрососудистых осложнений СД, сопутствующих заболеваний, раневых дефектов и травм нижних конечностей, хирургического лечения и ампутаций конечности, эндоваску</w:t>
      </w:r>
      <w:r>
        <w:t xml:space="preserve">лярного или открытого сосудистого вмешательства на артериях нижних конечностей. </w:t>
      </w:r>
    </w:p>
    <w:p w:rsidR="00D27BC6" w:rsidRDefault="004D5071">
      <w:pPr>
        <w:spacing w:after="230"/>
        <w:ind w:left="-11" w:right="0" w:firstLine="283"/>
      </w:pPr>
      <w:r>
        <w:t>Оценка социального статуса и возможности выполнения рекомендаций по уходу за ногами при СД; доступность качественной медицинской помощи по месту жительства, приверженность и в</w:t>
      </w:r>
      <w:r>
        <w:t>озможность выполнения рекомендацией по правилам ухода за ногами при СД, ношение обуви дома и вне дома (тип обуви).</w:t>
      </w:r>
    </w:p>
    <w:p w:rsidR="00D27BC6" w:rsidRDefault="004D5071">
      <w:pPr>
        <w:ind w:left="281" w:right="51"/>
        <w:jc w:val="left"/>
      </w:pPr>
      <w:r>
        <w:rPr>
          <w:b/>
        </w:rPr>
        <w:t>Клинические стадии течения ЗАНК:</w:t>
      </w:r>
    </w:p>
    <w:p w:rsidR="00D27BC6" w:rsidRDefault="004D5071">
      <w:pPr>
        <w:numPr>
          <w:ilvl w:val="0"/>
          <w:numId w:val="89"/>
        </w:numPr>
        <w:ind w:right="0" w:hanging="283"/>
      </w:pPr>
      <w:r>
        <w:t>Доклиническая стадия (бессимптомное течение) – отсутствие клинических проявлений;</w:t>
      </w:r>
    </w:p>
    <w:p w:rsidR="00D27BC6" w:rsidRDefault="004D5071">
      <w:pPr>
        <w:numPr>
          <w:ilvl w:val="0"/>
          <w:numId w:val="89"/>
        </w:numPr>
        <w:ind w:right="0" w:hanging="283"/>
      </w:pPr>
      <w:r>
        <w:t>Стадия клинических проявле</w:t>
      </w:r>
      <w:r>
        <w:t>ний (симптомное течение) – перемежающаяся хромота, наличие трофических изменений, раневых дефектов;</w:t>
      </w:r>
    </w:p>
    <w:p w:rsidR="00D27BC6" w:rsidRDefault="004D5071">
      <w:pPr>
        <w:numPr>
          <w:ilvl w:val="0"/>
          <w:numId w:val="89"/>
        </w:numPr>
        <w:ind w:right="0" w:hanging="283"/>
      </w:pPr>
      <w:r>
        <w:t>Критическая ишемия нижней конечности (КИНК) с риском потери конечности, характеризуется одним из двух следующих критериев:</w:t>
      </w:r>
    </w:p>
    <w:p w:rsidR="00D27BC6" w:rsidRDefault="004D5071">
      <w:pPr>
        <w:numPr>
          <w:ilvl w:val="1"/>
          <w:numId w:val="89"/>
        </w:numPr>
        <w:ind w:left="568" w:right="0" w:hanging="283"/>
      </w:pPr>
      <w:r>
        <w:t>Постоянная боль в покое, требующа</w:t>
      </w:r>
      <w:r>
        <w:t xml:space="preserve">я регулярного приема анальгетиков в течение двух недель и более (низкий риск) и/или </w:t>
      </w:r>
    </w:p>
    <w:p w:rsidR="00D27BC6" w:rsidRDefault="004D5071">
      <w:pPr>
        <w:numPr>
          <w:ilvl w:val="1"/>
          <w:numId w:val="89"/>
        </w:numPr>
        <w:ind w:left="568" w:right="0" w:hanging="283"/>
      </w:pPr>
      <w:r>
        <w:t>Трофическая язва или гангрена пальцев или стопы, возникшие на фоне хронической артериальной недостаточности (умеренный и высокий риск).</w:t>
      </w:r>
    </w:p>
    <w:p w:rsidR="00D27BC6" w:rsidRDefault="004D5071">
      <w:pPr>
        <w:ind w:left="281" w:right="51"/>
        <w:jc w:val="left"/>
      </w:pPr>
      <w:r>
        <w:rPr>
          <w:b/>
        </w:rPr>
        <w:t>Особенности клинической картины ЗАН</w:t>
      </w:r>
      <w:r>
        <w:rPr>
          <w:b/>
        </w:rPr>
        <w:t>К при СД</w:t>
      </w:r>
    </w:p>
    <w:p w:rsidR="00D27BC6" w:rsidRDefault="004D5071">
      <w:pPr>
        <w:numPr>
          <w:ilvl w:val="0"/>
          <w:numId w:val="89"/>
        </w:numPr>
        <w:ind w:right="0" w:hanging="283"/>
      </w:pPr>
      <w:r>
        <w:t>Раннее начало и быстрое прогрессирование атеросклеротических изменений.</w:t>
      </w:r>
    </w:p>
    <w:p w:rsidR="00D27BC6" w:rsidRDefault="004D5071">
      <w:pPr>
        <w:numPr>
          <w:ilvl w:val="0"/>
          <w:numId w:val="89"/>
        </w:numPr>
        <w:ind w:right="0" w:hanging="283"/>
      </w:pPr>
      <w:r>
        <w:t>Высокая распространенность сопутствующих АССЗ.</w:t>
      </w:r>
    </w:p>
    <w:p w:rsidR="00D27BC6" w:rsidRDefault="004D5071">
      <w:pPr>
        <w:numPr>
          <w:ilvl w:val="0"/>
          <w:numId w:val="89"/>
        </w:numPr>
        <w:ind w:right="0" w:hanging="283"/>
      </w:pPr>
      <w:r>
        <w:t>Малосимптомное течение ЗАНК, вследствие сопутствующей диабетической нейропатии), характеризуется стертым, атипичным или отсутств</w:t>
      </w:r>
      <w:r>
        <w:t>ующим болевым синдромом/перемежающейся хромоты.</w:t>
      </w:r>
    </w:p>
    <w:p w:rsidR="00D27BC6" w:rsidRDefault="004D5071">
      <w:pPr>
        <w:numPr>
          <w:ilvl w:val="0"/>
          <w:numId w:val="89"/>
        </w:numPr>
        <w:ind w:right="0" w:hanging="283"/>
      </w:pPr>
      <w:r>
        <w:t>Болевая симптоматика может быть обусловлена также нейрогенными причинами (спинальный стеноз и др.), в том числе без клинически значимого снижения кровотока.</w:t>
      </w:r>
    </w:p>
    <w:p w:rsidR="00D27BC6" w:rsidRDefault="004D5071">
      <w:pPr>
        <w:numPr>
          <w:ilvl w:val="0"/>
          <w:numId w:val="89"/>
        </w:numPr>
        <w:ind w:right="0" w:hanging="283"/>
      </w:pPr>
      <w:r>
        <w:t>Трофические нарушения мягких тканей нижних конечностей могут развиваться на любой стадии ЗАНК.</w:t>
      </w:r>
    </w:p>
    <w:p w:rsidR="00D27BC6" w:rsidRDefault="004D5071">
      <w:pPr>
        <w:numPr>
          <w:ilvl w:val="0"/>
          <w:numId w:val="89"/>
        </w:numPr>
        <w:spacing w:after="213"/>
        <w:ind w:right="0" w:hanging="283"/>
      </w:pPr>
      <w:r>
        <w:t xml:space="preserve">Около 50% пациентов с СД и ранами нижних конечностей имеют ЗАНК. </w:t>
      </w:r>
    </w:p>
    <w:p w:rsidR="00D27BC6" w:rsidRDefault="004D5071">
      <w:pPr>
        <w:pBdr>
          <w:top w:val="single" w:sz="8" w:space="0" w:color="000000"/>
          <w:left w:val="single" w:sz="8" w:space="0" w:color="000000"/>
          <w:bottom w:val="single" w:sz="8" w:space="0" w:color="000000"/>
          <w:right w:val="single" w:sz="8" w:space="0" w:color="000000"/>
        </w:pBdr>
        <w:spacing w:after="484"/>
        <w:ind w:left="120" w:right="114"/>
      </w:pPr>
      <w:r>
        <w:t>У пациентов с СД нет четкой границы в разделении доклинической стадии и стадии клинических проявлений, поэтому классификации ишемии нижних конечностей Фонтейна-Покровского и Рутерфорда, рекомендуемые для определения клинической стадии ЗАНК у больных с атер</w:t>
      </w:r>
      <w:r>
        <w:t xml:space="preserve">осклерозом без СД, не отражают степень тяжести хронической артериальной недостаточности у лиц с СД, так как не учитывают сопутствующую диабетическую нейропатию и малоподвижный образ жизни. </w:t>
      </w:r>
    </w:p>
    <w:p w:rsidR="00D27BC6" w:rsidRDefault="004D5071">
      <w:pPr>
        <w:pStyle w:val="Heading2"/>
        <w:spacing w:after="229" w:line="248" w:lineRule="auto"/>
        <w:ind w:left="162" w:right="156"/>
        <w:jc w:val="center"/>
      </w:pPr>
      <w:r>
        <w:rPr>
          <w:color w:val="1E5D99"/>
        </w:rPr>
        <w:t>Диагностика ЗАНК у пациентов с СД</w:t>
      </w:r>
    </w:p>
    <w:p w:rsidR="00D27BC6" w:rsidRDefault="004D5071">
      <w:pPr>
        <w:pBdr>
          <w:top w:val="single" w:sz="8" w:space="0" w:color="000000"/>
          <w:left w:val="single" w:sz="8" w:space="0" w:color="000000"/>
          <w:bottom w:val="single" w:sz="8" w:space="0" w:color="000000"/>
          <w:right w:val="single" w:sz="8" w:space="0" w:color="000000"/>
        </w:pBdr>
        <w:spacing w:after="244"/>
        <w:ind w:left="120" w:right="114"/>
      </w:pPr>
      <w:r>
        <w:t>Верификация ЗАНК у пациентов с С</w:t>
      </w:r>
      <w:r>
        <w:t>Д и трофическими поражениями нижних конечностей необходима для оценки прогноза клинических исходов: заживления язв, ампутации нижних конечностей, сердечно-сосудистых событий и преждевременной смерти. Всем пациентам с подозрением на ЗАНК показана инструмент</w:t>
      </w:r>
      <w:r>
        <w:t xml:space="preserve">альная оценка состояния периферического кровотока. </w:t>
      </w:r>
    </w:p>
    <w:p w:rsidR="00D27BC6" w:rsidRDefault="004D5071">
      <w:pPr>
        <w:ind w:left="2" w:right="51" w:firstLine="283"/>
        <w:jc w:val="left"/>
      </w:pPr>
      <w:r>
        <w:rPr>
          <w:b/>
        </w:rPr>
        <w:t xml:space="preserve">* Постановка диагноза КИНК с риском потери конечности характеризуется одним из двух следующих критериев: </w:t>
      </w:r>
    </w:p>
    <w:p w:rsidR="00D27BC6" w:rsidRDefault="004D5071">
      <w:pPr>
        <w:numPr>
          <w:ilvl w:val="0"/>
          <w:numId w:val="90"/>
        </w:numPr>
        <w:ind w:right="0" w:hanging="283"/>
      </w:pPr>
      <w:r>
        <w:t xml:space="preserve">В отсутствии трофических нарушений мягких тканей систолическое лодыжечное артериальное давление &lt; </w:t>
      </w:r>
      <w:r>
        <w:rPr>
          <w:b/>
        </w:rPr>
        <w:t>50</w:t>
      </w:r>
      <w:r>
        <w:t xml:space="preserve"> мм рт.ст. или пальцевое давление &lt; </w:t>
      </w:r>
      <w:r>
        <w:rPr>
          <w:b/>
        </w:rPr>
        <w:t>30</w:t>
      </w:r>
      <w:r>
        <w:t xml:space="preserve"> мм рт.ст., TcpO</w:t>
      </w:r>
      <w:r>
        <w:rPr>
          <w:sz w:val="18"/>
          <w:vertAlign w:val="subscript"/>
        </w:rPr>
        <w:t>2</w:t>
      </w:r>
      <w:r>
        <w:t xml:space="preserve"> &lt; </w:t>
      </w:r>
      <w:r>
        <w:rPr>
          <w:b/>
        </w:rPr>
        <w:t>25</w:t>
      </w:r>
      <w:r>
        <w:t xml:space="preserve"> мм рт.ст., перфузионное давление кожи &lt; </w:t>
      </w:r>
      <w:r>
        <w:rPr>
          <w:b/>
        </w:rPr>
        <w:t>40</w:t>
      </w:r>
      <w:r>
        <w:t xml:space="preserve"> мм рт.ст. (низкий риск).</w:t>
      </w:r>
    </w:p>
    <w:p w:rsidR="00D27BC6" w:rsidRDefault="004D5071">
      <w:pPr>
        <w:numPr>
          <w:ilvl w:val="0"/>
          <w:numId w:val="90"/>
        </w:numPr>
        <w:spacing w:after="225"/>
        <w:ind w:right="0" w:hanging="283"/>
      </w:pPr>
      <w:r>
        <w:t xml:space="preserve">При наличии язвы или гангрены систолическое лодыжечное артериальное давление &lt; </w:t>
      </w:r>
      <w:r>
        <w:rPr>
          <w:b/>
        </w:rPr>
        <w:t>70</w:t>
      </w:r>
      <w:r>
        <w:t xml:space="preserve"> мм рт.ст. или пальцевое давление &lt; </w:t>
      </w:r>
      <w:r>
        <w:rPr>
          <w:b/>
        </w:rPr>
        <w:t>50</w:t>
      </w:r>
      <w:r>
        <w:t xml:space="preserve"> мм рт</w:t>
      </w:r>
      <w:r>
        <w:t>.ст., TcpO</w:t>
      </w:r>
      <w:r>
        <w:rPr>
          <w:sz w:val="18"/>
          <w:vertAlign w:val="subscript"/>
        </w:rPr>
        <w:t>2</w:t>
      </w:r>
      <w:r>
        <w:t xml:space="preserve"> &lt; </w:t>
      </w:r>
      <w:r>
        <w:rPr>
          <w:b/>
        </w:rPr>
        <w:t>25</w:t>
      </w:r>
      <w:r>
        <w:t xml:space="preserve"> мм рт.ст., перфузионное давление кожи &lt; </w:t>
      </w:r>
      <w:r>
        <w:rPr>
          <w:b/>
        </w:rPr>
        <w:t>40</w:t>
      </w:r>
      <w:r>
        <w:t xml:space="preserve"> мм рт.ст. (умеренный и высокий риск).</w:t>
      </w:r>
    </w:p>
    <w:p w:rsidR="00D27BC6" w:rsidRDefault="004D5071">
      <w:pPr>
        <w:spacing w:after="230"/>
        <w:ind w:left="-11" w:right="0" w:firstLine="283"/>
      </w:pPr>
      <w:r>
        <w:t>Руководствуясь основными клиническими факторами, обуславливающими тяжесть состояния пациента в зависимости от степени язвенного поражения, ишемии и инфекции, руководящий комитет Общества сосудистых хирургов разработал систему классификации патологии артери</w:t>
      </w:r>
      <w:r>
        <w:t>й нижних конечностей, угрожающей ее потерей – WIfI (Wound, Ischemia and Foot Infection). С помощью классификации WIfI возможно стратифицировать риск потери конечности, а также определить стратегию лечения в каждом конкретном случае (см. раздел 14).</w:t>
      </w:r>
    </w:p>
    <w:p w:rsidR="00D27BC6" w:rsidRDefault="004D5071">
      <w:pPr>
        <w:ind w:left="281" w:right="51"/>
        <w:jc w:val="left"/>
      </w:pPr>
      <w:r>
        <w:rPr>
          <w:b/>
        </w:rPr>
        <w:t>Неинваз</w:t>
      </w:r>
      <w:r>
        <w:rPr>
          <w:b/>
        </w:rPr>
        <w:t xml:space="preserve">ивные методы исследования: </w:t>
      </w:r>
    </w:p>
    <w:p w:rsidR="00D27BC6" w:rsidRDefault="004D5071">
      <w:pPr>
        <w:numPr>
          <w:ilvl w:val="0"/>
          <w:numId w:val="91"/>
        </w:numPr>
        <w:ind w:right="0" w:hanging="283"/>
      </w:pPr>
      <w:r>
        <w:t>Ультразвуковая допплерография и допплерометрия с подсчетом ЛПИ (соотношение систолического АД в артериях стопы и систолического АД в плечевой артерии);</w:t>
      </w:r>
    </w:p>
    <w:p w:rsidR="00D27BC6" w:rsidRDefault="004D5071">
      <w:pPr>
        <w:numPr>
          <w:ilvl w:val="0"/>
          <w:numId w:val="91"/>
        </w:numPr>
        <w:spacing w:after="226"/>
        <w:ind w:right="0" w:hanging="283"/>
      </w:pPr>
      <w:r>
        <w:t xml:space="preserve">Измерение пальцевого систолического давления и пальце-плечевого индекса. </w:t>
      </w:r>
    </w:p>
    <w:p w:rsidR="00D27BC6" w:rsidRDefault="004D5071">
      <w:pPr>
        <w:ind w:left="281" w:right="51"/>
        <w:jc w:val="left"/>
      </w:pPr>
      <w:r>
        <w:rPr>
          <w:b/>
        </w:rPr>
        <w:t>ЗА</w:t>
      </w:r>
      <w:r>
        <w:rPr>
          <w:b/>
        </w:rPr>
        <w:t>НК подтверждается при:</w:t>
      </w:r>
    </w:p>
    <w:p w:rsidR="00D27BC6" w:rsidRDefault="004D5071">
      <w:pPr>
        <w:numPr>
          <w:ilvl w:val="0"/>
          <w:numId w:val="92"/>
        </w:numPr>
        <w:ind w:right="0" w:hanging="283"/>
      </w:pPr>
      <w:r>
        <w:t>Наличии жалоб: перемежающаяся хромота, купирующаяся остановкой или боли покоя, купирующиеся приемом анальгетиков;</w:t>
      </w:r>
    </w:p>
    <w:p w:rsidR="00D27BC6" w:rsidRDefault="004D5071">
      <w:pPr>
        <w:numPr>
          <w:ilvl w:val="0"/>
          <w:numId w:val="92"/>
        </w:numPr>
        <w:ind w:right="0" w:hanging="283"/>
      </w:pPr>
      <w:r>
        <w:t>Наличии некротических раневых дефектов, ишемической гангрены пальцев и стопы;</w:t>
      </w:r>
    </w:p>
    <w:p w:rsidR="00D27BC6" w:rsidRDefault="004D5071">
      <w:pPr>
        <w:numPr>
          <w:ilvl w:val="0"/>
          <w:numId w:val="92"/>
        </w:numPr>
        <w:ind w:right="0" w:hanging="283"/>
      </w:pPr>
      <w:r>
        <w:t xml:space="preserve">Снижении или отсутствии пульсации на ТАС </w:t>
      </w:r>
      <w:r>
        <w:t>или ЗББА у медиальной лодыжки;</w:t>
      </w:r>
    </w:p>
    <w:p w:rsidR="00D27BC6" w:rsidRDefault="004D5071">
      <w:pPr>
        <w:numPr>
          <w:ilvl w:val="0"/>
          <w:numId w:val="92"/>
        </w:numPr>
        <w:ind w:right="0" w:hanging="283"/>
      </w:pPr>
      <w:r>
        <w:t xml:space="preserve">Монофазной или двухфазной форме допплеровской волны или ее отсутствии на одной из артерий стопы; </w:t>
      </w:r>
    </w:p>
    <w:p w:rsidR="00D27BC6" w:rsidRDefault="004D5071">
      <w:pPr>
        <w:numPr>
          <w:ilvl w:val="0"/>
          <w:numId w:val="92"/>
        </w:numPr>
        <w:spacing w:after="226"/>
        <w:ind w:right="0" w:hanging="283"/>
      </w:pPr>
      <w:r>
        <w:t>ЛПИ менее 0,9 как минимум на одной из артерий стопы.</w:t>
      </w:r>
    </w:p>
    <w:p w:rsidR="00D27BC6" w:rsidRDefault="004D5071">
      <w:pPr>
        <w:spacing w:after="230"/>
        <w:ind w:left="-13" w:right="0" w:firstLine="283"/>
      </w:pPr>
      <w:r>
        <w:rPr>
          <w:b/>
        </w:rPr>
        <w:t>Ни один из имеющихся рутинных неинвазивных тестов не является абсолютным к</w:t>
      </w:r>
      <w:r>
        <w:rPr>
          <w:b/>
        </w:rPr>
        <w:t>ритерием диагностики ЗАНК у пациентов с СД. Для подтверждения или опровержения диагноза ЗАНК рекомендуется использовать несколько методов, включая оценку спектра доплеровского сдвига частот.</w:t>
      </w:r>
    </w:p>
    <w:p w:rsidR="00D27BC6" w:rsidRDefault="004D5071">
      <w:pPr>
        <w:ind w:left="281" w:right="51"/>
        <w:jc w:val="left"/>
      </w:pPr>
      <w:r>
        <w:rPr>
          <w:b/>
        </w:rPr>
        <w:t xml:space="preserve">Методы оценки перфузии мягких тканей: </w:t>
      </w:r>
    </w:p>
    <w:p w:rsidR="00D27BC6" w:rsidRDefault="004D5071">
      <w:pPr>
        <w:numPr>
          <w:ilvl w:val="0"/>
          <w:numId w:val="93"/>
        </w:numPr>
        <w:ind w:right="0" w:hanging="283"/>
      </w:pPr>
      <w:r>
        <w:rPr>
          <w:b/>
        </w:rPr>
        <w:t>Транскутанная оксиметрия (</w:t>
      </w:r>
      <w:r>
        <w:rPr>
          <w:b/>
        </w:rPr>
        <w:t>TcpO</w:t>
      </w:r>
      <w:r>
        <w:rPr>
          <w:b/>
          <w:sz w:val="18"/>
          <w:vertAlign w:val="subscript"/>
        </w:rPr>
        <w:t>2</w:t>
      </w:r>
      <w:r>
        <w:rPr>
          <w:b/>
        </w:rPr>
        <w:t>)</w:t>
      </w:r>
      <w:r>
        <w:rPr>
          <w:sz w:val="18"/>
          <w:vertAlign w:val="subscript"/>
        </w:rPr>
        <w:t xml:space="preserve"> </w:t>
      </w:r>
      <w:r>
        <w:t>– метод оценки тяжести ишемии конечности у пациентов с клиническими симптомами ЗАНК, прогноза заживления язв, эффективности консервативного лечения и исходов реваскуляризации, определения уровня ампутации конечности.</w:t>
      </w:r>
    </w:p>
    <w:p w:rsidR="00D27BC6" w:rsidRDefault="004D5071">
      <w:pPr>
        <w:ind w:left="-13" w:right="0" w:firstLine="284"/>
      </w:pPr>
      <w:r>
        <w:rPr>
          <w:b/>
        </w:rPr>
        <w:t>25 мм рт.ст. – пороговое значени</w:t>
      </w:r>
      <w:r>
        <w:rPr>
          <w:b/>
        </w:rPr>
        <w:t>е чрескожного напряжения кислорода (TcpO</w:t>
      </w:r>
      <w:r>
        <w:rPr>
          <w:b/>
          <w:sz w:val="18"/>
          <w:vertAlign w:val="subscript"/>
        </w:rPr>
        <w:t>2</w:t>
      </w:r>
      <w:r>
        <w:rPr>
          <w:b/>
        </w:rPr>
        <w:t>) для подтверждения ЗАНК на стадии КИНК</w:t>
      </w:r>
    </w:p>
    <w:p w:rsidR="00D27BC6" w:rsidRDefault="004D5071">
      <w:pPr>
        <w:numPr>
          <w:ilvl w:val="0"/>
          <w:numId w:val="93"/>
        </w:numPr>
        <w:ind w:right="0" w:hanging="283"/>
      </w:pPr>
      <w:r>
        <w:rPr>
          <w:b/>
        </w:rPr>
        <w:t>Измерение перфузионного давления кожи</w:t>
      </w:r>
      <w:r>
        <w:t xml:space="preserve"> – метод оценки</w:t>
      </w:r>
      <w:r>
        <w:rPr>
          <w:b/>
        </w:rPr>
        <w:t xml:space="preserve"> </w:t>
      </w:r>
      <w:r>
        <w:t>кровяного давления, необходимого для восстановления капиллярного кровотока после индуцированной окклюзии.</w:t>
      </w:r>
    </w:p>
    <w:p w:rsidR="00D27BC6" w:rsidRDefault="004D5071">
      <w:pPr>
        <w:spacing w:after="226"/>
        <w:ind w:left="295" w:right="0"/>
      </w:pPr>
      <w:r>
        <w:rPr>
          <w:b/>
        </w:rPr>
        <w:t>40 мм рт.ст. – пороговое значение перфузионного давления для подтверждения ЗАНК на стадии КИНК</w:t>
      </w:r>
    </w:p>
    <w:p w:rsidR="00D27BC6" w:rsidRDefault="004D5071">
      <w:pPr>
        <w:pStyle w:val="Heading2"/>
        <w:spacing w:after="229" w:line="248" w:lineRule="auto"/>
        <w:ind w:left="162" w:right="156"/>
        <w:jc w:val="center"/>
      </w:pPr>
      <w:r>
        <w:rPr>
          <w:color w:val="1E5D99"/>
        </w:rPr>
        <w:t>Методы визуализации для анатомической оценки поражения</w:t>
      </w:r>
    </w:p>
    <w:p w:rsidR="00D27BC6" w:rsidRDefault="004D5071">
      <w:pPr>
        <w:numPr>
          <w:ilvl w:val="0"/>
          <w:numId w:val="94"/>
        </w:numPr>
        <w:ind w:right="0" w:hanging="283"/>
      </w:pPr>
      <w:r>
        <w:rPr>
          <w:b/>
        </w:rPr>
        <w:t>Ультразвуковое дуплексное сканирование (УЗДС)</w:t>
      </w:r>
      <w:r>
        <w:t xml:space="preserve"> – метод диагностики первой линии, поскольку дает возможность</w:t>
      </w:r>
      <w:r>
        <w:t xml:space="preserve"> оценить практически весь спектр артериальных поражений, включая оценку результатов хирургического и консервативного лечения. Особое внимание при УЗДС сосудов дистального русла у пациентов с СД необходимо уделять артериям голени и стопы, поскольку именно э</w:t>
      </w:r>
      <w:r>
        <w:t>ти сегменты подвержены наиболее частому оккклюзирующему поражению в сравнении с лицами без нарушения углеводного обмена.</w:t>
      </w:r>
    </w:p>
    <w:p w:rsidR="00D27BC6" w:rsidRDefault="004D5071">
      <w:pPr>
        <w:numPr>
          <w:ilvl w:val="0"/>
          <w:numId w:val="94"/>
        </w:numPr>
        <w:ind w:right="0" w:hanging="283"/>
      </w:pPr>
      <w:r>
        <w:rPr>
          <w:b/>
        </w:rPr>
        <w:t xml:space="preserve">Магнитно-резонансная ангиография </w:t>
      </w:r>
      <w:r>
        <w:t>– метод второй линии у пациентов с СД в связи с отсутствием лучевой нагрузки, более низкого риска нефр</w:t>
      </w:r>
      <w:r>
        <w:t>отоксичности в сравнении с МСКТА и лучшей визуализацией артерий голеней в сравнении с УЗДС и МСКТА.</w:t>
      </w:r>
    </w:p>
    <w:p w:rsidR="00D27BC6" w:rsidRDefault="004D5071">
      <w:pPr>
        <w:numPr>
          <w:ilvl w:val="0"/>
          <w:numId w:val="94"/>
        </w:numPr>
        <w:ind w:right="0" w:hanging="283"/>
      </w:pPr>
      <w:r>
        <w:rPr>
          <w:b/>
        </w:rPr>
        <w:t>Мультиспиральная компьютерная ангиография (МСКТА)*</w:t>
      </w:r>
      <w:r>
        <w:t xml:space="preserve"> – оптимальный метод визуализации аорто-подвздошного сегмента и проксимальных отделов артерий нижних конечностей у пациентов с СД. Позволяет с высокой точностью исключить артериальные аневризмы, оценить структуру сосудистой стенки, проходимость шунтов и пр</w:t>
      </w:r>
      <w:r>
        <w:t xml:space="preserve">отезов после реваскуляризации. </w:t>
      </w:r>
    </w:p>
    <w:p w:rsidR="00D27BC6" w:rsidRDefault="004D5071">
      <w:pPr>
        <w:numPr>
          <w:ilvl w:val="0"/>
          <w:numId w:val="94"/>
        </w:numPr>
        <w:spacing w:after="56"/>
        <w:ind w:right="0" w:hanging="283"/>
      </w:pPr>
      <w:r>
        <w:rPr>
          <w:b/>
        </w:rPr>
        <w:t>Рентгенконтрастная ангиография* – «золотой стандарт»</w:t>
      </w:r>
      <w:r>
        <w:rPr>
          <w:b/>
          <w:i/>
        </w:rPr>
        <w:t xml:space="preserve"> </w:t>
      </w:r>
      <w:r>
        <w:t xml:space="preserve">– метод визуализации, рекомендуемый пациентам с ЗАНК при неинформативности других методов визуализации. </w:t>
      </w:r>
    </w:p>
    <w:p w:rsidR="00D27BC6" w:rsidRDefault="004D5071">
      <w:pPr>
        <w:spacing w:after="263"/>
        <w:ind w:left="-3" w:right="0"/>
      </w:pPr>
      <w:r>
        <w:rPr>
          <w:sz w:val="16"/>
        </w:rPr>
        <w:t xml:space="preserve">* В связи с необходимостью применения йодсодержащего контрастного </w:t>
      </w:r>
      <w:r>
        <w:rPr>
          <w:sz w:val="16"/>
        </w:rPr>
        <w:t>вещества процедура должна проводиться с осторожностью в связи с риском развития контраст- индуцированной нефропатии и (редко) тяжелых аллергических реакций.</w:t>
      </w:r>
    </w:p>
    <w:p w:rsidR="00D27BC6" w:rsidRDefault="004D5071">
      <w:pPr>
        <w:pStyle w:val="Heading2"/>
        <w:ind w:left="-3"/>
      </w:pPr>
      <w:r>
        <w:t xml:space="preserve">Специалисты междисциплинарной команды, осуществляющие скрининг и лечение пациентов с СД с/без ЗАНК </w:t>
      </w:r>
      <w:r>
        <w:t>на разных стадиях течения заболевания</w:t>
      </w:r>
    </w:p>
    <w:tbl>
      <w:tblPr>
        <w:tblStyle w:val="TableGrid"/>
        <w:tblW w:w="10191" w:type="dxa"/>
        <w:tblInd w:w="9" w:type="dxa"/>
        <w:tblCellMar>
          <w:top w:w="9" w:type="dxa"/>
          <w:left w:w="56" w:type="dxa"/>
          <w:bottom w:w="0" w:type="dxa"/>
          <w:right w:w="60" w:type="dxa"/>
        </w:tblCellMar>
        <w:tblLook w:val="04A0" w:firstRow="1" w:lastRow="0" w:firstColumn="1" w:lastColumn="0" w:noHBand="0" w:noVBand="1"/>
      </w:tblPr>
      <w:tblGrid>
        <w:gridCol w:w="1372"/>
        <w:gridCol w:w="2205"/>
        <w:gridCol w:w="2205"/>
        <w:gridCol w:w="2205"/>
        <w:gridCol w:w="2205"/>
      </w:tblGrid>
      <w:tr w:rsidR="00D27BC6">
        <w:trPr>
          <w:trHeight w:val="800"/>
        </w:trPr>
        <w:tc>
          <w:tcPr>
            <w:tcW w:w="1372"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205"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229" w:right="145" w:firstLine="12"/>
              <w:jc w:val="center"/>
            </w:pPr>
            <w:r>
              <w:rPr>
                <w:b/>
              </w:rPr>
              <w:t>Пациенты  группы риска развития ЗАНК</w:t>
            </w:r>
          </w:p>
        </w:tc>
        <w:tc>
          <w:tcPr>
            <w:tcW w:w="2205" w:type="dxa"/>
            <w:tcBorders>
              <w:top w:val="single" w:sz="6" w:space="0" w:color="000000"/>
              <w:left w:val="single" w:sz="6" w:space="0" w:color="000000"/>
              <w:bottom w:val="single" w:sz="6" w:space="0" w:color="000000"/>
              <w:right w:val="single" w:sz="6" w:space="0" w:color="000000"/>
            </w:tcBorders>
            <w:shd w:val="clear" w:color="auto" w:fill="EEC1AE"/>
          </w:tcPr>
          <w:p w:rsidR="00D27BC6" w:rsidRDefault="004D5071">
            <w:pPr>
              <w:spacing w:after="0" w:line="259" w:lineRule="auto"/>
              <w:ind w:left="144" w:right="141" w:firstLine="0"/>
              <w:jc w:val="center"/>
            </w:pPr>
            <w:r>
              <w:rPr>
                <w:b/>
              </w:rPr>
              <w:t>Пациенты с подтвержденным ЗАНК</w:t>
            </w:r>
          </w:p>
        </w:tc>
        <w:tc>
          <w:tcPr>
            <w:tcW w:w="220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36" w:lineRule="auto"/>
              <w:ind w:left="258" w:right="255" w:firstLine="0"/>
              <w:jc w:val="center"/>
            </w:pPr>
            <w:r>
              <w:rPr>
                <w:b/>
              </w:rPr>
              <w:t xml:space="preserve">Пациенты  с ЗАНК на стадии </w:t>
            </w:r>
          </w:p>
          <w:p w:rsidR="00D27BC6" w:rsidRDefault="004D5071">
            <w:pPr>
              <w:spacing w:after="0" w:line="259" w:lineRule="auto"/>
              <w:ind w:left="3" w:right="0" w:firstLine="0"/>
              <w:jc w:val="center"/>
            </w:pPr>
            <w:r>
              <w:rPr>
                <w:b/>
              </w:rPr>
              <w:t>КИНК</w:t>
            </w:r>
          </w:p>
        </w:tc>
        <w:tc>
          <w:tcPr>
            <w:tcW w:w="2205" w:type="dxa"/>
            <w:tcBorders>
              <w:top w:val="single" w:sz="6" w:space="0" w:color="000000"/>
              <w:left w:val="single" w:sz="6" w:space="0" w:color="000000"/>
              <w:bottom w:val="single" w:sz="6" w:space="0" w:color="000000"/>
              <w:right w:val="single" w:sz="6" w:space="0" w:color="000000"/>
            </w:tcBorders>
            <w:shd w:val="clear" w:color="auto" w:fill="EEC1AE"/>
          </w:tcPr>
          <w:p w:rsidR="00D27BC6" w:rsidRDefault="004D5071">
            <w:pPr>
              <w:spacing w:after="0" w:line="259" w:lineRule="auto"/>
              <w:ind w:left="185" w:right="182" w:firstLine="0"/>
              <w:jc w:val="center"/>
            </w:pPr>
            <w:r>
              <w:rPr>
                <w:b/>
              </w:rPr>
              <w:t>Пациенты  с ЗАНК после разрешения КИНК</w:t>
            </w:r>
          </w:p>
        </w:tc>
      </w:tr>
      <w:tr w:rsidR="00D27BC6">
        <w:trPr>
          <w:trHeight w:val="2960"/>
        </w:trPr>
        <w:tc>
          <w:tcPr>
            <w:tcW w:w="137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Специалисты междисциплинарной команды</w:t>
            </w:r>
          </w:p>
        </w:tc>
        <w:tc>
          <w:tcPr>
            <w:tcW w:w="220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83"/>
              </w:numPr>
              <w:spacing w:after="0" w:line="259" w:lineRule="auto"/>
              <w:ind w:left="283" w:right="0" w:hanging="283"/>
              <w:jc w:val="left"/>
            </w:pPr>
            <w:r>
              <w:t>Эндокринолог;</w:t>
            </w:r>
          </w:p>
          <w:p w:rsidR="00D27BC6" w:rsidRDefault="004D5071">
            <w:pPr>
              <w:numPr>
                <w:ilvl w:val="0"/>
                <w:numId w:val="283"/>
              </w:numPr>
              <w:spacing w:after="0" w:line="236" w:lineRule="auto"/>
              <w:ind w:left="283" w:right="0" w:hanging="283"/>
              <w:jc w:val="left"/>
            </w:pPr>
            <w:r>
              <w:t>Специалист по Диабетической стопе;</w:t>
            </w:r>
          </w:p>
          <w:p w:rsidR="00D27BC6" w:rsidRDefault="004D5071">
            <w:pPr>
              <w:numPr>
                <w:ilvl w:val="0"/>
                <w:numId w:val="283"/>
              </w:numPr>
              <w:spacing w:after="0" w:line="236" w:lineRule="auto"/>
              <w:ind w:left="283" w:right="0" w:hanging="283"/>
              <w:jc w:val="left"/>
            </w:pPr>
            <w:r>
              <w:t>Специалист функциональной диагностики;</w:t>
            </w:r>
          </w:p>
          <w:p w:rsidR="00D27BC6" w:rsidRDefault="004D5071">
            <w:pPr>
              <w:numPr>
                <w:ilvl w:val="0"/>
                <w:numId w:val="283"/>
              </w:numPr>
              <w:spacing w:after="0" w:line="259" w:lineRule="auto"/>
              <w:ind w:left="283" w:right="0" w:hanging="283"/>
              <w:jc w:val="left"/>
            </w:pPr>
            <w:r>
              <w:t>Невролог.</w:t>
            </w:r>
          </w:p>
        </w:tc>
        <w:tc>
          <w:tcPr>
            <w:tcW w:w="220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84"/>
              </w:numPr>
              <w:spacing w:after="0" w:line="259" w:lineRule="auto"/>
              <w:ind w:left="283" w:right="0" w:hanging="283"/>
              <w:jc w:val="left"/>
            </w:pPr>
            <w:r>
              <w:t>Эндокринолог;</w:t>
            </w:r>
          </w:p>
          <w:p w:rsidR="00D27BC6" w:rsidRDefault="004D5071">
            <w:pPr>
              <w:numPr>
                <w:ilvl w:val="0"/>
                <w:numId w:val="284"/>
              </w:numPr>
              <w:spacing w:after="0" w:line="236" w:lineRule="auto"/>
              <w:ind w:left="283" w:right="0" w:hanging="283"/>
              <w:jc w:val="left"/>
            </w:pPr>
            <w:r>
              <w:t>Специалист по Диабетической стопе;</w:t>
            </w:r>
          </w:p>
          <w:p w:rsidR="00D27BC6" w:rsidRDefault="004D5071">
            <w:pPr>
              <w:numPr>
                <w:ilvl w:val="0"/>
                <w:numId w:val="284"/>
              </w:numPr>
              <w:spacing w:after="0" w:line="236" w:lineRule="auto"/>
              <w:ind w:left="283" w:right="0" w:hanging="283"/>
              <w:jc w:val="left"/>
            </w:pPr>
            <w:r>
              <w:t>Специалист функциональной диагностики;</w:t>
            </w:r>
          </w:p>
          <w:p w:rsidR="00D27BC6" w:rsidRDefault="004D5071">
            <w:pPr>
              <w:numPr>
                <w:ilvl w:val="0"/>
                <w:numId w:val="284"/>
              </w:numPr>
              <w:spacing w:after="0" w:line="259" w:lineRule="auto"/>
              <w:ind w:left="283" w:right="0" w:hanging="283"/>
              <w:jc w:val="left"/>
            </w:pPr>
            <w:r>
              <w:t>Ортопед;</w:t>
            </w:r>
          </w:p>
          <w:p w:rsidR="00D27BC6" w:rsidRDefault="004D5071">
            <w:pPr>
              <w:numPr>
                <w:ilvl w:val="0"/>
                <w:numId w:val="284"/>
              </w:numPr>
              <w:spacing w:after="0" w:line="236" w:lineRule="auto"/>
              <w:ind w:left="283" w:right="0" w:hanging="283"/>
              <w:jc w:val="left"/>
            </w:pPr>
            <w:r>
              <w:t>Сосудистый и/или эндоваскулярный хирург;</w:t>
            </w:r>
          </w:p>
          <w:p w:rsidR="00D27BC6" w:rsidRDefault="004D5071">
            <w:pPr>
              <w:numPr>
                <w:ilvl w:val="0"/>
                <w:numId w:val="284"/>
              </w:numPr>
              <w:spacing w:after="0" w:line="259" w:lineRule="auto"/>
              <w:ind w:left="283" w:right="0" w:hanging="283"/>
              <w:jc w:val="left"/>
            </w:pPr>
            <w:r>
              <w:t>Кардиолог.</w:t>
            </w:r>
          </w:p>
        </w:tc>
        <w:tc>
          <w:tcPr>
            <w:tcW w:w="220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85"/>
              </w:numPr>
              <w:spacing w:after="0" w:line="236" w:lineRule="auto"/>
              <w:ind w:left="283" w:right="0" w:hanging="283"/>
              <w:jc w:val="left"/>
            </w:pPr>
            <w:r>
              <w:t>Сосудистый и/или рентгенэндоваскулярный хирург;</w:t>
            </w:r>
          </w:p>
          <w:p w:rsidR="00D27BC6" w:rsidRDefault="004D5071">
            <w:pPr>
              <w:numPr>
                <w:ilvl w:val="0"/>
                <w:numId w:val="285"/>
              </w:numPr>
              <w:spacing w:after="0" w:line="259" w:lineRule="auto"/>
              <w:ind w:left="283" w:right="0" w:hanging="283"/>
              <w:jc w:val="left"/>
            </w:pPr>
            <w:r>
              <w:t>Хирург;</w:t>
            </w:r>
          </w:p>
          <w:p w:rsidR="00D27BC6" w:rsidRDefault="004D5071">
            <w:pPr>
              <w:numPr>
                <w:ilvl w:val="0"/>
                <w:numId w:val="285"/>
              </w:numPr>
              <w:spacing w:after="0" w:line="259" w:lineRule="auto"/>
              <w:ind w:left="283" w:right="0" w:hanging="283"/>
              <w:jc w:val="left"/>
            </w:pPr>
            <w:r>
              <w:t>Эндокринолог;</w:t>
            </w:r>
          </w:p>
          <w:p w:rsidR="00D27BC6" w:rsidRDefault="004D5071">
            <w:pPr>
              <w:numPr>
                <w:ilvl w:val="0"/>
                <w:numId w:val="285"/>
              </w:numPr>
              <w:spacing w:after="0" w:line="236" w:lineRule="auto"/>
              <w:ind w:left="283" w:right="0" w:hanging="283"/>
              <w:jc w:val="left"/>
            </w:pPr>
            <w:r>
              <w:t>Специалист по Диабетической стопе;</w:t>
            </w:r>
          </w:p>
          <w:p w:rsidR="00D27BC6" w:rsidRDefault="004D5071">
            <w:pPr>
              <w:numPr>
                <w:ilvl w:val="0"/>
                <w:numId w:val="285"/>
              </w:numPr>
              <w:spacing w:after="0" w:line="236" w:lineRule="auto"/>
              <w:ind w:left="283" w:right="0" w:hanging="283"/>
              <w:jc w:val="left"/>
            </w:pPr>
            <w:r>
              <w:t>Специалист функциональной диагностики;</w:t>
            </w:r>
          </w:p>
          <w:p w:rsidR="00D27BC6" w:rsidRDefault="004D5071">
            <w:pPr>
              <w:numPr>
                <w:ilvl w:val="0"/>
                <w:numId w:val="285"/>
              </w:numPr>
              <w:spacing w:after="0" w:line="259" w:lineRule="auto"/>
              <w:ind w:left="283" w:right="0" w:hanging="283"/>
              <w:jc w:val="left"/>
            </w:pPr>
            <w:r>
              <w:t>Кардиолог.</w:t>
            </w:r>
          </w:p>
        </w:tc>
        <w:tc>
          <w:tcPr>
            <w:tcW w:w="220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86"/>
              </w:numPr>
              <w:spacing w:after="0" w:line="259" w:lineRule="auto"/>
              <w:ind w:right="0" w:hanging="283"/>
              <w:jc w:val="left"/>
            </w:pPr>
            <w:r>
              <w:t>Эндокринолог;</w:t>
            </w:r>
          </w:p>
          <w:p w:rsidR="00D27BC6" w:rsidRDefault="004D5071">
            <w:pPr>
              <w:numPr>
                <w:ilvl w:val="0"/>
                <w:numId w:val="286"/>
              </w:numPr>
              <w:spacing w:after="0" w:line="236" w:lineRule="auto"/>
              <w:ind w:right="0" w:hanging="283"/>
              <w:jc w:val="left"/>
            </w:pPr>
            <w:r>
              <w:t>Специалист по Диабетической стопе;</w:t>
            </w:r>
          </w:p>
          <w:p w:rsidR="00D27BC6" w:rsidRDefault="004D5071">
            <w:pPr>
              <w:numPr>
                <w:ilvl w:val="0"/>
                <w:numId w:val="286"/>
              </w:numPr>
              <w:spacing w:after="0" w:line="236" w:lineRule="auto"/>
              <w:ind w:right="0" w:hanging="283"/>
              <w:jc w:val="left"/>
            </w:pPr>
            <w:r>
              <w:t>Специалист функциональной диагностики;</w:t>
            </w:r>
          </w:p>
          <w:p w:rsidR="00D27BC6" w:rsidRDefault="004D5071">
            <w:pPr>
              <w:numPr>
                <w:ilvl w:val="0"/>
                <w:numId w:val="286"/>
              </w:numPr>
              <w:spacing w:after="0" w:line="259" w:lineRule="auto"/>
              <w:ind w:right="0" w:hanging="283"/>
              <w:jc w:val="left"/>
            </w:pPr>
            <w:r>
              <w:t>Ортопед;</w:t>
            </w:r>
          </w:p>
          <w:p w:rsidR="00D27BC6" w:rsidRDefault="004D5071">
            <w:pPr>
              <w:numPr>
                <w:ilvl w:val="0"/>
                <w:numId w:val="286"/>
              </w:numPr>
              <w:spacing w:after="0" w:line="259" w:lineRule="auto"/>
              <w:ind w:right="0" w:hanging="283"/>
              <w:jc w:val="left"/>
            </w:pPr>
            <w:r>
              <w:t>Реабилитолог.</w:t>
            </w:r>
          </w:p>
        </w:tc>
      </w:tr>
      <w:tr w:rsidR="00D27BC6">
        <w:trPr>
          <w:trHeight w:val="422"/>
        </w:trPr>
        <w:tc>
          <w:tcPr>
            <w:tcW w:w="137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Ведение</w:t>
            </w:r>
          </w:p>
        </w:tc>
        <w:tc>
          <w:tcPr>
            <w:tcW w:w="220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Амбулаторно</w:t>
            </w:r>
          </w:p>
        </w:tc>
        <w:tc>
          <w:tcPr>
            <w:tcW w:w="220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Амбулаторно</w:t>
            </w:r>
          </w:p>
        </w:tc>
        <w:tc>
          <w:tcPr>
            <w:tcW w:w="220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Стационарно</w:t>
            </w:r>
          </w:p>
        </w:tc>
        <w:tc>
          <w:tcPr>
            <w:tcW w:w="220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Амбулаторно</w:t>
            </w:r>
          </w:p>
        </w:tc>
      </w:tr>
      <w:tr w:rsidR="00D27BC6">
        <w:trPr>
          <w:trHeight w:val="1280"/>
        </w:trPr>
        <w:tc>
          <w:tcPr>
            <w:tcW w:w="137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Динамическое наблюдение</w:t>
            </w:r>
          </w:p>
        </w:tc>
        <w:tc>
          <w:tcPr>
            <w:tcW w:w="220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Скрининг на предмет наличия ЗАНК 1 раз в 12 мес.</w:t>
            </w:r>
          </w:p>
        </w:tc>
        <w:tc>
          <w:tcPr>
            <w:tcW w:w="220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67" w:firstLine="0"/>
              <w:jc w:val="left"/>
            </w:pPr>
            <w:r>
              <w:t>Скрининг на предмет оценки тяжести ЗАНК 1 раз в 6–12 мес.</w:t>
            </w:r>
          </w:p>
        </w:tc>
        <w:tc>
          <w:tcPr>
            <w:tcW w:w="2205"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20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36" w:lineRule="auto"/>
              <w:ind w:left="0" w:right="0" w:firstLine="0"/>
              <w:jc w:val="left"/>
            </w:pPr>
            <w:r>
              <w:t xml:space="preserve">Программа вторичной профилактики: </w:t>
            </w:r>
          </w:p>
          <w:p w:rsidR="00D27BC6" w:rsidRDefault="004D5071">
            <w:pPr>
              <w:spacing w:after="0" w:line="259" w:lineRule="auto"/>
              <w:ind w:left="0" w:right="0" w:firstLine="0"/>
              <w:jc w:val="left"/>
            </w:pPr>
            <w:r>
              <w:t>1 раз в 1–3–6 мес. (определяет специалист).</w:t>
            </w:r>
          </w:p>
        </w:tc>
      </w:tr>
    </w:tbl>
    <w:p w:rsidR="00D27BC6" w:rsidRDefault="004D5071">
      <w:pPr>
        <w:pStyle w:val="Heading3"/>
        <w:ind w:left="162" w:right="156"/>
      </w:pPr>
      <w:r>
        <w:t>Профилактика атеротромботических осложнений у пациентов с СД и ЗАНК</w:t>
      </w:r>
    </w:p>
    <w:p w:rsidR="00D27BC6" w:rsidRDefault="004D5071">
      <w:pPr>
        <w:numPr>
          <w:ilvl w:val="0"/>
          <w:numId w:val="95"/>
        </w:numPr>
        <w:ind w:right="0" w:hanging="283"/>
      </w:pPr>
      <w:r>
        <w:rPr>
          <w:b/>
        </w:rPr>
        <w:t>Коррекция модифицируемых ФР развития атеросклероза:</w:t>
      </w:r>
    </w:p>
    <w:p w:rsidR="00D27BC6" w:rsidRDefault="004D5071">
      <w:pPr>
        <w:numPr>
          <w:ilvl w:val="1"/>
          <w:numId w:val="95"/>
        </w:numPr>
        <w:ind w:right="0" w:hanging="426"/>
      </w:pPr>
      <w:r>
        <w:rPr>
          <w:b/>
        </w:rPr>
        <w:t>Отказ от активного и пассивного курения;</w:t>
      </w:r>
    </w:p>
    <w:p w:rsidR="00D27BC6" w:rsidRDefault="004D5071">
      <w:pPr>
        <w:ind w:left="295" w:right="0"/>
      </w:pPr>
      <w:r>
        <w:t>Пациентам следует помочь разработать план отказа от курения, включающий фармакотерапию, и/или направить их для участия в программе отказа от курения.</w:t>
      </w:r>
    </w:p>
    <w:p w:rsidR="00D27BC6" w:rsidRDefault="004D5071">
      <w:pPr>
        <w:numPr>
          <w:ilvl w:val="1"/>
          <w:numId w:val="95"/>
        </w:numPr>
        <w:ind w:right="0" w:hanging="426"/>
      </w:pPr>
      <w:r>
        <w:rPr>
          <w:b/>
        </w:rPr>
        <w:t>Достижение и поддержание целевых показателей гликемического контроля</w:t>
      </w:r>
      <w:r>
        <w:t xml:space="preserve"> (см. раздел 3.1).</w:t>
      </w:r>
    </w:p>
    <w:p w:rsidR="00D27BC6" w:rsidRDefault="004D5071">
      <w:pPr>
        <w:numPr>
          <w:ilvl w:val="1"/>
          <w:numId w:val="95"/>
        </w:numPr>
        <w:ind w:right="0" w:hanging="426"/>
      </w:pPr>
      <w:r>
        <w:rPr>
          <w:b/>
        </w:rPr>
        <w:t>Достижение и поддер</w:t>
      </w:r>
      <w:r>
        <w:rPr>
          <w:b/>
        </w:rPr>
        <w:t>жание целевых показателей липидного обмена</w:t>
      </w:r>
      <w:r>
        <w:t xml:space="preserve"> (см. разделы 3.3 и 10.1).</w:t>
      </w:r>
    </w:p>
    <w:p w:rsidR="00D27BC6" w:rsidRDefault="004D5071">
      <w:pPr>
        <w:numPr>
          <w:ilvl w:val="1"/>
          <w:numId w:val="95"/>
        </w:numPr>
        <w:ind w:right="0" w:hanging="426"/>
      </w:pPr>
      <w:r>
        <w:rPr>
          <w:b/>
        </w:rPr>
        <w:t>Антиагрегантная терапия у пациентов с ЗАНК, не требующих назначения антикоагулянтов</w:t>
      </w:r>
      <w:r>
        <w:rPr>
          <w:b/>
          <w:sz w:val="18"/>
          <w:vertAlign w:val="superscript"/>
        </w:rPr>
        <w:t>1</w:t>
      </w:r>
    </w:p>
    <w:p w:rsidR="00D27BC6" w:rsidRDefault="004D5071">
      <w:pPr>
        <w:spacing w:after="138" w:line="259" w:lineRule="auto"/>
        <w:ind w:left="2" w:right="0" w:firstLine="0"/>
        <w:jc w:val="left"/>
      </w:pPr>
      <w:r>
        <w:rPr>
          <w:noProof/>
          <w:sz w:val="22"/>
        </w:rPr>
        <mc:AlternateContent>
          <mc:Choice Requires="wpg">
            <w:drawing>
              <wp:inline distT="0" distB="0" distL="0" distR="0">
                <wp:extent cx="6479997" cy="2749397"/>
                <wp:effectExtent l="0" t="0" r="0" b="0"/>
                <wp:docPr id="274180" name="Group 274180"/>
                <wp:cNvGraphicFramePr/>
                <a:graphic xmlns:a="http://schemas.openxmlformats.org/drawingml/2006/main">
                  <a:graphicData uri="http://schemas.microsoft.com/office/word/2010/wordprocessingGroup">
                    <wpg:wgp>
                      <wpg:cNvGrpSpPr/>
                      <wpg:grpSpPr>
                        <a:xfrm>
                          <a:off x="0" y="0"/>
                          <a:ext cx="6479997" cy="2749397"/>
                          <a:chOff x="0" y="0"/>
                          <a:chExt cx="6479997" cy="2749397"/>
                        </a:xfrm>
                      </wpg:grpSpPr>
                      <wps:wsp>
                        <wps:cNvPr id="378440" name="Shape 378440"/>
                        <wps:cNvSpPr/>
                        <wps:spPr>
                          <a:xfrm>
                            <a:off x="0" y="2430907"/>
                            <a:ext cx="6479997" cy="318491"/>
                          </a:xfrm>
                          <a:custGeom>
                            <a:avLst/>
                            <a:gdLst/>
                            <a:ahLst/>
                            <a:cxnLst/>
                            <a:rect l="0" t="0" r="0" b="0"/>
                            <a:pathLst>
                              <a:path w="6479997" h="318491">
                                <a:moveTo>
                                  <a:pt x="0" y="0"/>
                                </a:moveTo>
                                <a:lnTo>
                                  <a:pt x="6479997" y="0"/>
                                </a:lnTo>
                                <a:lnTo>
                                  <a:pt x="6479997" y="318491"/>
                                </a:lnTo>
                                <a:lnTo>
                                  <a:pt x="0" y="318491"/>
                                </a:lnTo>
                                <a:lnTo>
                                  <a:pt x="0" y="0"/>
                                </a:lnTo>
                              </a:path>
                            </a:pathLst>
                          </a:custGeom>
                          <a:ln w="0" cap="flat">
                            <a:miter lim="127000"/>
                          </a:ln>
                        </wps:spPr>
                        <wps:style>
                          <a:lnRef idx="0">
                            <a:srgbClr val="000000">
                              <a:alpha val="0"/>
                            </a:srgbClr>
                          </a:lnRef>
                          <a:fillRef idx="1">
                            <a:srgbClr val="FFED00"/>
                          </a:fillRef>
                          <a:effectRef idx="0">
                            <a:scrgbClr r="0" g="0" b="0"/>
                          </a:effectRef>
                          <a:fontRef idx="none"/>
                        </wps:style>
                        <wps:bodyPr/>
                      </wps:wsp>
                      <wps:wsp>
                        <wps:cNvPr id="378441" name="Shape 378441"/>
                        <wps:cNvSpPr/>
                        <wps:spPr>
                          <a:xfrm>
                            <a:off x="0" y="1646110"/>
                            <a:ext cx="6479997" cy="784796"/>
                          </a:xfrm>
                          <a:custGeom>
                            <a:avLst/>
                            <a:gdLst/>
                            <a:ahLst/>
                            <a:cxnLst/>
                            <a:rect l="0" t="0" r="0" b="0"/>
                            <a:pathLst>
                              <a:path w="6479997" h="784796">
                                <a:moveTo>
                                  <a:pt x="0" y="0"/>
                                </a:moveTo>
                                <a:lnTo>
                                  <a:pt x="6479997" y="0"/>
                                </a:lnTo>
                                <a:lnTo>
                                  <a:pt x="6479997" y="784796"/>
                                </a:lnTo>
                                <a:lnTo>
                                  <a:pt x="0" y="784796"/>
                                </a:lnTo>
                                <a:lnTo>
                                  <a:pt x="0" y="0"/>
                                </a:lnTo>
                              </a:path>
                            </a:pathLst>
                          </a:custGeom>
                          <a:ln w="0" cap="flat">
                            <a:miter lim="127000"/>
                          </a:ln>
                        </wps:spPr>
                        <wps:style>
                          <a:lnRef idx="0">
                            <a:srgbClr val="000000">
                              <a:alpha val="0"/>
                            </a:srgbClr>
                          </a:lnRef>
                          <a:fillRef idx="1">
                            <a:srgbClr val="FFF381"/>
                          </a:fillRef>
                          <a:effectRef idx="0">
                            <a:scrgbClr r="0" g="0" b="0"/>
                          </a:effectRef>
                          <a:fontRef idx="none"/>
                        </wps:style>
                        <wps:bodyPr/>
                      </wps:wsp>
                      <wps:wsp>
                        <wps:cNvPr id="378442" name="Shape 378442"/>
                        <wps:cNvSpPr/>
                        <wps:spPr>
                          <a:xfrm>
                            <a:off x="0" y="1196112"/>
                            <a:ext cx="6479997" cy="449987"/>
                          </a:xfrm>
                          <a:custGeom>
                            <a:avLst/>
                            <a:gdLst/>
                            <a:ahLst/>
                            <a:cxnLst/>
                            <a:rect l="0" t="0" r="0" b="0"/>
                            <a:pathLst>
                              <a:path w="6479997" h="449987">
                                <a:moveTo>
                                  <a:pt x="0" y="0"/>
                                </a:moveTo>
                                <a:lnTo>
                                  <a:pt x="6479997" y="0"/>
                                </a:lnTo>
                                <a:lnTo>
                                  <a:pt x="6479997" y="449987"/>
                                </a:lnTo>
                                <a:lnTo>
                                  <a:pt x="0" y="449987"/>
                                </a:lnTo>
                                <a:lnTo>
                                  <a:pt x="0" y="0"/>
                                </a:lnTo>
                              </a:path>
                            </a:pathLst>
                          </a:custGeom>
                          <a:ln w="0" cap="flat">
                            <a:miter lim="127000"/>
                          </a:ln>
                        </wps:spPr>
                        <wps:style>
                          <a:lnRef idx="0">
                            <a:srgbClr val="000000">
                              <a:alpha val="0"/>
                            </a:srgbClr>
                          </a:lnRef>
                          <a:fillRef idx="1">
                            <a:srgbClr val="FFF9C7"/>
                          </a:fillRef>
                          <a:effectRef idx="0">
                            <a:scrgbClr r="0" g="0" b="0"/>
                          </a:effectRef>
                          <a:fontRef idx="none"/>
                        </wps:style>
                        <wps:bodyPr/>
                      </wps:wsp>
                      <wps:wsp>
                        <wps:cNvPr id="378443" name="Shape 378443"/>
                        <wps:cNvSpPr/>
                        <wps:spPr>
                          <a:xfrm>
                            <a:off x="475196" y="0"/>
                            <a:ext cx="1726895" cy="332994"/>
                          </a:xfrm>
                          <a:custGeom>
                            <a:avLst/>
                            <a:gdLst/>
                            <a:ahLst/>
                            <a:cxnLst/>
                            <a:rect l="0" t="0" r="0" b="0"/>
                            <a:pathLst>
                              <a:path w="1726895" h="332994">
                                <a:moveTo>
                                  <a:pt x="0" y="0"/>
                                </a:moveTo>
                                <a:lnTo>
                                  <a:pt x="1726895" y="0"/>
                                </a:lnTo>
                                <a:lnTo>
                                  <a:pt x="1726895" y="332994"/>
                                </a:lnTo>
                                <a:lnTo>
                                  <a:pt x="0" y="332994"/>
                                </a:lnTo>
                                <a:lnTo>
                                  <a:pt x="0" y="0"/>
                                </a:lnTo>
                              </a:path>
                            </a:pathLst>
                          </a:custGeom>
                          <a:ln w="0" cap="flat">
                            <a:miter lim="127000"/>
                          </a:ln>
                        </wps:spPr>
                        <wps:style>
                          <a:lnRef idx="0">
                            <a:srgbClr val="000000">
                              <a:alpha val="0"/>
                            </a:srgbClr>
                          </a:lnRef>
                          <a:fillRef idx="1">
                            <a:srgbClr val="C4D983"/>
                          </a:fillRef>
                          <a:effectRef idx="0">
                            <a:scrgbClr r="0" g="0" b="0"/>
                          </a:effectRef>
                          <a:fontRef idx="none"/>
                        </wps:style>
                        <wps:bodyPr/>
                      </wps:wsp>
                      <wps:wsp>
                        <wps:cNvPr id="15340" name="Rectangle 15340"/>
                        <wps:cNvSpPr/>
                        <wps:spPr>
                          <a:xfrm>
                            <a:off x="872873" y="12316"/>
                            <a:ext cx="1307195" cy="209280"/>
                          </a:xfrm>
                          <a:prstGeom prst="rect">
                            <a:avLst/>
                          </a:prstGeom>
                          <a:ln>
                            <a:noFill/>
                          </a:ln>
                        </wps:spPr>
                        <wps:txbx>
                          <w:txbxContent>
                            <w:p w:rsidR="00D27BC6" w:rsidRDefault="004D5071">
                              <w:pPr>
                                <w:spacing w:after="160" w:line="259" w:lineRule="auto"/>
                                <w:ind w:left="0" w:right="0" w:firstLine="0"/>
                                <w:jc w:val="left"/>
                              </w:pPr>
                              <w:r>
                                <w:rPr>
                                  <w:b/>
                                  <w:w w:val="109"/>
                                </w:rPr>
                                <w:t>Бессимптомное</w:t>
                              </w:r>
                              <w:r>
                                <w:rPr>
                                  <w:b/>
                                  <w:spacing w:val="-5"/>
                                  <w:w w:val="109"/>
                                </w:rPr>
                                <w:t xml:space="preserve">  </w:t>
                              </w:r>
                            </w:p>
                          </w:txbxContent>
                        </wps:txbx>
                        <wps:bodyPr horzOverflow="overflow" vert="horz" lIns="0" tIns="0" rIns="0" bIns="0" rtlCol="0">
                          <a:noAutofit/>
                        </wps:bodyPr>
                      </wps:wsp>
                      <wps:wsp>
                        <wps:cNvPr id="15341" name="Rectangle 15341"/>
                        <wps:cNvSpPr/>
                        <wps:spPr>
                          <a:xfrm>
                            <a:off x="1099950" y="164716"/>
                            <a:ext cx="634933" cy="209280"/>
                          </a:xfrm>
                          <a:prstGeom prst="rect">
                            <a:avLst/>
                          </a:prstGeom>
                          <a:ln>
                            <a:noFill/>
                          </a:ln>
                        </wps:spPr>
                        <wps:txbx>
                          <w:txbxContent>
                            <w:p w:rsidR="00D27BC6" w:rsidRDefault="004D5071">
                              <w:pPr>
                                <w:spacing w:after="160" w:line="259" w:lineRule="auto"/>
                                <w:ind w:left="0" w:right="0" w:firstLine="0"/>
                                <w:jc w:val="left"/>
                              </w:pPr>
                              <w:r>
                                <w:rPr>
                                  <w:b/>
                                  <w:w w:val="110"/>
                                </w:rPr>
                                <w:t>течение</w:t>
                              </w:r>
                            </w:p>
                          </w:txbxContent>
                        </wps:txbx>
                        <wps:bodyPr horzOverflow="overflow" vert="horz" lIns="0" tIns="0" rIns="0" bIns="0" rtlCol="0">
                          <a:noAutofit/>
                        </wps:bodyPr>
                      </wps:wsp>
                      <wps:wsp>
                        <wps:cNvPr id="15342" name="Shape 15342"/>
                        <wps:cNvSpPr/>
                        <wps:spPr>
                          <a:xfrm>
                            <a:off x="475196" y="0"/>
                            <a:ext cx="1726895" cy="332994"/>
                          </a:xfrm>
                          <a:custGeom>
                            <a:avLst/>
                            <a:gdLst/>
                            <a:ahLst/>
                            <a:cxnLst/>
                            <a:rect l="0" t="0" r="0" b="0"/>
                            <a:pathLst>
                              <a:path w="1726895" h="332994">
                                <a:moveTo>
                                  <a:pt x="0" y="332994"/>
                                </a:moveTo>
                                <a:lnTo>
                                  <a:pt x="1726895" y="332994"/>
                                </a:lnTo>
                                <a:lnTo>
                                  <a:pt x="172689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450" name="Shape 378450"/>
                        <wps:cNvSpPr/>
                        <wps:spPr>
                          <a:xfrm>
                            <a:off x="2486101" y="0"/>
                            <a:ext cx="1726895" cy="332994"/>
                          </a:xfrm>
                          <a:custGeom>
                            <a:avLst/>
                            <a:gdLst/>
                            <a:ahLst/>
                            <a:cxnLst/>
                            <a:rect l="0" t="0" r="0" b="0"/>
                            <a:pathLst>
                              <a:path w="1726895" h="332994">
                                <a:moveTo>
                                  <a:pt x="0" y="0"/>
                                </a:moveTo>
                                <a:lnTo>
                                  <a:pt x="1726895" y="0"/>
                                </a:lnTo>
                                <a:lnTo>
                                  <a:pt x="1726895" y="332994"/>
                                </a:lnTo>
                                <a:lnTo>
                                  <a:pt x="0" y="332994"/>
                                </a:lnTo>
                                <a:lnTo>
                                  <a:pt x="0" y="0"/>
                                </a:lnTo>
                              </a:path>
                            </a:pathLst>
                          </a:custGeom>
                          <a:ln w="0" cap="flat">
                            <a:miter lim="100000"/>
                          </a:ln>
                        </wps:spPr>
                        <wps:style>
                          <a:lnRef idx="0">
                            <a:srgbClr val="000000">
                              <a:alpha val="0"/>
                            </a:srgbClr>
                          </a:lnRef>
                          <a:fillRef idx="1">
                            <a:srgbClr val="F39200"/>
                          </a:fillRef>
                          <a:effectRef idx="0">
                            <a:scrgbClr r="0" g="0" b="0"/>
                          </a:effectRef>
                          <a:fontRef idx="none"/>
                        </wps:style>
                        <wps:bodyPr/>
                      </wps:wsp>
                      <wps:wsp>
                        <wps:cNvPr id="15344" name="Rectangle 15344"/>
                        <wps:cNvSpPr/>
                        <wps:spPr>
                          <a:xfrm>
                            <a:off x="3032239" y="12316"/>
                            <a:ext cx="912282" cy="209280"/>
                          </a:xfrm>
                          <a:prstGeom prst="rect">
                            <a:avLst/>
                          </a:prstGeom>
                          <a:ln>
                            <a:noFill/>
                          </a:ln>
                        </wps:spPr>
                        <wps:txbx>
                          <w:txbxContent>
                            <w:p w:rsidR="00D27BC6" w:rsidRDefault="004D5071">
                              <w:pPr>
                                <w:spacing w:after="160" w:line="259" w:lineRule="auto"/>
                                <w:ind w:left="0" w:right="0" w:firstLine="0"/>
                                <w:jc w:val="left"/>
                              </w:pPr>
                              <w:r>
                                <w:rPr>
                                  <w:b/>
                                  <w:w w:val="112"/>
                                </w:rPr>
                                <w:t>Симптомы</w:t>
                              </w:r>
                              <w:r>
                                <w:rPr>
                                  <w:b/>
                                  <w:spacing w:val="-5"/>
                                  <w:w w:val="112"/>
                                </w:rPr>
                                <w:t xml:space="preserve">  </w:t>
                              </w:r>
                            </w:p>
                          </w:txbxContent>
                        </wps:txbx>
                        <wps:bodyPr horzOverflow="overflow" vert="horz" lIns="0" tIns="0" rIns="0" bIns="0" rtlCol="0">
                          <a:noAutofit/>
                        </wps:bodyPr>
                      </wps:wsp>
                      <wps:wsp>
                        <wps:cNvPr id="15345" name="Rectangle 15345"/>
                        <wps:cNvSpPr/>
                        <wps:spPr>
                          <a:xfrm>
                            <a:off x="3191370" y="164716"/>
                            <a:ext cx="420755" cy="209280"/>
                          </a:xfrm>
                          <a:prstGeom prst="rect">
                            <a:avLst/>
                          </a:prstGeom>
                          <a:ln>
                            <a:noFill/>
                          </a:ln>
                        </wps:spPr>
                        <wps:txbx>
                          <w:txbxContent>
                            <w:p w:rsidR="00D27BC6" w:rsidRDefault="004D5071">
                              <w:pPr>
                                <w:spacing w:after="160" w:line="259" w:lineRule="auto"/>
                                <w:ind w:left="0" w:right="0" w:firstLine="0"/>
                                <w:jc w:val="left"/>
                              </w:pPr>
                              <w:r>
                                <w:rPr>
                                  <w:b/>
                                  <w:w w:val="114"/>
                                </w:rPr>
                                <w:t>ЗАНК</w:t>
                              </w:r>
                            </w:p>
                          </w:txbxContent>
                        </wps:txbx>
                        <wps:bodyPr horzOverflow="overflow" vert="horz" lIns="0" tIns="0" rIns="0" bIns="0" rtlCol="0">
                          <a:noAutofit/>
                        </wps:bodyPr>
                      </wps:wsp>
                      <wps:wsp>
                        <wps:cNvPr id="15346" name="Shape 15346"/>
                        <wps:cNvSpPr/>
                        <wps:spPr>
                          <a:xfrm>
                            <a:off x="2486101" y="0"/>
                            <a:ext cx="1726895" cy="332994"/>
                          </a:xfrm>
                          <a:custGeom>
                            <a:avLst/>
                            <a:gdLst/>
                            <a:ahLst/>
                            <a:cxnLst/>
                            <a:rect l="0" t="0" r="0" b="0"/>
                            <a:pathLst>
                              <a:path w="1726895" h="332994">
                                <a:moveTo>
                                  <a:pt x="0" y="332994"/>
                                </a:moveTo>
                                <a:lnTo>
                                  <a:pt x="1726895" y="332994"/>
                                </a:lnTo>
                                <a:lnTo>
                                  <a:pt x="172689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457" name="Shape 378457"/>
                        <wps:cNvSpPr/>
                        <wps:spPr>
                          <a:xfrm>
                            <a:off x="4543197" y="0"/>
                            <a:ext cx="1726895" cy="332994"/>
                          </a:xfrm>
                          <a:custGeom>
                            <a:avLst/>
                            <a:gdLst/>
                            <a:ahLst/>
                            <a:cxnLst/>
                            <a:rect l="0" t="0" r="0" b="0"/>
                            <a:pathLst>
                              <a:path w="1726895" h="332994">
                                <a:moveTo>
                                  <a:pt x="0" y="0"/>
                                </a:moveTo>
                                <a:lnTo>
                                  <a:pt x="1726895" y="0"/>
                                </a:lnTo>
                                <a:lnTo>
                                  <a:pt x="1726895" y="332994"/>
                                </a:lnTo>
                                <a:lnTo>
                                  <a:pt x="0" y="332994"/>
                                </a:lnTo>
                                <a:lnTo>
                                  <a:pt x="0" y="0"/>
                                </a:lnTo>
                              </a:path>
                            </a:pathLst>
                          </a:custGeom>
                          <a:ln w="0" cap="flat">
                            <a:miter lim="100000"/>
                          </a:ln>
                        </wps:spPr>
                        <wps:style>
                          <a:lnRef idx="0">
                            <a:srgbClr val="000000">
                              <a:alpha val="0"/>
                            </a:srgbClr>
                          </a:lnRef>
                          <a:fillRef idx="1">
                            <a:srgbClr val="EF8161"/>
                          </a:fillRef>
                          <a:effectRef idx="0">
                            <a:scrgbClr r="0" g="0" b="0"/>
                          </a:effectRef>
                          <a:fontRef idx="none"/>
                        </wps:style>
                        <wps:bodyPr/>
                      </wps:wsp>
                      <wps:wsp>
                        <wps:cNvPr id="15348" name="Rectangle 15348"/>
                        <wps:cNvSpPr/>
                        <wps:spPr>
                          <a:xfrm>
                            <a:off x="4852422" y="88516"/>
                            <a:ext cx="1474230" cy="209280"/>
                          </a:xfrm>
                          <a:prstGeom prst="rect">
                            <a:avLst/>
                          </a:prstGeom>
                          <a:ln>
                            <a:noFill/>
                          </a:ln>
                        </wps:spPr>
                        <wps:txbx>
                          <w:txbxContent>
                            <w:p w:rsidR="00D27BC6" w:rsidRDefault="004D5071">
                              <w:pPr>
                                <w:spacing w:after="160" w:line="259" w:lineRule="auto"/>
                                <w:ind w:left="0" w:right="0" w:firstLine="0"/>
                                <w:jc w:val="left"/>
                              </w:pPr>
                              <w:r>
                                <w:rPr>
                                  <w:b/>
                                  <w:w w:val="113"/>
                                </w:rPr>
                                <w:t>Реваскуляризация</w:t>
                              </w:r>
                            </w:p>
                          </w:txbxContent>
                        </wps:txbx>
                        <wps:bodyPr horzOverflow="overflow" vert="horz" lIns="0" tIns="0" rIns="0" bIns="0" rtlCol="0">
                          <a:noAutofit/>
                        </wps:bodyPr>
                      </wps:wsp>
                      <wps:wsp>
                        <wps:cNvPr id="15349" name="Shape 15349"/>
                        <wps:cNvSpPr/>
                        <wps:spPr>
                          <a:xfrm>
                            <a:off x="4543197" y="0"/>
                            <a:ext cx="1726895" cy="332994"/>
                          </a:xfrm>
                          <a:custGeom>
                            <a:avLst/>
                            <a:gdLst/>
                            <a:ahLst/>
                            <a:cxnLst/>
                            <a:rect l="0" t="0" r="0" b="0"/>
                            <a:pathLst>
                              <a:path w="1726895" h="332994">
                                <a:moveTo>
                                  <a:pt x="0" y="332994"/>
                                </a:moveTo>
                                <a:lnTo>
                                  <a:pt x="1726895" y="332994"/>
                                </a:lnTo>
                                <a:lnTo>
                                  <a:pt x="172689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350" name="Rectangle 15350"/>
                        <wps:cNvSpPr/>
                        <wps:spPr>
                          <a:xfrm>
                            <a:off x="4351450" y="805008"/>
                            <a:ext cx="1297043" cy="203030"/>
                          </a:xfrm>
                          <a:prstGeom prst="rect">
                            <a:avLst/>
                          </a:prstGeom>
                          <a:ln>
                            <a:noFill/>
                          </a:ln>
                        </wps:spPr>
                        <wps:txbx>
                          <w:txbxContent>
                            <w:p w:rsidR="00D27BC6" w:rsidRDefault="004D5071">
                              <w:pPr>
                                <w:spacing w:after="160" w:line="259" w:lineRule="auto"/>
                                <w:ind w:left="0" w:right="0" w:firstLine="0"/>
                                <w:jc w:val="left"/>
                              </w:pPr>
                              <w:r>
                                <w:rPr>
                                  <w:w w:val="104"/>
                                  <w:bdr w:val="single" w:sz="11" w:space="0" w:color="000000"/>
                                </w:rPr>
                                <w:t>Эндоваскулярная</w:t>
                              </w:r>
                            </w:p>
                          </w:txbxContent>
                        </wps:txbx>
                        <wps:bodyPr horzOverflow="overflow" vert="horz" lIns="0" tIns="0" rIns="0" bIns="0" rtlCol="0">
                          <a:noAutofit/>
                        </wps:bodyPr>
                      </wps:wsp>
                      <wps:wsp>
                        <wps:cNvPr id="15352" name="Rectangle 15352"/>
                        <wps:cNvSpPr/>
                        <wps:spPr>
                          <a:xfrm>
                            <a:off x="5558305" y="805008"/>
                            <a:ext cx="1111918" cy="203030"/>
                          </a:xfrm>
                          <a:prstGeom prst="rect">
                            <a:avLst/>
                          </a:prstGeom>
                          <a:ln>
                            <a:noFill/>
                          </a:ln>
                        </wps:spPr>
                        <wps:txbx>
                          <w:txbxContent>
                            <w:p w:rsidR="00D27BC6" w:rsidRDefault="004D5071">
                              <w:pPr>
                                <w:spacing w:after="160" w:line="259" w:lineRule="auto"/>
                                <w:ind w:left="0" w:right="0" w:firstLine="0"/>
                                <w:jc w:val="left"/>
                              </w:pPr>
                              <w:r>
                                <w:rPr>
                                  <w:w w:val="106"/>
                                </w:rPr>
                                <w:t>Хирургическая</w:t>
                              </w:r>
                            </w:p>
                          </w:txbxContent>
                        </wps:txbx>
                        <wps:bodyPr horzOverflow="overflow" vert="horz" lIns="0" tIns="0" rIns="0" bIns="0" rtlCol="0">
                          <a:noAutofit/>
                        </wps:bodyPr>
                      </wps:wsp>
                      <wps:wsp>
                        <wps:cNvPr id="15353" name="Shape 15353"/>
                        <wps:cNvSpPr/>
                        <wps:spPr>
                          <a:xfrm>
                            <a:off x="5477142" y="784796"/>
                            <a:ext cx="998360" cy="186982"/>
                          </a:xfrm>
                          <a:custGeom>
                            <a:avLst/>
                            <a:gdLst/>
                            <a:ahLst/>
                            <a:cxnLst/>
                            <a:rect l="0" t="0" r="0" b="0"/>
                            <a:pathLst>
                              <a:path w="998360" h="186982">
                                <a:moveTo>
                                  <a:pt x="0" y="186982"/>
                                </a:moveTo>
                                <a:lnTo>
                                  <a:pt x="998360" y="186982"/>
                                </a:lnTo>
                                <a:lnTo>
                                  <a:pt x="998360"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464" name="Shape 378464"/>
                        <wps:cNvSpPr/>
                        <wps:spPr>
                          <a:xfrm>
                            <a:off x="475196" y="1198563"/>
                            <a:ext cx="1726895" cy="1227836"/>
                          </a:xfrm>
                          <a:custGeom>
                            <a:avLst/>
                            <a:gdLst/>
                            <a:ahLst/>
                            <a:cxnLst/>
                            <a:rect l="0" t="0" r="0" b="0"/>
                            <a:pathLst>
                              <a:path w="1726895" h="1227836">
                                <a:moveTo>
                                  <a:pt x="0" y="0"/>
                                </a:moveTo>
                                <a:lnTo>
                                  <a:pt x="1726895" y="0"/>
                                </a:lnTo>
                                <a:lnTo>
                                  <a:pt x="1726895" y="1227836"/>
                                </a:lnTo>
                                <a:lnTo>
                                  <a:pt x="0" y="1227836"/>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15355" name="Shape 15355"/>
                        <wps:cNvSpPr/>
                        <wps:spPr>
                          <a:xfrm>
                            <a:off x="475196" y="1198563"/>
                            <a:ext cx="1726895" cy="1227836"/>
                          </a:xfrm>
                          <a:custGeom>
                            <a:avLst/>
                            <a:gdLst/>
                            <a:ahLst/>
                            <a:cxnLst/>
                            <a:rect l="0" t="0" r="0" b="0"/>
                            <a:pathLst>
                              <a:path w="1726895" h="1227836">
                                <a:moveTo>
                                  <a:pt x="0" y="1227836"/>
                                </a:moveTo>
                                <a:lnTo>
                                  <a:pt x="1726895" y="1227836"/>
                                </a:lnTo>
                                <a:lnTo>
                                  <a:pt x="172689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465" name="Shape 378465"/>
                        <wps:cNvSpPr/>
                        <wps:spPr>
                          <a:xfrm>
                            <a:off x="2486101" y="1198563"/>
                            <a:ext cx="1726895" cy="1227836"/>
                          </a:xfrm>
                          <a:custGeom>
                            <a:avLst/>
                            <a:gdLst/>
                            <a:ahLst/>
                            <a:cxnLst/>
                            <a:rect l="0" t="0" r="0" b="0"/>
                            <a:pathLst>
                              <a:path w="1726895" h="1227836">
                                <a:moveTo>
                                  <a:pt x="0" y="0"/>
                                </a:moveTo>
                                <a:lnTo>
                                  <a:pt x="1726895" y="0"/>
                                </a:lnTo>
                                <a:lnTo>
                                  <a:pt x="1726895" y="1227836"/>
                                </a:lnTo>
                                <a:lnTo>
                                  <a:pt x="0" y="1227836"/>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15357" name="Shape 15357"/>
                        <wps:cNvSpPr/>
                        <wps:spPr>
                          <a:xfrm>
                            <a:off x="2486101" y="1198563"/>
                            <a:ext cx="1726895" cy="1227836"/>
                          </a:xfrm>
                          <a:custGeom>
                            <a:avLst/>
                            <a:gdLst/>
                            <a:ahLst/>
                            <a:cxnLst/>
                            <a:rect l="0" t="0" r="0" b="0"/>
                            <a:pathLst>
                              <a:path w="1726895" h="1227836">
                                <a:moveTo>
                                  <a:pt x="0" y="1227836"/>
                                </a:moveTo>
                                <a:lnTo>
                                  <a:pt x="1726895" y="1227836"/>
                                </a:lnTo>
                                <a:lnTo>
                                  <a:pt x="172689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466" name="Shape 378466"/>
                        <wps:cNvSpPr/>
                        <wps:spPr>
                          <a:xfrm>
                            <a:off x="4339578" y="1194079"/>
                            <a:ext cx="998360" cy="447510"/>
                          </a:xfrm>
                          <a:custGeom>
                            <a:avLst/>
                            <a:gdLst/>
                            <a:ahLst/>
                            <a:cxnLst/>
                            <a:rect l="0" t="0" r="0" b="0"/>
                            <a:pathLst>
                              <a:path w="998360" h="447510">
                                <a:moveTo>
                                  <a:pt x="0" y="0"/>
                                </a:moveTo>
                                <a:lnTo>
                                  <a:pt x="998360" y="0"/>
                                </a:lnTo>
                                <a:lnTo>
                                  <a:pt x="998360" y="447510"/>
                                </a:lnTo>
                                <a:lnTo>
                                  <a:pt x="0" y="447510"/>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15359" name="Rectangle 15359"/>
                        <wps:cNvSpPr/>
                        <wps:spPr>
                          <a:xfrm>
                            <a:off x="4531424" y="1344558"/>
                            <a:ext cx="817524" cy="203030"/>
                          </a:xfrm>
                          <a:prstGeom prst="rect">
                            <a:avLst/>
                          </a:prstGeom>
                          <a:ln>
                            <a:noFill/>
                          </a:ln>
                        </wps:spPr>
                        <wps:txbx>
                          <w:txbxContent>
                            <w:p w:rsidR="00D27BC6" w:rsidRDefault="004D5071">
                              <w:pPr>
                                <w:spacing w:after="160" w:line="259" w:lineRule="auto"/>
                                <w:ind w:left="0" w:right="0" w:firstLine="0"/>
                                <w:jc w:val="left"/>
                              </w:pPr>
                              <w:r>
                                <w:rPr>
                                  <w:w w:val="104"/>
                                </w:rPr>
                                <w:t>ДААТ</w:t>
                              </w:r>
                              <w:r>
                                <w:rPr>
                                  <w:spacing w:val="-3"/>
                                  <w:w w:val="104"/>
                                </w:rPr>
                                <w:t xml:space="preserve"> </w:t>
                              </w:r>
                              <w:r>
                                <w:rPr>
                                  <w:w w:val="104"/>
                                </w:rPr>
                                <w:t>(А+К)</w:t>
                              </w:r>
                            </w:p>
                          </w:txbxContent>
                        </wps:txbx>
                        <wps:bodyPr horzOverflow="overflow" vert="horz" lIns="0" tIns="0" rIns="0" bIns="0" rtlCol="0">
                          <a:noAutofit/>
                        </wps:bodyPr>
                      </wps:wsp>
                      <wps:wsp>
                        <wps:cNvPr id="15360" name="Shape 15360"/>
                        <wps:cNvSpPr/>
                        <wps:spPr>
                          <a:xfrm>
                            <a:off x="4339578" y="1194079"/>
                            <a:ext cx="998360" cy="447510"/>
                          </a:xfrm>
                          <a:custGeom>
                            <a:avLst/>
                            <a:gdLst/>
                            <a:ahLst/>
                            <a:cxnLst/>
                            <a:rect l="0" t="0" r="0" b="0"/>
                            <a:pathLst>
                              <a:path w="998360" h="447510">
                                <a:moveTo>
                                  <a:pt x="0" y="447510"/>
                                </a:moveTo>
                                <a:lnTo>
                                  <a:pt x="998360" y="447510"/>
                                </a:lnTo>
                                <a:lnTo>
                                  <a:pt x="998360"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471" name="Shape 378471"/>
                        <wps:cNvSpPr/>
                        <wps:spPr>
                          <a:xfrm>
                            <a:off x="5477142" y="1194092"/>
                            <a:ext cx="998360" cy="1232306"/>
                          </a:xfrm>
                          <a:custGeom>
                            <a:avLst/>
                            <a:gdLst/>
                            <a:ahLst/>
                            <a:cxnLst/>
                            <a:rect l="0" t="0" r="0" b="0"/>
                            <a:pathLst>
                              <a:path w="998360" h="1232306">
                                <a:moveTo>
                                  <a:pt x="0" y="0"/>
                                </a:moveTo>
                                <a:lnTo>
                                  <a:pt x="998360" y="0"/>
                                </a:lnTo>
                                <a:lnTo>
                                  <a:pt x="998360" y="1232306"/>
                                </a:lnTo>
                                <a:lnTo>
                                  <a:pt x="0" y="1232306"/>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15362" name="Shape 15362"/>
                        <wps:cNvSpPr/>
                        <wps:spPr>
                          <a:xfrm>
                            <a:off x="5477142" y="1194092"/>
                            <a:ext cx="998360" cy="1232306"/>
                          </a:xfrm>
                          <a:custGeom>
                            <a:avLst/>
                            <a:gdLst/>
                            <a:ahLst/>
                            <a:cxnLst/>
                            <a:rect l="0" t="0" r="0" b="0"/>
                            <a:pathLst>
                              <a:path w="998360" h="1232306">
                                <a:moveTo>
                                  <a:pt x="0" y="1232306"/>
                                </a:moveTo>
                                <a:lnTo>
                                  <a:pt x="998360" y="1232306"/>
                                </a:lnTo>
                                <a:lnTo>
                                  <a:pt x="998360"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472" name="Shape 378472"/>
                        <wps:cNvSpPr/>
                        <wps:spPr>
                          <a:xfrm>
                            <a:off x="4339883" y="1684795"/>
                            <a:ext cx="998360" cy="741604"/>
                          </a:xfrm>
                          <a:custGeom>
                            <a:avLst/>
                            <a:gdLst/>
                            <a:ahLst/>
                            <a:cxnLst/>
                            <a:rect l="0" t="0" r="0" b="0"/>
                            <a:pathLst>
                              <a:path w="998360" h="741604">
                                <a:moveTo>
                                  <a:pt x="0" y="0"/>
                                </a:moveTo>
                                <a:lnTo>
                                  <a:pt x="998360" y="0"/>
                                </a:lnTo>
                                <a:lnTo>
                                  <a:pt x="998360" y="741604"/>
                                </a:lnTo>
                                <a:lnTo>
                                  <a:pt x="0" y="741604"/>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15364" name="Rectangle 15364"/>
                        <wps:cNvSpPr/>
                        <wps:spPr>
                          <a:xfrm>
                            <a:off x="4709738" y="1906113"/>
                            <a:ext cx="293734" cy="203030"/>
                          </a:xfrm>
                          <a:prstGeom prst="rect">
                            <a:avLst/>
                          </a:prstGeom>
                          <a:ln>
                            <a:noFill/>
                          </a:ln>
                        </wps:spPr>
                        <wps:txbx>
                          <w:txbxContent>
                            <w:p w:rsidR="00D27BC6" w:rsidRDefault="004D5071">
                              <w:pPr>
                                <w:spacing w:after="160" w:line="259" w:lineRule="auto"/>
                                <w:ind w:left="0" w:right="0" w:firstLine="0"/>
                                <w:jc w:val="left"/>
                              </w:pPr>
                              <w:r>
                                <w:rPr>
                                  <w:w w:val="102"/>
                                </w:rPr>
                                <w:t>ОАТ</w:t>
                              </w:r>
                            </w:p>
                          </w:txbxContent>
                        </wps:txbx>
                        <wps:bodyPr horzOverflow="overflow" vert="horz" lIns="0" tIns="0" rIns="0" bIns="0" rtlCol="0">
                          <a:noAutofit/>
                        </wps:bodyPr>
                      </wps:wsp>
                      <wps:wsp>
                        <wps:cNvPr id="15365" name="Rectangle 15365"/>
                        <wps:cNvSpPr/>
                        <wps:spPr>
                          <a:xfrm>
                            <a:off x="4930591" y="1914985"/>
                            <a:ext cx="50258" cy="117758"/>
                          </a:xfrm>
                          <a:prstGeom prst="rect">
                            <a:avLst/>
                          </a:prstGeom>
                          <a:ln>
                            <a:noFill/>
                          </a:ln>
                        </wps:spPr>
                        <wps:txbx>
                          <w:txbxContent>
                            <w:p w:rsidR="00D27BC6" w:rsidRDefault="004D5071">
                              <w:pPr>
                                <w:spacing w:after="160" w:line="259" w:lineRule="auto"/>
                                <w:ind w:left="0" w:right="0" w:firstLine="0"/>
                                <w:jc w:val="left"/>
                              </w:pPr>
                              <w:r>
                                <w:rPr>
                                  <w:w w:val="101"/>
                                  <w:sz w:val="12"/>
                                </w:rPr>
                                <w:t>3</w:t>
                              </w:r>
                            </w:p>
                          </w:txbxContent>
                        </wps:txbx>
                        <wps:bodyPr horzOverflow="overflow" vert="horz" lIns="0" tIns="0" rIns="0" bIns="0" rtlCol="0">
                          <a:noAutofit/>
                        </wps:bodyPr>
                      </wps:wsp>
                      <wps:wsp>
                        <wps:cNvPr id="15366" name="Rectangle 15366"/>
                        <wps:cNvSpPr/>
                        <wps:spPr>
                          <a:xfrm>
                            <a:off x="4968378" y="1906113"/>
                            <a:ext cx="71618" cy="203030"/>
                          </a:xfrm>
                          <a:prstGeom prst="rect">
                            <a:avLst/>
                          </a:prstGeom>
                          <a:ln>
                            <a:noFill/>
                          </a:ln>
                        </wps:spPr>
                        <wps:txbx>
                          <w:txbxContent>
                            <w:p w:rsidR="00D27BC6" w:rsidRDefault="004D5071">
                              <w:pPr>
                                <w:spacing w:after="160" w:line="259" w:lineRule="auto"/>
                                <w:ind w:left="0" w:right="0" w:firstLine="0"/>
                                <w:jc w:val="left"/>
                              </w:pPr>
                              <w:r>
                                <w:rPr>
                                  <w:spacing w:val="-3"/>
                                </w:rPr>
                                <w:t xml:space="preserve">  </w:t>
                              </w:r>
                            </w:p>
                          </w:txbxContent>
                        </wps:txbx>
                        <wps:bodyPr horzOverflow="overflow" vert="horz" lIns="0" tIns="0" rIns="0" bIns="0" rtlCol="0">
                          <a:noAutofit/>
                        </wps:bodyPr>
                      </wps:wsp>
                      <wps:wsp>
                        <wps:cNvPr id="273562" name="Rectangle 273562"/>
                        <wps:cNvSpPr/>
                        <wps:spPr>
                          <a:xfrm>
                            <a:off x="5042037" y="2058513"/>
                            <a:ext cx="47970" cy="203030"/>
                          </a:xfrm>
                          <a:prstGeom prst="rect">
                            <a:avLst/>
                          </a:prstGeom>
                          <a:ln>
                            <a:noFill/>
                          </a:ln>
                        </wps:spPr>
                        <wps:txbx>
                          <w:txbxContent>
                            <w:p w:rsidR="00D27BC6" w:rsidRDefault="004D5071">
                              <w:pPr>
                                <w:spacing w:after="160" w:line="259" w:lineRule="auto"/>
                                <w:ind w:left="0" w:right="0" w:firstLine="0"/>
                                <w:jc w:val="left"/>
                              </w:pPr>
                              <w:r>
                                <w:rPr>
                                  <w:w w:val="95"/>
                                </w:rPr>
                                <w:t>)</w:t>
                              </w:r>
                            </w:p>
                          </w:txbxContent>
                        </wps:txbx>
                        <wps:bodyPr horzOverflow="overflow" vert="horz" lIns="0" tIns="0" rIns="0" bIns="0" rtlCol="0">
                          <a:noAutofit/>
                        </wps:bodyPr>
                      </wps:wsp>
                      <wps:wsp>
                        <wps:cNvPr id="273560" name="Rectangle 273560"/>
                        <wps:cNvSpPr/>
                        <wps:spPr>
                          <a:xfrm>
                            <a:off x="4599950" y="2058513"/>
                            <a:ext cx="47970" cy="203030"/>
                          </a:xfrm>
                          <a:prstGeom prst="rect">
                            <a:avLst/>
                          </a:prstGeom>
                          <a:ln>
                            <a:noFill/>
                          </a:ln>
                        </wps:spPr>
                        <wps:txbx>
                          <w:txbxContent>
                            <w:p w:rsidR="00D27BC6" w:rsidRDefault="004D5071">
                              <w:pPr>
                                <w:spacing w:after="160" w:line="259" w:lineRule="auto"/>
                                <w:ind w:left="0" w:right="0" w:firstLine="0"/>
                                <w:jc w:val="left"/>
                              </w:pPr>
                              <w:r>
                                <w:rPr>
                                  <w:w w:val="95"/>
                                </w:rPr>
                                <w:t>(</w:t>
                              </w:r>
                            </w:p>
                          </w:txbxContent>
                        </wps:txbx>
                        <wps:bodyPr horzOverflow="overflow" vert="horz" lIns="0" tIns="0" rIns="0" bIns="0" rtlCol="0">
                          <a:noAutofit/>
                        </wps:bodyPr>
                      </wps:wsp>
                      <wps:wsp>
                        <wps:cNvPr id="273564" name="Rectangle 273564"/>
                        <wps:cNvSpPr/>
                        <wps:spPr>
                          <a:xfrm>
                            <a:off x="4636018" y="2058513"/>
                            <a:ext cx="540005" cy="203030"/>
                          </a:xfrm>
                          <a:prstGeom prst="rect">
                            <a:avLst/>
                          </a:prstGeom>
                          <a:ln>
                            <a:noFill/>
                          </a:ln>
                        </wps:spPr>
                        <wps:txbx>
                          <w:txbxContent>
                            <w:p w:rsidR="00D27BC6" w:rsidRDefault="004D5071">
                              <w:pPr>
                                <w:spacing w:after="160" w:line="259" w:lineRule="auto"/>
                                <w:ind w:left="0" w:right="0" w:firstLine="0"/>
                                <w:jc w:val="left"/>
                              </w:pPr>
                              <w:r>
                                <w:rPr>
                                  <w:w w:val="104"/>
                                </w:rPr>
                                <w:t>А</w:t>
                              </w:r>
                              <w:r>
                                <w:rPr>
                                  <w:spacing w:val="-3"/>
                                  <w:w w:val="104"/>
                                </w:rPr>
                                <w:t xml:space="preserve"> </w:t>
                              </w:r>
                              <w:r>
                                <w:rPr>
                                  <w:w w:val="104"/>
                                </w:rPr>
                                <w:t>или</w:t>
                              </w:r>
                              <w:r>
                                <w:rPr>
                                  <w:spacing w:val="-3"/>
                                  <w:w w:val="104"/>
                                </w:rPr>
                                <w:t xml:space="preserve"> </w:t>
                              </w:r>
                              <w:r>
                                <w:rPr>
                                  <w:w w:val="104"/>
                                </w:rPr>
                                <w:t>К</w:t>
                              </w:r>
                            </w:p>
                          </w:txbxContent>
                        </wps:txbx>
                        <wps:bodyPr horzOverflow="overflow" vert="horz" lIns="0" tIns="0" rIns="0" bIns="0" rtlCol="0">
                          <a:noAutofit/>
                        </wps:bodyPr>
                      </wps:wsp>
                      <wps:wsp>
                        <wps:cNvPr id="15368" name="Shape 15368"/>
                        <wps:cNvSpPr/>
                        <wps:spPr>
                          <a:xfrm>
                            <a:off x="4339883" y="1684795"/>
                            <a:ext cx="998360" cy="741604"/>
                          </a:xfrm>
                          <a:custGeom>
                            <a:avLst/>
                            <a:gdLst/>
                            <a:ahLst/>
                            <a:cxnLst/>
                            <a:rect l="0" t="0" r="0" b="0"/>
                            <a:pathLst>
                              <a:path w="998360" h="741604">
                                <a:moveTo>
                                  <a:pt x="0" y="741604"/>
                                </a:moveTo>
                                <a:lnTo>
                                  <a:pt x="998360" y="741604"/>
                                </a:lnTo>
                                <a:lnTo>
                                  <a:pt x="998360"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369" name="Rectangle 15369"/>
                        <wps:cNvSpPr/>
                        <wps:spPr>
                          <a:xfrm>
                            <a:off x="5692173" y="1267639"/>
                            <a:ext cx="293735" cy="203030"/>
                          </a:xfrm>
                          <a:prstGeom prst="rect">
                            <a:avLst/>
                          </a:prstGeom>
                          <a:ln>
                            <a:noFill/>
                          </a:ln>
                        </wps:spPr>
                        <wps:txbx>
                          <w:txbxContent>
                            <w:p w:rsidR="00D27BC6" w:rsidRDefault="004D5071">
                              <w:pPr>
                                <w:spacing w:after="160" w:line="259" w:lineRule="auto"/>
                                <w:ind w:left="0" w:right="0" w:firstLine="0"/>
                                <w:jc w:val="left"/>
                              </w:pPr>
                              <w:r>
                                <w:rPr>
                                  <w:w w:val="102"/>
                                </w:rPr>
                                <w:t>ОАТ</w:t>
                              </w:r>
                            </w:p>
                          </w:txbxContent>
                        </wps:txbx>
                        <wps:bodyPr horzOverflow="overflow" vert="horz" lIns="0" tIns="0" rIns="0" bIns="0" rtlCol="0">
                          <a:noAutofit/>
                        </wps:bodyPr>
                      </wps:wsp>
                      <wps:wsp>
                        <wps:cNvPr id="273541" name="Rectangle 273541"/>
                        <wps:cNvSpPr/>
                        <wps:spPr>
                          <a:xfrm>
                            <a:off x="5950813" y="1276508"/>
                            <a:ext cx="20769" cy="117758"/>
                          </a:xfrm>
                          <a:prstGeom prst="rect">
                            <a:avLst/>
                          </a:prstGeom>
                          <a:ln>
                            <a:noFill/>
                          </a:ln>
                        </wps:spPr>
                        <wps:txbx>
                          <w:txbxContent>
                            <w:p w:rsidR="00D27BC6" w:rsidRDefault="004D5071">
                              <w:pPr>
                                <w:spacing w:after="160" w:line="259" w:lineRule="auto"/>
                                <w:ind w:left="0" w:right="0" w:firstLine="0"/>
                                <w:jc w:val="left"/>
                              </w:pPr>
                              <w:r>
                                <w:rPr>
                                  <w:sz w:val="12"/>
                                </w:rPr>
                                <w:t xml:space="preserve"> </w:t>
                              </w:r>
                            </w:p>
                          </w:txbxContent>
                        </wps:txbx>
                        <wps:bodyPr horzOverflow="overflow" vert="horz" lIns="0" tIns="0" rIns="0" bIns="0" rtlCol="0">
                          <a:noAutofit/>
                        </wps:bodyPr>
                      </wps:wsp>
                      <wps:wsp>
                        <wps:cNvPr id="273539" name="Rectangle 273539"/>
                        <wps:cNvSpPr/>
                        <wps:spPr>
                          <a:xfrm>
                            <a:off x="5913025" y="1276508"/>
                            <a:ext cx="50258" cy="117758"/>
                          </a:xfrm>
                          <a:prstGeom prst="rect">
                            <a:avLst/>
                          </a:prstGeom>
                          <a:ln>
                            <a:noFill/>
                          </a:ln>
                        </wps:spPr>
                        <wps:txbx>
                          <w:txbxContent>
                            <w:p w:rsidR="00D27BC6" w:rsidRDefault="004D5071">
                              <w:pPr>
                                <w:spacing w:after="160" w:line="259" w:lineRule="auto"/>
                                <w:ind w:left="0" w:right="0" w:firstLine="0"/>
                                <w:jc w:val="left"/>
                              </w:pPr>
                              <w:r>
                                <w:rPr>
                                  <w:w w:val="101"/>
                                  <w:sz w:val="12"/>
                                </w:rPr>
                                <w:t>3</w:t>
                              </w:r>
                            </w:p>
                          </w:txbxContent>
                        </wps:txbx>
                        <wps:bodyPr horzOverflow="overflow" vert="horz" lIns="0" tIns="0" rIns="0" bIns="0" rtlCol="0">
                          <a:noAutofit/>
                        </wps:bodyPr>
                      </wps:wsp>
                      <wps:wsp>
                        <wps:cNvPr id="273549" name="Rectangle 273549"/>
                        <wps:cNvSpPr/>
                        <wps:spPr>
                          <a:xfrm>
                            <a:off x="6024507" y="1420039"/>
                            <a:ext cx="47970" cy="203030"/>
                          </a:xfrm>
                          <a:prstGeom prst="rect">
                            <a:avLst/>
                          </a:prstGeom>
                          <a:ln>
                            <a:noFill/>
                          </a:ln>
                        </wps:spPr>
                        <wps:txbx>
                          <w:txbxContent>
                            <w:p w:rsidR="00D27BC6" w:rsidRDefault="004D5071">
                              <w:pPr>
                                <w:spacing w:after="160" w:line="259" w:lineRule="auto"/>
                                <w:ind w:left="0" w:right="0" w:firstLine="0"/>
                                <w:jc w:val="left"/>
                              </w:pPr>
                              <w:r>
                                <w:rPr>
                                  <w:w w:val="95"/>
                                </w:rPr>
                                <w:t>)</w:t>
                              </w:r>
                            </w:p>
                          </w:txbxContent>
                        </wps:txbx>
                        <wps:bodyPr horzOverflow="overflow" vert="horz" lIns="0" tIns="0" rIns="0" bIns="0" rtlCol="0">
                          <a:noAutofit/>
                        </wps:bodyPr>
                      </wps:wsp>
                      <wps:wsp>
                        <wps:cNvPr id="273551" name="Rectangle 273551"/>
                        <wps:cNvSpPr/>
                        <wps:spPr>
                          <a:xfrm>
                            <a:off x="5618488" y="1420039"/>
                            <a:ext cx="540006" cy="203030"/>
                          </a:xfrm>
                          <a:prstGeom prst="rect">
                            <a:avLst/>
                          </a:prstGeom>
                          <a:ln>
                            <a:noFill/>
                          </a:ln>
                        </wps:spPr>
                        <wps:txbx>
                          <w:txbxContent>
                            <w:p w:rsidR="00D27BC6" w:rsidRDefault="004D5071">
                              <w:pPr>
                                <w:spacing w:after="160" w:line="259" w:lineRule="auto"/>
                                <w:ind w:left="0" w:right="0" w:firstLine="0"/>
                                <w:jc w:val="left"/>
                              </w:pPr>
                              <w:r>
                                <w:rPr>
                                  <w:w w:val="104"/>
                                </w:rPr>
                                <w:t>А</w:t>
                              </w:r>
                              <w:r>
                                <w:rPr>
                                  <w:spacing w:val="-3"/>
                                  <w:w w:val="104"/>
                                </w:rPr>
                                <w:t xml:space="preserve"> </w:t>
                              </w:r>
                              <w:r>
                                <w:rPr>
                                  <w:w w:val="104"/>
                                </w:rPr>
                                <w:t>или</w:t>
                              </w:r>
                              <w:r>
                                <w:rPr>
                                  <w:spacing w:val="-3"/>
                                  <w:w w:val="104"/>
                                </w:rPr>
                                <w:t xml:space="preserve"> </w:t>
                              </w:r>
                              <w:r>
                                <w:rPr>
                                  <w:w w:val="104"/>
                                </w:rPr>
                                <w:t>К</w:t>
                              </w:r>
                            </w:p>
                          </w:txbxContent>
                        </wps:txbx>
                        <wps:bodyPr horzOverflow="overflow" vert="horz" lIns="0" tIns="0" rIns="0" bIns="0" rtlCol="0">
                          <a:noAutofit/>
                        </wps:bodyPr>
                      </wps:wsp>
                      <wps:wsp>
                        <wps:cNvPr id="273548" name="Rectangle 273548"/>
                        <wps:cNvSpPr/>
                        <wps:spPr>
                          <a:xfrm>
                            <a:off x="5582420" y="1420039"/>
                            <a:ext cx="47970" cy="203030"/>
                          </a:xfrm>
                          <a:prstGeom prst="rect">
                            <a:avLst/>
                          </a:prstGeom>
                          <a:ln>
                            <a:noFill/>
                          </a:ln>
                        </wps:spPr>
                        <wps:txbx>
                          <w:txbxContent>
                            <w:p w:rsidR="00D27BC6" w:rsidRDefault="004D5071">
                              <w:pPr>
                                <w:spacing w:after="160" w:line="259" w:lineRule="auto"/>
                                <w:ind w:left="0" w:right="0" w:firstLine="0"/>
                                <w:jc w:val="left"/>
                              </w:pPr>
                              <w:r>
                                <w:rPr>
                                  <w:w w:val="95"/>
                                </w:rPr>
                                <w:t>(</w:t>
                              </w:r>
                            </w:p>
                          </w:txbxContent>
                        </wps:txbx>
                        <wps:bodyPr horzOverflow="overflow" vert="horz" lIns="0" tIns="0" rIns="0" bIns="0" rtlCol="0">
                          <a:noAutofit/>
                        </wps:bodyPr>
                      </wps:wsp>
                      <wps:wsp>
                        <wps:cNvPr id="15372" name="Shape 15372"/>
                        <wps:cNvSpPr/>
                        <wps:spPr>
                          <a:xfrm>
                            <a:off x="5493597" y="1195215"/>
                            <a:ext cx="980999" cy="1228471"/>
                          </a:xfrm>
                          <a:custGeom>
                            <a:avLst/>
                            <a:gdLst/>
                            <a:ahLst/>
                            <a:cxnLst/>
                            <a:rect l="0" t="0" r="0" b="0"/>
                            <a:pathLst>
                              <a:path w="980999" h="1228471">
                                <a:moveTo>
                                  <a:pt x="980999" y="0"/>
                                </a:moveTo>
                                <a:lnTo>
                                  <a:pt x="0" y="1228471"/>
                                </a:lnTo>
                              </a:path>
                            </a:pathLst>
                          </a:custGeom>
                          <a:ln w="9004" cap="flat">
                            <a:custDash>
                              <a:ds d="214300" sp="143500"/>
                            </a:custDash>
                            <a:miter lim="100000"/>
                          </a:ln>
                        </wps:spPr>
                        <wps:style>
                          <a:lnRef idx="1">
                            <a:srgbClr val="000000"/>
                          </a:lnRef>
                          <a:fillRef idx="0">
                            <a:srgbClr val="000000">
                              <a:alpha val="0"/>
                            </a:srgbClr>
                          </a:fillRef>
                          <a:effectRef idx="0">
                            <a:scrgbClr r="0" g="0" b="0"/>
                          </a:effectRef>
                          <a:fontRef idx="none"/>
                        </wps:style>
                        <wps:bodyPr/>
                      </wps:wsp>
                      <wps:wsp>
                        <wps:cNvPr id="15373" name="Rectangle 15373"/>
                        <wps:cNvSpPr/>
                        <wps:spPr>
                          <a:xfrm>
                            <a:off x="6177596" y="2111989"/>
                            <a:ext cx="280053" cy="203030"/>
                          </a:xfrm>
                          <a:prstGeom prst="rect">
                            <a:avLst/>
                          </a:prstGeom>
                          <a:ln>
                            <a:noFill/>
                          </a:ln>
                        </wps:spPr>
                        <wps:txbx>
                          <w:txbxContent>
                            <w:p w:rsidR="00D27BC6" w:rsidRDefault="004D5071">
                              <w:pPr>
                                <w:spacing w:after="160" w:line="259" w:lineRule="auto"/>
                                <w:ind w:left="0" w:right="0" w:firstLine="0"/>
                                <w:jc w:val="left"/>
                              </w:pPr>
                              <w:r>
                                <w:rPr>
                                  <w:spacing w:val="-4"/>
                                  <w:w w:val="101"/>
                                </w:rPr>
                                <w:t>АВК</w:t>
                              </w:r>
                            </w:p>
                          </w:txbxContent>
                        </wps:txbx>
                        <wps:bodyPr horzOverflow="overflow" vert="horz" lIns="0" tIns="0" rIns="0" bIns="0" rtlCol="0">
                          <a:noAutofit/>
                        </wps:bodyPr>
                      </wps:wsp>
                      <wps:wsp>
                        <wps:cNvPr id="15374" name="Rectangle 15374"/>
                        <wps:cNvSpPr/>
                        <wps:spPr>
                          <a:xfrm>
                            <a:off x="6385888" y="2120859"/>
                            <a:ext cx="50258" cy="117758"/>
                          </a:xfrm>
                          <a:prstGeom prst="rect">
                            <a:avLst/>
                          </a:prstGeom>
                          <a:ln>
                            <a:noFill/>
                          </a:ln>
                        </wps:spPr>
                        <wps:txbx>
                          <w:txbxContent>
                            <w:p w:rsidR="00D27BC6" w:rsidRDefault="004D5071">
                              <w:pPr>
                                <w:spacing w:after="160" w:line="259" w:lineRule="auto"/>
                                <w:ind w:left="0" w:right="0" w:firstLine="0"/>
                                <w:jc w:val="left"/>
                              </w:pPr>
                              <w:r>
                                <w:rPr>
                                  <w:w w:val="101"/>
                                  <w:sz w:val="12"/>
                                </w:rPr>
                                <w:t>4</w:t>
                              </w:r>
                            </w:p>
                          </w:txbxContent>
                        </wps:txbx>
                        <wps:bodyPr horzOverflow="overflow" vert="horz" lIns="0" tIns="0" rIns="0" bIns="0" rtlCol="0">
                          <a:noAutofit/>
                        </wps:bodyPr>
                      </wps:wsp>
                      <wps:wsp>
                        <wps:cNvPr id="15375" name="Shape 15375"/>
                        <wps:cNvSpPr/>
                        <wps:spPr>
                          <a:xfrm>
                            <a:off x="1337228" y="328494"/>
                            <a:ext cx="0" cy="796443"/>
                          </a:xfrm>
                          <a:custGeom>
                            <a:avLst/>
                            <a:gdLst/>
                            <a:ahLst/>
                            <a:cxnLst/>
                            <a:rect l="0" t="0" r="0" b="0"/>
                            <a:pathLst>
                              <a:path h="796443">
                                <a:moveTo>
                                  <a:pt x="0" y="0"/>
                                </a:moveTo>
                                <a:lnTo>
                                  <a:pt x="0" y="796443"/>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376" name="Shape 15376"/>
                        <wps:cNvSpPr/>
                        <wps:spPr>
                          <a:xfrm>
                            <a:off x="1306671" y="1104922"/>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377" name="Shape 15377"/>
                        <wps:cNvSpPr/>
                        <wps:spPr>
                          <a:xfrm>
                            <a:off x="3349545" y="328494"/>
                            <a:ext cx="0" cy="796443"/>
                          </a:xfrm>
                          <a:custGeom>
                            <a:avLst/>
                            <a:gdLst/>
                            <a:ahLst/>
                            <a:cxnLst/>
                            <a:rect l="0" t="0" r="0" b="0"/>
                            <a:pathLst>
                              <a:path h="796443">
                                <a:moveTo>
                                  <a:pt x="0" y="0"/>
                                </a:moveTo>
                                <a:lnTo>
                                  <a:pt x="0" y="796443"/>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378" name="Shape 15378"/>
                        <wps:cNvSpPr/>
                        <wps:spPr>
                          <a:xfrm>
                            <a:off x="3318989" y="1104922"/>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379" name="Shape 15379"/>
                        <wps:cNvSpPr/>
                        <wps:spPr>
                          <a:xfrm>
                            <a:off x="5406647" y="337493"/>
                            <a:ext cx="0" cy="219596"/>
                          </a:xfrm>
                          <a:custGeom>
                            <a:avLst/>
                            <a:gdLst/>
                            <a:ahLst/>
                            <a:cxnLst/>
                            <a:rect l="0" t="0" r="0" b="0"/>
                            <a:pathLst>
                              <a:path h="219596">
                                <a:moveTo>
                                  <a:pt x="0" y="0"/>
                                </a:moveTo>
                                <a:lnTo>
                                  <a:pt x="0" y="219596"/>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380" name="Shape 15380"/>
                        <wps:cNvSpPr/>
                        <wps:spPr>
                          <a:xfrm>
                            <a:off x="4839055" y="553493"/>
                            <a:ext cx="0" cy="162839"/>
                          </a:xfrm>
                          <a:custGeom>
                            <a:avLst/>
                            <a:gdLst/>
                            <a:ahLst/>
                            <a:cxnLst/>
                            <a:rect l="0" t="0" r="0" b="0"/>
                            <a:pathLst>
                              <a:path h="162839">
                                <a:moveTo>
                                  <a:pt x="0" y="0"/>
                                </a:moveTo>
                                <a:lnTo>
                                  <a:pt x="0" y="16283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381" name="Shape 15381"/>
                        <wps:cNvSpPr/>
                        <wps:spPr>
                          <a:xfrm>
                            <a:off x="4808499" y="696320"/>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382" name="Shape 15382"/>
                        <wps:cNvSpPr/>
                        <wps:spPr>
                          <a:xfrm>
                            <a:off x="4839055" y="976492"/>
                            <a:ext cx="0" cy="148654"/>
                          </a:xfrm>
                          <a:custGeom>
                            <a:avLst/>
                            <a:gdLst/>
                            <a:ahLst/>
                            <a:cxnLst/>
                            <a:rect l="0" t="0" r="0" b="0"/>
                            <a:pathLst>
                              <a:path h="148654">
                                <a:moveTo>
                                  <a:pt x="0" y="0"/>
                                </a:moveTo>
                                <a:lnTo>
                                  <a:pt x="0" y="148654"/>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383" name="Shape 15383"/>
                        <wps:cNvSpPr/>
                        <wps:spPr>
                          <a:xfrm>
                            <a:off x="4808499" y="1105133"/>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384" name="Shape 15384"/>
                        <wps:cNvSpPr/>
                        <wps:spPr>
                          <a:xfrm>
                            <a:off x="5985527" y="553493"/>
                            <a:ext cx="0" cy="162839"/>
                          </a:xfrm>
                          <a:custGeom>
                            <a:avLst/>
                            <a:gdLst/>
                            <a:ahLst/>
                            <a:cxnLst/>
                            <a:rect l="0" t="0" r="0" b="0"/>
                            <a:pathLst>
                              <a:path h="162839">
                                <a:moveTo>
                                  <a:pt x="0" y="0"/>
                                </a:moveTo>
                                <a:lnTo>
                                  <a:pt x="0" y="16283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385" name="Shape 15385"/>
                        <wps:cNvSpPr/>
                        <wps:spPr>
                          <a:xfrm>
                            <a:off x="5954970" y="696320"/>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386" name="Shape 15386"/>
                        <wps:cNvSpPr/>
                        <wps:spPr>
                          <a:xfrm>
                            <a:off x="5985527" y="976492"/>
                            <a:ext cx="0" cy="148654"/>
                          </a:xfrm>
                          <a:custGeom>
                            <a:avLst/>
                            <a:gdLst/>
                            <a:ahLst/>
                            <a:cxnLst/>
                            <a:rect l="0" t="0" r="0" b="0"/>
                            <a:pathLst>
                              <a:path h="148654">
                                <a:moveTo>
                                  <a:pt x="0" y="0"/>
                                </a:moveTo>
                                <a:lnTo>
                                  <a:pt x="0" y="148654"/>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387" name="Shape 15387"/>
                        <wps:cNvSpPr/>
                        <wps:spPr>
                          <a:xfrm>
                            <a:off x="5954970" y="1105133"/>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388" name="Shape 15388"/>
                        <wps:cNvSpPr/>
                        <wps:spPr>
                          <a:xfrm>
                            <a:off x="4839055" y="2421893"/>
                            <a:ext cx="0" cy="193345"/>
                          </a:xfrm>
                          <a:custGeom>
                            <a:avLst/>
                            <a:gdLst/>
                            <a:ahLst/>
                            <a:cxnLst/>
                            <a:rect l="0" t="0" r="0" b="0"/>
                            <a:pathLst>
                              <a:path h="193345">
                                <a:moveTo>
                                  <a:pt x="0" y="0"/>
                                </a:moveTo>
                                <a:lnTo>
                                  <a:pt x="0" y="193345"/>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389" name="Shape 15389"/>
                        <wps:cNvSpPr/>
                        <wps:spPr>
                          <a:xfrm>
                            <a:off x="4808499" y="2595222"/>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390" name="Shape 15390"/>
                        <wps:cNvSpPr/>
                        <wps:spPr>
                          <a:xfrm>
                            <a:off x="5985527" y="2421893"/>
                            <a:ext cx="0" cy="193345"/>
                          </a:xfrm>
                          <a:custGeom>
                            <a:avLst/>
                            <a:gdLst/>
                            <a:ahLst/>
                            <a:cxnLst/>
                            <a:rect l="0" t="0" r="0" b="0"/>
                            <a:pathLst>
                              <a:path h="193345">
                                <a:moveTo>
                                  <a:pt x="0" y="0"/>
                                </a:moveTo>
                                <a:lnTo>
                                  <a:pt x="0" y="193345"/>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391" name="Shape 15391"/>
                        <wps:cNvSpPr/>
                        <wps:spPr>
                          <a:xfrm>
                            <a:off x="5954970" y="2595222"/>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392" name="Shape 15392"/>
                        <wps:cNvSpPr/>
                        <wps:spPr>
                          <a:xfrm>
                            <a:off x="3349545" y="2421893"/>
                            <a:ext cx="0" cy="193345"/>
                          </a:xfrm>
                          <a:custGeom>
                            <a:avLst/>
                            <a:gdLst/>
                            <a:ahLst/>
                            <a:cxnLst/>
                            <a:rect l="0" t="0" r="0" b="0"/>
                            <a:pathLst>
                              <a:path h="193345">
                                <a:moveTo>
                                  <a:pt x="0" y="0"/>
                                </a:moveTo>
                                <a:lnTo>
                                  <a:pt x="0" y="193345"/>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393" name="Shape 15393"/>
                        <wps:cNvSpPr/>
                        <wps:spPr>
                          <a:xfrm>
                            <a:off x="3318989" y="2595222"/>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394" name="Shape 15394"/>
                        <wps:cNvSpPr/>
                        <wps:spPr>
                          <a:xfrm>
                            <a:off x="1338641" y="2421893"/>
                            <a:ext cx="0" cy="193345"/>
                          </a:xfrm>
                          <a:custGeom>
                            <a:avLst/>
                            <a:gdLst/>
                            <a:ahLst/>
                            <a:cxnLst/>
                            <a:rect l="0" t="0" r="0" b="0"/>
                            <a:pathLst>
                              <a:path h="193345">
                                <a:moveTo>
                                  <a:pt x="0" y="0"/>
                                </a:moveTo>
                                <a:lnTo>
                                  <a:pt x="0" y="193345"/>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395" name="Shape 15395"/>
                        <wps:cNvSpPr/>
                        <wps:spPr>
                          <a:xfrm>
                            <a:off x="1308085" y="2595222"/>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396" name="Shape 15396"/>
                        <wps:cNvSpPr/>
                        <wps:spPr>
                          <a:xfrm>
                            <a:off x="407225" y="1196094"/>
                            <a:ext cx="0" cy="1415644"/>
                          </a:xfrm>
                          <a:custGeom>
                            <a:avLst/>
                            <a:gdLst/>
                            <a:ahLst/>
                            <a:cxnLst/>
                            <a:rect l="0" t="0" r="0" b="0"/>
                            <a:pathLst>
                              <a:path h="1415644">
                                <a:moveTo>
                                  <a:pt x="0" y="0"/>
                                </a:moveTo>
                                <a:lnTo>
                                  <a:pt x="0" y="1415644"/>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397" name="Shape 15397"/>
                        <wps:cNvSpPr/>
                        <wps:spPr>
                          <a:xfrm>
                            <a:off x="376669" y="2591721"/>
                            <a:ext cx="61112" cy="83972"/>
                          </a:xfrm>
                          <a:custGeom>
                            <a:avLst/>
                            <a:gdLst/>
                            <a:ahLst/>
                            <a:cxnLst/>
                            <a:rect l="0" t="0" r="0" b="0"/>
                            <a:pathLst>
                              <a:path w="61112" h="83972">
                                <a:moveTo>
                                  <a:pt x="0" y="0"/>
                                </a:moveTo>
                                <a:lnTo>
                                  <a:pt x="30556" y="20015"/>
                                </a:lnTo>
                                <a:lnTo>
                                  <a:pt x="61112"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398" name="Shape 15398"/>
                        <wps:cNvSpPr/>
                        <wps:spPr>
                          <a:xfrm>
                            <a:off x="266394" y="2745013"/>
                            <a:ext cx="115202" cy="0"/>
                          </a:xfrm>
                          <a:custGeom>
                            <a:avLst/>
                            <a:gdLst/>
                            <a:ahLst/>
                            <a:cxnLst/>
                            <a:rect l="0" t="0" r="0" b="0"/>
                            <a:pathLst>
                              <a:path w="115202">
                                <a:moveTo>
                                  <a:pt x="115202" y="0"/>
                                </a:move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399" name="Shape 15399"/>
                        <wps:cNvSpPr/>
                        <wps:spPr>
                          <a:xfrm>
                            <a:off x="266394" y="2426421"/>
                            <a:ext cx="115202" cy="0"/>
                          </a:xfrm>
                          <a:custGeom>
                            <a:avLst/>
                            <a:gdLst/>
                            <a:ahLst/>
                            <a:cxnLst/>
                            <a:rect l="0" t="0" r="0" b="0"/>
                            <a:pathLst>
                              <a:path w="115202">
                                <a:moveTo>
                                  <a:pt x="115202" y="0"/>
                                </a:move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00" name="Shape 15400"/>
                        <wps:cNvSpPr/>
                        <wps:spPr>
                          <a:xfrm>
                            <a:off x="266394" y="1641602"/>
                            <a:ext cx="115202" cy="0"/>
                          </a:xfrm>
                          <a:custGeom>
                            <a:avLst/>
                            <a:gdLst/>
                            <a:ahLst/>
                            <a:cxnLst/>
                            <a:rect l="0" t="0" r="0" b="0"/>
                            <a:pathLst>
                              <a:path w="115202">
                                <a:moveTo>
                                  <a:pt x="115202" y="0"/>
                                </a:move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73881" name="Rectangle 273881"/>
                        <wps:cNvSpPr/>
                        <wps:spPr>
                          <a:xfrm>
                            <a:off x="330846" y="1051640"/>
                            <a:ext cx="86651" cy="203030"/>
                          </a:xfrm>
                          <a:prstGeom prst="rect">
                            <a:avLst/>
                          </a:prstGeom>
                          <a:ln>
                            <a:noFill/>
                          </a:ln>
                        </wps:spPr>
                        <wps:txbx>
                          <w:txbxContent>
                            <w:p w:rsidR="00D27BC6" w:rsidRDefault="004D5071">
                              <w:pPr>
                                <w:spacing w:after="160" w:line="259" w:lineRule="auto"/>
                                <w:ind w:left="0" w:right="0" w:firstLine="0"/>
                                <w:jc w:val="left"/>
                              </w:pPr>
                              <w:r>
                                <w:rPr>
                                  <w:w w:val="101"/>
                                  <w:u w:val="single" w:color="000000"/>
                                </w:rPr>
                                <w:t>0</w:t>
                              </w:r>
                            </w:p>
                          </w:txbxContent>
                        </wps:txbx>
                        <wps:bodyPr horzOverflow="overflow" vert="horz" lIns="0" tIns="0" rIns="0" bIns="0" rtlCol="0">
                          <a:noAutofit/>
                        </wps:bodyPr>
                      </wps:wsp>
                      <wps:wsp>
                        <wps:cNvPr id="273544" name="Rectangle 273544"/>
                        <wps:cNvSpPr/>
                        <wps:spPr>
                          <a:xfrm>
                            <a:off x="149363" y="1350470"/>
                            <a:ext cx="304038" cy="203030"/>
                          </a:xfrm>
                          <a:prstGeom prst="rect">
                            <a:avLst/>
                          </a:prstGeom>
                          <a:ln>
                            <a:noFill/>
                          </a:ln>
                        </wps:spPr>
                        <wps:txbx>
                          <w:txbxContent>
                            <w:p w:rsidR="00D27BC6" w:rsidRDefault="004D5071">
                              <w:pPr>
                                <w:spacing w:after="160" w:line="259" w:lineRule="auto"/>
                                <w:ind w:left="0" w:right="0" w:firstLine="0"/>
                                <w:jc w:val="left"/>
                              </w:pPr>
                              <w:r>
                                <w:rPr>
                                  <w:spacing w:val="-3"/>
                                </w:rPr>
                                <w:t xml:space="preserve"> </w:t>
                              </w:r>
                              <w:r>
                                <w:t>мес</w:t>
                              </w:r>
                            </w:p>
                          </w:txbxContent>
                        </wps:txbx>
                        <wps:bodyPr horzOverflow="overflow" vert="horz" lIns="0" tIns="0" rIns="0" bIns="0" rtlCol="0">
                          <a:noAutofit/>
                        </wps:bodyPr>
                      </wps:wsp>
                      <wps:wsp>
                        <wps:cNvPr id="273543" name="Rectangle 273543"/>
                        <wps:cNvSpPr/>
                        <wps:spPr>
                          <a:xfrm>
                            <a:off x="84212" y="1350470"/>
                            <a:ext cx="86651" cy="203030"/>
                          </a:xfrm>
                          <a:prstGeom prst="rect">
                            <a:avLst/>
                          </a:prstGeom>
                          <a:ln>
                            <a:noFill/>
                          </a:ln>
                        </wps:spPr>
                        <wps:txbx>
                          <w:txbxContent>
                            <w:p w:rsidR="00D27BC6" w:rsidRDefault="004D5071">
                              <w:pPr>
                                <w:spacing w:after="160" w:line="259" w:lineRule="auto"/>
                                <w:ind w:left="0" w:right="0" w:firstLine="0"/>
                                <w:jc w:val="left"/>
                              </w:pPr>
                              <w:r>
                                <w:rPr>
                                  <w:w w:val="101"/>
                                </w:rPr>
                                <w:t>1</w:t>
                              </w:r>
                            </w:p>
                          </w:txbxContent>
                        </wps:txbx>
                        <wps:bodyPr horzOverflow="overflow" vert="horz" lIns="0" tIns="0" rIns="0" bIns="0" rtlCol="0">
                          <a:noAutofit/>
                        </wps:bodyPr>
                      </wps:wsp>
                      <wps:wsp>
                        <wps:cNvPr id="273557" name="Rectangle 273557"/>
                        <wps:cNvSpPr/>
                        <wps:spPr>
                          <a:xfrm>
                            <a:off x="103389" y="1944450"/>
                            <a:ext cx="86651" cy="203030"/>
                          </a:xfrm>
                          <a:prstGeom prst="rect">
                            <a:avLst/>
                          </a:prstGeom>
                          <a:ln>
                            <a:noFill/>
                          </a:ln>
                        </wps:spPr>
                        <wps:txbx>
                          <w:txbxContent>
                            <w:p w:rsidR="00D27BC6" w:rsidRDefault="004D5071">
                              <w:pPr>
                                <w:spacing w:after="160" w:line="259" w:lineRule="auto"/>
                                <w:ind w:left="0" w:right="0" w:firstLine="0"/>
                                <w:jc w:val="left"/>
                              </w:pPr>
                              <w:r>
                                <w:rPr>
                                  <w:w w:val="101"/>
                                </w:rPr>
                                <w:t>1</w:t>
                              </w:r>
                            </w:p>
                          </w:txbxContent>
                        </wps:txbx>
                        <wps:bodyPr horzOverflow="overflow" vert="horz" lIns="0" tIns="0" rIns="0" bIns="0" rtlCol="0">
                          <a:noAutofit/>
                        </wps:bodyPr>
                      </wps:wsp>
                      <wps:wsp>
                        <wps:cNvPr id="273558" name="Rectangle 273558"/>
                        <wps:cNvSpPr/>
                        <wps:spPr>
                          <a:xfrm>
                            <a:off x="168540" y="1944450"/>
                            <a:ext cx="278533" cy="203030"/>
                          </a:xfrm>
                          <a:prstGeom prst="rect">
                            <a:avLst/>
                          </a:prstGeom>
                          <a:ln>
                            <a:noFill/>
                          </a:ln>
                        </wps:spPr>
                        <wps:txbx>
                          <w:txbxContent>
                            <w:p w:rsidR="00D27BC6" w:rsidRDefault="004D5071">
                              <w:pPr>
                                <w:spacing w:after="160" w:line="259" w:lineRule="auto"/>
                                <w:ind w:left="0" w:right="0" w:firstLine="0"/>
                                <w:jc w:val="left"/>
                              </w:pPr>
                              <w:r>
                                <w:rPr>
                                  <w:spacing w:val="-3"/>
                                  <w:w w:val="102"/>
                                </w:rPr>
                                <w:t xml:space="preserve"> </w:t>
                              </w:r>
                              <w:r>
                                <w:rPr>
                                  <w:w w:val="102"/>
                                </w:rPr>
                                <w:t>год</w:t>
                              </w:r>
                            </w:p>
                          </w:txbxContent>
                        </wps:txbx>
                        <wps:bodyPr horzOverflow="overflow" vert="horz" lIns="0" tIns="0" rIns="0" bIns="0" rtlCol="0">
                          <a:noAutofit/>
                        </wps:bodyPr>
                      </wps:wsp>
                      <wps:wsp>
                        <wps:cNvPr id="15405" name="Rectangle 15405"/>
                        <wps:cNvSpPr/>
                        <wps:spPr>
                          <a:xfrm>
                            <a:off x="6979" y="2467897"/>
                            <a:ext cx="472408" cy="160126"/>
                          </a:xfrm>
                          <a:prstGeom prst="rect">
                            <a:avLst/>
                          </a:prstGeom>
                          <a:ln>
                            <a:noFill/>
                          </a:ln>
                        </wps:spPr>
                        <wps:txbx>
                          <w:txbxContent>
                            <w:p w:rsidR="00D27BC6" w:rsidRDefault="004D5071">
                              <w:pPr>
                                <w:spacing w:after="160" w:line="259" w:lineRule="auto"/>
                                <w:ind w:left="0" w:right="0" w:firstLine="0"/>
                                <w:jc w:val="left"/>
                              </w:pPr>
                              <w:r>
                                <w:rPr>
                                  <w:w w:val="76"/>
                                  <w:sz w:val="16"/>
                                </w:rPr>
                                <w:t>Длительно</w:t>
                              </w:r>
                            </w:p>
                          </w:txbxContent>
                        </wps:txbx>
                        <wps:bodyPr horzOverflow="overflow" vert="horz" lIns="0" tIns="0" rIns="0" bIns="0" rtlCol="0">
                          <a:noAutofit/>
                        </wps:bodyPr>
                      </wps:wsp>
                      <wps:wsp>
                        <wps:cNvPr id="15406" name="Rectangle 15406"/>
                        <wps:cNvSpPr/>
                        <wps:spPr>
                          <a:xfrm>
                            <a:off x="362167" y="2473265"/>
                            <a:ext cx="40206" cy="94206"/>
                          </a:xfrm>
                          <a:prstGeom prst="rect">
                            <a:avLst/>
                          </a:prstGeom>
                          <a:ln>
                            <a:noFill/>
                          </a:ln>
                        </wps:spPr>
                        <wps:txbx>
                          <w:txbxContent>
                            <w:p w:rsidR="00D27BC6" w:rsidRDefault="004D5071">
                              <w:pPr>
                                <w:spacing w:after="160" w:line="259" w:lineRule="auto"/>
                                <w:ind w:left="0" w:right="0" w:firstLine="0"/>
                                <w:jc w:val="left"/>
                              </w:pPr>
                              <w:r>
                                <w:rPr>
                                  <w:w w:val="101"/>
                                  <w:sz w:val="9"/>
                                </w:rPr>
                                <w:t>5</w:t>
                              </w:r>
                            </w:p>
                          </w:txbxContent>
                        </wps:txbx>
                        <wps:bodyPr horzOverflow="overflow" vert="horz" lIns="0" tIns="0" rIns="0" bIns="0" rtlCol="0">
                          <a:noAutofit/>
                        </wps:bodyPr>
                      </wps:wsp>
                      <wps:wsp>
                        <wps:cNvPr id="15407" name="Shape 15407"/>
                        <wps:cNvSpPr/>
                        <wps:spPr>
                          <a:xfrm>
                            <a:off x="4834795" y="557090"/>
                            <a:ext cx="1154874" cy="0"/>
                          </a:xfrm>
                          <a:custGeom>
                            <a:avLst/>
                            <a:gdLst/>
                            <a:ahLst/>
                            <a:cxnLst/>
                            <a:rect l="0" t="0" r="0" b="0"/>
                            <a:pathLst>
                              <a:path w="1154874">
                                <a:moveTo>
                                  <a:pt x="0" y="0"/>
                                </a:moveTo>
                                <a:lnTo>
                                  <a:pt x="1154874"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08" name="Rectangle 15408"/>
                        <wps:cNvSpPr/>
                        <wps:spPr>
                          <a:xfrm>
                            <a:off x="1230569" y="1494439"/>
                            <a:ext cx="329543" cy="203030"/>
                          </a:xfrm>
                          <a:prstGeom prst="rect">
                            <a:avLst/>
                          </a:prstGeom>
                          <a:ln>
                            <a:noFill/>
                          </a:ln>
                        </wps:spPr>
                        <wps:txbx>
                          <w:txbxContent>
                            <w:p w:rsidR="00D27BC6" w:rsidRDefault="004D5071">
                              <w:pPr>
                                <w:spacing w:after="160" w:line="259" w:lineRule="auto"/>
                                <w:ind w:left="0" w:right="0" w:firstLine="0"/>
                                <w:jc w:val="left"/>
                              </w:pPr>
                              <w:r>
                                <w:rPr>
                                  <w:w w:val="102"/>
                                </w:rPr>
                                <w:t>ОАТ</w:t>
                              </w:r>
                              <w:r>
                                <w:rPr>
                                  <w:spacing w:val="-3"/>
                                  <w:w w:val="102"/>
                                </w:rPr>
                                <w:t xml:space="preserve"> </w:t>
                              </w:r>
                            </w:p>
                          </w:txbxContent>
                        </wps:txbx>
                        <wps:bodyPr horzOverflow="overflow" vert="horz" lIns="0" tIns="0" rIns="0" bIns="0" rtlCol="0">
                          <a:noAutofit/>
                        </wps:bodyPr>
                      </wps:wsp>
                      <wps:wsp>
                        <wps:cNvPr id="15409" name="Rectangle 15409"/>
                        <wps:cNvSpPr/>
                        <wps:spPr>
                          <a:xfrm>
                            <a:off x="983808" y="1646839"/>
                            <a:ext cx="899936" cy="203030"/>
                          </a:xfrm>
                          <a:prstGeom prst="rect">
                            <a:avLst/>
                          </a:prstGeom>
                          <a:ln>
                            <a:noFill/>
                          </a:ln>
                        </wps:spPr>
                        <wps:txbx>
                          <w:txbxContent>
                            <w:p w:rsidR="00D27BC6" w:rsidRDefault="004D5071">
                              <w:pPr>
                                <w:spacing w:after="160" w:line="259" w:lineRule="auto"/>
                                <w:ind w:left="0" w:right="0" w:firstLine="0"/>
                                <w:jc w:val="left"/>
                              </w:pPr>
                              <w:r>
                                <w:rPr>
                                  <w:w w:val="103"/>
                                </w:rPr>
                                <w:t>не</w:t>
                              </w:r>
                              <w:r>
                                <w:rPr>
                                  <w:spacing w:val="-3"/>
                                  <w:w w:val="103"/>
                                </w:rPr>
                                <w:t xml:space="preserve"> </w:t>
                              </w:r>
                              <w:r>
                                <w:rPr>
                                  <w:w w:val="103"/>
                                </w:rPr>
                                <w:t>показано</w:t>
                              </w:r>
                            </w:p>
                          </w:txbxContent>
                        </wps:txbx>
                        <wps:bodyPr horzOverflow="overflow" vert="horz" lIns="0" tIns="0" rIns="0" bIns="0" rtlCol="0">
                          <a:noAutofit/>
                        </wps:bodyPr>
                      </wps:wsp>
                      <wps:wsp>
                        <wps:cNvPr id="15410" name="Rectangle 15410"/>
                        <wps:cNvSpPr/>
                        <wps:spPr>
                          <a:xfrm>
                            <a:off x="1660425" y="1655709"/>
                            <a:ext cx="50258" cy="117758"/>
                          </a:xfrm>
                          <a:prstGeom prst="rect">
                            <a:avLst/>
                          </a:prstGeom>
                          <a:ln>
                            <a:noFill/>
                          </a:ln>
                        </wps:spPr>
                        <wps:txbx>
                          <w:txbxContent>
                            <w:p w:rsidR="00D27BC6" w:rsidRDefault="004D5071">
                              <w:pPr>
                                <w:spacing w:after="160" w:line="259" w:lineRule="auto"/>
                                <w:ind w:left="0" w:right="0" w:firstLine="0"/>
                                <w:jc w:val="left"/>
                              </w:pPr>
                              <w:r>
                                <w:rPr>
                                  <w:w w:val="101"/>
                                  <w:sz w:val="12"/>
                                </w:rPr>
                                <w:t>2</w:t>
                              </w:r>
                            </w:p>
                          </w:txbxContent>
                        </wps:txbx>
                        <wps:bodyPr horzOverflow="overflow" vert="horz" lIns="0" tIns="0" rIns="0" bIns="0" rtlCol="0">
                          <a:noAutofit/>
                        </wps:bodyPr>
                      </wps:wsp>
                      <wps:wsp>
                        <wps:cNvPr id="15411" name="Rectangle 15411"/>
                        <wps:cNvSpPr/>
                        <wps:spPr>
                          <a:xfrm>
                            <a:off x="3218677" y="1494439"/>
                            <a:ext cx="293735" cy="203030"/>
                          </a:xfrm>
                          <a:prstGeom prst="rect">
                            <a:avLst/>
                          </a:prstGeom>
                          <a:ln>
                            <a:noFill/>
                          </a:ln>
                        </wps:spPr>
                        <wps:txbx>
                          <w:txbxContent>
                            <w:p w:rsidR="00D27BC6" w:rsidRDefault="004D5071">
                              <w:pPr>
                                <w:spacing w:after="160" w:line="259" w:lineRule="auto"/>
                                <w:ind w:left="0" w:right="0" w:firstLine="0"/>
                                <w:jc w:val="left"/>
                              </w:pPr>
                              <w:r>
                                <w:rPr>
                                  <w:w w:val="102"/>
                                </w:rPr>
                                <w:t>ОАТ</w:t>
                              </w:r>
                            </w:p>
                          </w:txbxContent>
                        </wps:txbx>
                        <wps:bodyPr horzOverflow="overflow" vert="horz" lIns="0" tIns="0" rIns="0" bIns="0" rtlCol="0">
                          <a:noAutofit/>
                        </wps:bodyPr>
                      </wps:wsp>
                      <wps:wsp>
                        <wps:cNvPr id="273546" name="Rectangle 273546"/>
                        <wps:cNvSpPr/>
                        <wps:spPr>
                          <a:xfrm>
                            <a:off x="3439530" y="1503309"/>
                            <a:ext cx="50258" cy="117758"/>
                          </a:xfrm>
                          <a:prstGeom prst="rect">
                            <a:avLst/>
                          </a:prstGeom>
                          <a:ln>
                            <a:noFill/>
                          </a:ln>
                        </wps:spPr>
                        <wps:txbx>
                          <w:txbxContent>
                            <w:p w:rsidR="00D27BC6" w:rsidRDefault="004D5071">
                              <w:pPr>
                                <w:spacing w:after="160" w:line="259" w:lineRule="auto"/>
                                <w:ind w:left="0" w:right="0" w:firstLine="0"/>
                                <w:jc w:val="left"/>
                              </w:pPr>
                              <w:r>
                                <w:rPr>
                                  <w:w w:val="101"/>
                                  <w:sz w:val="12"/>
                                </w:rPr>
                                <w:t>3</w:t>
                              </w:r>
                            </w:p>
                          </w:txbxContent>
                        </wps:txbx>
                        <wps:bodyPr horzOverflow="overflow" vert="horz" lIns="0" tIns="0" rIns="0" bIns="0" rtlCol="0">
                          <a:noAutofit/>
                        </wps:bodyPr>
                      </wps:wsp>
                      <wps:wsp>
                        <wps:cNvPr id="273547" name="Rectangle 273547"/>
                        <wps:cNvSpPr/>
                        <wps:spPr>
                          <a:xfrm>
                            <a:off x="3477316" y="1503309"/>
                            <a:ext cx="20769" cy="117758"/>
                          </a:xfrm>
                          <a:prstGeom prst="rect">
                            <a:avLst/>
                          </a:prstGeom>
                          <a:ln>
                            <a:noFill/>
                          </a:ln>
                        </wps:spPr>
                        <wps:txbx>
                          <w:txbxContent>
                            <w:p w:rsidR="00D27BC6" w:rsidRDefault="004D5071">
                              <w:pPr>
                                <w:spacing w:after="160" w:line="259" w:lineRule="auto"/>
                                <w:ind w:left="0" w:right="0" w:firstLine="0"/>
                                <w:jc w:val="left"/>
                              </w:pPr>
                              <w:r>
                                <w:rPr>
                                  <w:sz w:val="12"/>
                                </w:rPr>
                                <w:t xml:space="preserve"> </w:t>
                              </w:r>
                            </w:p>
                          </w:txbxContent>
                        </wps:txbx>
                        <wps:bodyPr horzOverflow="overflow" vert="horz" lIns="0" tIns="0" rIns="0" bIns="0" rtlCol="0">
                          <a:noAutofit/>
                        </wps:bodyPr>
                      </wps:wsp>
                      <wps:wsp>
                        <wps:cNvPr id="273556" name="Rectangle 273556"/>
                        <wps:cNvSpPr/>
                        <wps:spPr>
                          <a:xfrm>
                            <a:off x="3144991" y="1646839"/>
                            <a:ext cx="540005" cy="203030"/>
                          </a:xfrm>
                          <a:prstGeom prst="rect">
                            <a:avLst/>
                          </a:prstGeom>
                          <a:ln>
                            <a:noFill/>
                          </a:ln>
                        </wps:spPr>
                        <wps:txbx>
                          <w:txbxContent>
                            <w:p w:rsidR="00D27BC6" w:rsidRDefault="004D5071">
                              <w:pPr>
                                <w:spacing w:after="160" w:line="259" w:lineRule="auto"/>
                                <w:ind w:left="0" w:right="0" w:firstLine="0"/>
                                <w:jc w:val="left"/>
                              </w:pPr>
                              <w:r>
                                <w:rPr>
                                  <w:w w:val="104"/>
                                </w:rPr>
                                <w:t>А</w:t>
                              </w:r>
                              <w:r>
                                <w:rPr>
                                  <w:spacing w:val="-3"/>
                                  <w:w w:val="104"/>
                                </w:rPr>
                                <w:t xml:space="preserve"> </w:t>
                              </w:r>
                              <w:r>
                                <w:rPr>
                                  <w:w w:val="104"/>
                                </w:rPr>
                                <w:t>или</w:t>
                              </w:r>
                              <w:r>
                                <w:rPr>
                                  <w:spacing w:val="-3"/>
                                  <w:w w:val="104"/>
                                </w:rPr>
                                <w:t xml:space="preserve"> </w:t>
                              </w:r>
                              <w:r>
                                <w:rPr>
                                  <w:w w:val="104"/>
                                </w:rPr>
                                <w:t>К</w:t>
                              </w:r>
                            </w:p>
                          </w:txbxContent>
                        </wps:txbx>
                        <wps:bodyPr horzOverflow="overflow" vert="horz" lIns="0" tIns="0" rIns="0" bIns="0" rtlCol="0">
                          <a:noAutofit/>
                        </wps:bodyPr>
                      </wps:wsp>
                      <wps:wsp>
                        <wps:cNvPr id="273555" name="Rectangle 273555"/>
                        <wps:cNvSpPr/>
                        <wps:spPr>
                          <a:xfrm>
                            <a:off x="3551011" y="1646839"/>
                            <a:ext cx="47970" cy="203030"/>
                          </a:xfrm>
                          <a:prstGeom prst="rect">
                            <a:avLst/>
                          </a:prstGeom>
                          <a:ln>
                            <a:noFill/>
                          </a:ln>
                        </wps:spPr>
                        <wps:txbx>
                          <w:txbxContent>
                            <w:p w:rsidR="00D27BC6" w:rsidRDefault="004D5071">
                              <w:pPr>
                                <w:spacing w:after="160" w:line="259" w:lineRule="auto"/>
                                <w:ind w:left="0" w:right="0" w:firstLine="0"/>
                                <w:jc w:val="left"/>
                              </w:pPr>
                              <w:r>
                                <w:rPr>
                                  <w:w w:val="95"/>
                                </w:rPr>
                                <w:t>)</w:t>
                              </w:r>
                            </w:p>
                          </w:txbxContent>
                        </wps:txbx>
                        <wps:bodyPr horzOverflow="overflow" vert="horz" lIns="0" tIns="0" rIns="0" bIns="0" rtlCol="0">
                          <a:noAutofit/>
                        </wps:bodyPr>
                      </wps:wsp>
                      <wps:wsp>
                        <wps:cNvPr id="273553" name="Rectangle 273553"/>
                        <wps:cNvSpPr/>
                        <wps:spPr>
                          <a:xfrm>
                            <a:off x="3108923" y="1646839"/>
                            <a:ext cx="47970" cy="203030"/>
                          </a:xfrm>
                          <a:prstGeom prst="rect">
                            <a:avLst/>
                          </a:prstGeom>
                          <a:ln>
                            <a:noFill/>
                          </a:ln>
                        </wps:spPr>
                        <wps:txbx>
                          <w:txbxContent>
                            <w:p w:rsidR="00D27BC6" w:rsidRDefault="004D5071">
                              <w:pPr>
                                <w:spacing w:after="160" w:line="259" w:lineRule="auto"/>
                                <w:ind w:left="0" w:right="0" w:firstLine="0"/>
                                <w:jc w:val="left"/>
                              </w:pPr>
                              <w:r>
                                <w:rPr>
                                  <w:w w:val="95"/>
                                </w:rPr>
                                <w:t>(</w:t>
                              </w:r>
                            </w:p>
                          </w:txbxContent>
                        </wps:txbx>
                        <wps:bodyPr horzOverflow="overflow" vert="horz" lIns="0" tIns="0" rIns="0" bIns="0" rtlCol="0">
                          <a:noAutofit/>
                        </wps:bodyPr>
                      </wps:wsp>
                      <wps:wsp>
                        <wps:cNvPr id="15414" name="Shape 15414"/>
                        <wps:cNvSpPr/>
                        <wps:spPr>
                          <a:xfrm>
                            <a:off x="410400" y="2744865"/>
                            <a:ext cx="6069597" cy="0"/>
                          </a:xfrm>
                          <a:custGeom>
                            <a:avLst/>
                            <a:gdLst/>
                            <a:ahLst/>
                            <a:cxnLst/>
                            <a:rect l="0" t="0" r="0" b="0"/>
                            <a:pathLst>
                              <a:path w="6069597">
                                <a:moveTo>
                                  <a:pt x="6069597" y="0"/>
                                </a:move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74180" style="width:510.236pt;height:216.488pt;mso-position-horizontal-relative:char;mso-position-vertical-relative:line" coordsize="64799,27493">
                <v:shape id="Shape 378517" style="position:absolute;width:64799;height:3184;left:0;top:24309;" coordsize="6479997,318491" path="m0,0l6479997,0l6479997,318491l0,318491l0,0">
                  <v:stroke weight="0pt" endcap="flat" joinstyle="miter" miterlimit="10" on="false" color="#000000" opacity="0"/>
                  <v:fill on="true" color="#ffed00"/>
                </v:shape>
                <v:shape id="Shape 378518" style="position:absolute;width:64799;height:7847;left:0;top:16461;" coordsize="6479997,784796" path="m0,0l6479997,0l6479997,784796l0,784796l0,0">
                  <v:stroke weight="0pt" endcap="flat" joinstyle="miter" miterlimit="10" on="false" color="#000000" opacity="0"/>
                  <v:fill on="true" color="#fff381"/>
                </v:shape>
                <v:shape id="Shape 378519" style="position:absolute;width:64799;height:4499;left:0;top:11961;" coordsize="6479997,449987" path="m0,0l6479997,0l6479997,449987l0,449987l0,0">
                  <v:stroke weight="0pt" endcap="flat" joinstyle="miter" miterlimit="10" on="false" color="#000000" opacity="0"/>
                  <v:fill on="true" color="#fff9c7"/>
                </v:shape>
                <v:shape id="Shape 378520" style="position:absolute;width:17268;height:3329;left:4751;top:0;" coordsize="1726895,332994" path="m0,0l1726895,0l1726895,332994l0,332994l0,0">
                  <v:stroke weight="0pt" endcap="flat" joinstyle="miter" miterlimit="10" on="false" color="#000000" opacity="0"/>
                  <v:fill on="true" color="#c4d983"/>
                </v:shape>
                <v:rect id="Rectangle 15340" style="position:absolute;width:13071;height:2092;left:8728;top:123;" filled="f" stroked="f">
                  <v:textbox inset="0,0,0,0">
                    <w:txbxContent>
                      <w:p>
                        <w:pPr>
                          <w:spacing w:before="0" w:after="160" w:line="259" w:lineRule="auto"/>
                          <w:ind w:left="0" w:right="0" w:firstLine="0"/>
                          <w:jc w:val="left"/>
                        </w:pPr>
                        <w:r>
                          <w:rPr>
                            <w:rFonts w:cs="Calibri" w:hAnsi="Calibri" w:eastAsia="Calibri" w:ascii="Calibri"/>
                            <w:b w:val="1"/>
                            <w:w w:val="109"/>
                          </w:rPr>
                          <w:t xml:space="preserve">Бессимптомное</w:t>
                        </w:r>
                        <w:r>
                          <w:rPr>
                            <w:rFonts w:cs="Calibri" w:hAnsi="Calibri" w:eastAsia="Calibri" w:ascii="Calibri"/>
                            <w:b w:val="1"/>
                            <w:spacing w:val="-5"/>
                            <w:w w:val="109"/>
                          </w:rPr>
                          <w:t xml:space="preserve"> </w:t>
                        </w:r>
                        <w:r>
                          <w:rPr>
                            <w:rFonts w:cs="Calibri" w:hAnsi="Calibri" w:eastAsia="Calibri" w:ascii="Calibri"/>
                            <w:b w:val="1"/>
                            <w:spacing w:val="-5"/>
                            <w:w w:val="109"/>
                          </w:rPr>
                          <w:t xml:space="preserve"> </w:t>
                        </w:r>
                      </w:p>
                    </w:txbxContent>
                  </v:textbox>
                </v:rect>
                <v:rect id="Rectangle 15341" style="position:absolute;width:6349;height:2092;left:10999;top:1647;" filled="f" stroked="f">
                  <v:textbox inset="0,0,0,0">
                    <w:txbxContent>
                      <w:p>
                        <w:pPr>
                          <w:spacing w:before="0" w:after="160" w:line="259" w:lineRule="auto"/>
                          <w:ind w:left="0" w:right="0" w:firstLine="0"/>
                          <w:jc w:val="left"/>
                        </w:pPr>
                        <w:r>
                          <w:rPr>
                            <w:rFonts w:cs="Calibri" w:hAnsi="Calibri" w:eastAsia="Calibri" w:ascii="Calibri"/>
                            <w:b w:val="1"/>
                            <w:w w:val="110"/>
                          </w:rPr>
                          <w:t xml:space="preserve">течение</w:t>
                        </w:r>
                      </w:p>
                    </w:txbxContent>
                  </v:textbox>
                </v:rect>
                <v:shape id="Shape 15342" style="position:absolute;width:17268;height:3329;left:4751;top:0;" coordsize="1726895,332994" path="m0,332994l1726895,332994l1726895,0l0,0x">
                  <v:stroke weight="0.709pt" endcap="flat" joinstyle="miter" miterlimit="4" on="true" color="#000000"/>
                  <v:fill on="false" color="#000000" opacity="0"/>
                </v:shape>
                <v:shape id="Shape 378527" style="position:absolute;width:17268;height:3329;left:24861;top:0;" coordsize="1726895,332994" path="m0,0l1726895,0l1726895,332994l0,332994l0,0">
                  <v:stroke weight="0pt" endcap="flat" joinstyle="miter" miterlimit="4" on="false" color="#000000" opacity="0"/>
                  <v:fill on="true" color="#f39200"/>
                </v:shape>
                <v:rect id="Rectangle 15344" style="position:absolute;width:9122;height:2092;left:30322;top:123;" filled="f" stroked="f">
                  <v:textbox inset="0,0,0,0">
                    <w:txbxContent>
                      <w:p>
                        <w:pPr>
                          <w:spacing w:before="0" w:after="160" w:line="259" w:lineRule="auto"/>
                          <w:ind w:left="0" w:right="0" w:firstLine="0"/>
                          <w:jc w:val="left"/>
                        </w:pPr>
                        <w:r>
                          <w:rPr>
                            <w:rFonts w:cs="Calibri" w:hAnsi="Calibri" w:eastAsia="Calibri" w:ascii="Calibri"/>
                            <w:b w:val="1"/>
                            <w:w w:val="112"/>
                          </w:rPr>
                          <w:t xml:space="preserve">Симптомы</w:t>
                        </w:r>
                        <w:r>
                          <w:rPr>
                            <w:rFonts w:cs="Calibri" w:hAnsi="Calibri" w:eastAsia="Calibri" w:ascii="Calibri"/>
                            <w:b w:val="1"/>
                            <w:spacing w:val="-5"/>
                            <w:w w:val="112"/>
                          </w:rPr>
                          <w:t xml:space="preserve"> </w:t>
                        </w:r>
                        <w:r>
                          <w:rPr>
                            <w:rFonts w:cs="Calibri" w:hAnsi="Calibri" w:eastAsia="Calibri" w:ascii="Calibri"/>
                            <w:b w:val="1"/>
                            <w:spacing w:val="-5"/>
                            <w:w w:val="112"/>
                          </w:rPr>
                          <w:t xml:space="preserve"> </w:t>
                        </w:r>
                      </w:p>
                    </w:txbxContent>
                  </v:textbox>
                </v:rect>
                <v:rect id="Rectangle 15345" style="position:absolute;width:4207;height:2092;left:31913;top:1647;" filled="f" stroked="f">
                  <v:textbox inset="0,0,0,0">
                    <w:txbxContent>
                      <w:p>
                        <w:pPr>
                          <w:spacing w:before="0" w:after="160" w:line="259" w:lineRule="auto"/>
                          <w:ind w:left="0" w:right="0" w:firstLine="0"/>
                          <w:jc w:val="left"/>
                        </w:pPr>
                        <w:r>
                          <w:rPr>
                            <w:rFonts w:cs="Calibri" w:hAnsi="Calibri" w:eastAsia="Calibri" w:ascii="Calibri"/>
                            <w:b w:val="1"/>
                            <w:w w:val="114"/>
                          </w:rPr>
                          <w:t xml:space="preserve">ЗАНК</w:t>
                        </w:r>
                      </w:p>
                    </w:txbxContent>
                  </v:textbox>
                </v:rect>
                <v:shape id="Shape 15346" style="position:absolute;width:17268;height:3329;left:24861;top:0;" coordsize="1726895,332994" path="m0,332994l1726895,332994l1726895,0l0,0x">
                  <v:stroke weight="0.709pt" endcap="flat" joinstyle="miter" miterlimit="4" on="true" color="#000000"/>
                  <v:fill on="false" color="#000000" opacity="0"/>
                </v:shape>
                <v:shape id="Shape 378534" style="position:absolute;width:17268;height:3329;left:45431;top:0;" coordsize="1726895,332994" path="m0,0l1726895,0l1726895,332994l0,332994l0,0">
                  <v:stroke weight="0pt" endcap="flat" joinstyle="miter" miterlimit="4" on="false" color="#000000" opacity="0"/>
                  <v:fill on="true" color="#ef8161"/>
                </v:shape>
                <v:rect id="Rectangle 15348" style="position:absolute;width:14742;height:2092;left:48524;top:885;" filled="f" stroked="f">
                  <v:textbox inset="0,0,0,0">
                    <w:txbxContent>
                      <w:p>
                        <w:pPr>
                          <w:spacing w:before="0" w:after="160" w:line="259" w:lineRule="auto"/>
                          <w:ind w:left="0" w:right="0" w:firstLine="0"/>
                          <w:jc w:val="left"/>
                        </w:pPr>
                        <w:r>
                          <w:rPr>
                            <w:rFonts w:cs="Calibri" w:hAnsi="Calibri" w:eastAsia="Calibri" w:ascii="Calibri"/>
                            <w:b w:val="1"/>
                            <w:w w:val="113"/>
                          </w:rPr>
                          <w:t xml:space="preserve">Реваскуляризация</w:t>
                        </w:r>
                      </w:p>
                    </w:txbxContent>
                  </v:textbox>
                </v:rect>
                <v:shape id="Shape 15349" style="position:absolute;width:17268;height:3329;left:45431;top:0;" coordsize="1726895,332994" path="m0,332994l1726895,332994l1726895,0l0,0x">
                  <v:stroke weight="0.709pt" endcap="flat" joinstyle="miter" miterlimit="4" on="true" color="#000000"/>
                  <v:fill on="false" color="#000000" opacity="0"/>
                </v:shape>
                <v:rect id="Rectangle 15350" style="position:absolute;width:12970;height:2030;left:43514;top:8050;" filled="f" stroked="f">
                  <v:textbox inset="0,0,0,0">
                    <w:txbxContent>
                      <w:p>
                        <w:pPr>
                          <w:spacing w:before="0" w:after="160" w:line="259" w:lineRule="auto"/>
                          <w:ind w:left="0" w:right="0" w:firstLine="0"/>
                          <w:jc w:val="left"/>
                        </w:pPr>
                        <w:r>
                          <w:rPr>
                            <w:w w:val="104"/>
                            <w:bdr w:val="single" w:color="000000" w:sz="11"/>
                          </w:rPr>
                          <w:t xml:space="preserve">Эндоваскулярная</w:t>
                        </w:r>
                      </w:p>
                    </w:txbxContent>
                  </v:textbox>
                </v:rect>
                <v:rect id="Rectangle 15352" style="position:absolute;width:11119;height:2030;left:55583;top:8050;" filled="f" stroked="f">
                  <v:textbox inset="0,0,0,0">
                    <w:txbxContent>
                      <w:p>
                        <w:pPr>
                          <w:spacing w:before="0" w:after="160" w:line="259" w:lineRule="auto"/>
                          <w:ind w:left="0" w:right="0" w:firstLine="0"/>
                          <w:jc w:val="left"/>
                        </w:pPr>
                        <w:r>
                          <w:rPr>
                            <w:w w:val="106"/>
                          </w:rPr>
                          <w:t xml:space="preserve">Хирургическая</w:t>
                        </w:r>
                      </w:p>
                    </w:txbxContent>
                  </v:textbox>
                </v:rect>
                <v:shape id="Shape 15353" style="position:absolute;width:9983;height:1869;left:54771;top:7847;" coordsize="998360,186982" path="m0,186982l998360,186982l998360,0l0,0x">
                  <v:stroke weight="0.709pt" endcap="flat" joinstyle="miter" miterlimit="4" on="true" color="#000000"/>
                  <v:fill on="false" color="#000000" opacity="0"/>
                </v:shape>
                <v:shape id="Shape 378541" style="position:absolute;width:17268;height:12278;left:4751;top:11985;" coordsize="1726895,1227836" path="m0,0l1726895,0l1726895,1227836l0,1227836l0,0">
                  <v:stroke weight="0pt" endcap="flat" joinstyle="miter" miterlimit="4" on="false" color="#000000" opacity="0"/>
                  <v:fill on="true" color="#dadad9"/>
                </v:shape>
                <v:shape id="Shape 15355" style="position:absolute;width:17268;height:12278;left:4751;top:11985;" coordsize="1726895,1227836" path="m0,1227836l1726895,1227836l1726895,0l0,0x">
                  <v:stroke weight="0.709pt" endcap="flat" joinstyle="miter" miterlimit="4" on="true" color="#000000"/>
                  <v:fill on="false" color="#000000" opacity="0"/>
                </v:shape>
                <v:shape id="Shape 378542" style="position:absolute;width:17268;height:12278;left:24861;top:11985;" coordsize="1726895,1227836" path="m0,0l1726895,0l1726895,1227836l0,1227836l0,0">
                  <v:stroke weight="0pt" endcap="flat" joinstyle="miter" miterlimit="4" on="false" color="#000000" opacity="0"/>
                  <v:fill on="true" color="#dadad9"/>
                </v:shape>
                <v:shape id="Shape 15357" style="position:absolute;width:17268;height:12278;left:24861;top:11985;" coordsize="1726895,1227836" path="m0,1227836l1726895,1227836l1726895,0l0,0x">
                  <v:stroke weight="0.709pt" endcap="flat" joinstyle="miter" miterlimit="4" on="true" color="#000000"/>
                  <v:fill on="false" color="#000000" opacity="0"/>
                </v:shape>
                <v:shape id="Shape 378543" style="position:absolute;width:9983;height:4475;left:43395;top:11940;" coordsize="998360,447510" path="m0,0l998360,0l998360,447510l0,447510l0,0">
                  <v:stroke weight="0pt" endcap="flat" joinstyle="miter" miterlimit="4" on="false" color="#000000" opacity="0"/>
                  <v:fill on="true" color="#dadad9"/>
                </v:shape>
                <v:rect id="Rectangle 15359" style="position:absolute;width:8175;height:2030;left:45314;top:13445;" filled="f" stroked="f">
                  <v:textbox inset="0,0,0,0">
                    <w:txbxContent>
                      <w:p>
                        <w:pPr>
                          <w:spacing w:before="0" w:after="160" w:line="259" w:lineRule="auto"/>
                          <w:ind w:left="0" w:right="0" w:firstLine="0"/>
                          <w:jc w:val="left"/>
                        </w:pPr>
                        <w:r>
                          <w:rPr>
                            <w:w w:val="104"/>
                          </w:rPr>
                          <w:t xml:space="preserve">ДААТ</w:t>
                        </w:r>
                        <w:r>
                          <w:rPr>
                            <w:spacing w:val="-3"/>
                            <w:w w:val="104"/>
                          </w:rPr>
                          <w:t xml:space="preserve"> </w:t>
                        </w:r>
                        <w:r>
                          <w:rPr>
                            <w:w w:val="104"/>
                          </w:rPr>
                          <w:t xml:space="preserve">(А+К)</w:t>
                        </w:r>
                      </w:p>
                    </w:txbxContent>
                  </v:textbox>
                </v:rect>
                <v:shape id="Shape 15360" style="position:absolute;width:9983;height:4475;left:43395;top:11940;" coordsize="998360,447510" path="m0,447510l998360,447510l998360,0l0,0x">
                  <v:stroke weight="0.709pt" endcap="flat" joinstyle="miter" miterlimit="4" on="true" color="#000000"/>
                  <v:fill on="false" color="#000000" opacity="0"/>
                </v:shape>
                <v:shape id="Shape 378548" style="position:absolute;width:9983;height:12323;left:54771;top:11940;" coordsize="998360,1232306" path="m0,0l998360,0l998360,1232306l0,1232306l0,0">
                  <v:stroke weight="0pt" endcap="flat" joinstyle="miter" miterlimit="4" on="false" color="#000000" opacity="0"/>
                  <v:fill on="true" color="#dadad9"/>
                </v:shape>
                <v:shape id="Shape 15362" style="position:absolute;width:9983;height:12323;left:54771;top:11940;" coordsize="998360,1232306" path="m0,1232306l998360,1232306l998360,0l0,0x">
                  <v:stroke weight="0.709pt" endcap="flat" joinstyle="miter" miterlimit="4" on="true" color="#000000"/>
                  <v:fill on="false" color="#000000" opacity="0"/>
                </v:shape>
                <v:shape id="Shape 378549" style="position:absolute;width:9983;height:7416;left:43398;top:16847;" coordsize="998360,741604" path="m0,0l998360,0l998360,741604l0,741604l0,0">
                  <v:stroke weight="0pt" endcap="flat" joinstyle="miter" miterlimit="4" on="false" color="#000000" opacity="0"/>
                  <v:fill on="true" color="#dadad9"/>
                </v:shape>
                <v:rect id="Rectangle 15364" style="position:absolute;width:2937;height:2030;left:47097;top:19061;" filled="f" stroked="f">
                  <v:textbox inset="0,0,0,0">
                    <w:txbxContent>
                      <w:p>
                        <w:pPr>
                          <w:spacing w:before="0" w:after="160" w:line="259" w:lineRule="auto"/>
                          <w:ind w:left="0" w:right="0" w:firstLine="0"/>
                          <w:jc w:val="left"/>
                        </w:pPr>
                        <w:r>
                          <w:rPr>
                            <w:w w:val="102"/>
                          </w:rPr>
                          <w:t xml:space="preserve">ОАТ</w:t>
                        </w:r>
                      </w:p>
                    </w:txbxContent>
                  </v:textbox>
                </v:rect>
                <v:rect id="Rectangle 15365" style="position:absolute;width:502;height:1177;left:49305;top:19149;" filled="f" stroked="f">
                  <v:textbox inset="0,0,0,0">
                    <w:txbxContent>
                      <w:p>
                        <w:pPr>
                          <w:spacing w:before="0" w:after="160" w:line="259" w:lineRule="auto"/>
                          <w:ind w:left="0" w:right="0" w:firstLine="0"/>
                          <w:jc w:val="left"/>
                        </w:pPr>
                        <w:r>
                          <w:rPr>
                            <w:w w:val="101"/>
                            <w:sz w:val="12"/>
                          </w:rPr>
                          <w:t xml:space="preserve">3</w:t>
                        </w:r>
                      </w:p>
                    </w:txbxContent>
                  </v:textbox>
                </v:rect>
                <v:rect id="Rectangle 15366" style="position:absolute;width:716;height:2030;left:49683;top:19061;" filled="f" stroked="f">
                  <v:textbox inset="0,0,0,0">
                    <w:txbxContent>
                      <w:p>
                        <w:pPr>
                          <w:spacing w:before="0" w:after="160" w:line="259" w:lineRule="auto"/>
                          <w:ind w:left="0" w:right="0" w:firstLine="0"/>
                          <w:jc w:val="left"/>
                        </w:pPr>
                        <w:r>
                          <w:rPr>
                            <w:spacing w:val="-3"/>
                          </w:rPr>
                          <w:t xml:space="preserve"> </w:t>
                        </w:r>
                        <w:r>
                          <w:rPr>
                            <w:spacing w:val="-3"/>
                          </w:rPr>
                          <w:t xml:space="preserve"> </w:t>
                        </w:r>
                      </w:p>
                    </w:txbxContent>
                  </v:textbox>
                </v:rect>
                <v:rect id="Rectangle 273562" style="position:absolute;width:479;height:2030;left:50420;top:20585;" filled="f" stroked="f">
                  <v:textbox inset="0,0,0,0">
                    <w:txbxContent>
                      <w:p>
                        <w:pPr>
                          <w:spacing w:before="0" w:after="160" w:line="259" w:lineRule="auto"/>
                          <w:ind w:left="0" w:right="0" w:firstLine="0"/>
                          <w:jc w:val="left"/>
                        </w:pPr>
                        <w:r>
                          <w:rPr>
                            <w:w w:val="95"/>
                          </w:rPr>
                          <w:t xml:space="preserve">)</w:t>
                        </w:r>
                      </w:p>
                    </w:txbxContent>
                  </v:textbox>
                </v:rect>
                <v:rect id="Rectangle 273560" style="position:absolute;width:479;height:2030;left:45999;top:20585;" filled="f" stroked="f">
                  <v:textbox inset="0,0,0,0">
                    <w:txbxContent>
                      <w:p>
                        <w:pPr>
                          <w:spacing w:before="0" w:after="160" w:line="259" w:lineRule="auto"/>
                          <w:ind w:left="0" w:right="0" w:firstLine="0"/>
                          <w:jc w:val="left"/>
                        </w:pPr>
                        <w:r>
                          <w:rPr>
                            <w:w w:val="95"/>
                          </w:rPr>
                          <w:t xml:space="preserve">(</w:t>
                        </w:r>
                      </w:p>
                    </w:txbxContent>
                  </v:textbox>
                </v:rect>
                <v:rect id="Rectangle 273564" style="position:absolute;width:5400;height:2030;left:46360;top:20585;" filled="f" stroked="f">
                  <v:textbox inset="0,0,0,0">
                    <w:txbxContent>
                      <w:p>
                        <w:pPr>
                          <w:spacing w:before="0" w:after="160" w:line="259" w:lineRule="auto"/>
                          <w:ind w:left="0" w:right="0" w:firstLine="0"/>
                          <w:jc w:val="left"/>
                        </w:pPr>
                        <w:r>
                          <w:rPr>
                            <w:w w:val="104"/>
                          </w:rPr>
                          <w:t xml:space="preserve">А</w:t>
                        </w:r>
                        <w:r>
                          <w:rPr>
                            <w:spacing w:val="-3"/>
                            <w:w w:val="104"/>
                          </w:rPr>
                          <w:t xml:space="preserve"> </w:t>
                        </w:r>
                        <w:r>
                          <w:rPr>
                            <w:w w:val="104"/>
                          </w:rPr>
                          <w:t xml:space="preserve">или</w:t>
                        </w:r>
                        <w:r>
                          <w:rPr>
                            <w:spacing w:val="-3"/>
                            <w:w w:val="104"/>
                          </w:rPr>
                          <w:t xml:space="preserve"> </w:t>
                        </w:r>
                        <w:r>
                          <w:rPr>
                            <w:w w:val="104"/>
                          </w:rPr>
                          <w:t xml:space="preserve">К</w:t>
                        </w:r>
                      </w:p>
                    </w:txbxContent>
                  </v:textbox>
                </v:rect>
                <v:shape id="Shape 15368" style="position:absolute;width:9983;height:7416;left:43398;top:16847;" coordsize="998360,741604" path="m0,741604l998360,741604l998360,0l0,0x">
                  <v:stroke weight="0.709pt" endcap="flat" joinstyle="miter" miterlimit="4" on="true" color="#000000"/>
                  <v:fill on="false" color="#000000" opacity="0"/>
                </v:shape>
                <v:rect id="Rectangle 15369" style="position:absolute;width:2937;height:2030;left:56921;top:12676;" filled="f" stroked="f">
                  <v:textbox inset="0,0,0,0">
                    <w:txbxContent>
                      <w:p>
                        <w:pPr>
                          <w:spacing w:before="0" w:after="160" w:line="259" w:lineRule="auto"/>
                          <w:ind w:left="0" w:right="0" w:firstLine="0"/>
                          <w:jc w:val="left"/>
                        </w:pPr>
                        <w:r>
                          <w:rPr>
                            <w:w w:val="102"/>
                          </w:rPr>
                          <w:t xml:space="preserve">ОАТ</w:t>
                        </w:r>
                      </w:p>
                    </w:txbxContent>
                  </v:textbox>
                </v:rect>
                <v:rect id="Rectangle 273541" style="position:absolute;width:207;height:1177;left:59508;top:12765;" filled="f" stroked="f">
                  <v:textbox inset="0,0,0,0">
                    <w:txbxContent>
                      <w:p>
                        <w:pPr>
                          <w:spacing w:before="0" w:after="160" w:line="259" w:lineRule="auto"/>
                          <w:ind w:left="0" w:right="0" w:firstLine="0"/>
                          <w:jc w:val="left"/>
                        </w:pPr>
                        <w:r>
                          <w:rPr>
                            <w:sz w:val="12"/>
                          </w:rPr>
                          <w:t xml:space="preserve"> </w:t>
                        </w:r>
                      </w:p>
                    </w:txbxContent>
                  </v:textbox>
                </v:rect>
                <v:rect id="Rectangle 273539" style="position:absolute;width:502;height:1177;left:59130;top:12765;" filled="f" stroked="f">
                  <v:textbox inset="0,0,0,0">
                    <w:txbxContent>
                      <w:p>
                        <w:pPr>
                          <w:spacing w:before="0" w:after="160" w:line="259" w:lineRule="auto"/>
                          <w:ind w:left="0" w:right="0" w:firstLine="0"/>
                          <w:jc w:val="left"/>
                        </w:pPr>
                        <w:r>
                          <w:rPr>
                            <w:w w:val="101"/>
                            <w:sz w:val="12"/>
                          </w:rPr>
                          <w:t xml:space="preserve">3</w:t>
                        </w:r>
                      </w:p>
                    </w:txbxContent>
                  </v:textbox>
                </v:rect>
                <v:rect id="Rectangle 273549" style="position:absolute;width:479;height:2030;left:60245;top:14200;" filled="f" stroked="f">
                  <v:textbox inset="0,0,0,0">
                    <w:txbxContent>
                      <w:p>
                        <w:pPr>
                          <w:spacing w:before="0" w:after="160" w:line="259" w:lineRule="auto"/>
                          <w:ind w:left="0" w:right="0" w:firstLine="0"/>
                          <w:jc w:val="left"/>
                        </w:pPr>
                        <w:r>
                          <w:rPr>
                            <w:w w:val="95"/>
                          </w:rPr>
                          <w:t xml:space="preserve">)</w:t>
                        </w:r>
                      </w:p>
                    </w:txbxContent>
                  </v:textbox>
                </v:rect>
                <v:rect id="Rectangle 273551" style="position:absolute;width:5400;height:2030;left:56184;top:14200;" filled="f" stroked="f">
                  <v:textbox inset="0,0,0,0">
                    <w:txbxContent>
                      <w:p>
                        <w:pPr>
                          <w:spacing w:before="0" w:after="160" w:line="259" w:lineRule="auto"/>
                          <w:ind w:left="0" w:right="0" w:firstLine="0"/>
                          <w:jc w:val="left"/>
                        </w:pPr>
                        <w:r>
                          <w:rPr>
                            <w:w w:val="104"/>
                          </w:rPr>
                          <w:t xml:space="preserve">А</w:t>
                        </w:r>
                        <w:r>
                          <w:rPr>
                            <w:spacing w:val="-3"/>
                            <w:w w:val="104"/>
                          </w:rPr>
                          <w:t xml:space="preserve"> </w:t>
                        </w:r>
                        <w:r>
                          <w:rPr>
                            <w:w w:val="104"/>
                          </w:rPr>
                          <w:t xml:space="preserve">или</w:t>
                        </w:r>
                        <w:r>
                          <w:rPr>
                            <w:spacing w:val="-3"/>
                            <w:w w:val="104"/>
                          </w:rPr>
                          <w:t xml:space="preserve"> </w:t>
                        </w:r>
                        <w:r>
                          <w:rPr>
                            <w:w w:val="104"/>
                          </w:rPr>
                          <w:t xml:space="preserve">К</w:t>
                        </w:r>
                      </w:p>
                    </w:txbxContent>
                  </v:textbox>
                </v:rect>
                <v:rect id="Rectangle 273548" style="position:absolute;width:479;height:2030;left:55824;top:14200;" filled="f" stroked="f">
                  <v:textbox inset="0,0,0,0">
                    <w:txbxContent>
                      <w:p>
                        <w:pPr>
                          <w:spacing w:before="0" w:after="160" w:line="259" w:lineRule="auto"/>
                          <w:ind w:left="0" w:right="0" w:firstLine="0"/>
                          <w:jc w:val="left"/>
                        </w:pPr>
                        <w:r>
                          <w:rPr>
                            <w:w w:val="95"/>
                          </w:rPr>
                          <w:t xml:space="preserve">(</w:t>
                        </w:r>
                      </w:p>
                    </w:txbxContent>
                  </v:textbox>
                </v:rect>
                <v:shape id="Shape 15372" style="position:absolute;width:9809;height:12284;left:54935;top:11952;" coordsize="980999,1228471" path="m980999,0l0,1228471">
                  <v:stroke weight="0.709pt" endcap="flat" dashstyle="3.02257 2.02398" joinstyle="miter" miterlimit="4" on="true" color="#000000"/>
                  <v:fill on="false" color="#000000" opacity="0"/>
                </v:shape>
                <v:rect id="Rectangle 15373" style="position:absolute;width:2800;height:2030;left:61775;top:21119;" filled="f" stroked="f">
                  <v:textbox inset="0,0,0,0">
                    <w:txbxContent>
                      <w:p>
                        <w:pPr>
                          <w:spacing w:before="0" w:after="160" w:line="259" w:lineRule="auto"/>
                          <w:ind w:left="0" w:right="0" w:firstLine="0"/>
                          <w:jc w:val="left"/>
                        </w:pPr>
                        <w:r>
                          <w:rPr>
                            <w:spacing w:val="-4"/>
                            <w:w w:val="101"/>
                          </w:rPr>
                          <w:t xml:space="preserve">АВК</w:t>
                        </w:r>
                      </w:p>
                    </w:txbxContent>
                  </v:textbox>
                </v:rect>
                <v:rect id="Rectangle 15374" style="position:absolute;width:502;height:1177;left:63858;top:21208;" filled="f" stroked="f">
                  <v:textbox inset="0,0,0,0">
                    <w:txbxContent>
                      <w:p>
                        <w:pPr>
                          <w:spacing w:before="0" w:after="160" w:line="259" w:lineRule="auto"/>
                          <w:ind w:left="0" w:right="0" w:firstLine="0"/>
                          <w:jc w:val="left"/>
                        </w:pPr>
                        <w:r>
                          <w:rPr>
                            <w:w w:val="101"/>
                            <w:sz w:val="12"/>
                          </w:rPr>
                          <w:t xml:space="preserve">4</w:t>
                        </w:r>
                      </w:p>
                    </w:txbxContent>
                  </v:textbox>
                </v:rect>
                <v:shape id="Shape 15375" style="position:absolute;width:0;height:7964;left:13372;top:3284;" coordsize="0,796443" path="m0,0l0,796443">
                  <v:stroke weight="0.709pt" endcap="flat" joinstyle="miter" miterlimit="4" on="true" color="#000000"/>
                  <v:fill on="false" color="#000000" opacity="0"/>
                </v:shape>
                <v:shape id="Shape 15376" style="position:absolute;width:611;height:839;left:13066;top:11049;" coordsize="61113,83972" path="m0,0l30556,20015l61113,0l30556,83972l0,0x">
                  <v:stroke weight="0pt" endcap="flat" joinstyle="miter" miterlimit="4" on="false" color="#000000" opacity="0"/>
                  <v:fill on="true" color="#000000"/>
                </v:shape>
                <v:shape id="Shape 15377" style="position:absolute;width:0;height:7964;left:33495;top:3284;" coordsize="0,796443" path="m0,0l0,796443">
                  <v:stroke weight="0.709pt" endcap="flat" joinstyle="miter" miterlimit="4" on="true" color="#000000"/>
                  <v:fill on="false" color="#000000" opacity="0"/>
                </v:shape>
                <v:shape id="Shape 15378" style="position:absolute;width:611;height:839;left:33189;top:11049;" coordsize="61113,83972" path="m0,0l30556,20015l61113,0l30556,83972l0,0x">
                  <v:stroke weight="0pt" endcap="flat" joinstyle="miter" miterlimit="4" on="false" color="#000000" opacity="0"/>
                  <v:fill on="true" color="#000000"/>
                </v:shape>
                <v:shape id="Shape 15379" style="position:absolute;width:0;height:2195;left:54066;top:3374;" coordsize="0,219596" path="m0,0l0,219596">
                  <v:stroke weight="0.709pt" endcap="flat" joinstyle="miter" miterlimit="4" on="true" color="#000000"/>
                  <v:fill on="false" color="#000000" opacity="0"/>
                </v:shape>
                <v:shape id="Shape 15380" style="position:absolute;width:0;height:1628;left:48390;top:5534;" coordsize="0,162839" path="m0,0l0,162839">
                  <v:stroke weight="0.709pt" endcap="flat" joinstyle="miter" miterlimit="4" on="true" color="#000000"/>
                  <v:fill on="false" color="#000000" opacity="0"/>
                </v:shape>
                <v:shape id="Shape 15381" style="position:absolute;width:611;height:839;left:48084;top:6963;" coordsize="61113,83972" path="m0,0l30556,20015l61113,0l30556,83972l0,0x">
                  <v:stroke weight="0pt" endcap="flat" joinstyle="miter" miterlimit="4" on="false" color="#000000" opacity="0"/>
                  <v:fill on="true" color="#000000"/>
                </v:shape>
                <v:shape id="Shape 15382" style="position:absolute;width:0;height:1486;left:48390;top:9764;" coordsize="0,148654" path="m0,0l0,148654">
                  <v:stroke weight="0.709pt" endcap="flat" joinstyle="miter" miterlimit="4" on="true" color="#000000"/>
                  <v:fill on="false" color="#000000" opacity="0"/>
                </v:shape>
                <v:shape id="Shape 15383" style="position:absolute;width:611;height:839;left:48084;top:11051;" coordsize="61113,83972" path="m0,0l30556,20015l61113,0l30556,83972l0,0x">
                  <v:stroke weight="0pt" endcap="flat" joinstyle="miter" miterlimit="4" on="false" color="#000000" opacity="0"/>
                  <v:fill on="true" color="#000000"/>
                </v:shape>
                <v:shape id="Shape 15384" style="position:absolute;width:0;height:1628;left:59855;top:5534;" coordsize="0,162839" path="m0,0l0,162839">
                  <v:stroke weight="0.709pt" endcap="flat" joinstyle="miter" miterlimit="4" on="true" color="#000000"/>
                  <v:fill on="false" color="#000000" opacity="0"/>
                </v:shape>
                <v:shape id="Shape 15385" style="position:absolute;width:611;height:839;left:59549;top:6963;" coordsize="61113,83972" path="m0,0l30556,20015l61113,0l30556,83972l0,0x">
                  <v:stroke weight="0pt" endcap="flat" joinstyle="miter" miterlimit="4" on="false" color="#000000" opacity="0"/>
                  <v:fill on="true" color="#000000"/>
                </v:shape>
                <v:shape id="Shape 15386" style="position:absolute;width:0;height:1486;left:59855;top:9764;" coordsize="0,148654" path="m0,0l0,148654">
                  <v:stroke weight="0.709pt" endcap="flat" joinstyle="miter" miterlimit="4" on="true" color="#000000"/>
                  <v:fill on="false" color="#000000" opacity="0"/>
                </v:shape>
                <v:shape id="Shape 15387" style="position:absolute;width:611;height:839;left:59549;top:11051;" coordsize="61113,83972" path="m0,0l30556,20015l61113,0l30556,83972l0,0x">
                  <v:stroke weight="0pt" endcap="flat" joinstyle="miter" miterlimit="4" on="false" color="#000000" opacity="0"/>
                  <v:fill on="true" color="#000000"/>
                </v:shape>
                <v:shape id="Shape 15388" style="position:absolute;width:0;height:1933;left:48390;top:24218;" coordsize="0,193345" path="m0,0l0,193345">
                  <v:stroke weight="0.709pt" endcap="flat" joinstyle="miter" miterlimit="4" on="true" color="#000000"/>
                  <v:fill on="false" color="#000000" opacity="0"/>
                </v:shape>
                <v:shape id="Shape 15389" style="position:absolute;width:611;height:839;left:48084;top:25952;" coordsize="61113,83972" path="m0,0l30556,20015l61113,0l30556,83972l0,0x">
                  <v:stroke weight="0pt" endcap="flat" joinstyle="miter" miterlimit="4" on="false" color="#000000" opacity="0"/>
                  <v:fill on="true" color="#000000"/>
                </v:shape>
                <v:shape id="Shape 15390" style="position:absolute;width:0;height:1933;left:59855;top:24218;" coordsize="0,193345" path="m0,0l0,193345">
                  <v:stroke weight="0.709pt" endcap="flat" joinstyle="miter" miterlimit="4" on="true" color="#000000"/>
                  <v:fill on="false" color="#000000" opacity="0"/>
                </v:shape>
                <v:shape id="Shape 15391" style="position:absolute;width:611;height:839;left:59549;top:25952;" coordsize="61113,83972" path="m0,0l30556,20015l61113,0l30556,83972l0,0x">
                  <v:stroke weight="0pt" endcap="flat" joinstyle="miter" miterlimit="4" on="false" color="#000000" opacity="0"/>
                  <v:fill on="true" color="#000000"/>
                </v:shape>
                <v:shape id="Shape 15392" style="position:absolute;width:0;height:1933;left:33495;top:24218;" coordsize="0,193345" path="m0,0l0,193345">
                  <v:stroke weight="0.709pt" endcap="flat" joinstyle="miter" miterlimit="4" on="true" color="#000000"/>
                  <v:fill on="false" color="#000000" opacity="0"/>
                </v:shape>
                <v:shape id="Shape 15393" style="position:absolute;width:611;height:839;left:33189;top:25952;" coordsize="61113,83972" path="m0,0l30556,20015l61113,0l30556,83972l0,0x">
                  <v:stroke weight="0pt" endcap="flat" joinstyle="miter" miterlimit="4" on="false" color="#000000" opacity="0"/>
                  <v:fill on="true" color="#000000"/>
                </v:shape>
                <v:shape id="Shape 15394" style="position:absolute;width:0;height:1933;left:13386;top:24218;" coordsize="0,193345" path="m0,0l0,193345">
                  <v:stroke weight="0.709pt" endcap="flat" joinstyle="miter" miterlimit="4" on="true" color="#000000"/>
                  <v:fill on="false" color="#000000" opacity="0"/>
                </v:shape>
                <v:shape id="Shape 15395" style="position:absolute;width:611;height:839;left:13080;top:25952;" coordsize="61113,83972" path="m0,0l30556,20015l61113,0l30556,83972l0,0x">
                  <v:stroke weight="0pt" endcap="flat" joinstyle="miter" miterlimit="4" on="false" color="#000000" opacity="0"/>
                  <v:fill on="true" color="#000000"/>
                </v:shape>
                <v:shape id="Shape 15396" style="position:absolute;width:0;height:14156;left:4072;top:11960;" coordsize="0,1415644" path="m0,0l0,1415644">
                  <v:stroke weight="0.709pt" endcap="flat" joinstyle="miter" miterlimit="4" on="true" color="#000000"/>
                  <v:fill on="false" color="#000000" opacity="0"/>
                </v:shape>
                <v:shape id="Shape 15397" style="position:absolute;width:611;height:839;left:3766;top:25917;" coordsize="61112,83972" path="m0,0l30556,20015l61112,0l30556,83972l0,0x">
                  <v:stroke weight="0pt" endcap="flat" joinstyle="miter" miterlimit="4" on="false" color="#000000" opacity="0"/>
                  <v:fill on="true" color="#000000"/>
                </v:shape>
                <v:shape id="Shape 15398" style="position:absolute;width:1152;height:0;left:2663;top:27450;" coordsize="115202,0" path="m115202,0l0,0">
                  <v:stroke weight="0.709pt" endcap="flat" joinstyle="miter" miterlimit="4" on="true" color="#000000"/>
                  <v:fill on="false" color="#000000" opacity="0"/>
                </v:shape>
                <v:shape id="Shape 15399" style="position:absolute;width:1152;height:0;left:2663;top:24264;" coordsize="115202,0" path="m115202,0l0,0">
                  <v:stroke weight="0.709pt" endcap="flat" joinstyle="miter" miterlimit="4" on="true" color="#000000"/>
                  <v:fill on="false" color="#000000" opacity="0"/>
                </v:shape>
                <v:shape id="Shape 15400" style="position:absolute;width:1152;height:0;left:2663;top:16416;" coordsize="115202,0" path="m115202,0l0,0">
                  <v:stroke weight="0.709pt" endcap="flat" joinstyle="miter" miterlimit="4" on="true" color="#000000"/>
                  <v:fill on="false" color="#000000" opacity="0"/>
                </v:shape>
                <v:rect id="Rectangle 273881" style="position:absolute;width:866;height:2030;left:3308;top:10516;" filled="f" stroked="f">
                  <v:textbox inset="0,0,0,0">
                    <w:txbxContent>
                      <w:p>
                        <w:pPr>
                          <w:spacing w:before="0" w:after="160" w:line="259" w:lineRule="auto"/>
                          <w:ind w:left="0" w:right="0" w:firstLine="0"/>
                          <w:jc w:val="left"/>
                        </w:pPr>
                        <w:r>
                          <w:rPr>
                            <w:w w:val="101"/>
                            <w:u w:val="single" w:color="000000"/>
                          </w:rPr>
                          <w:t xml:space="preserve">0</w:t>
                        </w:r>
                      </w:p>
                    </w:txbxContent>
                  </v:textbox>
                </v:rect>
                <v:rect id="Rectangle 273544" style="position:absolute;width:3040;height:2030;left:1493;top:13504;" filled="f" stroked="f">
                  <v:textbox inset="0,0,0,0">
                    <w:txbxContent>
                      <w:p>
                        <w:pPr>
                          <w:spacing w:before="0" w:after="160" w:line="259" w:lineRule="auto"/>
                          <w:ind w:left="0" w:right="0" w:firstLine="0"/>
                          <w:jc w:val="left"/>
                        </w:pPr>
                        <w:r>
                          <w:rPr>
                            <w:spacing w:val="-3"/>
                            <w:w w:val="100"/>
                          </w:rPr>
                          <w:t xml:space="preserve"> </w:t>
                        </w:r>
                        <w:r>
                          <w:rPr>
                            <w:w w:val="100"/>
                          </w:rPr>
                          <w:t xml:space="preserve">мес</w:t>
                        </w:r>
                      </w:p>
                    </w:txbxContent>
                  </v:textbox>
                </v:rect>
                <v:rect id="Rectangle 273543" style="position:absolute;width:866;height:2030;left:842;top:13504;" filled="f" stroked="f">
                  <v:textbox inset="0,0,0,0">
                    <w:txbxContent>
                      <w:p>
                        <w:pPr>
                          <w:spacing w:before="0" w:after="160" w:line="259" w:lineRule="auto"/>
                          <w:ind w:left="0" w:right="0" w:firstLine="0"/>
                          <w:jc w:val="left"/>
                        </w:pPr>
                        <w:r>
                          <w:rPr>
                            <w:w w:val="101"/>
                          </w:rPr>
                          <w:t xml:space="preserve">1</w:t>
                        </w:r>
                      </w:p>
                    </w:txbxContent>
                  </v:textbox>
                </v:rect>
                <v:rect id="Rectangle 273557" style="position:absolute;width:866;height:2030;left:1033;top:19444;" filled="f" stroked="f">
                  <v:textbox inset="0,0,0,0">
                    <w:txbxContent>
                      <w:p>
                        <w:pPr>
                          <w:spacing w:before="0" w:after="160" w:line="259" w:lineRule="auto"/>
                          <w:ind w:left="0" w:right="0" w:firstLine="0"/>
                          <w:jc w:val="left"/>
                        </w:pPr>
                        <w:r>
                          <w:rPr>
                            <w:w w:val="101"/>
                          </w:rPr>
                          <w:t xml:space="preserve">1</w:t>
                        </w:r>
                      </w:p>
                    </w:txbxContent>
                  </v:textbox>
                </v:rect>
                <v:rect id="Rectangle 273558" style="position:absolute;width:2785;height:2030;left:1685;top:19444;" filled="f" stroked="f">
                  <v:textbox inset="0,0,0,0">
                    <w:txbxContent>
                      <w:p>
                        <w:pPr>
                          <w:spacing w:before="0" w:after="160" w:line="259" w:lineRule="auto"/>
                          <w:ind w:left="0" w:right="0" w:firstLine="0"/>
                          <w:jc w:val="left"/>
                        </w:pPr>
                        <w:r>
                          <w:rPr>
                            <w:spacing w:val="-3"/>
                            <w:w w:val="102"/>
                          </w:rPr>
                          <w:t xml:space="preserve"> </w:t>
                        </w:r>
                        <w:r>
                          <w:rPr>
                            <w:w w:val="102"/>
                          </w:rPr>
                          <w:t xml:space="preserve">год</w:t>
                        </w:r>
                      </w:p>
                    </w:txbxContent>
                  </v:textbox>
                </v:rect>
                <v:rect id="Rectangle 15405" style="position:absolute;width:4724;height:1601;left:69;top:24678;" filled="f" stroked="f">
                  <v:textbox inset="0,0,0,0">
                    <w:txbxContent>
                      <w:p>
                        <w:pPr>
                          <w:spacing w:before="0" w:after="160" w:line="259" w:lineRule="auto"/>
                          <w:ind w:left="0" w:right="0" w:firstLine="0"/>
                          <w:jc w:val="left"/>
                        </w:pPr>
                        <w:r>
                          <w:rPr>
                            <w:rFonts w:cs="Calibri" w:hAnsi="Calibri" w:eastAsia="Calibri" w:ascii="Calibri"/>
                            <w:w w:val="76"/>
                            <w:sz w:val="16"/>
                          </w:rPr>
                          <w:t xml:space="preserve">Длительно</w:t>
                        </w:r>
                      </w:p>
                    </w:txbxContent>
                  </v:textbox>
                </v:rect>
                <v:rect id="Rectangle 15406" style="position:absolute;width:402;height:942;left:3621;top:24732;" filled="f" stroked="f">
                  <v:textbox inset="0,0,0,0">
                    <w:txbxContent>
                      <w:p>
                        <w:pPr>
                          <w:spacing w:before="0" w:after="160" w:line="259" w:lineRule="auto"/>
                          <w:ind w:left="0" w:right="0" w:firstLine="0"/>
                          <w:jc w:val="left"/>
                        </w:pPr>
                        <w:r>
                          <w:rPr>
                            <w:w w:val="101"/>
                            <w:sz w:val="9"/>
                          </w:rPr>
                          <w:t xml:space="preserve">5</w:t>
                        </w:r>
                      </w:p>
                    </w:txbxContent>
                  </v:textbox>
                </v:rect>
                <v:shape id="Shape 15407" style="position:absolute;width:11548;height:0;left:48347;top:5570;" coordsize="1154874,0" path="m0,0l1154874,0">
                  <v:stroke weight="0.709pt" endcap="flat" joinstyle="miter" miterlimit="4" on="true" color="#000000"/>
                  <v:fill on="false" color="#000000" opacity="0"/>
                </v:shape>
                <v:rect id="Rectangle 15408" style="position:absolute;width:3295;height:2030;left:12305;top:14944;" filled="f" stroked="f">
                  <v:textbox inset="0,0,0,0">
                    <w:txbxContent>
                      <w:p>
                        <w:pPr>
                          <w:spacing w:before="0" w:after="160" w:line="259" w:lineRule="auto"/>
                          <w:ind w:left="0" w:right="0" w:firstLine="0"/>
                          <w:jc w:val="left"/>
                        </w:pPr>
                        <w:r>
                          <w:rPr>
                            <w:w w:val="102"/>
                          </w:rPr>
                          <w:t xml:space="preserve">ОАТ</w:t>
                        </w:r>
                        <w:r>
                          <w:rPr>
                            <w:spacing w:val="-3"/>
                            <w:w w:val="102"/>
                          </w:rPr>
                          <w:t xml:space="preserve"> </w:t>
                        </w:r>
                      </w:p>
                    </w:txbxContent>
                  </v:textbox>
                </v:rect>
                <v:rect id="Rectangle 15409" style="position:absolute;width:8999;height:2030;left:9838;top:16468;" filled="f" stroked="f">
                  <v:textbox inset="0,0,0,0">
                    <w:txbxContent>
                      <w:p>
                        <w:pPr>
                          <w:spacing w:before="0" w:after="160" w:line="259" w:lineRule="auto"/>
                          <w:ind w:left="0" w:right="0" w:firstLine="0"/>
                          <w:jc w:val="left"/>
                        </w:pPr>
                        <w:r>
                          <w:rPr>
                            <w:w w:val="103"/>
                          </w:rPr>
                          <w:t xml:space="preserve">не</w:t>
                        </w:r>
                        <w:r>
                          <w:rPr>
                            <w:spacing w:val="-3"/>
                            <w:w w:val="103"/>
                          </w:rPr>
                          <w:t xml:space="preserve"> </w:t>
                        </w:r>
                        <w:r>
                          <w:rPr>
                            <w:w w:val="103"/>
                          </w:rPr>
                          <w:t xml:space="preserve">показано</w:t>
                        </w:r>
                      </w:p>
                    </w:txbxContent>
                  </v:textbox>
                </v:rect>
                <v:rect id="Rectangle 15410" style="position:absolute;width:502;height:1177;left:16604;top:16557;" filled="f" stroked="f">
                  <v:textbox inset="0,0,0,0">
                    <w:txbxContent>
                      <w:p>
                        <w:pPr>
                          <w:spacing w:before="0" w:after="160" w:line="259" w:lineRule="auto"/>
                          <w:ind w:left="0" w:right="0" w:firstLine="0"/>
                          <w:jc w:val="left"/>
                        </w:pPr>
                        <w:r>
                          <w:rPr>
                            <w:w w:val="101"/>
                            <w:sz w:val="12"/>
                          </w:rPr>
                          <w:t xml:space="preserve">2</w:t>
                        </w:r>
                      </w:p>
                    </w:txbxContent>
                  </v:textbox>
                </v:rect>
                <v:rect id="Rectangle 15411" style="position:absolute;width:2937;height:2030;left:32186;top:14944;" filled="f" stroked="f">
                  <v:textbox inset="0,0,0,0">
                    <w:txbxContent>
                      <w:p>
                        <w:pPr>
                          <w:spacing w:before="0" w:after="160" w:line="259" w:lineRule="auto"/>
                          <w:ind w:left="0" w:right="0" w:firstLine="0"/>
                          <w:jc w:val="left"/>
                        </w:pPr>
                        <w:r>
                          <w:rPr>
                            <w:w w:val="102"/>
                          </w:rPr>
                          <w:t xml:space="preserve">ОАТ</w:t>
                        </w:r>
                      </w:p>
                    </w:txbxContent>
                  </v:textbox>
                </v:rect>
                <v:rect id="Rectangle 273546" style="position:absolute;width:502;height:1177;left:34395;top:15033;" filled="f" stroked="f">
                  <v:textbox inset="0,0,0,0">
                    <w:txbxContent>
                      <w:p>
                        <w:pPr>
                          <w:spacing w:before="0" w:after="160" w:line="259" w:lineRule="auto"/>
                          <w:ind w:left="0" w:right="0" w:firstLine="0"/>
                          <w:jc w:val="left"/>
                        </w:pPr>
                        <w:r>
                          <w:rPr>
                            <w:w w:val="101"/>
                            <w:sz w:val="12"/>
                          </w:rPr>
                          <w:t xml:space="preserve">3</w:t>
                        </w:r>
                      </w:p>
                    </w:txbxContent>
                  </v:textbox>
                </v:rect>
                <v:rect id="Rectangle 273547" style="position:absolute;width:207;height:1177;left:34773;top:15033;" filled="f" stroked="f">
                  <v:textbox inset="0,0,0,0">
                    <w:txbxContent>
                      <w:p>
                        <w:pPr>
                          <w:spacing w:before="0" w:after="160" w:line="259" w:lineRule="auto"/>
                          <w:ind w:left="0" w:right="0" w:firstLine="0"/>
                          <w:jc w:val="left"/>
                        </w:pPr>
                        <w:r>
                          <w:rPr>
                            <w:sz w:val="12"/>
                          </w:rPr>
                          <w:t xml:space="preserve"> </w:t>
                        </w:r>
                      </w:p>
                    </w:txbxContent>
                  </v:textbox>
                </v:rect>
                <v:rect id="Rectangle 273556" style="position:absolute;width:5400;height:2030;left:31449;top:16468;" filled="f" stroked="f">
                  <v:textbox inset="0,0,0,0">
                    <w:txbxContent>
                      <w:p>
                        <w:pPr>
                          <w:spacing w:before="0" w:after="160" w:line="259" w:lineRule="auto"/>
                          <w:ind w:left="0" w:right="0" w:firstLine="0"/>
                          <w:jc w:val="left"/>
                        </w:pPr>
                        <w:r>
                          <w:rPr>
                            <w:w w:val="104"/>
                          </w:rPr>
                          <w:t xml:space="preserve">А</w:t>
                        </w:r>
                        <w:r>
                          <w:rPr>
                            <w:spacing w:val="-3"/>
                            <w:w w:val="104"/>
                          </w:rPr>
                          <w:t xml:space="preserve"> </w:t>
                        </w:r>
                        <w:r>
                          <w:rPr>
                            <w:w w:val="104"/>
                          </w:rPr>
                          <w:t xml:space="preserve">или</w:t>
                        </w:r>
                        <w:r>
                          <w:rPr>
                            <w:spacing w:val="-3"/>
                            <w:w w:val="104"/>
                          </w:rPr>
                          <w:t xml:space="preserve"> </w:t>
                        </w:r>
                        <w:r>
                          <w:rPr>
                            <w:w w:val="104"/>
                          </w:rPr>
                          <w:t xml:space="preserve">К</w:t>
                        </w:r>
                      </w:p>
                    </w:txbxContent>
                  </v:textbox>
                </v:rect>
                <v:rect id="Rectangle 273555" style="position:absolute;width:479;height:2030;left:35510;top:16468;" filled="f" stroked="f">
                  <v:textbox inset="0,0,0,0">
                    <w:txbxContent>
                      <w:p>
                        <w:pPr>
                          <w:spacing w:before="0" w:after="160" w:line="259" w:lineRule="auto"/>
                          <w:ind w:left="0" w:right="0" w:firstLine="0"/>
                          <w:jc w:val="left"/>
                        </w:pPr>
                        <w:r>
                          <w:rPr>
                            <w:w w:val="95"/>
                          </w:rPr>
                          <w:t xml:space="preserve">)</w:t>
                        </w:r>
                      </w:p>
                    </w:txbxContent>
                  </v:textbox>
                </v:rect>
                <v:rect id="Rectangle 273553" style="position:absolute;width:479;height:2030;left:31089;top:16468;" filled="f" stroked="f">
                  <v:textbox inset="0,0,0,0">
                    <w:txbxContent>
                      <w:p>
                        <w:pPr>
                          <w:spacing w:before="0" w:after="160" w:line="259" w:lineRule="auto"/>
                          <w:ind w:left="0" w:right="0" w:firstLine="0"/>
                          <w:jc w:val="left"/>
                        </w:pPr>
                        <w:r>
                          <w:rPr>
                            <w:w w:val="95"/>
                          </w:rPr>
                          <w:t xml:space="preserve">(</w:t>
                        </w:r>
                      </w:p>
                    </w:txbxContent>
                  </v:textbox>
                </v:rect>
                <v:shape id="Shape 15414" style="position:absolute;width:60695;height:0;left:4104;top:27448;" coordsize="6069597,0" path="m6069597,0l0,0">
                  <v:stroke weight="0.709pt" endcap="flat" joinstyle="miter" miterlimit="4" on="true" color="#000000"/>
                  <v:fill on="false" color="#000000" opacity="0"/>
                </v:shape>
              </v:group>
            </w:pict>
          </mc:Fallback>
        </mc:AlternateContent>
      </w:r>
    </w:p>
    <w:p w:rsidR="00D27BC6" w:rsidRDefault="004D5071">
      <w:pPr>
        <w:spacing w:after="0" w:line="259" w:lineRule="auto"/>
        <w:ind w:left="-3" w:right="0"/>
        <w:jc w:val="left"/>
      </w:pPr>
      <w:r>
        <w:rPr>
          <w:b/>
          <w:sz w:val="16"/>
        </w:rPr>
        <w:t>Примечания:</w:t>
      </w:r>
    </w:p>
    <w:p w:rsidR="00D27BC6" w:rsidRDefault="004D5071">
      <w:pPr>
        <w:spacing w:after="4"/>
        <w:ind w:left="-3" w:right="0"/>
      </w:pPr>
      <w:r>
        <w:rPr>
          <w:sz w:val="16"/>
        </w:rPr>
        <w:t>А – Ацетилсалициловая кислота 75–100 мг/сут; АВК – антагонисты витамина К; ДААТ– двойная ангиагрегантная терапия; К– Клопидогрел 75 мг/сут; ОАТ – однокомпонентная ангиагрегантная терапия.</w:t>
      </w:r>
    </w:p>
    <w:p w:rsidR="00D27BC6" w:rsidRDefault="004D5071">
      <w:pPr>
        <w:spacing w:after="4"/>
        <w:ind w:left="-3" w:right="0"/>
      </w:pPr>
      <w:r>
        <w:rPr>
          <w:sz w:val="14"/>
          <w:vertAlign w:val="superscript"/>
        </w:rPr>
        <w:footnoteReference w:id="16"/>
      </w:r>
      <w:r>
        <w:rPr>
          <w:sz w:val="16"/>
        </w:rPr>
        <w:t xml:space="preserve"> Например, сопутствующая фибрилляция предсердий или механические пр</w:t>
      </w:r>
      <w:r>
        <w:rPr>
          <w:sz w:val="16"/>
        </w:rPr>
        <w:t>отезы клапанов.</w:t>
      </w:r>
    </w:p>
    <w:p w:rsidR="00D27BC6" w:rsidRDefault="004D5071">
      <w:pPr>
        <w:spacing w:after="4"/>
        <w:ind w:left="-3" w:right="0"/>
      </w:pPr>
      <w:r>
        <w:rPr>
          <w:sz w:val="14"/>
          <w:vertAlign w:val="superscript"/>
        </w:rPr>
        <w:footnoteReference w:id="17"/>
      </w:r>
      <w:r>
        <w:rPr>
          <w:sz w:val="16"/>
        </w:rPr>
        <w:t xml:space="preserve"> Показана длительная однокомпонентная антиагрегантная терапия при наличии атеросклероза других артериальных бассейнов (сонных, коронарных, почечных артерий и т.д.). Клопидогрел может быть предпочтительным по сравнению с ацетилсалициловой к</w:t>
      </w:r>
      <w:r>
        <w:rPr>
          <w:sz w:val="16"/>
        </w:rPr>
        <w:t>ислотой.</w:t>
      </w:r>
    </w:p>
    <w:p w:rsidR="00D27BC6" w:rsidRDefault="004D5071">
      <w:pPr>
        <w:spacing w:after="4"/>
        <w:ind w:left="-3" w:right="0"/>
      </w:pPr>
      <w:r>
        <w:rPr>
          <w:sz w:val="14"/>
          <w:vertAlign w:val="superscript"/>
        </w:rPr>
        <w:footnoteReference w:id="18"/>
      </w:r>
      <w:r>
        <w:rPr>
          <w:sz w:val="16"/>
        </w:rPr>
        <w:t xml:space="preserve"> Двойная антиагрегантная терапия может быть рассмотрена у пациента с ОКС и/или чрескожным коронарным вмешательством (менее 1 года), стентированием последней проходимой коронарной артерией, многососудистым поражением коронарных артерий у пациентов</w:t>
      </w:r>
      <w:r>
        <w:rPr>
          <w:sz w:val="16"/>
        </w:rPr>
        <w:t xml:space="preserve"> с неполной реваскуляризацией.</w:t>
      </w:r>
    </w:p>
    <w:p w:rsidR="00D27BC6" w:rsidRDefault="004D5071">
      <w:pPr>
        <w:spacing w:after="4"/>
        <w:ind w:left="-3" w:right="0"/>
      </w:pPr>
      <w:r>
        <w:rPr>
          <w:sz w:val="14"/>
          <w:vertAlign w:val="superscript"/>
        </w:rPr>
        <w:footnoteReference w:id="19"/>
      </w:r>
      <w:r>
        <w:rPr>
          <w:sz w:val="16"/>
        </w:rPr>
        <w:t xml:space="preserve"> Доказательная база является слабой и кровотечение удваивается по сравнению с однокомпонентной антиагрегантной терапией.</w:t>
      </w:r>
    </w:p>
    <w:p w:rsidR="00D27BC6" w:rsidRDefault="004D5071">
      <w:pPr>
        <w:spacing w:after="281"/>
        <w:ind w:left="-3" w:right="0"/>
      </w:pPr>
      <w:r>
        <w:rPr>
          <w:sz w:val="14"/>
          <w:vertAlign w:val="superscript"/>
        </w:rPr>
        <w:t>5</w:t>
      </w:r>
      <w:r>
        <w:rPr>
          <w:sz w:val="16"/>
        </w:rPr>
        <w:t xml:space="preserve"> До тех пор, пока наблюдается хорошая переносимость.</w:t>
      </w:r>
    </w:p>
    <w:p w:rsidR="00D27BC6" w:rsidRDefault="004D5071">
      <w:pPr>
        <w:ind w:left="569" w:right="0" w:hanging="284"/>
      </w:pPr>
      <w:r>
        <w:rPr>
          <w:b/>
        </w:rPr>
        <w:t xml:space="preserve">1.5. </w:t>
      </w:r>
      <w:r>
        <w:rPr>
          <w:b/>
        </w:rPr>
        <w:t xml:space="preserve">Антиагрегантная терапия у пациентов с ЗАНК, которым </w:t>
      </w:r>
      <w:r>
        <w:rPr>
          <w:b/>
          <w:u w:val="single" w:color="000000"/>
        </w:rPr>
        <w:t>требуется</w:t>
      </w:r>
      <w:r>
        <w:rPr>
          <w:b/>
        </w:rPr>
        <w:t xml:space="preserve"> назначение пероральных антикоагулянтов</w:t>
      </w:r>
      <w:r>
        <w:rPr>
          <w:b/>
          <w:sz w:val="18"/>
          <w:vertAlign w:val="superscript"/>
        </w:rPr>
        <w:t>1</w:t>
      </w:r>
    </w:p>
    <w:p w:rsidR="00D27BC6" w:rsidRDefault="004D5071">
      <w:pPr>
        <w:spacing w:after="138" w:line="259" w:lineRule="auto"/>
        <w:ind w:left="2" w:right="0" w:firstLine="0"/>
        <w:jc w:val="left"/>
      </w:pPr>
      <w:r>
        <w:rPr>
          <w:noProof/>
          <w:sz w:val="22"/>
        </w:rPr>
        <mc:AlternateContent>
          <mc:Choice Requires="wpg">
            <w:drawing>
              <wp:inline distT="0" distB="0" distL="0" distR="0">
                <wp:extent cx="6479997" cy="3481057"/>
                <wp:effectExtent l="0" t="0" r="0" b="0"/>
                <wp:docPr id="274190" name="Group 274190"/>
                <wp:cNvGraphicFramePr/>
                <a:graphic xmlns:a="http://schemas.openxmlformats.org/drawingml/2006/main">
                  <a:graphicData uri="http://schemas.microsoft.com/office/word/2010/wordprocessingGroup">
                    <wpg:wgp>
                      <wpg:cNvGrpSpPr/>
                      <wpg:grpSpPr>
                        <a:xfrm>
                          <a:off x="0" y="0"/>
                          <a:ext cx="6479997" cy="3481057"/>
                          <a:chOff x="0" y="0"/>
                          <a:chExt cx="6479997" cy="3481057"/>
                        </a:xfrm>
                      </wpg:grpSpPr>
                      <wps:wsp>
                        <wps:cNvPr id="378594" name="Shape 378594"/>
                        <wps:cNvSpPr/>
                        <wps:spPr>
                          <a:xfrm>
                            <a:off x="0" y="3223311"/>
                            <a:ext cx="6479997" cy="257746"/>
                          </a:xfrm>
                          <a:custGeom>
                            <a:avLst/>
                            <a:gdLst/>
                            <a:ahLst/>
                            <a:cxnLst/>
                            <a:rect l="0" t="0" r="0" b="0"/>
                            <a:pathLst>
                              <a:path w="6479997" h="257746">
                                <a:moveTo>
                                  <a:pt x="0" y="0"/>
                                </a:moveTo>
                                <a:lnTo>
                                  <a:pt x="6479997" y="0"/>
                                </a:lnTo>
                                <a:lnTo>
                                  <a:pt x="6479997" y="257746"/>
                                </a:lnTo>
                                <a:lnTo>
                                  <a:pt x="0" y="257746"/>
                                </a:lnTo>
                                <a:lnTo>
                                  <a:pt x="0" y="0"/>
                                </a:lnTo>
                              </a:path>
                            </a:pathLst>
                          </a:custGeom>
                          <a:ln w="0" cap="flat">
                            <a:miter lim="100000"/>
                          </a:ln>
                        </wps:spPr>
                        <wps:style>
                          <a:lnRef idx="0">
                            <a:srgbClr val="000000">
                              <a:alpha val="0"/>
                            </a:srgbClr>
                          </a:lnRef>
                          <a:fillRef idx="1">
                            <a:srgbClr val="FFED00"/>
                          </a:fillRef>
                          <a:effectRef idx="0">
                            <a:scrgbClr r="0" g="0" b="0"/>
                          </a:effectRef>
                          <a:fontRef idx="none"/>
                        </wps:style>
                        <wps:bodyPr/>
                      </wps:wsp>
                      <wps:wsp>
                        <wps:cNvPr id="378595" name="Shape 378595"/>
                        <wps:cNvSpPr/>
                        <wps:spPr>
                          <a:xfrm>
                            <a:off x="0" y="2313432"/>
                            <a:ext cx="6479997" cy="909841"/>
                          </a:xfrm>
                          <a:custGeom>
                            <a:avLst/>
                            <a:gdLst/>
                            <a:ahLst/>
                            <a:cxnLst/>
                            <a:rect l="0" t="0" r="0" b="0"/>
                            <a:pathLst>
                              <a:path w="6479997" h="909841">
                                <a:moveTo>
                                  <a:pt x="0" y="0"/>
                                </a:moveTo>
                                <a:lnTo>
                                  <a:pt x="6479997" y="0"/>
                                </a:lnTo>
                                <a:lnTo>
                                  <a:pt x="6479997" y="909841"/>
                                </a:lnTo>
                                <a:lnTo>
                                  <a:pt x="0" y="909841"/>
                                </a:lnTo>
                                <a:lnTo>
                                  <a:pt x="0" y="0"/>
                                </a:lnTo>
                              </a:path>
                            </a:pathLst>
                          </a:custGeom>
                          <a:ln w="0" cap="flat">
                            <a:miter lim="100000"/>
                          </a:ln>
                        </wps:spPr>
                        <wps:style>
                          <a:lnRef idx="0">
                            <a:srgbClr val="000000">
                              <a:alpha val="0"/>
                            </a:srgbClr>
                          </a:lnRef>
                          <a:fillRef idx="1">
                            <a:srgbClr val="FFF381"/>
                          </a:fillRef>
                          <a:effectRef idx="0">
                            <a:scrgbClr r="0" g="0" b="0"/>
                          </a:effectRef>
                          <a:fontRef idx="none"/>
                        </wps:style>
                        <wps:bodyPr/>
                      </wps:wsp>
                      <wps:wsp>
                        <wps:cNvPr id="378596" name="Shape 378596"/>
                        <wps:cNvSpPr/>
                        <wps:spPr>
                          <a:xfrm>
                            <a:off x="0" y="1766265"/>
                            <a:ext cx="6479997" cy="547192"/>
                          </a:xfrm>
                          <a:custGeom>
                            <a:avLst/>
                            <a:gdLst/>
                            <a:ahLst/>
                            <a:cxnLst/>
                            <a:rect l="0" t="0" r="0" b="0"/>
                            <a:pathLst>
                              <a:path w="6479997" h="547192">
                                <a:moveTo>
                                  <a:pt x="0" y="0"/>
                                </a:moveTo>
                                <a:lnTo>
                                  <a:pt x="6479997" y="0"/>
                                </a:lnTo>
                                <a:lnTo>
                                  <a:pt x="6479997" y="547192"/>
                                </a:lnTo>
                                <a:lnTo>
                                  <a:pt x="0" y="547192"/>
                                </a:lnTo>
                                <a:lnTo>
                                  <a:pt x="0" y="0"/>
                                </a:lnTo>
                              </a:path>
                            </a:pathLst>
                          </a:custGeom>
                          <a:ln w="0" cap="flat">
                            <a:miter lim="100000"/>
                          </a:ln>
                        </wps:spPr>
                        <wps:style>
                          <a:lnRef idx="0">
                            <a:srgbClr val="000000">
                              <a:alpha val="0"/>
                            </a:srgbClr>
                          </a:lnRef>
                          <a:fillRef idx="1">
                            <a:srgbClr val="FFF9C7"/>
                          </a:fillRef>
                          <a:effectRef idx="0">
                            <a:scrgbClr r="0" g="0" b="0"/>
                          </a:effectRef>
                          <a:fontRef idx="none"/>
                        </wps:style>
                        <wps:bodyPr/>
                      </wps:wsp>
                      <wps:wsp>
                        <wps:cNvPr id="378597" name="Shape 378597"/>
                        <wps:cNvSpPr/>
                        <wps:spPr>
                          <a:xfrm>
                            <a:off x="7188" y="365811"/>
                            <a:ext cx="1726895" cy="400647"/>
                          </a:xfrm>
                          <a:custGeom>
                            <a:avLst/>
                            <a:gdLst/>
                            <a:ahLst/>
                            <a:cxnLst/>
                            <a:rect l="0" t="0" r="0" b="0"/>
                            <a:pathLst>
                              <a:path w="1726895" h="400647">
                                <a:moveTo>
                                  <a:pt x="0" y="0"/>
                                </a:moveTo>
                                <a:lnTo>
                                  <a:pt x="1726895" y="0"/>
                                </a:lnTo>
                                <a:lnTo>
                                  <a:pt x="1726895" y="400647"/>
                                </a:lnTo>
                                <a:lnTo>
                                  <a:pt x="0" y="400647"/>
                                </a:lnTo>
                                <a:lnTo>
                                  <a:pt x="0" y="0"/>
                                </a:lnTo>
                              </a:path>
                            </a:pathLst>
                          </a:custGeom>
                          <a:ln w="0" cap="flat">
                            <a:miter lim="100000"/>
                          </a:ln>
                        </wps:spPr>
                        <wps:style>
                          <a:lnRef idx="0">
                            <a:srgbClr val="000000">
                              <a:alpha val="0"/>
                            </a:srgbClr>
                          </a:lnRef>
                          <a:fillRef idx="1">
                            <a:srgbClr val="FABF75"/>
                          </a:fillRef>
                          <a:effectRef idx="0">
                            <a:scrgbClr r="0" g="0" b="0"/>
                          </a:effectRef>
                          <a:fontRef idx="none"/>
                        </wps:style>
                        <wps:bodyPr/>
                      </wps:wsp>
                      <wps:wsp>
                        <wps:cNvPr id="15439" name="Rectangle 15439"/>
                        <wps:cNvSpPr/>
                        <wps:spPr>
                          <a:xfrm>
                            <a:off x="404865" y="411957"/>
                            <a:ext cx="1307194" cy="209280"/>
                          </a:xfrm>
                          <a:prstGeom prst="rect">
                            <a:avLst/>
                          </a:prstGeom>
                          <a:ln>
                            <a:noFill/>
                          </a:ln>
                        </wps:spPr>
                        <wps:txbx>
                          <w:txbxContent>
                            <w:p w:rsidR="00D27BC6" w:rsidRDefault="004D5071">
                              <w:pPr>
                                <w:spacing w:after="160" w:line="259" w:lineRule="auto"/>
                                <w:ind w:left="0" w:right="0" w:firstLine="0"/>
                                <w:jc w:val="left"/>
                              </w:pPr>
                              <w:r>
                                <w:rPr>
                                  <w:b/>
                                  <w:w w:val="109"/>
                                </w:rPr>
                                <w:t>Бессимптомное</w:t>
                              </w:r>
                              <w:r>
                                <w:rPr>
                                  <w:b/>
                                  <w:spacing w:val="-5"/>
                                  <w:w w:val="109"/>
                                </w:rPr>
                                <w:t xml:space="preserve">  </w:t>
                              </w:r>
                            </w:p>
                          </w:txbxContent>
                        </wps:txbx>
                        <wps:bodyPr horzOverflow="overflow" vert="horz" lIns="0" tIns="0" rIns="0" bIns="0" rtlCol="0">
                          <a:noAutofit/>
                        </wps:bodyPr>
                      </wps:wsp>
                      <wps:wsp>
                        <wps:cNvPr id="15440" name="Rectangle 15440"/>
                        <wps:cNvSpPr/>
                        <wps:spPr>
                          <a:xfrm>
                            <a:off x="631941" y="564357"/>
                            <a:ext cx="634933" cy="209280"/>
                          </a:xfrm>
                          <a:prstGeom prst="rect">
                            <a:avLst/>
                          </a:prstGeom>
                          <a:ln>
                            <a:noFill/>
                          </a:ln>
                        </wps:spPr>
                        <wps:txbx>
                          <w:txbxContent>
                            <w:p w:rsidR="00D27BC6" w:rsidRDefault="004D5071">
                              <w:pPr>
                                <w:spacing w:after="160" w:line="259" w:lineRule="auto"/>
                                <w:ind w:left="0" w:right="0" w:firstLine="0"/>
                                <w:jc w:val="left"/>
                              </w:pPr>
                              <w:r>
                                <w:rPr>
                                  <w:b/>
                                  <w:w w:val="110"/>
                                </w:rPr>
                                <w:t>течение</w:t>
                              </w:r>
                            </w:p>
                          </w:txbxContent>
                        </wps:txbx>
                        <wps:bodyPr horzOverflow="overflow" vert="horz" lIns="0" tIns="0" rIns="0" bIns="0" rtlCol="0">
                          <a:noAutofit/>
                        </wps:bodyPr>
                      </wps:wsp>
                      <wps:wsp>
                        <wps:cNvPr id="15441" name="Shape 15441"/>
                        <wps:cNvSpPr/>
                        <wps:spPr>
                          <a:xfrm>
                            <a:off x="7188" y="365811"/>
                            <a:ext cx="1726895" cy="400647"/>
                          </a:xfrm>
                          <a:custGeom>
                            <a:avLst/>
                            <a:gdLst/>
                            <a:ahLst/>
                            <a:cxnLst/>
                            <a:rect l="0" t="0" r="0" b="0"/>
                            <a:pathLst>
                              <a:path w="1726895" h="400647">
                                <a:moveTo>
                                  <a:pt x="0" y="400647"/>
                                </a:moveTo>
                                <a:lnTo>
                                  <a:pt x="1726895" y="400647"/>
                                </a:lnTo>
                                <a:lnTo>
                                  <a:pt x="172689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604" name="Shape 378604"/>
                        <wps:cNvSpPr/>
                        <wps:spPr>
                          <a:xfrm>
                            <a:off x="1864576" y="365811"/>
                            <a:ext cx="1726895" cy="400647"/>
                          </a:xfrm>
                          <a:custGeom>
                            <a:avLst/>
                            <a:gdLst/>
                            <a:ahLst/>
                            <a:cxnLst/>
                            <a:rect l="0" t="0" r="0" b="0"/>
                            <a:pathLst>
                              <a:path w="1726895" h="400647">
                                <a:moveTo>
                                  <a:pt x="0" y="0"/>
                                </a:moveTo>
                                <a:lnTo>
                                  <a:pt x="1726895" y="0"/>
                                </a:lnTo>
                                <a:lnTo>
                                  <a:pt x="1726895" y="400647"/>
                                </a:lnTo>
                                <a:lnTo>
                                  <a:pt x="0" y="400647"/>
                                </a:lnTo>
                                <a:lnTo>
                                  <a:pt x="0" y="0"/>
                                </a:lnTo>
                              </a:path>
                            </a:pathLst>
                          </a:custGeom>
                          <a:ln w="0" cap="flat">
                            <a:miter lim="100000"/>
                          </a:ln>
                        </wps:spPr>
                        <wps:style>
                          <a:lnRef idx="0">
                            <a:srgbClr val="000000">
                              <a:alpha val="0"/>
                            </a:srgbClr>
                          </a:lnRef>
                          <a:fillRef idx="1">
                            <a:srgbClr val="FABF75"/>
                          </a:fillRef>
                          <a:effectRef idx="0">
                            <a:scrgbClr r="0" g="0" b="0"/>
                          </a:effectRef>
                          <a:fontRef idx="none"/>
                        </wps:style>
                        <wps:bodyPr/>
                      </wps:wsp>
                      <wps:wsp>
                        <wps:cNvPr id="15443" name="Rectangle 15443"/>
                        <wps:cNvSpPr/>
                        <wps:spPr>
                          <a:xfrm>
                            <a:off x="2444058" y="488157"/>
                            <a:ext cx="755365" cy="209280"/>
                          </a:xfrm>
                          <a:prstGeom prst="rect">
                            <a:avLst/>
                          </a:prstGeom>
                          <a:ln>
                            <a:noFill/>
                          </a:ln>
                        </wps:spPr>
                        <wps:txbx>
                          <w:txbxContent>
                            <w:p w:rsidR="00D27BC6" w:rsidRDefault="004D5071">
                              <w:pPr>
                                <w:spacing w:after="160" w:line="259" w:lineRule="auto"/>
                                <w:ind w:left="0" w:right="0" w:firstLine="0"/>
                                <w:jc w:val="left"/>
                              </w:pPr>
                              <w:r>
                                <w:rPr>
                                  <w:b/>
                                  <w:w w:val="116"/>
                                </w:rPr>
                                <w:t>Хирургия</w:t>
                              </w:r>
                            </w:p>
                          </w:txbxContent>
                        </wps:txbx>
                        <wps:bodyPr horzOverflow="overflow" vert="horz" lIns="0" tIns="0" rIns="0" bIns="0" rtlCol="0">
                          <a:noAutofit/>
                        </wps:bodyPr>
                      </wps:wsp>
                      <wps:wsp>
                        <wps:cNvPr id="15444" name="Shape 15444"/>
                        <wps:cNvSpPr/>
                        <wps:spPr>
                          <a:xfrm>
                            <a:off x="1864576" y="365811"/>
                            <a:ext cx="1726895" cy="400647"/>
                          </a:xfrm>
                          <a:custGeom>
                            <a:avLst/>
                            <a:gdLst/>
                            <a:ahLst/>
                            <a:cxnLst/>
                            <a:rect l="0" t="0" r="0" b="0"/>
                            <a:pathLst>
                              <a:path w="1726895" h="400647">
                                <a:moveTo>
                                  <a:pt x="0" y="400647"/>
                                </a:moveTo>
                                <a:lnTo>
                                  <a:pt x="1726895" y="400647"/>
                                </a:lnTo>
                                <a:lnTo>
                                  <a:pt x="172689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607" name="Shape 378607"/>
                        <wps:cNvSpPr/>
                        <wps:spPr>
                          <a:xfrm>
                            <a:off x="3960889" y="365811"/>
                            <a:ext cx="1726895" cy="400647"/>
                          </a:xfrm>
                          <a:custGeom>
                            <a:avLst/>
                            <a:gdLst/>
                            <a:ahLst/>
                            <a:cxnLst/>
                            <a:rect l="0" t="0" r="0" b="0"/>
                            <a:pathLst>
                              <a:path w="1726895" h="400647">
                                <a:moveTo>
                                  <a:pt x="0" y="0"/>
                                </a:moveTo>
                                <a:lnTo>
                                  <a:pt x="1726895" y="0"/>
                                </a:lnTo>
                                <a:lnTo>
                                  <a:pt x="1726895" y="400647"/>
                                </a:lnTo>
                                <a:lnTo>
                                  <a:pt x="0" y="400647"/>
                                </a:lnTo>
                                <a:lnTo>
                                  <a:pt x="0" y="0"/>
                                </a:lnTo>
                              </a:path>
                            </a:pathLst>
                          </a:custGeom>
                          <a:ln w="0" cap="flat">
                            <a:miter lim="100000"/>
                          </a:ln>
                        </wps:spPr>
                        <wps:style>
                          <a:lnRef idx="0">
                            <a:srgbClr val="000000">
                              <a:alpha val="0"/>
                            </a:srgbClr>
                          </a:lnRef>
                          <a:fillRef idx="1">
                            <a:srgbClr val="FABF75"/>
                          </a:fillRef>
                          <a:effectRef idx="0">
                            <a:scrgbClr r="0" g="0" b="0"/>
                          </a:effectRef>
                          <a:fontRef idx="none"/>
                        </wps:style>
                        <wps:bodyPr/>
                      </wps:wsp>
                      <wps:wsp>
                        <wps:cNvPr id="15446" name="Rectangle 15446"/>
                        <wps:cNvSpPr/>
                        <wps:spPr>
                          <a:xfrm>
                            <a:off x="4297106" y="411957"/>
                            <a:ext cx="1436580" cy="209280"/>
                          </a:xfrm>
                          <a:prstGeom prst="rect">
                            <a:avLst/>
                          </a:prstGeom>
                          <a:ln>
                            <a:noFill/>
                          </a:ln>
                        </wps:spPr>
                        <wps:txbx>
                          <w:txbxContent>
                            <w:p w:rsidR="00D27BC6" w:rsidRDefault="004D5071">
                              <w:pPr>
                                <w:spacing w:after="160" w:line="259" w:lineRule="auto"/>
                                <w:ind w:left="0" w:right="0" w:firstLine="0"/>
                                <w:jc w:val="left"/>
                              </w:pPr>
                              <w:r>
                                <w:rPr>
                                  <w:b/>
                                  <w:w w:val="111"/>
                                </w:rPr>
                                <w:t>Эндоваскулярное</w:t>
                              </w:r>
                              <w:r>
                                <w:rPr>
                                  <w:b/>
                                  <w:spacing w:val="-5"/>
                                  <w:w w:val="111"/>
                                </w:rPr>
                                <w:t xml:space="preserve"> </w:t>
                              </w:r>
                            </w:p>
                          </w:txbxContent>
                        </wps:txbx>
                        <wps:bodyPr horzOverflow="overflow" vert="horz" lIns="0" tIns="0" rIns="0" bIns="0" rtlCol="0">
                          <a:noAutofit/>
                        </wps:bodyPr>
                      </wps:wsp>
                      <wps:wsp>
                        <wps:cNvPr id="15447" name="Rectangle 15447"/>
                        <wps:cNvSpPr/>
                        <wps:spPr>
                          <a:xfrm>
                            <a:off x="4364035" y="564357"/>
                            <a:ext cx="1224412" cy="209280"/>
                          </a:xfrm>
                          <a:prstGeom prst="rect">
                            <a:avLst/>
                          </a:prstGeom>
                          <a:ln>
                            <a:noFill/>
                          </a:ln>
                        </wps:spPr>
                        <wps:txbx>
                          <w:txbxContent>
                            <w:p w:rsidR="00D27BC6" w:rsidRDefault="004D5071">
                              <w:pPr>
                                <w:spacing w:after="160" w:line="259" w:lineRule="auto"/>
                                <w:ind w:left="0" w:right="0" w:firstLine="0"/>
                                <w:jc w:val="left"/>
                              </w:pPr>
                              <w:r>
                                <w:rPr>
                                  <w:b/>
                                  <w:w w:val="112"/>
                                </w:rPr>
                                <w:t>вмешательство</w:t>
                              </w:r>
                            </w:p>
                          </w:txbxContent>
                        </wps:txbx>
                        <wps:bodyPr horzOverflow="overflow" vert="horz" lIns="0" tIns="0" rIns="0" bIns="0" rtlCol="0">
                          <a:noAutofit/>
                        </wps:bodyPr>
                      </wps:wsp>
                      <wps:wsp>
                        <wps:cNvPr id="15448" name="Shape 15448"/>
                        <wps:cNvSpPr/>
                        <wps:spPr>
                          <a:xfrm>
                            <a:off x="3960889" y="365811"/>
                            <a:ext cx="1726895" cy="400647"/>
                          </a:xfrm>
                          <a:custGeom>
                            <a:avLst/>
                            <a:gdLst/>
                            <a:ahLst/>
                            <a:cxnLst/>
                            <a:rect l="0" t="0" r="0" b="0"/>
                            <a:pathLst>
                              <a:path w="1726895" h="400647">
                                <a:moveTo>
                                  <a:pt x="0" y="400647"/>
                                </a:moveTo>
                                <a:lnTo>
                                  <a:pt x="1726895" y="400647"/>
                                </a:lnTo>
                                <a:lnTo>
                                  <a:pt x="172689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613" name="Shape 378613"/>
                        <wps:cNvSpPr/>
                        <wps:spPr>
                          <a:xfrm>
                            <a:off x="4496" y="0"/>
                            <a:ext cx="6472581" cy="176809"/>
                          </a:xfrm>
                          <a:custGeom>
                            <a:avLst/>
                            <a:gdLst/>
                            <a:ahLst/>
                            <a:cxnLst/>
                            <a:rect l="0" t="0" r="0" b="0"/>
                            <a:pathLst>
                              <a:path w="6472581" h="176809">
                                <a:moveTo>
                                  <a:pt x="0" y="0"/>
                                </a:moveTo>
                                <a:lnTo>
                                  <a:pt x="6472581" y="0"/>
                                </a:lnTo>
                                <a:lnTo>
                                  <a:pt x="6472581" y="176809"/>
                                </a:lnTo>
                                <a:lnTo>
                                  <a:pt x="0" y="176809"/>
                                </a:lnTo>
                                <a:lnTo>
                                  <a:pt x="0" y="0"/>
                                </a:lnTo>
                              </a:path>
                            </a:pathLst>
                          </a:custGeom>
                          <a:ln w="0" cap="flat">
                            <a:miter lim="100000"/>
                          </a:ln>
                        </wps:spPr>
                        <wps:style>
                          <a:lnRef idx="0">
                            <a:srgbClr val="000000">
                              <a:alpha val="0"/>
                            </a:srgbClr>
                          </a:lnRef>
                          <a:fillRef idx="1">
                            <a:srgbClr val="ADB7D6"/>
                          </a:fillRef>
                          <a:effectRef idx="0">
                            <a:scrgbClr r="0" g="0" b="0"/>
                          </a:effectRef>
                          <a:fontRef idx="none"/>
                        </wps:style>
                        <wps:bodyPr/>
                      </wps:wsp>
                      <wps:wsp>
                        <wps:cNvPr id="15450" name="Rectangle 15450"/>
                        <wps:cNvSpPr/>
                        <wps:spPr>
                          <a:xfrm>
                            <a:off x="659408" y="10426"/>
                            <a:ext cx="6866479" cy="209280"/>
                          </a:xfrm>
                          <a:prstGeom prst="rect">
                            <a:avLst/>
                          </a:prstGeom>
                          <a:ln>
                            <a:noFill/>
                          </a:ln>
                        </wps:spPr>
                        <wps:txbx>
                          <w:txbxContent>
                            <w:p w:rsidR="00D27BC6" w:rsidRDefault="004D5071">
                              <w:pPr>
                                <w:spacing w:after="160" w:line="259" w:lineRule="auto"/>
                                <w:ind w:left="0" w:right="0" w:firstLine="0"/>
                                <w:jc w:val="left"/>
                              </w:pPr>
                              <w:r>
                                <w:rPr>
                                  <w:b/>
                                  <w:w w:val="112"/>
                                </w:rPr>
                                <w:t>Пациенты</w:t>
                              </w:r>
                              <w:r>
                                <w:rPr>
                                  <w:b/>
                                  <w:spacing w:val="-5"/>
                                  <w:w w:val="112"/>
                                </w:rPr>
                                <w:t xml:space="preserve"> </w:t>
                              </w:r>
                              <w:r>
                                <w:rPr>
                                  <w:b/>
                                  <w:w w:val="112"/>
                                </w:rPr>
                                <w:t>с</w:t>
                              </w:r>
                              <w:r>
                                <w:rPr>
                                  <w:b/>
                                  <w:spacing w:val="-5"/>
                                  <w:w w:val="112"/>
                                </w:rPr>
                                <w:t xml:space="preserve"> </w:t>
                              </w:r>
                              <w:r>
                                <w:rPr>
                                  <w:b/>
                                  <w:w w:val="112"/>
                                </w:rPr>
                                <w:t>ЗАНК,</w:t>
                              </w:r>
                              <w:r>
                                <w:rPr>
                                  <w:b/>
                                  <w:spacing w:val="-5"/>
                                  <w:w w:val="112"/>
                                </w:rPr>
                                <w:t xml:space="preserve"> </w:t>
                              </w:r>
                              <w:r>
                                <w:rPr>
                                  <w:b/>
                                  <w:w w:val="112"/>
                                </w:rPr>
                                <w:t>которым</w:t>
                              </w:r>
                              <w:r>
                                <w:rPr>
                                  <w:b/>
                                  <w:spacing w:val="-5"/>
                                  <w:w w:val="112"/>
                                </w:rPr>
                                <w:t xml:space="preserve"> </w:t>
                              </w:r>
                              <w:r>
                                <w:rPr>
                                  <w:b/>
                                  <w:w w:val="112"/>
                                </w:rPr>
                                <w:t>рекомендована</w:t>
                              </w:r>
                              <w:r>
                                <w:rPr>
                                  <w:b/>
                                  <w:spacing w:val="-5"/>
                                  <w:w w:val="112"/>
                                </w:rPr>
                                <w:t xml:space="preserve"> </w:t>
                              </w:r>
                              <w:r>
                                <w:rPr>
                                  <w:b/>
                                  <w:w w:val="112"/>
                                </w:rPr>
                                <w:t>терапия</w:t>
                              </w:r>
                              <w:r>
                                <w:rPr>
                                  <w:b/>
                                  <w:spacing w:val="-5"/>
                                  <w:w w:val="112"/>
                                </w:rPr>
                                <w:t xml:space="preserve"> </w:t>
                              </w:r>
                              <w:r>
                                <w:rPr>
                                  <w:b/>
                                  <w:w w:val="112"/>
                                </w:rPr>
                                <w:t>пероральными</w:t>
                              </w:r>
                              <w:r>
                                <w:rPr>
                                  <w:b/>
                                  <w:spacing w:val="-5"/>
                                  <w:w w:val="112"/>
                                </w:rPr>
                                <w:t xml:space="preserve"> </w:t>
                              </w:r>
                              <w:r>
                                <w:rPr>
                                  <w:b/>
                                  <w:w w:val="112"/>
                                </w:rPr>
                                <w:t>антикоагулянтами</w:t>
                              </w:r>
                            </w:p>
                          </w:txbxContent>
                        </wps:txbx>
                        <wps:bodyPr horzOverflow="overflow" vert="horz" lIns="0" tIns="0" rIns="0" bIns="0" rtlCol="0">
                          <a:noAutofit/>
                        </wps:bodyPr>
                      </wps:wsp>
                      <wps:wsp>
                        <wps:cNvPr id="15451" name="Shape 15451"/>
                        <wps:cNvSpPr/>
                        <wps:spPr>
                          <a:xfrm>
                            <a:off x="4496" y="0"/>
                            <a:ext cx="6472581" cy="176809"/>
                          </a:xfrm>
                          <a:custGeom>
                            <a:avLst/>
                            <a:gdLst/>
                            <a:ahLst/>
                            <a:cxnLst/>
                            <a:rect l="0" t="0" r="0" b="0"/>
                            <a:pathLst>
                              <a:path w="6472581" h="176809">
                                <a:moveTo>
                                  <a:pt x="0" y="176809"/>
                                </a:moveTo>
                                <a:lnTo>
                                  <a:pt x="6472581" y="176809"/>
                                </a:lnTo>
                                <a:lnTo>
                                  <a:pt x="6472581"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630" name="Shape 378630"/>
                        <wps:cNvSpPr/>
                        <wps:spPr>
                          <a:xfrm>
                            <a:off x="3160497" y="1175804"/>
                            <a:ext cx="1579118" cy="290550"/>
                          </a:xfrm>
                          <a:custGeom>
                            <a:avLst/>
                            <a:gdLst/>
                            <a:ahLst/>
                            <a:cxnLst/>
                            <a:rect l="0" t="0" r="0" b="0"/>
                            <a:pathLst>
                              <a:path w="1579118" h="290550">
                                <a:moveTo>
                                  <a:pt x="0" y="0"/>
                                </a:moveTo>
                                <a:lnTo>
                                  <a:pt x="1579118" y="0"/>
                                </a:lnTo>
                                <a:lnTo>
                                  <a:pt x="1579118" y="290550"/>
                                </a:lnTo>
                                <a:lnTo>
                                  <a:pt x="0" y="290550"/>
                                </a:lnTo>
                                <a:lnTo>
                                  <a:pt x="0" y="0"/>
                                </a:lnTo>
                              </a:path>
                            </a:pathLst>
                          </a:custGeom>
                          <a:ln w="0" cap="flat">
                            <a:miter lim="100000"/>
                          </a:ln>
                        </wps:spPr>
                        <wps:style>
                          <a:lnRef idx="0">
                            <a:srgbClr val="000000">
                              <a:alpha val="0"/>
                            </a:srgbClr>
                          </a:lnRef>
                          <a:fillRef idx="1">
                            <a:srgbClr val="E2ECC5"/>
                          </a:fillRef>
                          <a:effectRef idx="0">
                            <a:scrgbClr r="0" g="0" b="0"/>
                          </a:effectRef>
                          <a:fontRef idx="none"/>
                        </wps:style>
                        <wps:bodyPr/>
                      </wps:wsp>
                      <wps:wsp>
                        <wps:cNvPr id="15453" name="Rectangle 15453"/>
                        <wps:cNvSpPr/>
                        <wps:spPr>
                          <a:xfrm>
                            <a:off x="3416406" y="1190656"/>
                            <a:ext cx="1491121" cy="203030"/>
                          </a:xfrm>
                          <a:prstGeom prst="rect">
                            <a:avLst/>
                          </a:prstGeom>
                          <a:ln>
                            <a:noFill/>
                          </a:ln>
                        </wps:spPr>
                        <wps:txbx>
                          <w:txbxContent>
                            <w:p w:rsidR="00D27BC6" w:rsidRDefault="004D5071">
                              <w:pPr>
                                <w:spacing w:after="160" w:line="259" w:lineRule="auto"/>
                                <w:ind w:left="0" w:right="0" w:firstLine="0"/>
                                <w:jc w:val="left"/>
                              </w:pPr>
                              <w:r>
                                <w:rPr>
                                  <w:w w:val="104"/>
                                </w:rPr>
                                <w:t>Риск</w:t>
                              </w:r>
                              <w:r>
                                <w:rPr>
                                  <w:spacing w:val="-3"/>
                                  <w:w w:val="104"/>
                                </w:rPr>
                                <w:t xml:space="preserve"> </w:t>
                              </w:r>
                              <w:r>
                                <w:rPr>
                                  <w:w w:val="104"/>
                                </w:rPr>
                                <w:t>кровотечений</w:t>
                              </w:r>
                              <w:r>
                                <w:rPr>
                                  <w:spacing w:val="-3"/>
                                  <w:w w:val="104"/>
                                </w:rPr>
                                <w:t xml:space="preserve">  </w:t>
                              </w:r>
                            </w:p>
                          </w:txbxContent>
                        </wps:txbx>
                        <wps:bodyPr horzOverflow="overflow" vert="horz" lIns="0" tIns="0" rIns="0" bIns="0" rtlCol="0">
                          <a:noAutofit/>
                        </wps:bodyPr>
                      </wps:wsp>
                      <wps:wsp>
                        <wps:cNvPr id="15454" name="Rectangle 15454"/>
                        <wps:cNvSpPr/>
                        <wps:spPr>
                          <a:xfrm>
                            <a:off x="3733144" y="1304955"/>
                            <a:ext cx="526661" cy="203030"/>
                          </a:xfrm>
                          <a:prstGeom prst="rect">
                            <a:avLst/>
                          </a:prstGeom>
                          <a:ln>
                            <a:noFill/>
                          </a:ln>
                        </wps:spPr>
                        <wps:txbx>
                          <w:txbxContent>
                            <w:p w:rsidR="00D27BC6" w:rsidRDefault="004D5071">
                              <w:pPr>
                                <w:spacing w:after="160" w:line="259" w:lineRule="auto"/>
                                <w:ind w:left="0" w:right="0" w:firstLine="0"/>
                                <w:jc w:val="left"/>
                              </w:pPr>
                              <w:r>
                                <w:rPr>
                                  <w:w w:val="104"/>
                                </w:rPr>
                                <w:t>низкий</w:t>
                              </w:r>
                            </w:p>
                          </w:txbxContent>
                        </wps:txbx>
                        <wps:bodyPr horzOverflow="overflow" vert="horz" lIns="0" tIns="0" rIns="0" bIns="0" rtlCol="0">
                          <a:noAutofit/>
                        </wps:bodyPr>
                      </wps:wsp>
                      <wps:wsp>
                        <wps:cNvPr id="15455" name="Rectangle 15455"/>
                        <wps:cNvSpPr/>
                        <wps:spPr>
                          <a:xfrm>
                            <a:off x="4129147" y="1313826"/>
                            <a:ext cx="50258" cy="117759"/>
                          </a:xfrm>
                          <a:prstGeom prst="rect">
                            <a:avLst/>
                          </a:prstGeom>
                          <a:ln>
                            <a:noFill/>
                          </a:ln>
                        </wps:spPr>
                        <wps:txbx>
                          <w:txbxContent>
                            <w:p w:rsidR="00D27BC6" w:rsidRDefault="004D5071">
                              <w:pPr>
                                <w:spacing w:after="160" w:line="259" w:lineRule="auto"/>
                                <w:ind w:left="0" w:right="0" w:firstLine="0"/>
                                <w:jc w:val="left"/>
                              </w:pPr>
                              <w:r>
                                <w:rPr>
                                  <w:w w:val="101"/>
                                  <w:sz w:val="12"/>
                                </w:rPr>
                                <w:t>2</w:t>
                              </w:r>
                            </w:p>
                          </w:txbxContent>
                        </wps:txbx>
                        <wps:bodyPr horzOverflow="overflow" vert="horz" lIns="0" tIns="0" rIns="0" bIns="0" rtlCol="0">
                          <a:noAutofit/>
                        </wps:bodyPr>
                      </wps:wsp>
                      <wps:wsp>
                        <wps:cNvPr id="15456" name="Shape 15456"/>
                        <wps:cNvSpPr/>
                        <wps:spPr>
                          <a:xfrm>
                            <a:off x="3160497" y="1175804"/>
                            <a:ext cx="1579118" cy="290550"/>
                          </a:xfrm>
                          <a:custGeom>
                            <a:avLst/>
                            <a:gdLst/>
                            <a:ahLst/>
                            <a:cxnLst/>
                            <a:rect l="0" t="0" r="0" b="0"/>
                            <a:pathLst>
                              <a:path w="1579118" h="290550">
                                <a:moveTo>
                                  <a:pt x="0" y="290550"/>
                                </a:moveTo>
                                <a:lnTo>
                                  <a:pt x="1579118" y="290550"/>
                                </a:lnTo>
                                <a:lnTo>
                                  <a:pt x="157911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639" name="Shape 378639"/>
                        <wps:cNvSpPr/>
                        <wps:spPr>
                          <a:xfrm>
                            <a:off x="4905375" y="1175804"/>
                            <a:ext cx="1570114" cy="290550"/>
                          </a:xfrm>
                          <a:custGeom>
                            <a:avLst/>
                            <a:gdLst/>
                            <a:ahLst/>
                            <a:cxnLst/>
                            <a:rect l="0" t="0" r="0" b="0"/>
                            <a:pathLst>
                              <a:path w="1570114" h="290550">
                                <a:moveTo>
                                  <a:pt x="0" y="0"/>
                                </a:moveTo>
                                <a:lnTo>
                                  <a:pt x="1570114" y="0"/>
                                </a:lnTo>
                                <a:lnTo>
                                  <a:pt x="1570114" y="290550"/>
                                </a:lnTo>
                                <a:lnTo>
                                  <a:pt x="0" y="290550"/>
                                </a:lnTo>
                                <a:lnTo>
                                  <a:pt x="0" y="0"/>
                                </a:lnTo>
                              </a:path>
                            </a:pathLst>
                          </a:custGeom>
                          <a:ln w="0" cap="flat">
                            <a:miter lim="100000"/>
                          </a:ln>
                        </wps:spPr>
                        <wps:style>
                          <a:lnRef idx="0">
                            <a:srgbClr val="000000">
                              <a:alpha val="0"/>
                            </a:srgbClr>
                          </a:lnRef>
                          <a:fillRef idx="1">
                            <a:srgbClr val="E8AB94"/>
                          </a:fillRef>
                          <a:effectRef idx="0">
                            <a:scrgbClr r="0" g="0" b="0"/>
                          </a:effectRef>
                          <a:fontRef idx="none"/>
                        </wps:style>
                        <wps:bodyPr/>
                      </wps:wsp>
                      <wps:wsp>
                        <wps:cNvPr id="15458" name="Rectangle 15458"/>
                        <wps:cNvSpPr/>
                        <wps:spPr>
                          <a:xfrm>
                            <a:off x="5156792" y="1190656"/>
                            <a:ext cx="1455312" cy="203030"/>
                          </a:xfrm>
                          <a:prstGeom prst="rect">
                            <a:avLst/>
                          </a:prstGeom>
                          <a:ln>
                            <a:noFill/>
                          </a:ln>
                        </wps:spPr>
                        <wps:txbx>
                          <w:txbxContent>
                            <w:p w:rsidR="00D27BC6" w:rsidRDefault="004D5071">
                              <w:pPr>
                                <w:spacing w:after="160" w:line="259" w:lineRule="auto"/>
                                <w:ind w:left="0" w:right="0" w:firstLine="0"/>
                                <w:jc w:val="left"/>
                              </w:pPr>
                              <w:r>
                                <w:rPr>
                                  <w:w w:val="104"/>
                                </w:rPr>
                                <w:t>Риск</w:t>
                              </w:r>
                              <w:r>
                                <w:rPr>
                                  <w:spacing w:val="-3"/>
                                  <w:w w:val="104"/>
                                </w:rPr>
                                <w:t xml:space="preserve"> </w:t>
                              </w:r>
                              <w:r>
                                <w:rPr>
                                  <w:w w:val="104"/>
                                </w:rPr>
                                <w:t>кровотечений</w:t>
                              </w:r>
                              <w:r>
                                <w:rPr>
                                  <w:spacing w:val="-3"/>
                                  <w:w w:val="104"/>
                                </w:rPr>
                                <w:t xml:space="preserve"> </w:t>
                              </w:r>
                            </w:p>
                          </w:txbxContent>
                        </wps:txbx>
                        <wps:bodyPr horzOverflow="overflow" vert="horz" lIns="0" tIns="0" rIns="0" bIns="0" rtlCol="0">
                          <a:noAutofit/>
                        </wps:bodyPr>
                      </wps:wsp>
                      <wps:wsp>
                        <wps:cNvPr id="15459" name="Rectangle 15459"/>
                        <wps:cNvSpPr/>
                        <wps:spPr>
                          <a:xfrm>
                            <a:off x="5433906" y="1304955"/>
                            <a:ext cx="632230" cy="203030"/>
                          </a:xfrm>
                          <a:prstGeom prst="rect">
                            <a:avLst/>
                          </a:prstGeom>
                          <a:ln>
                            <a:noFill/>
                          </a:ln>
                        </wps:spPr>
                        <wps:txbx>
                          <w:txbxContent>
                            <w:p w:rsidR="00D27BC6" w:rsidRDefault="004D5071">
                              <w:pPr>
                                <w:spacing w:after="160" w:line="259" w:lineRule="auto"/>
                                <w:ind w:left="0" w:right="0" w:firstLine="0"/>
                                <w:jc w:val="left"/>
                              </w:pPr>
                              <w:r>
                                <w:rPr>
                                  <w:w w:val="104"/>
                                </w:rPr>
                                <w:t>высокий</w:t>
                              </w:r>
                            </w:p>
                          </w:txbxContent>
                        </wps:txbx>
                        <wps:bodyPr horzOverflow="overflow" vert="horz" lIns="0" tIns="0" rIns="0" bIns="0" rtlCol="0">
                          <a:noAutofit/>
                        </wps:bodyPr>
                      </wps:wsp>
                      <wps:wsp>
                        <wps:cNvPr id="15460" name="Rectangle 15460"/>
                        <wps:cNvSpPr/>
                        <wps:spPr>
                          <a:xfrm>
                            <a:off x="5909223" y="1313826"/>
                            <a:ext cx="50258" cy="117759"/>
                          </a:xfrm>
                          <a:prstGeom prst="rect">
                            <a:avLst/>
                          </a:prstGeom>
                          <a:ln>
                            <a:noFill/>
                          </a:ln>
                        </wps:spPr>
                        <wps:txbx>
                          <w:txbxContent>
                            <w:p w:rsidR="00D27BC6" w:rsidRDefault="004D5071">
                              <w:pPr>
                                <w:spacing w:after="160" w:line="259" w:lineRule="auto"/>
                                <w:ind w:left="0" w:right="0" w:firstLine="0"/>
                                <w:jc w:val="left"/>
                              </w:pPr>
                              <w:r>
                                <w:rPr>
                                  <w:w w:val="101"/>
                                  <w:sz w:val="12"/>
                                </w:rPr>
                                <w:t>2</w:t>
                              </w:r>
                            </w:p>
                          </w:txbxContent>
                        </wps:txbx>
                        <wps:bodyPr horzOverflow="overflow" vert="horz" lIns="0" tIns="0" rIns="0" bIns="0" rtlCol="0">
                          <a:noAutofit/>
                        </wps:bodyPr>
                      </wps:wsp>
                      <wps:wsp>
                        <wps:cNvPr id="15461" name="Shape 15461"/>
                        <wps:cNvSpPr/>
                        <wps:spPr>
                          <a:xfrm>
                            <a:off x="4905375" y="1175804"/>
                            <a:ext cx="1570114" cy="290550"/>
                          </a:xfrm>
                          <a:custGeom>
                            <a:avLst/>
                            <a:gdLst/>
                            <a:ahLst/>
                            <a:cxnLst/>
                            <a:rect l="0" t="0" r="0" b="0"/>
                            <a:pathLst>
                              <a:path w="1570114" h="290550">
                                <a:moveTo>
                                  <a:pt x="0" y="290550"/>
                                </a:moveTo>
                                <a:lnTo>
                                  <a:pt x="1570114" y="290550"/>
                                </a:lnTo>
                                <a:lnTo>
                                  <a:pt x="1570114"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647" name="Shape 378647"/>
                        <wps:cNvSpPr/>
                        <wps:spPr>
                          <a:xfrm>
                            <a:off x="938136" y="1770773"/>
                            <a:ext cx="1726895" cy="1448042"/>
                          </a:xfrm>
                          <a:custGeom>
                            <a:avLst/>
                            <a:gdLst/>
                            <a:ahLst/>
                            <a:cxnLst/>
                            <a:rect l="0" t="0" r="0" b="0"/>
                            <a:pathLst>
                              <a:path w="1726895" h="1448042">
                                <a:moveTo>
                                  <a:pt x="0" y="0"/>
                                </a:moveTo>
                                <a:lnTo>
                                  <a:pt x="1726895" y="0"/>
                                </a:lnTo>
                                <a:lnTo>
                                  <a:pt x="1726895" y="1448042"/>
                                </a:lnTo>
                                <a:lnTo>
                                  <a:pt x="0" y="1448042"/>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15463" name="Shape 15463"/>
                        <wps:cNvSpPr/>
                        <wps:spPr>
                          <a:xfrm>
                            <a:off x="938136" y="1770773"/>
                            <a:ext cx="1726895" cy="1448042"/>
                          </a:xfrm>
                          <a:custGeom>
                            <a:avLst/>
                            <a:gdLst/>
                            <a:ahLst/>
                            <a:cxnLst/>
                            <a:rect l="0" t="0" r="0" b="0"/>
                            <a:pathLst>
                              <a:path w="1726895" h="1448042">
                                <a:moveTo>
                                  <a:pt x="0" y="1448042"/>
                                </a:moveTo>
                                <a:lnTo>
                                  <a:pt x="1726895" y="1448042"/>
                                </a:lnTo>
                                <a:lnTo>
                                  <a:pt x="172689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648" name="Shape 378648"/>
                        <wps:cNvSpPr/>
                        <wps:spPr>
                          <a:xfrm>
                            <a:off x="3160497" y="2371014"/>
                            <a:ext cx="1579118" cy="847802"/>
                          </a:xfrm>
                          <a:custGeom>
                            <a:avLst/>
                            <a:gdLst/>
                            <a:ahLst/>
                            <a:cxnLst/>
                            <a:rect l="0" t="0" r="0" b="0"/>
                            <a:pathLst>
                              <a:path w="1579118" h="847802">
                                <a:moveTo>
                                  <a:pt x="0" y="0"/>
                                </a:moveTo>
                                <a:lnTo>
                                  <a:pt x="1579118" y="0"/>
                                </a:lnTo>
                                <a:lnTo>
                                  <a:pt x="1579118" y="847802"/>
                                </a:lnTo>
                                <a:lnTo>
                                  <a:pt x="0" y="847802"/>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15465" name="Shape 15465"/>
                        <wps:cNvSpPr/>
                        <wps:spPr>
                          <a:xfrm>
                            <a:off x="3160497" y="2371014"/>
                            <a:ext cx="1579118" cy="847802"/>
                          </a:xfrm>
                          <a:custGeom>
                            <a:avLst/>
                            <a:gdLst/>
                            <a:ahLst/>
                            <a:cxnLst/>
                            <a:rect l="0" t="0" r="0" b="0"/>
                            <a:pathLst>
                              <a:path w="1579118" h="847802">
                                <a:moveTo>
                                  <a:pt x="0" y="847802"/>
                                </a:moveTo>
                                <a:lnTo>
                                  <a:pt x="1579118" y="847802"/>
                                </a:lnTo>
                                <a:lnTo>
                                  <a:pt x="157911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649" name="Shape 378649"/>
                        <wps:cNvSpPr/>
                        <wps:spPr>
                          <a:xfrm>
                            <a:off x="3160497" y="1771497"/>
                            <a:ext cx="1579118" cy="537477"/>
                          </a:xfrm>
                          <a:custGeom>
                            <a:avLst/>
                            <a:gdLst/>
                            <a:ahLst/>
                            <a:cxnLst/>
                            <a:rect l="0" t="0" r="0" b="0"/>
                            <a:pathLst>
                              <a:path w="1579118" h="537477">
                                <a:moveTo>
                                  <a:pt x="0" y="0"/>
                                </a:moveTo>
                                <a:lnTo>
                                  <a:pt x="1579118" y="0"/>
                                </a:lnTo>
                                <a:lnTo>
                                  <a:pt x="1579118" y="537477"/>
                                </a:lnTo>
                                <a:lnTo>
                                  <a:pt x="0" y="537477"/>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15467" name="Shape 15467"/>
                        <wps:cNvSpPr/>
                        <wps:spPr>
                          <a:xfrm>
                            <a:off x="3160497" y="1771497"/>
                            <a:ext cx="1579118" cy="537477"/>
                          </a:xfrm>
                          <a:custGeom>
                            <a:avLst/>
                            <a:gdLst/>
                            <a:ahLst/>
                            <a:cxnLst/>
                            <a:rect l="0" t="0" r="0" b="0"/>
                            <a:pathLst>
                              <a:path w="1579118" h="537477">
                                <a:moveTo>
                                  <a:pt x="0" y="537477"/>
                                </a:moveTo>
                                <a:lnTo>
                                  <a:pt x="1579118" y="537477"/>
                                </a:lnTo>
                                <a:lnTo>
                                  <a:pt x="157911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650" name="Shape 378650"/>
                        <wps:cNvSpPr/>
                        <wps:spPr>
                          <a:xfrm>
                            <a:off x="4896384" y="1771510"/>
                            <a:ext cx="1579118" cy="1447306"/>
                          </a:xfrm>
                          <a:custGeom>
                            <a:avLst/>
                            <a:gdLst/>
                            <a:ahLst/>
                            <a:cxnLst/>
                            <a:rect l="0" t="0" r="0" b="0"/>
                            <a:pathLst>
                              <a:path w="1579118" h="1447306">
                                <a:moveTo>
                                  <a:pt x="0" y="0"/>
                                </a:moveTo>
                                <a:lnTo>
                                  <a:pt x="1579118" y="0"/>
                                </a:lnTo>
                                <a:lnTo>
                                  <a:pt x="1579118" y="1447306"/>
                                </a:lnTo>
                                <a:lnTo>
                                  <a:pt x="0" y="1447306"/>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15469" name="Shape 15469"/>
                        <wps:cNvSpPr/>
                        <wps:spPr>
                          <a:xfrm>
                            <a:off x="4896384" y="1771510"/>
                            <a:ext cx="1579118" cy="1447306"/>
                          </a:xfrm>
                          <a:custGeom>
                            <a:avLst/>
                            <a:gdLst/>
                            <a:ahLst/>
                            <a:cxnLst/>
                            <a:rect l="0" t="0" r="0" b="0"/>
                            <a:pathLst>
                              <a:path w="1579118" h="1447306">
                                <a:moveTo>
                                  <a:pt x="0" y="1447306"/>
                                </a:moveTo>
                                <a:lnTo>
                                  <a:pt x="1579118" y="1447306"/>
                                </a:lnTo>
                                <a:lnTo>
                                  <a:pt x="157911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70" name="Shape 15470"/>
                        <wps:cNvSpPr/>
                        <wps:spPr>
                          <a:xfrm>
                            <a:off x="3164995" y="2375519"/>
                            <a:ext cx="1572006" cy="847801"/>
                          </a:xfrm>
                          <a:custGeom>
                            <a:avLst/>
                            <a:gdLst/>
                            <a:ahLst/>
                            <a:cxnLst/>
                            <a:rect l="0" t="0" r="0" b="0"/>
                            <a:pathLst>
                              <a:path w="1572006" h="847801">
                                <a:moveTo>
                                  <a:pt x="1572006" y="0"/>
                                </a:moveTo>
                                <a:lnTo>
                                  <a:pt x="0" y="847801"/>
                                </a:lnTo>
                              </a:path>
                            </a:pathLst>
                          </a:custGeom>
                          <a:ln w="9004" cap="flat">
                            <a:custDash>
                              <a:ds d="213000" sp="142100"/>
                            </a:custDash>
                            <a:miter lim="100000"/>
                          </a:ln>
                        </wps:spPr>
                        <wps:style>
                          <a:lnRef idx="1">
                            <a:srgbClr val="000000"/>
                          </a:lnRef>
                          <a:fillRef idx="0">
                            <a:srgbClr val="000000">
                              <a:alpha val="0"/>
                            </a:srgbClr>
                          </a:fillRef>
                          <a:effectRef idx="0">
                            <a:scrgbClr r="0" g="0" b="0"/>
                          </a:effectRef>
                          <a:fontRef idx="none"/>
                        </wps:style>
                        <wps:bodyPr/>
                      </wps:wsp>
                      <wps:wsp>
                        <wps:cNvPr id="15471" name="Shape 15471"/>
                        <wps:cNvSpPr/>
                        <wps:spPr>
                          <a:xfrm>
                            <a:off x="1801584" y="1472905"/>
                            <a:ext cx="0" cy="229413"/>
                          </a:xfrm>
                          <a:custGeom>
                            <a:avLst/>
                            <a:gdLst/>
                            <a:ahLst/>
                            <a:cxnLst/>
                            <a:rect l="0" t="0" r="0" b="0"/>
                            <a:pathLst>
                              <a:path h="229413">
                                <a:moveTo>
                                  <a:pt x="0" y="0"/>
                                </a:moveTo>
                                <a:lnTo>
                                  <a:pt x="0" y="229413"/>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72" name="Shape 15472"/>
                        <wps:cNvSpPr/>
                        <wps:spPr>
                          <a:xfrm>
                            <a:off x="1771028" y="1682300"/>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473" name="Shape 15473"/>
                        <wps:cNvSpPr/>
                        <wps:spPr>
                          <a:xfrm>
                            <a:off x="4820240" y="771710"/>
                            <a:ext cx="0" cy="176403"/>
                          </a:xfrm>
                          <a:custGeom>
                            <a:avLst/>
                            <a:gdLst/>
                            <a:ahLst/>
                            <a:cxnLst/>
                            <a:rect l="0" t="0" r="0" b="0"/>
                            <a:pathLst>
                              <a:path h="176403">
                                <a:moveTo>
                                  <a:pt x="0" y="0"/>
                                </a:moveTo>
                                <a:lnTo>
                                  <a:pt x="0" y="176403"/>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74" name="Shape 15474"/>
                        <wps:cNvSpPr/>
                        <wps:spPr>
                          <a:xfrm>
                            <a:off x="875128" y="771710"/>
                            <a:ext cx="0" cy="699148"/>
                          </a:xfrm>
                          <a:custGeom>
                            <a:avLst/>
                            <a:gdLst/>
                            <a:ahLst/>
                            <a:cxnLst/>
                            <a:rect l="0" t="0" r="0" b="0"/>
                            <a:pathLst>
                              <a:path h="699148">
                                <a:moveTo>
                                  <a:pt x="0" y="0"/>
                                </a:moveTo>
                                <a:lnTo>
                                  <a:pt x="0" y="699148"/>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75" name="Shape 15475"/>
                        <wps:cNvSpPr/>
                        <wps:spPr>
                          <a:xfrm>
                            <a:off x="2732528" y="771710"/>
                            <a:ext cx="0" cy="699148"/>
                          </a:xfrm>
                          <a:custGeom>
                            <a:avLst/>
                            <a:gdLst/>
                            <a:ahLst/>
                            <a:cxnLst/>
                            <a:rect l="0" t="0" r="0" b="0"/>
                            <a:pathLst>
                              <a:path h="699148">
                                <a:moveTo>
                                  <a:pt x="0" y="0"/>
                                </a:moveTo>
                                <a:lnTo>
                                  <a:pt x="0" y="699148"/>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76" name="Shape 15476"/>
                        <wps:cNvSpPr/>
                        <wps:spPr>
                          <a:xfrm>
                            <a:off x="3950055" y="939110"/>
                            <a:ext cx="0" cy="168237"/>
                          </a:xfrm>
                          <a:custGeom>
                            <a:avLst/>
                            <a:gdLst/>
                            <a:ahLst/>
                            <a:cxnLst/>
                            <a:rect l="0" t="0" r="0" b="0"/>
                            <a:pathLst>
                              <a:path h="168237">
                                <a:moveTo>
                                  <a:pt x="0" y="0"/>
                                </a:moveTo>
                                <a:lnTo>
                                  <a:pt x="0" y="16823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77" name="Shape 15477"/>
                        <wps:cNvSpPr/>
                        <wps:spPr>
                          <a:xfrm>
                            <a:off x="3919498" y="1087337"/>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478" name="Shape 15478"/>
                        <wps:cNvSpPr/>
                        <wps:spPr>
                          <a:xfrm>
                            <a:off x="3950055" y="1470859"/>
                            <a:ext cx="0" cy="235776"/>
                          </a:xfrm>
                          <a:custGeom>
                            <a:avLst/>
                            <a:gdLst/>
                            <a:ahLst/>
                            <a:cxnLst/>
                            <a:rect l="0" t="0" r="0" b="0"/>
                            <a:pathLst>
                              <a:path h="235776">
                                <a:moveTo>
                                  <a:pt x="0" y="0"/>
                                </a:moveTo>
                                <a:lnTo>
                                  <a:pt x="0" y="235776"/>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79" name="Shape 15479"/>
                        <wps:cNvSpPr/>
                        <wps:spPr>
                          <a:xfrm>
                            <a:off x="3919498" y="1686627"/>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480" name="Shape 15480"/>
                        <wps:cNvSpPr/>
                        <wps:spPr>
                          <a:xfrm>
                            <a:off x="5685935" y="939110"/>
                            <a:ext cx="0" cy="168237"/>
                          </a:xfrm>
                          <a:custGeom>
                            <a:avLst/>
                            <a:gdLst/>
                            <a:ahLst/>
                            <a:cxnLst/>
                            <a:rect l="0" t="0" r="0" b="0"/>
                            <a:pathLst>
                              <a:path h="168237">
                                <a:moveTo>
                                  <a:pt x="0" y="0"/>
                                </a:moveTo>
                                <a:lnTo>
                                  <a:pt x="0" y="16823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81" name="Shape 15481"/>
                        <wps:cNvSpPr/>
                        <wps:spPr>
                          <a:xfrm>
                            <a:off x="5655379" y="1087337"/>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482" name="Shape 15482"/>
                        <wps:cNvSpPr/>
                        <wps:spPr>
                          <a:xfrm>
                            <a:off x="5690437" y="1470859"/>
                            <a:ext cx="0" cy="235776"/>
                          </a:xfrm>
                          <a:custGeom>
                            <a:avLst/>
                            <a:gdLst/>
                            <a:ahLst/>
                            <a:cxnLst/>
                            <a:rect l="0" t="0" r="0" b="0"/>
                            <a:pathLst>
                              <a:path h="235776">
                                <a:moveTo>
                                  <a:pt x="0" y="0"/>
                                </a:moveTo>
                                <a:lnTo>
                                  <a:pt x="0" y="235776"/>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83" name="Shape 15483"/>
                        <wps:cNvSpPr/>
                        <wps:spPr>
                          <a:xfrm>
                            <a:off x="5659881" y="1686627"/>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484" name="Shape 15484"/>
                        <wps:cNvSpPr/>
                        <wps:spPr>
                          <a:xfrm>
                            <a:off x="5690437" y="3214310"/>
                            <a:ext cx="0" cy="202781"/>
                          </a:xfrm>
                          <a:custGeom>
                            <a:avLst/>
                            <a:gdLst/>
                            <a:ahLst/>
                            <a:cxnLst/>
                            <a:rect l="0" t="0" r="0" b="0"/>
                            <a:pathLst>
                              <a:path h="202781">
                                <a:moveTo>
                                  <a:pt x="0" y="0"/>
                                </a:moveTo>
                                <a:lnTo>
                                  <a:pt x="0" y="20278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85" name="Shape 15485"/>
                        <wps:cNvSpPr/>
                        <wps:spPr>
                          <a:xfrm>
                            <a:off x="5659881" y="3397079"/>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486" name="Shape 15486"/>
                        <wps:cNvSpPr/>
                        <wps:spPr>
                          <a:xfrm>
                            <a:off x="3950055" y="3214310"/>
                            <a:ext cx="0" cy="202781"/>
                          </a:xfrm>
                          <a:custGeom>
                            <a:avLst/>
                            <a:gdLst/>
                            <a:ahLst/>
                            <a:cxnLst/>
                            <a:rect l="0" t="0" r="0" b="0"/>
                            <a:pathLst>
                              <a:path h="202781">
                                <a:moveTo>
                                  <a:pt x="0" y="0"/>
                                </a:moveTo>
                                <a:lnTo>
                                  <a:pt x="0" y="20278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87" name="Shape 15487"/>
                        <wps:cNvSpPr/>
                        <wps:spPr>
                          <a:xfrm>
                            <a:off x="3919498" y="3397079"/>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488" name="Shape 15488"/>
                        <wps:cNvSpPr/>
                        <wps:spPr>
                          <a:xfrm>
                            <a:off x="1801584" y="3214310"/>
                            <a:ext cx="0" cy="202781"/>
                          </a:xfrm>
                          <a:custGeom>
                            <a:avLst/>
                            <a:gdLst/>
                            <a:ahLst/>
                            <a:cxnLst/>
                            <a:rect l="0" t="0" r="0" b="0"/>
                            <a:pathLst>
                              <a:path h="202781">
                                <a:moveTo>
                                  <a:pt x="0" y="0"/>
                                </a:moveTo>
                                <a:lnTo>
                                  <a:pt x="0" y="20278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89" name="Shape 15489"/>
                        <wps:cNvSpPr/>
                        <wps:spPr>
                          <a:xfrm>
                            <a:off x="1771028" y="3397079"/>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490" name="Shape 15490"/>
                        <wps:cNvSpPr/>
                        <wps:spPr>
                          <a:xfrm>
                            <a:off x="417816" y="1767000"/>
                            <a:ext cx="0" cy="1650085"/>
                          </a:xfrm>
                          <a:custGeom>
                            <a:avLst/>
                            <a:gdLst/>
                            <a:ahLst/>
                            <a:cxnLst/>
                            <a:rect l="0" t="0" r="0" b="0"/>
                            <a:pathLst>
                              <a:path h="1650085">
                                <a:moveTo>
                                  <a:pt x="0" y="0"/>
                                </a:moveTo>
                                <a:lnTo>
                                  <a:pt x="0" y="1650085"/>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91" name="Shape 15491"/>
                        <wps:cNvSpPr/>
                        <wps:spPr>
                          <a:xfrm>
                            <a:off x="387260" y="3397079"/>
                            <a:ext cx="61112" cy="83972"/>
                          </a:xfrm>
                          <a:custGeom>
                            <a:avLst/>
                            <a:gdLst/>
                            <a:ahLst/>
                            <a:cxnLst/>
                            <a:rect l="0" t="0" r="0" b="0"/>
                            <a:pathLst>
                              <a:path w="61112" h="83972">
                                <a:moveTo>
                                  <a:pt x="0" y="0"/>
                                </a:moveTo>
                                <a:lnTo>
                                  <a:pt x="30556" y="20015"/>
                                </a:lnTo>
                                <a:lnTo>
                                  <a:pt x="61112"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492" name="Shape 15492"/>
                        <wps:cNvSpPr/>
                        <wps:spPr>
                          <a:xfrm>
                            <a:off x="276974" y="1771474"/>
                            <a:ext cx="144005" cy="0"/>
                          </a:xfrm>
                          <a:custGeom>
                            <a:avLst/>
                            <a:gdLst/>
                            <a:ahLst/>
                            <a:cxnLst/>
                            <a:rect l="0" t="0" r="0" b="0"/>
                            <a:pathLst>
                              <a:path w="144005">
                                <a:moveTo>
                                  <a:pt x="144005" y="0"/>
                                </a:move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93" name="Shape 15493"/>
                        <wps:cNvSpPr/>
                        <wps:spPr>
                          <a:xfrm>
                            <a:off x="276974" y="3218828"/>
                            <a:ext cx="144005" cy="0"/>
                          </a:xfrm>
                          <a:custGeom>
                            <a:avLst/>
                            <a:gdLst/>
                            <a:ahLst/>
                            <a:cxnLst/>
                            <a:rect l="0" t="0" r="0" b="0"/>
                            <a:pathLst>
                              <a:path w="144005">
                                <a:moveTo>
                                  <a:pt x="144005" y="0"/>
                                </a:move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94" name="Shape 15494"/>
                        <wps:cNvSpPr/>
                        <wps:spPr>
                          <a:xfrm>
                            <a:off x="276974" y="2313457"/>
                            <a:ext cx="144005" cy="0"/>
                          </a:xfrm>
                          <a:custGeom>
                            <a:avLst/>
                            <a:gdLst/>
                            <a:ahLst/>
                            <a:cxnLst/>
                            <a:rect l="0" t="0" r="0" b="0"/>
                            <a:pathLst>
                              <a:path w="144005">
                                <a:moveTo>
                                  <a:pt x="144005" y="0"/>
                                </a:move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495" name="Rectangle 15495"/>
                        <wps:cNvSpPr/>
                        <wps:spPr>
                          <a:xfrm>
                            <a:off x="341429" y="1632618"/>
                            <a:ext cx="86651" cy="203029"/>
                          </a:xfrm>
                          <a:prstGeom prst="rect">
                            <a:avLst/>
                          </a:prstGeom>
                          <a:ln>
                            <a:noFill/>
                          </a:ln>
                        </wps:spPr>
                        <wps:txbx>
                          <w:txbxContent>
                            <w:p w:rsidR="00D27BC6" w:rsidRDefault="004D5071">
                              <w:pPr>
                                <w:spacing w:after="160" w:line="259" w:lineRule="auto"/>
                                <w:ind w:left="0" w:right="0" w:firstLine="0"/>
                                <w:jc w:val="left"/>
                              </w:pPr>
                              <w:r>
                                <w:rPr>
                                  <w:w w:val="101"/>
                                </w:rPr>
                                <w:t>0</w:t>
                              </w:r>
                            </w:p>
                          </w:txbxContent>
                        </wps:txbx>
                        <wps:bodyPr horzOverflow="overflow" vert="horz" lIns="0" tIns="0" rIns="0" bIns="0" rtlCol="0">
                          <a:noAutofit/>
                        </wps:bodyPr>
                      </wps:wsp>
                      <wps:wsp>
                        <wps:cNvPr id="273573" name="Rectangle 273573"/>
                        <wps:cNvSpPr/>
                        <wps:spPr>
                          <a:xfrm>
                            <a:off x="94795" y="1960278"/>
                            <a:ext cx="86651" cy="203030"/>
                          </a:xfrm>
                          <a:prstGeom prst="rect">
                            <a:avLst/>
                          </a:prstGeom>
                          <a:ln>
                            <a:noFill/>
                          </a:ln>
                        </wps:spPr>
                        <wps:txbx>
                          <w:txbxContent>
                            <w:p w:rsidR="00D27BC6" w:rsidRDefault="004D5071">
                              <w:pPr>
                                <w:spacing w:after="160" w:line="259" w:lineRule="auto"/>
                                <w:ind w:left="0" w:right="0" w:firstLine="0"/>
                                <w:jc w:val="left"/>
                              </w:pPr>
                              <w:r>
                                <w:rPr>
                                  <w:w w:val="101"/>
                                </w:rPr>
                                <w:t>1</w:t>
                              </w:r>
                            </w:p>
                          </w:txbxContent>
                        </wps:txbx>
                        <wps:bodyPr horzOverflow="overflow" vert="horz" lIns="0" tIns="0" rIns="0" bIns="0" rtlCol="0">
                          <a:noAutofit/>
                        </wps:bodyPr>
                      </wps:wsp>
                      <wps:wsp>
                        <wps:cNvPr id="273574" name="Rectangle 273574"/>
                        <wps:cNvSpPr/>
                        <wps:spPr>
                          <a:xfrm>
                            <a:off x="159946" y="1960278"/>
                            <a:ext cx="304038" cy="203030"/>
                          </a:xfrm>
                          <a:prstGeom prst="rect">
                            <a:avLst/>
                          </a:prstGeom>
                          <a:ln>
                            <a:noFill/>
                          </a:ln>
                        </wps:spPr>
                        <wps:txbx>
                          <w:txbxContent>
                            <w:p w:rsidR="00D27BC6" w:rsidRDefault="004D5071">
                              <w:pPr>
                                <w:spacing w:after="160" w:line="259" w:lineRule="auto"/>
                                <w:ind w:left="0" w:right="0" w:firstLine="0"/>
                                <w:jc w:val="left"/>
                              </w:pPr>
                              <w:r>
                                <w:rPr>
                                  <w:spacing w:val="-3"/>
                                </w:rPr>
                                <w:t xml:space="preserve"> </w:t>
                              </w:r>
                              <w:r>
                                <w:t>мес</w:t>
                              </w:r>
                            </w:p>
                          </w:txbxContent>
                        </wps:txbx>
                        <wps:bodyPr horzOverflow="overflow" vert="horz" lIns="0" tIns="0" rIns="0" bIns="0" rtlCol="0">
                          <a:noAutofit/>
                        </wps:bodyPr>
                      </wps:wsp>
                      <wps:wsp>
                        <wps:cNvPr id="273575" name="Rectangle 273575"/>
                        <wps:cNvSpPr/>
                        <wps:spPr>
                          <a:xfrm>
                            <a:off x="113972" y="2677447"/>
                            <a:ext cx="86651" cy="203030"/>
                          </a:xfrm>
                          <a:prstGeom prst="rect">
                            <a:avLst/>
                          </a:prstGeom>
                          <a:ln>
                            <a:noFill/>
                          </a:ln>
                        </wps:spPr>
                        <wps:txbx>
                          <w:txbxContent>
                            <w:p w:rsidR="00D27BC6" w:rsidRDefault="004D5071">
                              <w:pPr>
                                <w:spacing w:after="160" w:line="259" w:lineRule="auto"/>
                                <w:ind w:left="0" w:right="0" w:firstLine="0"/>
                                <w:jc w:val="left"/>
                              </w:pPr>
                              <w:r>
                                <w:rPr>
                                  <w:w w:val="101"/>
                                </w:rPr>
                                <w:t>1</w:t>
                              </w:r>
                            </w:p>
                          </w:txbxContent>
                        </wps:txbx>
                        <wps:bodyPr horzOverflow="overflow" vert="horz" lIns="0" tIns="0" rIns="0" bIns="0" rtlCol="0">
                          <a:noAutofit/>
                        </wps:bodyPr>
                      </wps:wsp>
                      <wps:wsp>
                        <wps:cNvPr id="273576" name="Rectangle 273576"/>
                        <wps:cNvSpPr/>
                        <wps:spPr>
                          <a:xfrm>
                            <a:off x="179123" y="2677447"/>
                            <a:ext cx="278533" cy="203030"/>
                          </a:xfrm>
                          <a:prstGeom prst="rect">
                            <a:avLst/>
                          </a:prstGeom>
                          <a:ln>
                            <a:noFill/>
                          </a:ln>
                        </wps:spPr>
                        <wps:txbx>
                          <w:txbxContent>
                            <w:p w:rsidR="00D27BC6" w:rsidRDefault="004D5071">
                              <w:pPr>
                                <w:spacing w:after="160" w:line="259" w:lineRule="auto"/>
                                <w:ind w:left="0" w:right="0" w:firstLine="0"/>
                                <w:jc w:val="left"/>
                              </w:pPr>
                              <w:r>
                                <w:rPr>
                                  <w:spacing w:val="-3"/>
                                  <w:w w:val="102"/>
                                </w:rPr>
                                <w:t xml:space="preserve"> </w:t>
                              </w:r>
                              <w:r>
                                <w:rPr>
                                  <w:w w:val="102"/>
                                </w:rPr>
                                <w:t>год</w:t>
                              </w:r>
                            </w:p>
                          </w:txbxContent>
                        </wps:txbx>
                        <wps:bodyPr horzOverflow="overflow" vert="horz" lIns="0" tIns="0" rIns="0" bIns="0" rtlCol="0">
                          <a:noAutofit/>
                        </wps:bodyPr>
                      </wps:wsp>
                      <wps:wsp>
                        <wps:cNvPr id="15498" name="Rectangle 15498"/>
                        <wps:cNvSpPr/>
                        <wps:spPr>
                          <a:xfrm>
                            <a:off x="17563" y="3293054"/>
                            <a:ext cx="472408" cy="160126"/>
                          </a:xfrm>
                          <a:prstGeom prst="rect">
                            <a:avLst/>
                          </a:prstGeom>
                          <a:ln>
                            <a:noFill/>
                          </a:ln>
                        </wps:spPr>
                        <wps:txbx>
                          <w:txbxContent>
                            <w:p w:rsidR="00D27BC6" w:rsidRDefault="004D5071">
                              <w:pPr>
                                <w:spacing w:after="160" w:line="259" w:lineRule="auto"/>
                                <w:ind w:left="0" w:right="0" w:firstLine="0"/>
                                <w:jc w:val="left"/>
                              </w:pPr>
                              <w:r>
                                <w:rPr>
                                  <w:w w:val="76"/>
                                  <w:sz w:val="16"/>
                                </w:rPr>
                                <w:t>Длительно</w:t>
                              </w:r>
                            </w:p>
                          </w:txbxContent>
                        </wps:txbx>
                        <wps:bodyPr horzOverflow="overflow" vert="horz" lIns="0" tIns="0" rIns="0" bIns="0" rtlCol="0">
                          <a:noAutofit/>
                        </wps:bodyPr>
                      </wps:wsp>
                      <wps:wsp>
                        <wps:cNvPr id="15499" name="Rectangle 15499"/>
                        <wps:cNvSpPr/>
                        <wps:spPr>
                          <a:xfrm>
                            <a:off x="372750" y="3298423"/>
                            <a:ext cx="40206" cy="94206"/>
                          </a:xfrm>
                          <a:prstGeom prst="rect">
                            <a:avLst/>
                          </a:prstGeom>
                          <a:ln>
                            <a:noFill/>
                          </a:ln>
                        </wps:spPr>
                        <wps:txbx>
                          <w:txbxContent>
                            <w:p w:rsidR="00D27BC6" w:rsidRDefault="004D5071">
                              <w:pPr>
                                <w:spacing w:after="160" w:line="259" w:lineRule="auto"/>
                                <w:ind w:left="0" w:right="0" w:firstLine="0"/>
                                <w:jc w:val="left"/>
                              </w:pPr>
                              <w:r>
                                <w:rPr>
                                  <w:w w:val="101"/>
                                  <w:sz w:val="9"/>
                                </w:rPr>
                                <w:t>4</w:t>
                              </w:r>
                            </w:p>
                          </w:txbxContent>
                        </wps:txbx>
                        <wps:bodyPr horzOverflow="overflow" vert="horz" lIns="0" tIns="0" rIns="0" bIns="0" rtlCol="0">
                          <a:noAutofit/>
                        </wps:bodyPr>
                      </wps:wsp>
                      <wps:wsp>
                        <wps:cNvPr id="15500" name="Shape 15500"/>
                        <wps:cNvSpPr/>
                        <wps:spPr>
                          <a:xfrm>
                            <a:off x="3950052" y="943593"/>
                            <a:ext cx="1740383" cy="0"/>
                          </a:xfrm>
                          <a:custGeom>
                            <a:avLst/>
                            <a:gdLst/>
                            <a:ahLst/>
                            <a:cxnLst/>
                            <a:rect l="0" t="0" r="0" b="0"/>
                            <a:pathLst>
                              <a:path w="1740383">
                                <a:moveTo>
                                  <a:pt x="0" y="0"/>
                                </a:moveTo>
                                <a:lnTo>
                                  <a:pt x="1740383"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501" name="Shape 15501"/>
                        <wps:cNvSpPr/>
                        <wps:spPr>
                          <a:xfrm>
                            <a:off x="875132" y="1466327"/>
                            <a:ext cx="1852892" cy="0"/>
                          </a:xfrm>
                          <a:custGeom>
                            <a:avLst/>
                            <a:gdLst/>
                            <a:ahLst/>
                            <a:cxnLst/>
                            <a:rect l="0" t="0" r="0" b="0"/>
                            <a:pathLst>
                              <a:path w="1852892">
                                <a:moveTo>
                                  <a:pt x="0" y="0"/>
                                </a:moveTo>
                                <a:lnTo>
                                  <a:pt x="1852892"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502" name="Shape 15502"/>
                        <wps:cNvSpPr/>
                        <wps:spPr>
                          <a:xfrm>
                            <a:off x="879630" y="181310"/>
                            <a:ext cx="0" cy="125247"/>
                          </a:xfrm>
                          <a:custGeom>
                            <a:avLst/>
                            <a:gdLst/>
                            <a:ahLst/>
                            <a:cxnLst/>
                            <a:rect l="0" t="0" r="0" b="0"/>
                            <a:pathLst>
                              <a:path h="125247">
                                <a:moveTo>
                                  <a:pt x="0" y="0"/>
                                </a:moveTo>
                                <a:lnTo>
                                  <a:pt x="0" y="12524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503" name="Shape 15503"/>
                        <wps:cNvSpPr/>
                        <wps:spPr>
                          <a:xfrm>
                            <a:off x="849074" y="286550"/>
                            <a:ext cx="61112" cy="83972"/>
                          </a:xfrm>
                          <a:custGeom>
                            <a:avLst/>
                            <a:gdLst/>
                            <a:ahLst/>
                            <a:cxnLst/>
                            <a:rect l="0" t="0" r="0" b="0"/>
                            <a:pathLst>
                              <a:path w="61112" h="83972">
                                <a:moveTo>
                                  <a:pt x="0" y="0"/>
                                </a:moveTo>
                                <a:lnTo>
                                  <a:pt x="30556" y="20015"/>
                                </a:lnTo>
                                <a:lnTo>
                                  <a:pt x="61112"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504" name="Shape 15504"/>
                        <wps:cNvSpPr/>
                        <wps:spPr>
                          <a:xfrm>
                            <a:off x="2732528" y="181310"/>
                            <a:ext cx="0" cy="125247"/>
                          </a:xfrm>
                          <a:custGeom>
                            <a:avLst/>
                            <a:gdLst/>
                            <a:ahLst/>
                            <a:cxnLst/>
                            <a:rect l="0" t="0" r="0" b="0"/>
                            <a:pathLst>
                              <a:path h="125247">
                                <a:moveTo>
                                  <a:pt x="0" y="0"/>
                                </a:moveTo>
                                <a:lnTo>
                                  <a:pt x="0" y="12524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505" name="Shape 15505"/>
                        <wps:cNvSpPr/>
                        <wps:spPr>
                          <a:xfrm>
                            <a:off x="2701972" y="286550"/>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506" name="Shape 15506"/>
                        <wps:cNvSpPr/>
                        <wps:spPr>
                          <a:xfrm>
                            <a:off x="4815750" y="181310"/>
                            <a:ext cx="0" cy="125247"/>
                          </a:xfrm>
                          <a:custGeom>
                            <a:avLst/>
                            <a:gdLst/>
                            <a:ahLst/>
                            <a:cxnLst/>
                            <a:rect l="0" t="0" r="0" b="0"/>
                            <a:pathLst>
                              <a:path h="125247">
                                <a:moveTo>
                                  <a:pt x="0" y="0"/>
                                </a:moveTo>
                                <a:lnTo>
                                  <a:pt x="0" y="12524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507" name="Shape 15507"/>
                        <wps:cNvSpPr/>
                        <wps:spPr>
                          <a:xfrm>
                            <a:off x="4785194" y="286550"/>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508" name="Rectangle 15508"/>
                        <wps:cNvSpPr/>
                        <wps:spPr>
                          <a:xfrm>
                            <a:off x="1685501" y="2403956"/>
                            <a:ext cx="344576" cy="203030"/>
                          </a:xfrm>
                          <a:prstGeom prst="rect">
                            <a:avLst/>
                          </a:prstGeom>
                          <a:ln>
                            <a:noFill/>
                          </a:ln>
                        </wps:spPr>
                        <wps:txbx>
                          <w:txbxContent>
                            <w:p w:rsidR="00D27BC6" w:rsidRDefault="004D5071">
                              <w:pPr>
                                <w:spacing w:after="160" w:line="259" w:lineRule="auto"/>
                                <w:ind w:left="0" w:right="0" w:firstLine="0"/>
                                <w:jc w:val="left"/>
                              </w:pPr>
                              <w:r>
                                <w:rPr>
                                  <w:w w:val="104"/>
                                </w:rPr>
                                <w:t>ОАК</w:t>
                              </w:r>
                              <w:r>
                                <w:rPr>
                                  <w:spacing w:val="-3"/>
                                  <w:w w:val="104"/>
                                </w:rPr>
                                <w:t xml:space="preserve"> </w:t>
                              </w:r>
                            </w:p>
                          </w:txbxContent>
                        </wps:txbx>
                        <wps:bodyPr horzOverflow="overflow" vert="horz" lIns="0" tIns="0" rIns="0" bIns="0" rtlCol="0">
                          <a:noAutofit/>
                        </wps:bodyPr>
                      </wps:wsp>
                      <wps:wsp>
                        <wps:cNvPr id="15509" name="Rectangle 15509"/>
                        <wps:cNvSpPr/>
                        <wps:spPr>
                          <a:xfrm>
                            <a:off x="1413594" y="2530956"/>
                            <a:ext cx="981857" cy="203030"/>
                          </a:xfrm>
                          <a:prstGeom prst="rect">
                            <a:avLst/>
                          </a:prstGeom>
                          <a:ln>
                            <a:noFill/>
                          </a:ln>
                        </wps:spPr>
                        <wps:txbx>
                          <w:txbxContent>
                            <w:p w:rsidR="00D27BC6" w:rsidRDefault="004D5071">
                              <w:pPr>
                                <w:spacing w:after="160" w:line="259" w:lineRule="auto"/>
                                <w:ind w:left="0" w:right="0" w:firstLine="0"/>
                                <w:jc w:val="left"/>
                              </w:pPr>
                              <w:r>
                                <w:rPr>
                                  <w:w w:val="103"/>
                                </w:rPr>
                                <w:t>монотерапия</w:t>
                              </w:r>
                            </w:p>
                          </w:txbxContent>
                        </wps:txbx>
                        <wps:bodyPr horzOverflow="overflow" vert="horz" lIns="0" tIns="0" rIns="0" bIns="0" rtlCol="0">
                          <a:noAutofit/>
                        </wps:bodyPr>
                      </wps:wsp>
                      <wps:wsp>
                        <wps:cNvPr id="15510" name="Rectangle 15510"/>
                        <wps:cNvSpPr/>
                        <wps:spPr>
                          <a:xfrm>
                            <a:off x="2151806" y="2539826"/>
                            <a:ext cx="50258" cy="117758"/>
                          </a:xfrm>
                          <a:prstGeom prst="rect">
                            <a:avLst/>
                          </a:prstGeom>
                          <a:ln>
                            <a:noFill/>
                          </a:ln>
                        </wps:spPr>
                        <wps:txbx>
                          <w:txbxContent>
                            <w:p w:rsidR="00D27BC6" w:rsidRDefault="004D5071">
                              <w:pPr>
                                <w:spacing w:after="160" w:line="259" w:lineRule="auto"/>
                                <w:ind w:left="0" w:right="0" w:firstLine="0"/>
                                <w:jc w:val="left"/>
                              </w:pPr>
                              <w:r>
                                <w:rPr>
                                  <w:w w:val="101"/>
                                  <w:sz w:val="12"/>
                                </w:rPr>
                                <w:t>3</w:t>
                              </w:r>
                            </w:p>
                          </w:txbxContent>
                        </wps:txbx>
                        <wps:bodyPr horzOverflow="overflow" vert="horz" lIns="0" tIns="0" rIns="0" bIns="0" rtlCol="0">
                          <a:noAutofit/>
                        </wps:bodyPr>
                      </wps:wsp>
                      <wps:wsp>
                        <wps:cNvPr id="15511" name="Rectangle 15511"/>
                        <wps:cNvSpPr/>
                        <wps:spPr>
                          <a:xfrm>
                            <a:off x="5567212" y="2403956"/>
                            <a:ext cx="344576" cy="203030"/>
                          </a:xfrm>
                          <a:prstGeom prst="rect">
                            <a:avLst/>
                          </a:prstGeom>
                          <a:ln>
                            <a:noFill/>
                          </a:ln>
                        </wps:spPr>
                        <wps:txbx>
                          <w:txbxContent>
                            <w:p w:rsidR="00D27BC6" w:rsidRDefault="004D5071">
                              <w:pPr>
                                <w:spacing w:after="160" w:line="259" w:lineRule="auto"/>
                                <w:ind w:left="0" w:right="0" w:firstLine="0"/>
                                <w:jc w:val="left"/>
                              </w:pPr>
                              <w:r>
                                <w:rPr>
                                  <w:w w:val="104"/>
                                </w:rPr>
                                <w:t>ОАК</w:t>
                              </w:r>
                              <w:r>
                                <w:rPr>
                                  <w:spacing w:val="-3"/>
                                  <w:w w:val="104"/>
                                </w:rPr>
                                <w:t xml:space="preserve"> </w:t>
                              </w:r>
                            </w:p>
                          </w:txbxContent>
                        </wps:txbx>
                        <wps:bodyPr horzOverflow="overflow" vert="horz" lIns="0" tIns="0" rIns="0" bIns="0" rtlCol="0">
                          <a:noAutofit/>
                        </wps:bodyPr>
                      </wps:wsp>
                      <wps:wsp>
                        <wps:cNvPr id="15512" name="Rectangle 15512"/>
                        <wps:cNvSpPr/>
                        <wps:spPr>
                          <a:xfrm>
                            <a:off x="5295305" y="2530956"/>
                            <a:ext cx="981857" cy="203030"/>
                          </a:xfrm>
                          <a:prstGeom prst="rect">
                            <a:avLst/>
                          </a:prstGeom>
                          <a:ln>
                            <a:noFill/>
                          </a:ln>
                        </wps:spPr>
                        <wps:txbx>
                          <w:txbxContent>
                            <w:p w:rsidR="00D27BC6" w:rsidRDefault="004D5071">
                              <w:pPr>
                                <w:spacing w:after="160" w:line="259" w:lineRule="auto"/>
                                <w:ind w:left="0" w:right="0" w:firstLine="0"/>
                                <w:jc w:val="left"/>
                              </w:pPr>
                              <w:r>
                                <w:rPr>
                                  <w:w w:val="103"/>
                                </w:rPr>
                                <w:t>монотерапия</w:t>
                              </w:r>
                            </w:p>
                          </w:txbxContent>
                        </wps:txbx>
                        <wps:bodyPr horzOverflow="overflow" vert="horz" lIns="0" tIns="0" rIns="0" bIns="0" rtlCol="0">
                          <a:noAutofit/>
                        </wps:bodyPr>
                      </wps:wsp>
                      <wps:wsp>
                        <wps:cNvPr id="15513" name="Rectangle 15513"/>
                        <wps:cNvSpPr/>
                        <wps:spPr>
                          <a:xfrm>
                            <a:off x="6033516" y="2539826"/>
                            <a:ext cx="50258" cy="117758"/>
                          </a:xfrm>
                          <a:prstGeom prst="rect">
                            <a:avLst/>
                          </a:prstGeom>
                          <a:ln>
                            <a:noFill/>
                          </a:ln>
                        </wps:spPr>
                        <wps:txbx>
                          <w:txbxContent>
                            <w:p w:rsidR="00D27BC6" w:rsidRDefault="004D5071">
                              <w:pPr>
                                <w:spacing w:after="160" w:line="259" w:lineRule="auto"/>
                                <w:ind w:left="0" w:right="0" w:firstLine="0"/>
                                <w:jc w:val="left"/>
                              </w:pPr>
                              <w:r>
                                <w:rPr>
                                  <w:w w:val="101"/>
                                  <w:sz w:val="12"/>
                                </w:rPr>
                                <w:t>3</w:t>
                              </w:r>
                            </w:p>
                          </w:txbxContent>
                        </wps:txbx>
                        <wps:bodyPr horzOverflow="overflow" vert="horz" lIns="0" tIns="0" rIns="0" bIns="0" rtlCol="0">
                          <a:noAutofit/>
                        </wps:bodyPr>
                      </wps:wsp>
                      <wps:wsp>
                        <wps:cNvPr id="15514" name="Rectangle 15514"/>
                        <wps:cNvSpPr/>
                        <wps:spPr>
                          <a:xfrm>
                            <a:off x="3809712" y="2391256"/>
                            <a:ext cx="390182" cy="203030"/>
                          </a:xfrm>
                          <a:prstGeom prst="rect">
                            <a:avLst/>
                          </a:prstGeom>
                          <a:ln>
                            <a:noFill/>
                          </a:ln>
                        </wps:spPr>
                        <wps:txbx>
                          <w:txbxContent>
                            <w:p w:rsidR="00D27BC6" w:rsidRDefault="004D5071">
                              <w:pPr>
                                <w:spacing w:after="160" w:line="259" w:lineRule="auto"/>
                                <w:ind w:left="0" w:right="0" w:firstLine="0"/>
                                <w:jc w:val="left"/>
                              </w:pPr>
                              <w:r>
                                <w:rPr>
                                  <w:w w:val="103"/>
                                </w:rPr>
                                <w:t>ДААТ</w:t>
                              </w:r>
                            </w:p>
                          </w:txbxContent>
                        </wps:txbx>
                        <wps:bodyPr horzOverflow="overflow" vert="horz" lIns="0" tIns="0" rIns="0" bIns="0" rtlCol="0">
                          <a:noAutofit/>
                        </wps:bodyPr>
                      </wps:wsp>
                      <wps:wsp>
                        <wps:cNvPr id="15515" name="Rectangle 15515"/>
                        <wps:cNvSpPr/>
                        <wps:spPr>
                          <a:xfrm>
                            <a:off x="3809712" y="1839568"/>
                            <a:ext cx="390182" cy="203029"/>
                          </a:xfrm>
                          <a:prstGeom prst="rect">
                            <a:avLst/>
                          </a:prstGeom>
                          <a:ln>
                            <a:noFill/>
                          </a:ln>
                        </wps:spPr>
                        <wps:txbx>
                          <w:txbxContent>
                            <w:p w:rsidR="00D27BC6" w:rsidRDefault="004D5071">
                              <w:pPr>
                                <w:spacing w:after="160" w:line="259" w:lineRule="auto"/>
                                <w:ind w:left="0" w:right="0" w:firstLine="0"/>
                                <w:jc w:val="left"/>
                              </w:pPr>
                              <w:r>
                                <w:rPr>
                                  <w:w w:val="103"/>
                                </w:rPr>
                                <w:t>ДААТ</w:t>
                              </w:r>
                            </w:p>
                          </w:txbxContent>
                        </wps:txbx>
                        <wps:bodyPr horzOverflow="overflow" vert="horz" lIns="0" tIns="0" rIns="0" bIns="0" rtlCol="0">
                          <a:noAutofit/>
                        </wps:bodyPr>
                      </wps:wsp>
                      <wps:wsp>
                        <wps:cNvPr id="378673" name="Shape 378673"/>
                        <wps:cNvSpPr/>
                        <wps:spPr>
                          <a:xfrm>
                            <a:off x="3199968" y="2448408"/>
                            <a:ext cx="516598" cy="186791"/>
                          </a:xfrm>
                          <a:custGeom>
                            <a:avLst/>
                            <a:gdLst/>
                            <a:ahLst/>
                            <a:cxnLst/>
                            <a:rect l="0" t="0" r="0" b="0"/>
                            <a:pathLst>
                              <a:path w="516598" h="186791">
                                <a:moveTo>
                                  <a:pt x="0" y="0"/>
                                </a:moveTo>
                                <a:lnTo>
                                  <a:pt x="516598" y="0"/>
                                </a:lnTo>
                                <a:lnTo>
                                  <a:pt x="516598" y="186791"/>
                                </a:lnTo>
                                <a:lnTo>
                                  <a:pt x="0" y="186791"/>
                                </a:lnTo>
                                <a:lnTo>
                                  <a:pt x="0" y="0"/>
                                </a:lnTo>
                              </a:path>
                            </a:pathLst>
                          </a:custGeom>
                          <a:ln w="0" cap="flat">
                            <a:miter lim="100000"/>
                          </a:ln>
                        </wps:spPr>
                        <wps:style>
                          <a:lnRef idx="0">
                            <a:srgbClr val="000000">
                              <a:alpha val="0"/>
                            </a:srgbClr>
                          </a:lnRef>
                          <a:fillRef idx="1">
                            <a:srgbClr val="F4D6C9"/>
                          </a:fillRef>
                          <a:effectRef idx="0">
                            <a:scrgbClr r="0" g="0" b="0"/>
                          </a:effectRef>
                          <a:fontRef idx="none"/>
                        </wps:style>
                        <wps:bodyPr/>
                      </wps:wsp>
                      <wps:wsp>
                        <wps:cNvPr id="15517" name="Shape 15517"/>
                        <wps:cNvSpPr/>
                        <wps:spPr>
                          <a:xfrm>
                            <a:off x="3199968" y="2448408"/>
                            <a:ext cx="516598" cy="186791"/>
                          </a:xfrm>
                          <a:custGeom>
                            <a:avLst/>
                            <a:gdLst/>
                            <a:ahLst/>
                            <a:cxnLst/>
                            <a:rect l="0" t="0" r="0" b="0"/>
                            <a:pathLst>
                              <a:path w="516598" h="186791">
                                <a:moveTo>
                                  <a:pt x="0" y="186791"/>
                                </a:moveTo>
                                <a:lnTo>
                                  <a:pt x="516598" y="186791"/>
                                </a:lnTo>
                                <a:lnTo>
                                  <a:pt x="5165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518" name="Rectangle 15518"/>
                        <wps:cNvSpPr/>
                        <wps:spPr>
                          <a:xfrm>
                            <a:off x="3295870" y="2483183"/>
                            <a:ext cx="432004" cy="162423"/>
                          </a:xfrm>
                          <a:prstGeom prst="rect">
                            <a:avLst/>
                          </a:prstGeom>
                          <a:ln>
                            <a:noFill/>
                          </a:ln>
                        </wps:spPr>
                        <wps:txbx>
                          <w:txbxContent>
                            <w:p w:rsidR="00D27BC6" w:rsidRDefault="004D5071">
                              <w:pPr>
                                <w:spacing w:after="160" w:line="259" w:lineRule="auto"/>
                                <w:ind w:left="0" w:right="0" w:firstLine="0"/>
                                <w:jc w:val="left"/>
                              </w:pPr>
                              <w:r>
                                <w:rPr>
                                  <w:w w:val="104"/>
                                  <w:sz w:val="16"/>
                                </w:rPr>
                                <w:t>А</w:t>
                              </w:r>
                              <w:r>
                                <w:rPr>
                                  <w:spacing w:val="-2"/>
                                  <w:w w:val="104"/>
                                  <w:sz w:val="16"/>
                                </w:rPr>
                                <w:t xml:space="preserve"> </w:t>
                              </w:r>
                              <w:r>
                                <w:rPr>
                                  <w:w w:val="104"/>
                                  <w:sz w:val="16"/>
                                </w:rPr>
                                <w:t>или</w:t>
                              </w:r>
                              <w:r>
                                <w:rPr>
                                  <w:spacing w:val="-2"/>
                                  <w:w w:val="104"/>
                                  <w:sz w:val="16"/>
                                </w:rPr>
                                <w:t xml:space="preserve"> </w:t>
                              </w:r>
                              <w:r>
                                <w:rPr>
                                  <w:w w:val="104"/>
                                  <w:sz w:val="16"/>
                                </w:rPr>
                                <w:t>К</w:t>
                              </w:r>
                            </w:p>
                          </w:txbxContent>
                        </wps:txbx>
                        <wps:bodyPr horzOverflow="overflow" vert="horz" lIns="0" tIns="0" rIns="0" bIns="0" rtlCol="0">
                          <a:noAutofit/>
                        </wps:bodyPr>
                      </wps:wsp>
                      <wps:wsp>
                        <wps:cNvPr id="15519" name="Rectangle 15519"/>
                        <wps:cNvSpPr/>
                        <wps:spPr>
                          <a:xfrm>
                            <a:off x="4306485" y="2732205"/>
                            <a:ext cx="275661" cy="162423"/>
                          </a:xfrm>
                          <a:prstGeom prst="rect">
                            <a:avLst/>
                          </a:prstGeom>
                          <a:ln>
                            <a:noFill/>
                          </a:ln>
                        </wps:spPr>
                        <wps:txbx>
                          <w:txbxContent>
                            <w:p w:rsidR="00D27BC6" w:rsidRDefault="004D5071">
                              <w:pPr>
                                <w:spacing w:after="160" w:line="259" w:lineRule="auto"/>
                                <w:ind w:left="0" w:right="0" w:firstLine="0"/>
                                <w:jc w:val="left"/>
                              </w:pPr>
                              <w:r>
                                <w:rPr>
                                  <w:w w:val="104"/>
                                  <w:sz w:val="16"/>
                                </w:rPr>
                                <w:t>ОАК</w:t>
                              </w:r>
                              <w:r>
                                <w:rPr>
                                  <w:spacing w:val="-2"/>
                                  <w:w w:val="104"/>
                                  <w:sz w:val="16"/>
                                </w:rPr>
                                <w:t xml:space="preserve"> </w:t>
                              </w:r>
                            </w:p>
                          </w:txbxContent>
                        </wps:txbx>
                        <wps:bodyPr horzOverflow="overflow" vert="horz" lIns="0" tIns="0" rIns="0" bIns="0" rtlCol="0">
                          <a:noAutofit/>
                        </wps:bodyPr>
                      </wps:wsp>
                      <wps:wsp>
                        <wps:cNvPr id="15520" name="Rectangle 15520"/>
                        <wps:cNvSpPr/>
                        <wps:spPr>
                          <a:xfrm>
                            <a:off x="4104098" y="2821105"/>
                            <a:ext cx="785486" cy="162423"/>
                          </a:xfrm>
                          <a:prstGeom prst="rect">
                            <a:avLst/>
                          </a:prstGeom>
                          <a:ln>
                            <a:noFill/>
                          </a:ln>
                        </wps:spPr>
                        <wps:txbx>
                          <w:txbxContent>
                            <w:p w:rsidR="00D27BC6" w:rsidRDefault="004D5071">
                              <w:pPr>
                                <w:spacing w:after="160" w:line="259" w:lineRule="auto"/>
                                <w:ind w:left="0" w:right="0" w:firstLine="0"/>
                                <w:jc w:val="left"/>
                              </w:pPr>
                              <w:r>
                                <w:rPr>
                                  <w:w w:val="103"/>
                                  <w:sz w:val="16"/>
                                </w:rPr>
                                <w:t>монотерапия</w:t>
                              </w:r>
                            </w:p>
                          </w:txbxContent>
                        </wps:txbx>
                        <wps:bodyPr horzOverflow="overflow" vert="horz" lIns="0" tIns="0" rIns="0" bIns="0" rtlCol="0">
                          <a:noAutofit/>
                        </wps:bodyPr>
                      </wps:wsp>
                      <wps:wsp>
                        <wps:cNvPr id="378685" name="Shape 378685"/>
                        <wps:cNvSpPr/>
                        <wps:spPr>
                          <a:xfrm>
                            <a:off x="4175100" y="2948533"/>
                            <a:ext cx="516598" cy="238646"/>
                          </a:xfrm>
                          <a:custGeom>
                            <a:avLst/>
                            <a:gdLst/>
                            <a:ahLst/>
                            <a:cxnLst/>
                            <a:rect l="0" t="0" r="0" b="0"/>
                            <a:pathLst>
                              <a:path w="516598" h="238646">
                                <a:moveTo>
                                  <a:pt x="0" y="0"/>
                                </a:moveTo>
                                <a:lnTo>
                                  <a:pt x="516598" y="0"/>
                                </a:lnTo>
                                <a:lnTo>
                                  <a:pt x="516598" y="238646"/>
                                </a:lnTo>
                                <a:lnTo>
                                  <a:pt x="0" y="238646"/>
                                </a:lnTo>
                                <a:lnTo>
                                  <a:pt x="0" y="0"/>
                                </a:lnTo>
                              </a:path>
                            </a:pathLst>
                          </a:custGeom>
                          <a:ln w="0" cap="flat">
                            <a:miter lim="100000"/>
                          </a:ln>
                        </wps:spPr>
                        <wps:style>
                          <a:lnRef idx="0">
                            <a:srgbClr val="000000">
                              <a:alpha val="0"/>
                            </a:srgbClr>
                          </a:lnRef>
                          <a:fillRef idx="1">
                            <a:srgbClr val="C4D983"/>
                          </a:fillRef>
                          <a:effectRef idx="0">
                            <a:scrgbClr r="0" g="0" b="0"/>
                          </a:effectRef>
                          <a:fontRef idx="none"/>
                        </wps:style>
                        <wps:bodyPr/>
                      </wps:wsp>
                      <wps:wsp>
                        <wps:cNvPr id="15522" name="Shape 15522"/>
                        <wps:cNvSpPr/>
                        <wps:spPr>
                          <a:xfrm>
                            <a:off x="4175100" y="2948533"/>
                            <a:ext cx="516598" cy="238646"/>
                          </a:xfrm>
                          <a:custGeom>
                            <a:avLst/>
                            <a:gdLst/>
                            <a:ahLst/>
                            <a:cxnLst/>
                            <a:rect l="0" t="0" r="0" b="0"/>
                            <a:pathLst>
                              <a:path w="516598" h="238646">
                                <a:moveTo>
                                  <a:pt x="0" y="238646"/>
                                </a:moveTo>
                                <a:lnTo>
                                  <a:pt x="516598" y="238646"/>
                                </a:lnTo>
                                <a:lnTo>
                                  <a:pt x="5165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523" name="Rectangle 15523"/>
                        <wps:cNvSpPr/>
                        <wps:spPr>
                          <a:xfrm>
                            <a:off x="4254227" y="2958432"/>
                            <a:ext cx="533891" cy="162424"/>
                          </a:xfrm>
                          <a:prstGeom prst="rect">
                            <a:avLst/>
                          </a:prstGeom>
                          <a:ln>
                            <a:noFill/>
                          </a:ln>
                        </wps:spPr>
                        <wps:txbx>
                          <w:txbxContent>
                            <w:p w:rsidR="00D27BC6" w:rsidRDefault="004D5071">
                              <w:pPr>
                                <w:spacing w:after="160" w:line="259" w:lineRule="auto"/>
                                <w:ind w:left="0" w:right="0" w:firstLine="0"/>
                                <w:jc w:val="left"/>
                              </w:pPr>
                              <w:r>
                                <w:rPr>
                                  <w:w w:val="103"/>
                                  <w:sz w:val="16"/>
                                </w:rPr>
                                <w:t>АВК</w:t>
                              </w:r>
                              <w:r>
                                <w:rPr>
                                  <w:spacing w:val="-2"/>
                                  <w:w w:val="103"/>
                                  <w:sz w:val="16"/>
                                </w:rPr>
                                <w:t xml:space="preserve"> </w:t>
                              </w:r>
                              <w:r>
                                <w:rPr>
                                  <w:w w:val="103"/>
                                  <w:sz w:val="16"/>
                                </w:rPr>
                                <w:t>или</w:t>
                              </w:r>
                              <w:r>
                                <w:rPr>
                                  <w:spacing w:val="-2"/>
                                  <w:w w:val="103"/>
                                  <w:sz w:val="16"/>
                                </w:rPr>
                                <w:t xml:space="preserve">  </w:t>
                              </w:r>
                            </w:p>
                          </w:txbxContent>
                        </wps:txbx>
                        <wps:bodyPr horzOverflow="overflow" vert="horz" lIns="0" tIns="0" rIns="0" bIns="0" rtlCol="0">
                          <a:noAutofit/>
                        </wps:bodyPr>
                      </wps:wsp>
                      <wps:wsp>
                        <wps:cNvPr id="15524" name="Rectangle 15524"/>
                        <wps:cNvSpPr/>
                        <wps:spPr>
                          <a:xfrm>
                            <a:off x="4308075" y="3060032"/>
                            <a:ext cx="333361" cy="162424"/>
                          </a:xfrm>
                          <a:prstGeom prst="rect">
                            <a:avLst/>
                          </a:prstGeom>
                          <a:ln>
                            <a:noFill/>
                          </a:ln>
                        </wps:spPr>
                        <wps:txbx>
                          <w:txbxContent>
                            <w:p w:rsidR="00D27BC6" w:rsidRDefault="004D5071">
                              <w:pPr>
                                <w:spacing w:after="160" w:line="259" w:lineRule="auto"/>
                                <w:ind w:left="0" w:right="0" w:firstLine="0"/>
                                <w:jc w:val="left"/>
                              </w:pPr>
                              <w:r>
                                <w:rPr>
                                  <w:w w:val="104"/>
                                  <w:sz w:val="16"/>
                                </w:rPr>
                                <w:t>ПОАК</w:t>
                              </w:r>
                            </w:p>
                          </w:txbxContent>
                        </wps:txbx>
                        <wps:bodyPr horzOverflow="overflow" vert="horz" lIns="0" tIns="0" rIns="0" bIns="0" rtlCol="0">
                          <a:noAutofit/>
                        </wps:bodyPr>
                      </wps:wsp>
                      <wps:wsp>
                        <wps:cNvPr id="378694" name="Shape 378694"/>
                        <wps:cNvSpPr/>
                        <wps:spPr>
                          <a:xfrm>
                            <a:off x="3199968" y="2659011"/>
                            <a:ext cx="516598" cy="238646"/>
                          </a:xfrm>
                          <a:custGeom>
                            <a:avLst/>
                            <a:gdLst/>
                            <a:ahLst/>
                            <a:cxnLst/>
                            <a:rect l="0" t="0" r="0" b="0"/>
                            <a:pathLst>
                              <a:path w="516598" h="238646">
                                <a:moveTo>
                                  <a:pt x="0" y="0"/>
                                </a:moveTo>
                                <a:lnTo>
                                  <a:pt x="516598" y="0"/>
                                </a:lnTo>
                                <a:lnTo>
                                  <a:pt x="516598" y="238646"/>
                                </a:lnTo>
                                <a:lnTo>
                                  <a:pt x="0" y="238646"/>
                                </a:lnTo>
                                <a:lnTo>
                                  <a:pt x="0" y="0"/>
                                </a:lnTo>
                              </a:path>
                            </a:pathLst>
                          </a:custGeom>
                          <a:ln w="0" cap="flat">
                            <a:miter lim="100000"/>
                          </a:ln>
                        </wps:spPr>
                        <wps:style>
                          <a:lnRef idx="0">
                            <a:srgbClr val="000000">
                              <a:alpha val="0"/>
                            </a:srgbClr>
                          </a:lnRef>
                          <a:fillRef idx="1">
                            <a:srgbClr val="C4D983"/>
                          </a:fillRef>
                          <a:effectRef idx="0">
                            <a:scrgbClr r="0" g="0" b="0"/>
                          </a:effectRef>
                          <a:fontRef idx="none"/>
                        </wps:style>
                        <wps:bodyPr/>
                      </wps:wsp>
                      <wps:wsp>
                        <wps:cNvPr id="15526" name="Shape 15526"/>
                        <wps:cNvSpPr/>
                        <wps:spPr>
                          <a:xfrm>
                            <a:off x="3199968" y="2659011"/>
                            <a:ext cx="516598" cy="238646"/>
                          </a:xfrm>
                          <a:custGeom>
                            <a:avLst/>
                            <a:gdLst/>
                            <a:ahLst/>
                            <a:cxnLst/>
                            <a:rect l="0" t="0" r="0" b="0"/>
                            <a:pathLst>
                              <a:path w="516598" h="238646">
                                <a:moveTo>
                                  <a:pt x="0" y="238646"/>
                                </a:moveTo>
                                <a:lnTo>
                                  <a:pt x="516598" y="238646"/>
                                </a:lnTo>
                                <a:lnTo>
                                  <a:pt x="5165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527" name="Rectangle 15527"/>
                        <wps:cNvSpPr/>
                        <wps:spPr>
                          <a:xfrm>
                            <a:off x="3279105" y="2668912"/>
                            <a:ext cx="533891" cy="162424"/>
                          </a:xfrm>
                          <a:prstGeom prst="rect">
                            <a:avLst/>
                          </a:prstGeom>
                          <a:ln>
                            <a:noFill/>
                          </a:ln>
                        </wps:spPr>
                        <wps:txbx>
                          <w:txbxContent>
                            <w:p w:rsidR="00D27BC6" w:rsidRDefault="004D5071">
                              <w:pPr>
                                <w:spacing w:after="160" w:line="259" w:lineRule="auto"/>
                                <w:ind w:left="0" w:right="0" w:firstLine="0"/>
                                <w:jc w:val="left"/>
                              </w:pPr>
                              <w:r>
                                <w:rPr>
                                  <w:w w:val="103"/>
                                  <w:sz w:val="16"/>
                                </w:rPr>
                                <w:t>АВК</w:t>
                              </w:r>
                              <w:r>
                                <w:rPr>
                                  <w:spacing w:val="-2"/>
                                  <w:w w:val="103"/>
                                  <w:sz w:val="16"/>
                                </w:rPr>
                                <w:t xml:space="preserve"> </w:t>
                              </w:r>
                              <w:r>
                                <w:rPr>
                                  <w:w w:val="103"/>
                                  <w:sz w:val="16"/>
                                </w:rPr>
                                <w:t>или</w:t>
                              </w:r>
                              <w:r>
                                <w:rPr>
                                  <w:spacing w:val="-2"/>
                                  <w:w w:val="103"/>
                                  <w:sz w:val="16"/>
                                </w:rPr>
                                <w:t xml:space="preserve">  </w:t>
                              </w:r>
                            </w:p>
                          </w:txbxContent>
                        </wps:txbx>
                        <wps:bodyPr horzOverflow="overflow" vert="horz" lIns="0" tIns="0" rIns="0" bIns="0" rtlCol="0">
                          <a:noAutofit/>
                        </wps:bodyPr>
                      </wps:wsp>
                      <wps:wsp>
                        <wps:cNvPr id="15528" name="Rectangle 15528"/>
                        <wps:cNvSpPr/>
                        <wps:spPr>
                          <a:xfrm>
                            <a:off x="3332952" y="2770512"/>
                            <a:ext cx="333361" cy="162424"/>
                          </a:xfrm>
                          <a:prstGeom prst="rect">
                            <a:avLst/>
                          </a:prstGeom>
                          <a:ln>
                            <a:noFill/>
                          </a:ln>
                        </wps:spPr>
                        <wps:txbx>
                          <w:txbxContent>
                            <w:p w:rsidR="00D27BC6" w:rsidRDefault="004D5071">
                              <w:pPr>
                                <w:spacing w:after="160" w:line="259" w:lineRule="auto"/>
                                <w:ind w:left="0" w:right="0" w:firstLine="0"/>
                                <w:jc w:val="left"/>
                              </w:pPr>
                              <w:r>
                                <w:rPr>
                                  <w:w w:val="104"/>
                                  <w:sz w:val="16"/>
                                </w:rPr>
                                <w:t>ПОАК</w:t>
                              </w:r>
                            </w:p>
                          </w:txbxContent>
                        </wps:txbx>
                        <wps:bodyPr horzOverflow="overflow" vert="horz" lIns="0" tIns="0" rIns="0" bIns="0" rtlCol="0">
                          <a:noAutofit/>
                        </wps:bodyPr>
                      </wps:wsp>
                      <wps:wsp>
                        <wps:cNvPr id="378703" name="Shape 378703"/>
                        <wps:cNvSpPr/>
                        <wps:spPr>
                          <a:xfrm>
                            <a:off x="3199968" y="2014563"/>
                            <a:ext cx="516598" cy="238645"/>
                          </a:xfrm>
                          <a:custGeom>
                            <a:avLst/>
                            <a:gdLst/>
                            <a:ahLst/>
                            <a:cxnLst/>
                            <a:rect l="0" t="0" r="0" b="0"/>
                            <a:pathLst>
                              <a:path w="516598" h="238645">
                                <a:moveTo>
                                  <a:pt x="0" y="0"/>
                                </a:moveTo>
                                <a:lnTo>
                                  <a:pt x="516598" y="0"/>
                                </a:lnTo>
                                <a:lnTo>
                                  <a:pt x="516598" y="238645"/>
                                </a:lnTo>
                                <a:lnTo>
                                  <a:pt x="0" y="238645"/>
                                </a:lnTo>
                                <a:lnTo>
                                  <a:pt x="0" y="0"/>
                                </a:lnTo>
                              </a:path>
                            </a:pathLst>
                          </a:custGeom>
                          <a:ln w="0" cap="flat">
                            <a:miter lim="100000"/>
                          </a:ln>
                        </wps:spPr>
                        <wps:style>
                          <a:lnRef idx="0">
                            <a:srgbClr val="000000">
                              <a:alpha val="0"/>
                            </a:srgbClr>
                          </a:lnRef>
                          <a:fillRef idx="1">
                            <a:srgbClr val="C4D983"/>
                          </a:fillRef>
                          <a:effectRef idx="0">
                            <a:scrgbClr r="0" g="0" b="0"/>
                          </a:effectRef>
                          <a:fontRef idx="none"/>
                        </wps:style>
                        <wps:bodyPr/>
                      </wps:wsp>
                      <wps:wsp>
                        <wps:cNvPr id="15530" name="Shape 15530"/>
                        <wps:cNvSpPr/>
                        <wps:spPr>
                          <a:xfrm>
                            <a:off x="3199968" y="2014563"/>
                            <a:ext cx="516598" cy="238645"/>
                          </a:xfrm>
                          <a:custGeom>
                            <a:avLst/>
                            <a:gdLst/>
                            <a:ahLst/>
                            <a:cxnLst/>
                            <a:rect l="0" t="0" r="0" b="0"/>
                            <a:pathLst>
                              <a:path w="516598" h="238645">
                                <a:moveTo>
                                  <a:pt x="0" y="238645"/>
                                </a:moveTo>
                                <a:lnTo>
                                  <a:pt x="516598" y="238645"/>
                                </a:lnTo>
                                <a:lnTo>
                                  <a:pt x="5165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531" name="Rectangle 15531"/>
                        <wps:cNvSpPr/>
                        <wps:spPr>
                          <a:xfrm>
                            <a:off x="3279105" y="2024465"/>
                            <a:ext cx="533891" cy="162424"/>
                          </a:xfrm>
                          <a:prstGeom prst="rect">
                            <a:avLst/>
                          </a:prstGeom>
                          <a:ln>
                            <a:noFill/>
                          </a:ln>
                        </wps:spPr>
                        <wps:txbx>
                          <w:txbxContent>
                            <w:p w:rsidR="00D27BC6" w:rsidRDefault="004D5071">
                              <w:pPr>
                                <w:spacing w:after="160" w:line="259" w:lineRule="auto"/>
                                <w:ind w:left="0" w:right="0" w:firstLine="0"/>
                                <w:jc w:val="left"/>
                              </w:pPr>
                              <w:r>
                                <w:rPr>
                                  <w:w w:val="103"/>
                                  <w:sz w:val="16"/>
                                </w:rPr>
                                <w:t>АВК</w:t>
                              </w:r>
                              <w:r>
                                <w:rPr>
                                  <w:spacing w:val="-2"/>
                                  <w:w w:val="103"/>
                                  <w:sz w:val="16"/>
                                </w:rPr>
                                <w:t xml:space="preserve"> </w:t>
                              </w:r>
                              <w:r>
                                <w:rPr>
                                  <w:w w:val="103"/>
                                  <w:sz w:val="16"/>
                                </w:rPr>
                                <w:t>или</w:t>
                              </w:r>
                              <w:r>
                                <w:rPr>
                                  <w:spacing w:val="-2"/>
                                  <w:w w:val="103"/>
                                  <w:sz w:val="16"/>
                                </w:rPr>
                                <w:t xml:space="preserve">  </w:t>
                              </w:r>
                            </w:p>
                          </w:txbxContent>
                        </wps:txbx>
                        <wps:bodyPr horzOverflow="overflow" vert="horz" lIns="0" tIns="0" rIns="0" bIns="0" rtlCol="0">
                          <a:noAutofit/>
                        </wps:bodyPr>
                      </wps:wsp>
                      <wps:wsp>
                        <wps:cNvPr id="15532" name="Rectangle 15532"/>
                        <wps:cNvSpPr/>
                        <wps:spPr>
                          <a:xfrm>
                            <a:off x="3332952" y="2126065"/>
                            <a:ext cx="333361" cy="162424"/>
                          </a:xfrm>
                          <a:prstGeom prst="rect">
                            <a:avLst/>
                          </a:prstGeom>
                          <a:ln>
                            <a:noFill/>
                          </a:ln>
                        </wps:spPr>
                        <wps:txbx>
                          <w:txbxContent>
                            <w:p w:rsidR="00D27BC6" w:rsidRDefault="004D5071">
                              <w:pPr>
                                <w:spacing w:after="160" w:line="259" w:lineRule="auto"/>
                                <w:ind w:left="0" w:right="0" w:firstLine="0"/>
                                <w:jc w:val="left"/>
                              </w:pPr>
                              <w:r>
                                <w:rPr>
                                  <w:w w:val="104"/>
                                  <w:sz w:val="16"/>
                                </w:rPr>
                                <w:t>ПОАК</w:t>
                              </w:r>
                            </w:p>
                          </w:txbxContent>
                        </wps:txbx>
                        <wps:bodyPr horzOverflow="overflow" vert="horz" lIns="0" tIns="0" rIns="0" bIns="0" rtlCol="0">
                          <a:noAutofit/>
                        </wps:bodyPr>
                      </wps:wsp>
                      <wps:wsp>
                        <wps:cNvPr id="378712" name="Shape 378712"/>
                        <wps:cNvSpPr/>
                        <wps:spPr>
                          <a:xfrm>
                            <a:off x="4175100" y="2014563"/>
                            <a:ext cx="516598" cy="238645"/>
                          </a:xfrm>
                          <a:custGeom>
                            <a:avLst/>
                            <a:gdLst/>
                            <a:ahLst/>
                            <a:cxnLst/>
                            <a:rect l="0" t="0" r="0" b="0"/>
                            <a:pathLst>
                              <a:path w="516598" h="238645">
                                <a:moveTo>
                                  <a:pt x="0" y="0"/>
                                </a:moveTo>
                                <a:lnTo>
                                  <a:pt x="516598" y="0"/>
                                </a:lnTo>
                                <a:lnTo>
                                  <a:pt x="516598" y="238645"/>
                                </a:lnTo>
                                <a:lnTo>
                                  <a:pt x="0" y="238645"/>
                                </a:lnTo>
                                <a:lnTo>
                                  <a:pt x="0" y="0"/>
                                </a:lnTo>
                              </a:path>
                            </a:pathLst>
                          </a:custGeom>
                          <a:ln w="0" cap="flat">
                            <a:miter lim="100000"/>
                          </a:ln>
                        </wps:spPr>
                        <wps:style>
                          <a:lnRef idx="0">
                            <a:srgbClr val="000000">
                              <a:alpha val="0"/>
                            </a:srgbClr>
                          </a:lnRef>
                          <a:fillRef idx="1">
                            <a:srgbClr val="F4D6C9"/>
                          </a:fillRef>
                          <a:effectRef idx="0">
                            <a:scrgbClr r="0" g="0" b="0"/>
                          </a:effectRef>
                          <a:fontRef idx="none"/>
                        </wps:style>
                        <wps:bodyPr/>
                      </wps:wsp>
                      <wps:wsp>
                        <wps:cNvPr id="15534" name="Shape 15534"/>
                        <wps:cNvSpPr/>
                        <wps:spPr>
                          <a:xfrm>
                            <a:off x="4175100" y="2014563"/>
                            <a:ext cx="516598" cy="238645"/>
                          </a:xfrm>
                          <a:custGeom>
                            <a:avLst/>
                            <a:gdLst/>
                            <a:ahLst/>
                            <a:cxnLst/>
                            <a:rect l="0" t="0" r="0" b="0"/>
                            <a:pathLst>
                              <a:path w="516598" h="238645">
                                <a:moveTo>
                                  <a:pt x="0" y="238645"/>
                                </a:moveTo>
                                <a:lnTo>
                                  <a:pt x="516598" y="238645"/>
                                </a:lnTo>
                                <a:lnTo>
                                  <a:pt x="5165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535" name="Rectangle 15535"/>
                        <wps:cNvSpPr/>
                        <wps:spPr>
                          <a:xfrm>
                            <a:off x="4270991" y="2075265"/>
                            <a:ext cx="432004" cy="162424"/>
                          </a:xfrm>
                          <a:prstGeom prst="rect">
                            <a:avLst/>
                          </a:prstGeom>
                          <a:ln>
                            <a:noFill/>
                          </a:ln>
                        </wps:spPr>
                        <wps:txbx>
                          <w:txbxContent>
                            <w:p w:rsidR="00D27BC6" w:rsidRDefault="004D5071">
                              <w:pPr>
                                <w:spacing w:after="160" w:line="259" w:lineRule="auto"/>
                                <w:ind w:left="0" w:right="0" w:firstLine="0"/>
                                <w:jc w:val="left"/>
                              </w:pPr>
                              <w:r>
                                <w:rPr>
                                  <w:w w:val="104"/>
                                  <w:sz w:val="16"/>
                                </w:rPr>
                                <w:t>А</w:t>
                              </w:r>
                              <w:r>
                                <w:rPr>
                                  <w:spacing w:val="-2"/>
                                  <w:w w:val="104"/>
                                  <w:sz w:val="16"/>
                                </w:rPr>
                                <w:t xml:space="preserve"> </w:t>
                              </w:r>
                              <w:r>
                                <w:rPr>
                                  <w:w w:val="104"/>
                                  <w:sz w:val="16"/>
                                </w:rPr>
                                <w:t>или</w:t>
                              </w:r>
                              <w:r>
                                <w:rPr>
                                  <w:spacing w:val="-2"/>
                                  <w:w w:val="104"/>
                                  <w:sz w:val="16"/>
                                </w:rPr>
                                <w:t xml:space="preserve"> </w:t>
                              </w:r>
                              <w:r>
                                <w:rPr>
                                  <w:w w:val="104"/>
                                  <w:sz w:val="16"/>
                                </w:rPr>
                                <w:t>К</w:t>
                              </w:r>
                            </w:p>
                          </w:txbxContent>
                        </wps:txbx>
                        <wps:bodyPr horzOverflow="overflow" vert="horz" lIns="0" tIns="0" rIns="0" bIns="0" rtlCol="0">
                          <a:noAutofit/>
                        </wps:bodyPr>
                      </wps:wsp>
                      <wps:wsp>
                        <wps:cNvPr id="378719" name="Shape 378719"/>
                        <wps:cNvSpPr/>
                        <wps:spPr>
                          <a:xfrm>
                            <a:off x="1543279" y="2767013"/>
                            <a:ext cx="516598" cy="238645"/>
                          </a:xfrm>
                          <a:custGeom>
                            <a:avLst/>
                            <a:gdLst/>
                            <a:ahLst/>
                            <a:cxnLst/>
                            <a:rect l="0" t="0" r="0" b="0"/>
                            <a:pathLst>
                              <a:path w="516598" h="238645">
                                <a:moveTo>
                                  <a:pt x="0" y="0"/>
                                </a:moveTo>
                                <a:lnTo>
                                  <a:pt x="516598" y="0"/>
                                </a:lnTo>
                                <a:lnTo>
                                  <a:pt x="516598" y="238645"/>
                                </a:lnTo>
                                <a:lnTo>
                                  <a:pt x="0" y="238645"/>
                                </a:lnTo>
                                <a:lnTo>
                                  <a:pt x="0" y="0"/>
                                </a:lnTo>
                              </a:path>
                            </a:pathLst>
                          </a:custGeom>
                          <a:ln w="0" cap="flat">
                            <a:miter lim="100000"/>
                          </a:ln>
                        </wps:spPr>
                        <wps:style>
                          <a:lnRef idx="0">
                            <a:srgbClr val="000000">
                              <a:alpha val="0"/>
                            </a:srgbClr>
                          </a:lnRef>
                          <a:fillRef idx="1">
                            <a:srgbClr val="C4D983"/>
                          </a:fillRef>
                          <a:effectRef idx="0">
                            <a:scrgbClr r="0" g="0" b="0"/>
                          </a:effectRef>
                          <a:fontRef idx="none"/>
                        </wps:style>
                        <wps:bodyPr/>
                      </wps:wsp>
                      <wps:wsp>
                        <wps:cNvPr id="15537" name="Shape 15537"/>
                        <wps:cNvSpPr/>
                        <wps:spPr>
                          <a:xfrm>
                            <a:off x="1543279" y="2767013"/>
                            <a:ext cx="516598" cy="238645"/>
                          </a:xfrm>
                          <a:custGeom>
                            <a:avLst/>
                            <a:gdLst/>
                            <a:ahLst/>
                            <a:cxnLst/>
                            <a:rect l="0" t="0" r="0" b="0"/>
                            <a:pathLst>
                              <a:path w="516598" h="238645">
                                <a:moveTo>
                                  <a:pt x="0" y="238645"/>
                                </a:moveTo>
                                <a:lnTo>
                                  <a:pt x="516598" y="238645"/>
                                </a:lnTo>
                                <a:lnTo>
                                  <a:pt x="5165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538" name="Rectangle 15538"/>
                        <wps:cNvSpPr/>
                        <wps:spPr>
                          <a:xfrm>
                            <a:off x="1622411" y="2776912"/>
                            <a:ext cx="533891" cy="162424"/>
                          </a:xfrm>
                          <a:prstGeom prst="rect">
                            <a:avLst/>
                          </a:prstGeom>
                          <a:ln>
                            <a:noFill/>
                          </a:ln>
                        </wps:spPr>
                        <wps:txbx>
                          <w:txbxContent>
                            <w:p w:rsidR="00D27BC6" w:rsidRDefault="004D5071">
                              <w:pPr>
                                <w:spacing w:after="160" w:line="259" w:lineRule="auto"/>
                                <w:ind w:left="0" w:right="0" w:firstLine="0"/>
                                <w:jc w:val="left"/>
                              </w:pPr>
                              <w:r>
                                <w:rPr>
                                  <w:w w:val="103"/>
                                  <w:sz w:val="16"/>
                                </w:rPr>
                                <w:t>АВК</w:t>
                              </w:r>
                              <w:r>
                                <w:rPr>
                                  <w:spacing w:val="-2"/>
                                  <w:w w:val="103"/>
                                  <w:sz w:val="16"/>
                                </w:rPr>
                                <w:t xml:space="preserve"> </w:t>
                              </w:r>
                              <w:r>
                                <w:rPr>
                                  <w:w w:val="103"/>
                                  <w:sz w:val="16"/>
                                </w:rPr>
                                <w:t>или</w:t>
                              </w:r>
                              <w:r>
                                <w:rPr>
                                  <w:spacing w:val="-2"/>
                                  <w:w w:val="103"/>
                                  <w:sz w:val="16"/>
                                </w:rPr>
                                <w:t xml:space="preserve">  </w:t>
                              </w:r>
                            </w:p>
                          </w:txbxContent>
                        </wps:txbx>
                        <wps:bodyPr horzOverflow="overflow" vert="horz" lIns="0" tIns="0" rIns="0" bIns="0" rtlCol="0">
                          <a:noAutofit/>
                        </wps:bodyPr>
                      </wps:wsp>
                      <wps:wsp>
                        <wps:cNvPr id="15539" name="Rectangle 15539"/>
                        <wps:cNvSpPr/>
                        <wps:spPr>
                          <a:xfrm>
                            <a:off x="1676259" y="2878512"/>
                            <a:ext cx="333361" cy="162424"/>
                          </a:xfrm>
                          <a:prstGeom prst="rect">
                            <a:avLst/>
                          </a:prstGeom>
                          <a:ln>
                            <a:noFill/>
                          </a:ln>
                        </wps:spPr>
                        <wps:txbx>
                          <w:txbxContent>
                            <w:p w:rsidR="00D27BC6" w:rsidRDefault="004D5071">
                              <w:pPr>
                                <w:spacing w:after="160" w:line="259" w:lineRule="auto"/>
                                <w:ind w:left="0" w:right="0" w:firstLine="0"/>
                                <w:jc w:val="left"/>
                              </w:pPr>
                              <w:r>
                                <w:rPr>
                                  <w:w w:val="104"/>
                                  <w:sz w:val="16"/>
                                </w:rPr>
                                <w:t>ПОАК</w:t>
                              </w:r>
                            </w:p>
                          </w:txbxContent>
                        </wps:txbx>
                        <wps:bodyPr horzOverflow="overflow" vert="horz" lIns="0" tIns="0" rIns="0" bIns="0" rtlCol="0">
                          <a:noAutofit/>
                        </wps:bodyPr>
                      </wps:wsp>
                      <wps:wsp>
                        <wps:cNvPr id="378728" name="Shape 378728"/>
                        <wps:cNvSpPr/>
                        <wps:spPr>
                          <a:xfrm>
                            <a:off x="5431498" y="2771660"/>
                            <a:ext cx="516598" cy="238646"/>
                          </a:xfrm>
                          <a:custGeom>
                            <a:avLst/>
                            <a:gdLst/>
                            <a:ahLst/>
                            <a:cxnLst/>
                            <a:rect l="0" t="0" r="0" b="0"/>
                            <a:pathLst>
                              <a:path w="516598" h="238646">
                                <a:moveTo>
                                  <a:pt x="0" y="0"/>
                                </a:moveTo>
                                <a:lnTo>
                                  <a:pt x="516598" y="0"/>
                                </a:lnTo>
                                <a:lnTo>
                                  <a:pt x="516598" y="238646"/>
                                </a:lnTo>
                                <a:lnTo>
                                  <a:pt x="0" y="238646"/>
                                </a:lnTo>
                                <a:lnTo>
                                  <a:pt x="0" y="0"/>
                                </a:lnTo>
                              </a:path>
                            </a:pathLst>
                          </a:custGeom>
                          <a:ln w="0" cap="flat">
                            <a:miter lim="100000"/>
                          </a:ln>
                        </wps:spPr>
                        <wps:style>
                          <a:lnRef idx="0">
                            <a:srgbClr val="000000">
                              <a:alpha val="0"/>
                            </a:srgbClr>
                          </a:lnRef>
                          <a:fillRef idx="1">
                            <a:srgbClr val="C4D983"/>
                          </a:fillRef>
                          <a:effectRef idx="0">
                            <a:scrgbClr r="0" g="0" b="0"/>
                          </a:effectRef>
                          <a:fontRef idx="none"/>
                        </wps:style>
                        <wps:bodyPr/>
                      </wps:wsp>
                      <wps:wsp>
                        <wps:cNvPr id="15541" name="Shape 15541"/>
                        <wps:cNvSpPr/>
                        <wps:spPr>
                          <a:xfrm>
                            <a:off x="5431498" y="2771660"/>
                            <a:ext cx="516598" cy="238646"/>
                          </a:xfrm>
                          <a:custGeom>
                            <a:avLst/>
                            <a:gdLst/>
                            <a:ahLst/>
                            <a:cxnLst/>
                            <a:rect l="0" t="0" r="0" b="0"/>
                            <a:pathLst>
                              <a:path w="516598" h="238646">
                                <a:moveTo>
                                  <a:pt x="0" y="238646"/>
                                </a:moveTo>
                                <a:lnTo>
                                  <a:pt x="516598" y="238646"/>
                                </a:lnTo>
                                <a:lnTo>
                                  <a:pt x="5165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542" name="Rectangle 15542"/>
                        <wps:cNvSpPr/>
                        <wps:spPr>
                          <a:xfrm>
                            <a:off x="5510628" y="2781561"/>
                            <a:ext cx="533891" cy="162424"/>
                          </a:xfrm>
                          <a:prstGeom prst="rect">
                            <a:avLst/>
                          </a:prstGeom>
                          <a:ln>
                            <a:noFill/>
                          </a:ln>
                        </wps:spPr>
                        <wps:txbx>
                          <w:txbxContent>
                            <w:p w:rsidR="00D27BC6" w:rsidRDefault="004D5071">
                              <w:pPr>
                                <w:spacing w:after="160" w:line="259" w:lineRule="auto"/>
                                <w:ind w:left="0" w:right="0" w:firstLine="0"/>
                                <w:jc w:val="left"/>
                              </w:pPr>
                              <w:r>
                                <w:rPr>
                                  <w:w w:val="103"/>
                                  <w:sz w:val="16"/>
                                </w:rPr>
                                <w:t>АВК</w:t>
                              </w:r>
                              <w:r>
                                <w:rPr>
                                  <w:spacing w:val="-2"/>
                                  <w:w w:val="103"/>
                                  <w:sz w:val="16"/>
                                </w:rPr>
                                <w:t xml:space="preserve"> </w:t>
                              </w:r>
                              <w:r>
                                <w:rPr>
                                  <w:w w:val="103"/>
                                  <w:sz w:val="16"/>
                                </w:rPr>
                                <w:t>или</w:t>
                              </w:r>
                              <w:r>
                                <w:rPr>
                                  <w:spacing w:val="-2"/>
                                  <w:w w:val="103"/>
                                  <w:sz w:val="16"/>
                                </w:rPr>
                                <w:t xml:space="preserve">  </w:t>
                              </w:r>
                            </w:p>
                          </w:txbxContent>
                        </wps:txbx>
                        <wps:bodyPr horzOverflow="overflow" vert="horz" lIns="0" tIns="0" rIns="0" bIns="0" rtlCol="0">
                          <a:noAutofit/>
                        </wps:bodyPr>
                      </wps:wsp>
                      <wps:wsp>
                        <wps:cNvPr id="15543" name="Rectangle 15543"/>
                        <wps:cNvSpPr/>
                        <wps:spPr>
                          <a:xfrm>
                            <a:off x="5564476" y="2883161"/>
                            <a:ext cx="333361" cy="162424"/>
                          </a:xfrm>
                          <a:prstGeom prst="rect">
                            <a:avLst/>
                          </a:prstGeom>
                          <a:ln>
                            <a:noFill/>
                          </a:ln>
                        </wps:spPr>
                        <wps:txbx>
                          <w:txbxContent>
                            <w:p w:rsidR="00D27BC6" w:rsidRDefault="004D5071">
                              <w:pPr>
                                <w:spacing w:after="160" w:line="259" w:lineRule="auto"/>
                                <w:ind w:left="0" w:right="0" w:firstLine="0"/>
                                <w:jc w:val="left"/>
                              </w:pPr>
                              <w:r>
                                <w:rPr>
                                  <w:w w:val="104"/>
                                  <w:sz w:val="16"/>
                                </w:rPr>
                                <w:t>ПОАК</w:t>
                              </w:r>
                            </w:p>
                          </w:txbxContent>
                        </wps:txbx>
                        <wps:bodyPr horzOverflow="overflow" vert="horz" lIns="0" tIns="0" rIns="0" bIns="0" rtlCol="0">
                          <a:noAutofit/>
                        </wps:bodyPr>
                      </wps:wsp>
                    </wpg:wgp>
                  </a:graphicData>
                </a:graphic>
              </wp:inline>
            </w:drawing>
          </mc:Choice>
          <mc:Fallback xmlns:a="http://schemas.openxmlformats.org/drawingml/2006/main">
            <w:pict>
              <v:group id="Group 274190" style="width:510.236pt;height:274.099pt;mso-position-horizontal-relative:char;mso-position-vertical-relative:line" coordsize="64799,34810">
                <v:shape id="Shape 378737" style="position:absolute;width:64799;height:2577;left:0;top:32233;" coordsize="6479997,257746" path="m0,0l6479997,0l6479997,257746l0,257746l0,0">
                  <v:stroke weight="0pt" endcap="flat" joinstyle="miter" miterlimit="4" on="false" color="#000000" opacity="0"/>
                  <v:fill on="true" color="#ffed00"/>
                </v:shape>
                <v:shape id="Shape 378738" style="position:absolute;width:64799;height:9098;left:0;top:23134;" coordsize="6479997,909841" path="m0,0l6479997,0l6479997,909841l0,909841l0,0">
                  <v:stroke weight="0pt" endcap="flat" joinstyle="miter" miterlimit="4" on="false" color="#000000" opacity="0"/>
                  <v:fill on="true" color="#fff381"/>
                </v:shape>
                <v:shape id="Shape 378739" style="position:absolute;width:64799;height:5471;left:0;top:17662;" coordsize="6479997,547192" path="m0,0l6479997,0l6479997,547192l0,547192l0,0">
                  <v:stroke weight="0pt" endcap="flat" joinstyle="miter" miterlimit="4" on="false" color="#000000" opacity="0"/>
                  <v:fill on="true" color="#fff9c7"/>
                </v:shape>
                <v:shape id="Shape 378740" style="position:absolute;width:17268;height:4006;left:71;top:3658;" coordsize="1726895,400647" path="m0,0l1726895,0l1726895,400647l0,400647l0,0">
                  <v:stroke weight="0pt" endcap="flat" joinstyle="miter" miterlimit="4" on="false" color="#000000" opacity="0"/>
                  <v:fill on="true" color="#fabf75"/>
                </v:shape>
                <v:rect id="Rectangle 15439" style="position:absolute;width:13071;height:2092;left:4048;top:4119;" filled="f" stroked="f">
                  <v:textbox inset="0,0,0,0">
                    <w:txbxContent>
                      <w:p>
                        <w:pPr>
                          <w:spacing w:before="0" w:after="160" w:line="259" w:lineRule="auto"/>
                          <w:ind w:left="0" w:right="0" w:firstLine="0"/>
                          <w:jc w:val="left"/>
                        </w:pPr>
                        <w:r>
                          <w:rPr>
                            <w:rFonts w:cs="Calibri" w:hAnsi="Calibri" w:eastAsia="Calibri" w:ascii="Calibri"/>
                            <w:b w:val="1"/>
                            <w:w w:val="109"/>
                          </w:rPr>
                          <w:t xml:space="preserve">Бессимптомное</w:t>
                        </w:r>
                        <w:r>
                          <w:rPr>
                            <w:rFonts w:cs="Calibri" w:hAnsi="Calibri" w:eastAsia="Calibri" w:ascii="Calibri"/>
                            <w:b w:val="1"/>
                            <w:spacing w:val="-5"/>
                            <w:w w:val="109"/>
                          </w:rPr>
                          <w:t xml:space="preserve"> </w:t>
                        </w:r>
                        <w:r>
                          <w:rPr>
                            <w:rFonts w:cs="Calibri" w:hAnsi="Calibri" w:eastAsia="Calibri" w:ascii="Calibri"/>
                            <w:b w:val="1"/>
                            <w:spacing w:val="-5"/>
                            <w:w w:val="109"/>
                          </w:rPr>
                          <w:t xml:space="preserve"> </w:t>
                        </w:r>
                      </w:p>
                    </w:txbxContent>
                  </v:textbox>
                </v:rect>
                <v:rect id="Rectangle 15440" style="position:absolute;width:6349;height:2092;left:6319;top:5643;" filled="f" stroked="f">
                  <v:textbox inset="0,0,0,0">
                    <w:txbxContent>
                      <w:p>
                        <w:pPr>
                          <w:spacing w:before="0" w:after="160" w:line="259" w:lineRule="auto"/>
                          <w:ind w:left="0" w:right="0" w:firstLine="0"/>
                          <w:jc w:val="left"/>
                        </w:pPr>
                        <w:r>
                          <w:rPr>
                            <w:rFonts w:cs="Calibri" w:hAnsi="Calibri" w:eastAsia="Calibri" w:ascii="Calibri"/>
                            <w:b w:val="1"/>
                            <w:w w:val="110"/>
                          </w:rPr>
                          <w:t xml:space="preserve">течение</w:t>
                        </w:r>
                      </w:p>
                    </w:txbxContent>
                  </v:textbox>
                </v:rect>
                <v:shape id="Shape 15441" style="position:absolute;width:17268;height:4006;left:71;top:3658;" coordsize="1726895,400647" path="m0,400647l1726895,400647l1726895,0l0,0x">
                  <v:stroke weight="0.709pt" endcap="flat" joinstyle="miter" miterlimit="4" on="true" color="#000000"/>
                  <v:fill on="false" color="#000000" opacity="0"/>
                </v:shape>
                <v:shape id="Shape 378747" style="position:absolute;width:17268;height:4006;left:18645;top:3658;" coordsize="1726895,400647" path="m0,0l1726895,0l1726895,400647l0,400647l0,0">
                  <v:stroke weight="0pt" endcap="flat" joinstyle="miter" miterlimit="4" on="false" color="#000000" opacity="0"/>
                  <v:fill on="true" color="#fabf75"/>
                </v:shape>
                <v:rect id="Rectangle 15443" style="position:absolute;width:7553;height:2092;left:24440;top:4881;" filled="f" stroked="f">
                  <v:textbox inset="0,0,0,0">
                    <w:txbxContent>
                      <w:p>
                        <w:pPr>
                          <w:spacing w:before="0" w:after="160" w:line="259" w:lineRule="auto"/>
                          <w:ind w:left="0" w:right="0" w:firstLine="0"/>
                          <w:jc w:val="left"/>
                        </w:pPr>
                        <w:r>
                          <w:rPr>
                            <w:rFonts w:cs="Calibri" w:hAnsi="Calibri" w:eastAsia="Calibri" w:ascii="Calibri"/>
                            <w:b w:val="1"/>
                            <w:w w:val="116"/>
                          </w:rPr>
                          <w:t xml:space="preserve">Хирургия</w:t>
                        </w:r>
                      </w:p>
                    </w:txbxContent>
                  </v:textbox>
                </v:rect>
                <v:shape id="Shape 15444" style="position:absolute;width:17268;height:4006;left:18645;top:3658;" coordsize="1726895,400647" path="m0,400647l1726895,400647l1726895,0l0,0x">
                  <v:stroke weight="0.709pt" endcap="flat" joinstyle="miter" miterlimit="4" on="true" color="#000000"/>
                  <v:fill on="false" color="#000000" opacity="0"/>
                </v:shape>
                <v:shape id="Shape 378750" style="position:absolute;width:17268;height:4006;left:39608;top:3658;" coordsize="1726895,400647" path="m0,0l1726895,0l1726895,400647l0,400647l0,0">
                  <v:stroke weight="0pt" endcap="flat" joinstyle="miter" miterlimit="4" on="false" color="#000000" opacity="0"/>
                  <v:fill on="true" color="#fabf75"/>
                </v:shape>
                <v:rect id="Rectangle 15446" style="position:absolute;width:14365;height:2092;left:42971;top:4119;" filled="f" stroked="f">
                  <v:textbox inset="0,0,0,0">
                    <w:txbxContent>
                      <w:p>
                        <w:pPr>
                          <w:spacing w:before="0" w:after="160" w:line="259" w:lineRule="auto"/>
                          <w:ind w:left="0" w:right="0" w:firstLine="0"/>
                          <w:jc w:val="left"/>
                        </w:pPr>
                        <w:r>
                          <w:rPr>
                            <w:rFonts w:cs="Calibri" w:hAnsi="Calibri" w:eastAsia="Calibri" w:ascii="Calibri"/>
                            <w:b w:val="1"/>
                            <w:w w:val="111"/>
                          </w:rPr>
                          <w:t xml:space="preserve">Эндоваскулярное</w:t>
                        </w:r>
                        <w:r>
                          <w:rPr>
                            <w:rFonts w:cs="Calibri" w:hAnsi="Calibri" w:eastAsia="Calibri" w:ascii="Calibri"/>
                            <w:b w:val="1"/>
                            <w:spacing w:val="-5"/>
                            <w:w w:val="111"/>
                          </w:rPr>
                          <w:t xml:space="preserve"> </w:t>
                        </w:r>
                      </w:p>
                    </w:txbxContent>
                  </v:textbox>
                </v:rect>
                <v:rect id="Rectangle 15447" style="position:absolute;width:12244;height:2092;left:43640;top:5643;" filled="f" stroked="f">
                  <v:textbox inset="0,0,0,0">
                    <w:txbxContent>
                      <w:p>
                        <w:pPr>
                          <w:spacing w:before="0" w:after="160" w:line="259" w:lineRule="auto"/>
                          <w:ind w:left="0" w:right="0" w:firstLine="0"/>
                          <w:jc w:val="left"/>
                        </w:pPr>
                        <w:r>
                          <w:rPr>
                            <w:rFonts w:cs="Calibri" w:hAnsi="Calibri" w:eastAsia="Calibri" w:ascii="Calibri"/>
                            <w:b w:val="1"/>
                            <w:w w:val="112"/>
                          </w:rPr>
                          <w:t xml:space="preserve">вмешательство</w:t>
                        </w:r>
                      </w:p>
                    </w:txbxContent>
                  </v:textbox>
                </v:rect>
                <v:shape id="Shape 15448" style="position:absolute;width:17268;height:4006;left:39608;top:3658;" coordsize="1726895,400647" path="m0,400647l1726895,400647l1726895,0l0,0x">
                  <v:stroke weight="0.709pt" endcap="flat" joinstyle="miter" miterlimit="4" on="true" color="#000000"/>
                  <v:fill on="false" color="#000000" opacity="0"/>
                </v:shape>
                <v:shape id="Shape 378756" style="position:absolute;width:64725;height:1768;left:44;top:0;" coordsize="6472581,176809" path="m0,0l6472581,0l6472581,176809l0,176809l0,0">
                  <v:stroke weight="0pt" endcap="flat" joinstyle="miter" miterlimit="4" on="false" color="#000000" opacity="0"/>
                  <v:fill on="true" color="#adb7d6"/>
                </v:shape>
                <v:rect id="Rectangle 15450" style="position:absolute;width:68664;height:2092;left:6594;top:104;" filled="f" stroked="f">
                  <v:textbox inset="0,0,0,0">
                    <w:txbxContent>
                      <w:p>
                        <w:pPr>
                          <w:spacing w:before="0" w:after="160" w:line="259" w:lineRule="auto"/>
                          <w:ind w:left="0" w:right="0" w:firstLine="0"/>
                          <w:jc w:val="left"/>
                        </w:pPr>
                        <w:r>
                          <w:rPr>
                            <w:rFonts w:cs="Calibri" w:hAnsi="Calibri" w:eastAsia="Calibri" w:ascii="Calibri"/>
                            <w:b w:val="1"/>
                            <w:w w:val="112"/>
                          </w:rPr>
                          <w:t xml:space="preserve">Пациенты</w:t>
                        </w:r>
                        <w:r>
                          <w:rPr>
                            <w:rFonts w:cs="Calibri" w:hAnsi="Calibri" w:eastAsia="Calibri" w:ascii="Calibri"/>
                            <w:b w:val="1"/>
                            <w:spacing w:val="-5"/>
                            <w:w w:val="112"/>
                          </w:rPr>
                          <w:t xml:space="preserve"> </w:t>
                        </w:r>
                        <w:r>
                          <w:rPr>
                            <w:rFonts w:cs="Calibri" w:hAnsi="Calibri" w:eastAsia="Calibri" w:ascii="Calibri"/>
                            <w:b w:val="1"/>
                            <w:w w:val="112"/>
                          </w:rPr>
                          <w:t xml:space="preserve">с</w:t>
                        </w:r>
                        <w:r>
                          <w:rPr>
                            <w:rFonts w:cs="Calibri" w:hAnsi="Calibri" w:eastAsia="Calibri" w:ascii="Calibri"/>
                            <w:b w:val="1"/>
                            <w:spacing w:val="-5"/>
                            <w:w w:val="112"/>
                          </w:rPr>
                          <w:t xml:space="preserve"> </w:t>
                        </w:r>
                        <w:r>
                          <w:rPr>
                            <w:rFonts w:cs="Calibri" w:hAnsi="Calibri" w:eastAsia="Calibri" w:ascii="Calibri"/>
                            <w:b w:val="1"/>
                            <w:w w:val="112"/>
                          </w:rPr>
                          <w:t xml:space="preserve">ЗАНК,</w:t>
                        </w:r>
                        <w:r>
                          <w:rPr>
                            <w:rFonts w:cs="Calibri" w:hAnsi="Calibri" w:eastAsia="Calibri" w:ascii="Calibri"/>
                            <w:b w:val="1"/>
                            <w:spacing w:val="-5"/>
                            <w:w w:val="112"/>
                          </w:rPr>
                          <w:t xml:space="preserve"> </w:t>
                        </w:r>
                        <w:r>
                          <w:rPr>
                            <w:rFonts w:cs="Calibri" w:hAnsi="Calibri" w:eastAsia="Calibri" w:ascii="Calibri"/>
                            <w:b w:val="1"/>
                            <w:w w:val="112"/>
                          </w:rPr>
                          <w:t xml:space="preserve">которым</w:t>
                        </w:r>
                        <w:r>
                          <w:rPr>
                            <w:rFonts w:cs="Calibri" w:hAnsi="Calibri" w:eastAsia="Calibri" w:ascii="Calibri"/>
                            <w:b w:val="1"/>
                            <w:spacing w:val="-5"/>
                            <w:w w:val="112"/>
                          </w:rPr>
                          <w:t xml:space="preserve"> </w:t>
                        </w:r>
                        <w:r>
                          <w:rPr>
                            <w:rFonts w:cs="Calibri" w:hAnsi="Calibri" w:eastAsia="Calibri" w:ascii="Calibri"/>
                            <w:b w:val="1"/>
                            <w:w w:val="112"/>
                          </w:rPr>
                          <w:t xml:space="preserve">рекомендована</w:t>
                        </w:r>
                        <w:r>
                          <w:rPr>
                            <w:rFonts w:cs="Calibri" w:hAnsi="Calibri" w:eastAsia="Calibri" w:ascii="Calibri"/>
                            <w:b w:val="1"/>
                            <w:spacing w:val="-5"/>
                            <w:w w:val="112"/>
                          </w:rPr>
                          <w:t xml:space="preserve"> </w:t>
                        </w:r>
                        <w:r>
                          <w:rPr>
                            <w:rFonts w:cs="Calibri" w:hAnsi="Calibri" w:eastAsia="Calibri" w:ascii="Calibri"/>
                            <w:b w:val="1"/>
                            <w:w w:val="112"/>
                          </w:rPr>
                          <w:t xml:space="preserve">терапия</w:t>
                        </w:r>
                        <w:r>
                          <w:rPr>
                            <w:rFonts w:cs="Calibri" w:hAnsi="Calibri" w:eastAsia="Calibri" w:ascii="Calibri"/>
                            <w:b w:val="1"/>
                            <w:spacing w:val="-5"/>
                            <w:w w:val="112"/>
                          </w:rPr>
                          <w:t xml:space="preserve"> </w:t>
                        </w:r>
                        <w:r>
                          <w:rPr>
                            <w:rFonts w:cs="Calibri" w:hAnsi="Calibri" w:eastAsia="Calibri" w:ascii="Calibri"/>
                            <w:b w:val="1"/>
                            <w:w w:val="112"/>
                          </w:rPr>
                          <w:t xml:space="preserve">пероральными</w:t>
                        </w:r>
                        <w:r>
                          <w:rPr>
                            <w:rFonts w:cs="Calibri" w:hAnsi="Calibri" w:eastAsia="Calibri" w:ascii="Calibri"/>
                            <w:b w:val="1"/>
                            <w:spacing w:val="-5"/>
                            <w:w w:val="112"/>
                          </w:rPr>
                          <w:t xml:space="preserve"> </w:t>
                        </w:r>
                        <w:r>
                          <w:rPr>
                            <w:rFonts w:cs="Calibri" w:hAnsi="Calibri" w:eastAsia="Calibri" w:ascii="Calibri"/>
                            <w:b w:val="1"/>
                            <w:w w:val="112"/>
                          </w:rPr>
                          <w:t xml:space="preserve">антикоагулянтами</w:t>
                        </w:r>
                      </w:p>
                    </w:txbxContent>
                  </v:textbox>
                </v:rect>
                <v:shape id="Shape 15451" style="position:absolute;width:64725;height:1768;left:44;top:0;" coordsize="6472581,176809" path="m0,176809l6472581,176809l6472581,0l0,0x">
                  <v:stroke weight="0.709pt" endcap="flat" joinstyle="miter" miterlimit="4" on="true" color="#000000"/>
                  <v:fill on="false" color="#000000" opacity="0"/>
                </v:shape>
                <v:shape id="Shape 378773" style="position:absolute;width:15791;height:2905;left:31604;top:11758;" coordsize="1579118,290550" path="m0,0l1579118,0l1579118,290550l0,290550l0,0">
                  <v:stroke weight="0pt" endcap="flat" joinstyle="miter" miterlimit="4" on="false" color="#000000" opacity="0"/>
                  <v:fill on="true" color="#e2ecc5"/>
                </v:shape>
                <v:rect id="Rectangle 15453" style="position:absolute;width:14911;height:2030;left:34164;top:11906;" filled="f" stroked="f">
                  <v:textbox inset="0,0,0,0">
                    <w:txbxContent>
                      <w:p>
                        <w:pPr>
                          <w:spacing w:before="0" w:after="160" w:line="259" w:lineRule="auto"/>
                          <w:ind w:left="0" w:right="0" w:firstLine="0"/>
                          <w:jc w:val="left"/>
                        </w:pPr>
                        <w:r>
                          <w:rPr>
                            <w:w w:val="104"/>
                          </w:rPr>
                          <w:t xml:space="preserve">Риск</w:t>
                        </w:r>
                        <w:r>
                          <w:rPr>
                            <w:spacing w:val="-3"/>
                            <w:w w:val="104"/>
                          </w:rPr>
                          <w:t xml:space="preserve"> </w:t>
                        </w:r>
                        <w:r>
                          <w:rPr>
                            <w:w w:val="104"/>
                          </w:rPr>
                          <w:t xml:space="preserve">кровотечений</w:t>
                        </w:r>
                        <w:r>
                          <w:rPr>
                            <w:spacing w:val="-3"/>
                            <w:w w:val="104"/>
                          </w:rPr>
                          <w:t xml:space="preserve"> </w:t>
                        </w:r>
                        <w:r>
                          <w:rPr>
                            <w:spacing w:val="-3"/>
                            <w:w w:val="104"/>
                          </w:rPr>
                          <w:t xml:space="preserve"> </w:t>
                        </w:r>
                      </w:p>
                    </w:txbxContent>
                  </v:textbox>
                </v:rect>
                <v:rect id="Rectangle 15454" style="position:absolute;width:5266;height:2030;left:37331;top:13049;" filled="f" stroked="f">
                  <v:textbox inset="0,0,0,0">
                    <w:txbxContent>
                      <w:p>
                        <w:pPr>
                          <w:spacing w:before="0" w:after="160" w:line="259" w:lineRule="auto"/>
                          <w:ind w:left="0" w:right="0" w:firstLine="0"/>
                          <w:jc w:val="left"/>
                        </w:pPr>
                        <w:r>
                          <w:rPr>
                            <w:w w:val="104"/>
                          </w:rPr>
                          <w:t xml:space="preserve">низкий</w:t>
                        </w:r>
                      </w:p>
                    </w:txbxContent>
                  </v:textbox>
                </v:rect>
                <v:rect id="Rectangle 15455" style="position:absolute;width:502;height:1177;left:41291;top:13138;" filled="f" stroked="f">
                  <v:textbox inset="0,0,0,0">
                    <w:txbxContent>
                      <w:p>
                        <w:pPr>
                          <w:spacing w:before="0" w:after="160" w:line="259" w:lineRule="auto"/>
                          <w:ind w:left="0" w:right="0" w:firstLine="0"/>
                          <w:jc w:val="left"/>
                        </w:pPr>
                        <w:r>
                          <w:rPr>
                            <w:w w:val="101"/>
                            <w:sz w:val="12"/>
                          </w:rPr>
                          <w:t xml:space="preserve">2</w:t>
                        </w:r>
                      </w:p>
                    </w:txbxContent>
                  </v:textbox>
                </v:rect>
                <v:shape id="Shape 15456" style="position:absolute;width:15791;height:2905;left:31604;top:11758;" coordsize="1579118,290550" path="m0,290550l1579118,290550l1579118,0l0,0x">
                  <v:stroke weight="0.709pt" endcap="flat" joinstyle="miter" miterlimit="4" on="true" color="#000000"/>
                  <v:fill on="false" color="#000000" opacity="0"/>
                </v:shape>
                <v:shape id="Shape 378782" style="position:absolute;width:15701;height:2905;left:49053;top:11758;" coordsize="1570114,290550" path="m0,0l1570114,0l1570114,290550l0,290550l0,0">
                  <v:stroke weight="0pt" endcap="flat" joinstyle="miter" miterlimit="4" on="false" color="#000000" opacity="0"/>
                  <v:fill on="true" color="#e8ab94"/>
                </v:shape>
                <v:rect id="Rectangle 15458" style="position:absolute;width:14553;height:2030;left:51567;top:11906;" filled="f" stroked="f">
                  <v:textbox inset="0,0,0,0">
                    <w:txbxContent>
                      <w:p>
                        <w:pPr>
                          <w:spacing w:before="0" w:after="160" w:line="259" w:lineRule="auto"/>
                          <w:ind w:left="0" w:right="0" w:firstLine="0"/>
                          <w:jc w:val="left"/>
                        </w:pPr>
                        <w:r>
                          <w:rPr>
                            <w:w w:val="104"/>
                          </w:rPr>
                          <w:t xml:space="preserve">Риск</w:t>
                        </w:r>
                        <w:r>
                          <w:rPr>
                            <w:spacing w:val="-3"/>
                            <w:w w:val="104"/>
                          </w:rPr>
                          <w:t xml:space="preserve"> </w:t>
                        </w:r>
                        <w:r>
                          <w:rPr>
                            <w:w w:val="104"/>
                          </w:rPr>
                          <w:t xml:space="preserve">кровотечений</w:t>
                        </w:r>
                        <w:r>
                          <w:rPr>
                            <w:spacing w:val="-3"/>
                            <w:w w:val="104"/>
                          </w:rPr>
                          <w:t xml:space="preserve"> </w:t>
                        </w:r>
                      </w:p>
                    </w:txbxContent>
                  </v:textbox>
                </v:rect>
                <v:rect id="Rectangle 15459" style="position:absolute;width:6322;height:2030;left:54339;top:13049;" filled="f" stroked="f">
                  <v:textbox inset="0,0,0,0">
                    <w:txbxContent>
                      <w:p>
                        <w:pPr>
                          <w:spacing w:before="0" w:after="160" w:line="259" w:lineRule="auto"/>
                          <w:ind w:left="0" w:right="0" w:firstLine="0"/>
                          <w:jc w:val="left"/>
                        </w:pPr>
                        <w:r>
                          <w:rPr>
                            <w:w w:val="104"/>
                          </w:rPr>
                          <w:t xml:space="preserve">высокий</w:t>
                        </w:r>
                      </w:p>
                    </w:txbxContent>
                  </v:textbox>
                </v:rect>
                <v:rect id="Rectangle 15460" style="position:absolute;width:502;height:1177;left:59092;top:13138;" filled="f" stroked="f">
                  <v:textbox inset="0,0,0,0">
                    <w:txbxContent>
                      <w:p>
                        <w:pPr>
                          <w:spacing w:before="0" w:after="160" w:line="259" w:lineRule="auto"/>
                          <w:ind w:left="0" w:right="0" w:firstLine="0"/>
                          <w:jc w:val="left"/>
                        </w:pPr>
                        <w:r>
                          <w:rPr>
                            <w:w w:val="101"/>
                            <w:sz w:val="12"/>
                          </w:rPr>
                          <w:t xml:space="preserve">2</w:t>
                        </w:r>
                      </w:p>
                    </w:txbxContent>
                  </v:textbox>
                </v:rect>
                <v:shape id="Shape 15461" style="position:absolute;width:15701;height:2905;left:49053;top:11758;" coordsize="1570114,290550" path="m0,290550l1570114,290550l1570114,0l0,0x">
                  <v:stroke weight="0.709pt" endcap="flat" joinstyle="miter" miterlimit="4" on="true" color="#000000"/>
                  <v:fill on="false" color="#000000" opacity="0"/>
                </v:shape>
                <v:shape id="Shape 378790" style="position:absolute;width:17268;height:14480;left:9381;top:17707;" coordsize="1726895,1448042" path="m0,0l1726895,0l1726895,1448042l0,1448042l0,0">
                  <v:stroke weight="0pt" endcap="flat" joinstyle="miter" miterlimit="4" on="false" color="#000000" opacity="0"/>
                  <v:fill on="true" color="#dadad9"/>
                </v:shape>
                <v:shape id="Shape 15463" style="position:absolute;width:17268;height:14480;left:9381;top:17707;" coordsize="1726895,1448042" path="m0,1448042l1726895,1448042l1726895,0l0,0x">
                  <v:stroke weight="0.709pt" endcap="flat" joinstyle="miter" miterlimit="4" on="true" color="#000000"/>
                  <v:fill on="false" color="#000000" opacity="0"/>
                </v:shape>
                <v:shape id="Shape 378791" style="position:absolute;width:15791;height:8478;left:31604;top:23710;" coordsize="1579118,847802" path="m0,0l1579118,0l1579118,847802l0,847802l0,0">
                  <v:stroke weight="0pt" endcap="flat" joinstyle="miter" miterlimit="4" on="false" color="#000000" opacity="0"/>
                  <v:fill on="true" color="#dadad9"/>
                </v:shape>
                <v:shape id="Shape 15465" style="position:absolute;width:15791;height:8478;left:31604;top:23710;" coordsize="1579118,847802" path="m0,847802l1579118,847802l1579118,0l0,0x">
                  <v:stroke weight="0.709pt" endcap="flat" joinstyle="miter" miterlimit="4" on="true" color="#000000"/>
                  <v:fill on="false" color="#000000" opacity="0"/>
                </v:shape>
                <v:shape id="Shape 378792" style="position:absolute;width:15791;height:5374;left:31604;top:17714;" coordsize="1579118,537477" path="m0,0l1579118,0l1579118,537477l0,537477l0,0">
                  <v:stroke weight="0pt" endcap="flat" joinstyle="miter" miterlimit="4" on="false" color="#000000" opacity="0"/>
                  <v:fill on="true" color="#dadad9"/>
                </v:shape>
                <v:shape id="Shape 15467" style="position:absolute;width:15791;height:5374;left:31604;top:17714;" coordsize="1579118,537477" path="m0,537477l1579118,537477l1579118,0l0,0x">
                  <v:stroke weight="0.709pt" endcap="flat" joinstyle="miter" miterlimit="4" on="true" color="#000000"/>
                  <v:fill on="false" color="#000000" opacity="0"/>
                </v:shape>
                <v:shape id="Shape 378793" style="position:absolute;width:15791;height:14473;left:48963;top:17715;" coordsize="1579118,1447306" path="m0,0l1579118,0l1579118,1447306l0,1447306l0,0">
                  <v:stroke weight="0pt" endcap="flat" joinstyle="miter" miterlimit="4" on="false" color="#000000" opacity="0"/>
                  <v:fill on="true" color="#dadad9"/>
                </v:shape>
                <v:shape id="Shape 15469" style="position:absolute;width:15791;height:14473;left:48963;top:17715;" coordsize="1579118,1447306" path="m0,1447306l1579118,1447306l1579118,0l0,0x">
                  <v:stroke weight="0.709pt" endcap="flat" joinstyle="miter" miterlimit="4" on="true" color="#000000"/>
                  <v:fill on="false" color="#000000" opacity="0"/>
                </v:shape>
                <v:shape id="Shape 15470" style="position:absolute;width:15720;height:8478;left:31649;top:23755;" coordsize="1572006,847801" path="m1572006,0l0,847801">
                  <v:stroke weight="0.709pt" endcap="flat" dashstyle="3.00423 2.00423" joinstyle="miter" miterlimit="4" on="true" color="#000000"/>
                  <v:fill on="false" color="#000000" opacity="0"/>
                </v:shape>
                <v:shape id="Shape 15471" style="position:absolute;width:0;height:2294;left:18015;top:14729;" coordsize="0,229413" path="m0,0l0,229413">
                  <v:stroke weight="0.709pt" endcap="flat" joinstyle="miter" miterlimit="4" on="true" color="#000000"/>
                  <v:fill on="false" color="#000000" opacity="0"/>
                </v:shape>
                <v:shape id="Shape 15472" style="position:absolute;width:611;height:839;left:17710;top:16823;" coordsize="61113,83972" path="m0,0l30556,20015l61113,0l30556,83972l0,0x">
                  <v:stroke weight="0pt" endcap="flat" joinstyle="miter" miterlimit="4" on="false" color="#000000" opacity="0"/>
                  <v:fill on="true" color="#000000"/>
                </v:shape>
                <v:shape id="Shape 15473" style="position:absolute;width:0;height:1764;left:48202;top:7717;" coordsize="0,176403" path="m0,0l0,176403">
                  <v:stroke weight="0.709pt" endcap="flat" joinstyle="miter" miterlimit="4" on="true" color="#000000"/>
                  <v:fill on="false" color="#000000" opacity="0"/>
                </v:shape>
                <v:shape id="Shape 15474" style="position:absolute;width:0;height:6991;left:8751;top:7717;" coordsize="0,699148" path="m0,0l0,699148">
                  <v:stroke weight="0.709pt" endcap="flat" joinstyle="miter" miterlimit="4" on="true" color="#000000"/>
                  <v:fill on="false" color="#000000" opacity="0"/>
                </v:shape>
                <v:shape id="Shape 15475" style="position:absolute;width:0;height:6991;left:27325;top:7717;" coordsize="0,699148" path="m0,0l0,699148">
                  <v:stroke weight="0.709pt" endcap="flat" joinstyle="miter" miterlimit="4" on="true" color="#000000"/>
                  <v:fill on="false" color="#000000" opacity="0"/>
                </v:shape>
                <v:shape id="Shape 15476" style="position:absolute;width:0;height:1682;left:39500;top:9391;" coordsize="0,168237" path="m0,0l0,168237">
                  <v:stroke weight="0.709pt" endcap="flat" joinstyle="miter" miterlimit="4" on="true" color="#000000"/>
                  <v:fill on="false" color="#000000" opacity="0"/>
                </v:shape>
                <v:shape id="Shape 15477" style="position:absolute;width:611;height:839;left:39194;top:10873;" coordsize="61113,83972" path="m0,0l30556,20015l61113,0l30556,83972l0,0x">
                  <v:stroke weight="0pt" endcap="flat" joinstyle="miter" miterlimit="4" on="false" color="#000000" opacity="0"/>
                  <v:fill on="true" color="#000000"/>
                </v:shape>
                <v:shape id="Shape 15478" style="position:absolute;width:0;height:2357;left:39500;top:14708;" coordsize="0,235776" path="m0,0l0,235776">
                  <v:stroke weight="0.709pt" endcap="flat" joinstyle="miter" miterlimit="4" on="true" color="#000000"/>
                  <v:fill on="false" color="#000000" opacity="0"/>
                </v:shape>
                <v:shape id="Shape 15479" style="position:absolute;width:611;height:839;left:39194;top:16866;" coordsize="61113,83972" path="m0,0l30556,20015l61113,0l30556,83972l0,0x">
                  <v:stroke weight="0pt" endcap="flat" joinstyle="miter" miterlimit="4" on="false" color="#000000" opacity="0"/>
                  <v:fill on="true" color="#000000"/>
                </v:shape>
                <v:shape id="Shape 15480" style="position:absolute;width:0;height:1682;left:56859;top:9391;" coordsize="0,168237" path="m0,0l0,168237">
                  <v:stroke weight="0.709pt" endcap="flat" joinstyle="miter" miterlimit="4" on="true" color="#000000"/>
                  <v:fill on="false" color="#000000" opacity="0"/>
                </v:shape>
                <v:shape id="Shape 15481" style="position:absolute;width:611;height:839;left:56553;top:10873;" coordsize="61113,83972" path="m0,0l30556,20015l61113,0l30556,83972l0,0x">
                  <v:stroke weight="0pt" endcap="flat" joinstyle="miter" miterlimit="4" on="false" color="#000000" opacity="0"/>
                  <v:fill on="true" color="#000000"/>
                </v:shape>
                <v:shape id="Shape 15482" style="position:absolute;width:0;height:2357;left:56904;top:14708;" coordsize="0,235776" path="m0,0l0,235776">
                  <v:stroke weight="0.709pt" endcap="flat" joinstyle="miter" miterlimit="4" on="true" color="#000000"/>
                  <v:fill on="false" color="#000000" opacity="0"/>
                </v:shape>
                <v:shape id="Shape 15483" style="position:absolute;width:611;height:839;left:56598;top:16866;" coordsize="61113,83972" path="m0,0l30556,20015l61113,0l30556,83972l0,0x">
                  <v:stroke weight="0pt" endcap="flat" joinstyle="miter" miterlimit="4" on="false" color="#000000" opacity="0"/>
                  <v:fill on="true" color="#000000"/>
                </v:shape>
                <v:shape id="Shape 15484" style="position:absolute;width:0;height:2027;left:56904;top:32143;" coordsize="0,202781" path="m0,0l0,202781">
                  <v:stroke weight="0.709pt" endcap="flat" joinstyle="miter" miterlimit="4" on="true" color="#000000"/>
                  <v:fill on="false" color="#000000" opacity="0"/>
                </v:shape>
                <v:shape id="Shape 15485" style="position:absolute;width:611;height:839;left:56598;top:33970;" coordsize="61113,83972" path="m0,0l30556,20015l61113,0l30556,83972l0,0x">
                  <v:stroke weight="0pt" endcap="flat" joinstyle="miter" miterlimit="4" on="false" color="#000000" opacity="0"/>
                  <v:fill on="true" color="#000000"/>
                </v:shape>
                <v:shape id="Shape 15486" style="position:absolute;width:0;height:2027;left:39500;top:32143;" coordsize="0,202781" path="m0,0l0,202781">
                  <v:stroke weight="0.709pt" endcap="flat" joinstyle="miter" miterlimit="4" on="true" color="#000000"/>
                  <v:fill on="false" color="#000000" opacity="0"/>
                </v:shape>
                <v:shape id="Shape 15487" style="position:absolute;width:611;height:839;left:39194;top:33970;" coordsize="61113,83972" path="m0,0l30556,20015l61113,0l30556,83972l0,0x">
                  <v:stroke weight="0pt" endcap="flat" joinstyle="miter" miterlimit="4" on="false" color="#000000" opacity="0"/>
                  <v:fill on="true" color="#000000"/>
                </v:shape>
                <v:shape id="Shape 15488" style="position:absolute;width:0;height:2027;left:18015;top:32143;" coordsize="0,202781" path="m0,0l0,202781">
                  <v:stroke weight="0.709pt" endcap="flat" joinstyle="miter" miterlimit="4" on="true" color="#000000"/>
                  <v:fill on="false" color="#000000" opacity="0"/>
                </v:shape>
                <v:shape id="Shape 15489" style="position:absolute;width:611;height:839;left:17710;top:33970;" coordsize="61113,83972" path="m0,0l30556,20015l61113,0l30556,83972l0,0x">
                  <v:stroke weight="0pt" endcap="flat" joinstyle="miter" miterlimit="4" on="false" color="#000000" opacity="0"/>
                  <v:fill on="true" color="#000000"/>
                </v:shape>
                <v:shape id="Shape 15490" style="position:absolute;width:0;height:16500;left:4178;top:17670;" coordsize="0,1650085" path="m0,0l0,1650085">
                  <v:stroke weight="0.709pt" endcap="flat" joinstyle="miter" miterlimit="4" on="true" color="#000000"/>
                  <v:fill on="false" color="#000000" opacity="0"/>
                </v:shape>
                <v:shape id="Shape 15491" style="position:absolute;width:611;height:839;left:3872;top:33970;" coordsize="61112,83972" path="m0,0l30556,20015l61112,0l30556,83972l0,0x">
                  <v:stroke weight="0pt" endcap="flat" joinstyle="miter" miterlimit="4" on="false" color="#000000" opacity="0"/>
                  <v:fill on="true" color="#000000"/>
                </v:shape>
                <v:shape id="Shape 15492" style="position:absolute;width:1440;height:0;left:2769;top:17714;" coordsize="144005,0" path="m144005,0l0,0">
                  <v:stroke weight="0.709pt" endcap="flat" joinstyle="miter" miterlimit="4" on="true" color="#000000"/>
                  <v:fill on="false" color="#000000" opacity="0"/>
                </v:shape>
                <v:shape id="Shape 15493" style="position:absolute;width:1440;height:0;left:2769;top:32188;" coordsize="144005,0" path="m144005,0l0,0">
                  <v:stroke weight="0.709pt" endcap="flat" joinstyle="miter" miterlimit="4" on="true" color="#000000"/>
                  <v:fill on="false" color="#000000" opacity="0"/>
                </v:shape>
                <v:shape id="Shape 15494" style="position:absolute;width:1440;height:0;left:2769;top:23134;" coordsize="144005,0" path="m144005,0l0,0">
                  <v:stroke weight="0.709pt" endcap="flat" joinstyle="miter" miterlimit="4" on="true" color="#000000"/>
                  <v:fill on="false" color="#000000" opacity="0"/>
                </v:shape>
                <v:rect id="Rectangle 15495" style="position:absolute;width:866;height:2030;left:3414;top:16326;" filled="f" stroked="f">
                  <v:textbox inset="0,0,0,0">
                    <w:txbxContent>
                      <w:p>
                        <w:pPr>
                          <w:spacing w:before="0" w:after="160" w:line="259" w:lineRule="auto"/>
                          <w:ind w:left="0" w:right="0" w:firstLine="0"/>
                          <w:jc w:val="left"/>
                        </w:pPr>
                        <w:r>
                          <w:rPr>
                            <w:w w:val="101"/>
                          </w:rPr>
                          <w:t xml:space="preserve">0</w:t>
                        </w:r>
                      </w:p>
                    </w:txbxContent>
                  </v:textbox>
                </v:rect>
                <v:rect id="Rectangle 273573" style="position:absolute;width:866;height:2030;left:947;top:19602;" filled="f" stroked="f">
                  <v:textbox inset="0,0,0,0">
                    <w:txbxContent>
                      <w:p>
                        <w:pPr>
                          <w:spacing w:before="0" w:after="160" w:line="259" w:lineRule="auto"/>
                          <w:ind w:left="0" w:right="0" w:firstLine="0"/>
                          <w:jc w:val="left"/>
                        </w:pPr>
                        <w:r>
                          <w:rPr>
                            <w:w w:val="101"/>
                          </w:rPr>
                          <w:t xml:space="preserve">1</w:t>
                        </w:r>
                      </w:p>
                    </w:txbxContent>
                  </v:textbox>
                </v:rect>
                <v:rect id="Rectangle 273574" style="position:absolute;width:3040;height:2030;left:1599;top:19602;" filled="f" stroked="f">
                  <v:textbox inset="0,0,0,0">
                    <w:txbxContent>
                      <w:p>
                        <w:pPr>
                          <w:spacing w:before="0" w:after="160" w:line="259" w:lineRule="auto"/>
                          <w:ind w:left="0" w:right="0" w:firstLine="0"/>
                          <w:jc w:val="left"/>
                        </w:pPr>
                        <w:r>
                          <w:rPr>
                            <w:spacing w:val="-3"/>
                            <w:w w:val="100"/>
                          </w:rPr>
                          <w:t xml:space="preserve"> </w:t>
                        </w:r>
                        <w:r>
                          <w:rPr>
                            <w:w w:val="100"/>
                          </w:rPr>
                          <w:t xml:space="preserve">мес</w:t>
                        </w:r>
                      </w:p>
                    </w:txbxContent>
                  </v:textbox>
                </v:rect>
                <v:rect id="Rectangle 273575" style="position:absolute;width:866;height:2030;left:1139;top:26774;" filled="f" stroked="f">
                  <v:textbox inset="0,0,0,0">
                    <w:txbxContent>
                      <w:p>
                        <w:pPr>
                          <w:spacing w:before="0" w:after="160" w:line="259" w:lineRule="auto"/>
                          <w:ind w:left="0" w:right="0" w:firstLine="0"/>
                          <w:jc w:val="left"/>
                        </w:pPr>
                        <w:r>
                          <w:rPr>
                            <w:w w:val="101"/>
                          </w:rPr>
                          <w:t xml:space="preserve">1</w:t>
                        </w:r>
                      </w:p>
                    </w:txbxContent>
                  </v:textbox>
                </v:rect>
                <v:rect id="Rectangle 273576" style="position:absolute;width:2785;height:2030;left:1791;top:26774;" filled="f" stroked="f">
                  <v:textbox inset="0,0,0,0">
                    <w:txbxContent>
                      <w:p>
                        <w:pPr>
                          <w:spacing w:before="0" w:after="160" w:line="259" w:lineRule="auto"/>
                          <w:ind w:left="0" w:right="0" w:firstLine="0"/>
                          <w:jc w:val="left"/>
                        </w:pPr>
                        <w:r>
                          <w:rPr>
                            <w:spacing w:val="-3"/>
                            <w:w w:val="102"/>
                          </w:rPr>
                          <w:t xml:space="preserve"> </w:t>
                        </w:r>
                        <w:r>
                          <w:rPr>
                            <w:w w:val="102"/>
                          </w:rPr>
                          <w:t xml:space="preserve">год</w:t>
                        </w:r>
                      </w:p>
                    </w:txbxContent>
                  </v:textbox>
                </v:rect>
                <v:rect id="Rectangle 15498" style="position:absolute;width:4724;height:1601;left:175;top:32930;" filled="f" stroked="f">
                  <v:textbox inset="0,0,0,0">
                    <w:txbxContent>
                      <w:p>
                        <w:pPr>
                          <w:spacing w:before="0" w:after="160" w:line="259" w:lineRule="auto"/>
                          <w:ind w:left="0" w:right="0" w:firstLine="0"/>
                          <w:jc w:val="left"/>
                        </w:pPr>
                        <w:r>
                          <w:rPr>
                            <w:rFonts w:cs="Calibri" w:hAnsi="Calibri" w:eastAsia="Calibri" w:ascii="Calibri"/>
                            <w:w w:val="76"/>
                            <w:sz w:val="16"/>
                          </w:rPr>
                          <w:t xml:space="preserve">Длительно</w:t>
                        </w:r>
                      </w:p>
                    </w:txbxContent>
                  </v:textbox>
                </v:rect>
                <v:rect id="Rectangle 15499" style="position:absolute;width:402;height:942;left:3727;top:32984;" filled="f" stroked="f">
                  <v:textbox inset="0,0,0,0">
                    <w:txbxContent>
                      <w:p>
                        <w:pPr>
                          <w:spacing w:before="0" w:after="160" w:line="259" w:lineRule="auto"/>
                          <w:ind w:left="0" w:right="0" w:firstLine="0"/>
                          <w:jc w:val="left"/>
                        </w:pPr>
                        <w:r>
                          <w:rPr>
                            <w:w w:val="101"/>
                            <w:sz w:val="9"/>
                          </w:rPr>
                          <w:t xml:space="preserve">4</w:t>
                        </w:r>
                      </w:p>
                    </w:txbxContent>
                  </v:textbox>
                </v:rect>
                <v:shape id="Shape 15500" style="position:absolute;width:17403;height:0;left:39500;top:9435;" coordsize="1740383,0" path="m0,0l1740383,0">
                  <v:stroke weight="0.709pt" endcap="flat" joinstyle="miter" miterlimit="4" on="true" color="#000000"/>
                  <v:fill on="false" color="#000000" opacity="0"/>
                </v:shape>
                <v:shape id="Shape 15501" style="position:absolute;width:18528;height:0;left:8751;top:14663;" coordsize="1852892,0" path="m0,0l1852892,0">
                  <v:stroke weight="0.709pt" endcap="flat" joinstyle="miter" miterlimit="4" on="true" color="#000000"/>
                  <v:fill on="false" color="#000000" opacity="0"/>
                </v:shape>
                <v:shape id="Shape 15502" style="position:absolute;width:0;height:1252;left:8796;top:1813;" coordsize="0,125247" path="m0,0l0,125247">
                  <v:stroke weight="0.709pt" endcap="flat" joinstyle="miter" miterlimit="4" on="true" color="#000000"/>
                  <v:fill on="false" color="#000000" opacity="0"/>
                </v:shape>
                <v:shape id="Shape 15503" style="position:absolute;width:611;height:839;left:8490;top:2865;" coordsize="61112,83972" path="m0,0l30556,20015l61112,0l30556,83972l0,0x">
                  <v:stroke weight="0pt" endcap="flat" joinstyle="miter" miterlimit="4" on="false" color="#000000" opacity="0"/>
                  <v:fill on="true" color="#000000"/>
                </v:shape>
                <v:shape id="Shape 15504" style="position:absolute;width:0;height:1252;left:27325;top:1813;" coordsize="0,125247" path="m0,0l0,125247">
                  <v:stroke weight="0.709pt" endcap="flat" joinstyle="miter" miterlimit="4" on="true" color="#000000"/>
                  <v:fill on="false" color="#000000" opacity="0"/>
                </v:shape>
                <v:shape id="Shape 15505" style="position:absolute;width:611;height:839;left:27019;top:2865;" coordsize="61113,83972" path="m0,0l30556,20015l61113,0l30556,83972l0,0x">
                  <v:stroke weight="0pt" endcap="flat" joinstyle="miter" miterlimit="4" on="false" color="#000000" opacity="0"/>
                  <v:fill on="true" color="#000000"/>
                </v:shape>
                <v:shape id="Shape 15506" style="position:absolute;width:0;height:1252;left:48157;top:1813;" coordsize="0,125247" path="m0,0l0,125247">
                  <v:stroke weight="0.709pt" endcap="flat" joinstyle="miter" miterlimit="4" on="true" color="#000000"/>
                  <v:fill on="false" color="#000000" opacity="0"/>
                </v:shape>
                <v:shape id="Shape 15507" style="position:absolute;width:611;height:839;left:47851;top:2865;" coordsize="61113,83972" path="m0,0l30556,20015l61113,0l30556,83972l0,0x">
                  <v:stroke weight="0pt" endcap="flat" joinstyle="miter" miterlimit="4" on="false" color="#000000" opacity="0"/>
                  <v:fill on="true" color="#000000"/>
                </v:shape>
                <v:rect id="Rectangle 15508" style="position:absolute;width:3445;height:2030;left:16855;top:24039;" filled="f" stroked="f">
                  <v:textbox inset="0,0,0,0">
                    <w:txbxContent>
                      <w:p>
                        <w:pPr>
                          <w:spacing w:before="0" w:after="160" w:line="259" w:lineRule="auto"/>
                          <w:ind w:left="0" w:right="0" w:firstLine="0"/>
                          <w:jc w:val="left"/>
                        </w:pPr>
                        <w:r>
                          <w:rPr>
                            <w:w w:val="104"/>
                          </w:rPr>
                          <w:t xml:space="preserve">ОАК</w:t>
                        </w:r>
                        <w:r>
                          <w:rPr>
                            <w:spacing w:val="-3"/>
                            <w:w w:val="104"/>
                          </w:rPr>
                          <w:t xml:space="preserve"> </w:t>
                        </w:r>
                      </w:p>
                    </w:txbxContent>
                  </v:textbox>
                </v:rect>
                <v:rect id="Rectangle 15509" style="position:absolute;width:9818;height:2030;left:14135;top:25309;" filled="f" stroked="f">
                  <v:textbox inset="0,0,0,0">
                    <w:txbxContent>
                      <w:p>
                        <w:pPr>
                          <w:spacing w:before="0" w:after="160" w:line="259" w:lineRule="auto"/>
                          <w:ind w:left="0" w:right="0" w:firstLine="0"/>
                          <w:jc w:val="left"/>
                        </w:pPr>
                        <w:r>
                          <w:rPr>
                            <w:w w:val="103"/>
                          </w:rPr>
                          <w:t xml:space="preserve">монотерапия</w:t>
                        </w:r>
                      </w:p>
                    </w:txbxContent>
                  </v:textbox>
                </v:rect>
                <v:rect id="Rectangle 15510" style="position:absolute;width:502;height:1177;left:21518;top:25398;" filled="f" stroked="f">
                  <v:textbox inset="0,0,0,0">
                    <w:txbxContent>
                      <w:p>
                        <w:pPr>
                          <w:spacing w:before="0" w:after="160" w:line="259" w:lineRule="auto"/>
                          <w:ind w:left="0" w:right="0" w:firstLine="0"/>
                          <w:jc w:val="left"/>
                        </w:pPr>
                        <w:r>
                          <w:rPr>
                            <w:w w:val="101"/>
                            <w:sz w:val="12"/>
                          </w:rPr>
                          <w:t xml:space="preserve">3</w:t>
                        </w:r>
                      </w:p>
                    </w:txbxContent>
                  </v:textbox>
                </v:rect>
                <v:rect id="Rectangle 15511" style="position:absolute;width:3445;height:2030;left:55672;top:24039;" filled="f" stroked="f">
                  <v:textbox inset="0,0,0,0">
                    <w:txbxContent>
                      <w:p>
                        <w:pPr>
                          <w:spacing w:before="0" w:after="160" w:line="259" w:lineRule="auto"/>
                          <w:ind w:left="0" w:right="0" w:firstLine="0"/>
                          <w:jc w:val="left"/>
                        </w:pPr>
                        <w:r>
                          <w:rPr>
                            <w:w w:val="104"/>
                          </w:rPr>
                          <w:t xml:space="preserve">ОАК</w:t>
                        </w:r>
                        <w:r>
                          <w:rPr>
                            <w:spacing w:val="-3"/>
                            <w:w w:val="104"/>
                          </w:rPr>
                          <w:t xml:space="preserve"> </w:t>
                        </w:r>
                      </w:p>
                    </w:txbxContent>
                  </v:textbox>
                </v:rect>
                <v:rect id="Rectangle 15512" style="position:absolute;width:9818;height:2030;left:52953;top:25309;" filled="f" stroked="f">
                  <v:textbox inset="0,0,0,0">
                    <w:txbxContent>
                      <w:p>
                        <w:pPr>
                          <w:spacing w:before="0" w:after="160" w:line="259" w:lineRule="auto"/>
                          <w:ind w:left="0" w:right="0" w:firstLine="0"/>
                          <w:jc w:val="left"/>
                        </w:pPr>
                        <w:r>
                          <w:rPr>
                            <w:w w:val="103"/>
                          </w:rPr>
                          <w:t xml:space="preserve">монотерапия</w:t>
                        </w:r>
                      </w:p>
                    </w:txbxContent>
                  </v:textbox>
                </v:rect>
                <v:rect id="Rectangle 15513" style="position:absolute;width:502;height:1177;left:60335;top:25398;" filled="f" stroked="f">
                  <v:textbox inset="0,0,0,0">
                    <w:txbxContent>
                      <w:p>
                        <w:pPr>
                          <w:spacing w:before="0" w:after="160" w:line="259" w:lineRule="auto"/>
                          <w:ind w:left="0" w:right="0" w:firstLine="0"/>
                          <w:jc w:val="left"/>
                        </w:pPr>
                        <w:r>
                          <w:rPr>
                            <w:w w:val="101"/>
                            <w:sz w:val="12"/>
                          </w:rPr>
                          <w:t xml:space="preserve">3</w:t>
                        </w:r>
                      </w:p>
                    </w:txbxContent>
                  </v:textbox>
                </v:rect>
                <v:rect id="Rectangle 15514" style="position:absolute;width:3901;height:2030;left:38097;top:23912;" filled="f" stroked="f">
                  <v:textbox inset="0,0,0,0">
                    <w:txbxContent>
                      <w:p>
                        <w:pPr>
                          <w:spacing w:before="0" w:after="160" w:line="259" w:lineRule="auto"/>
                          <w:ind w:left="0" w:right="0" w:firstLine="0"/>
                          <w:jc w:val="left"/>
                        </w:pPr>
                        <w:r>
                          <w:rPr>
                            <w:w w:val="103"/>
                          </w:rPr>
                          <w:t xml:space="preserve">ДААТ</w:t>
                        </w:r>
                      </w:p>
                    </w:txbxContent>
                  </v:textbox>
                </v:rect>
                <v:rect id="Rectangle 15515" style="position:absolute;width:3901;height:2030;left:38097;top:18395;" filled="f" stroked="f">
                  <v:textbox inset="0,0,0,0">
                    <w:txbxContent>
                      <w:p>
                        <w:pPr>
                          <w:spacing w:before="0" w:after="160" w:line="259" w:lineRule="auto"/>
                          <w:ind w:left="0" w:right="0" w:firstLine="0"/>
                          <w:jc w:val="left"/>
                        </w:pPr>
                        <w:r>
                          <w:rPr>
                            <w:w w:val="103"/>
                          </w:rPr>
                          <w:t xml:space="preserve">ДААТ</w:t>
                        </w:r>
                      </w:p>
                    </w:txbxContent>
                  </v:textbox>
                </v:rect>
                <v:shape id="Shape 378816" style="position:absolute;width:5165;height:1867;left:31999;top:24484;" coordsize="516598,186791" path="m0,0l516598,0l516598,186791l0,186791l0,0">
                  <v:stroke weight="0pt" endcap="flat" joinstyle="miter" miterlimit="4" on="false" color="#000000" opacity="0"/>
                  <v:fill on="true" color="#f4d6c9"/>
                </v:shape>
                <v:shape id="Shape 15517" style="position:absolute;width:5165;height:1867;left:31999;top:24484;" coordsize="516598,186791" path="m0,186791l516598,186791l516598,0l0,0x">
                  <v:stroke weight="0.709pt" endcap="flat" joinstyle="miter" miterlimit="4" on="true" color="#000000"/>
                  <v:fill on="false" color="#000000" opacity="0"/>
                </v:shape>
                <v:rect id="Rectangle 15518" style="position:absolute;width:4320;height:1624;left:32958;top:24831;" filled="f" stroked="f">
                  <v:textbox inset="0,0,0,0">
                    <w:txbxContent>
                      <w:p>
                        <w:pPr>
                          <w:spacing w:before="0" w:after="160" w:line="259" w:lineRule="auto"/>
                          <w:ind w:left="0" w:right="0" w:firstLine="0"/>
                          <w:jc w:val="left"/>
                        </w:pPr>
                        <w:r>
                          <w:rPr>
                            <w:w w:val="104"/>
                            <w:sz w:val="16"/>
                          </w:rPr>
                          <w:t xml:space="preserve">А</w:t>
                        </w:r>
                        <w:r>
                          <w:rPr>
                            <w:spacing w:val="-2"/>
                            <w:w w:val="104"/>
                            <w:sz w:val="16"/>
                          </w:rPr>
                          <w:t xml:space="preserve"> </w:t>
                        </w:r>
                        <w:r>
                          <w:rPr>
                            <w:w w:val="104"/>
                            <w:sz w:val="16"/>
                          </w:rPr>
                          <w:t xml:space="preserve">или</w:t>
                        </w:r>
                        <w:r>
                          <w:rPr>
                            <w:spacing w:val="-2"/>
                            <w:w w:val="104"/>
                            <w:sz w:val="16"/>
                          </w:rPr>
                          <w:t xml:space="preserve"> </w:t>
                        </w:r>
                        <w:r>
                          <w:rPr>
                            <w:w w:val="104"/>
                            <w:sz w:val="16"/>
                          </w:rPr>
                          <w:t xml:space="preserve">К</w:t>
                        </w:r>
                      </w:p>
                    </w:txbxContent>
                  </v:textbox>
                </v:rect>
                <v:rect id="Rectangle 15519" style="position:absolute;width:2756;height:1624;left:43064;top:27322;" filled="f" stroked="f">
                  <v:textbox inset="0,0,0,0">
                    <w:txbxContent>
                      <w:p>
                        <w:pPr>
                          <w:spacing w:before="0" w:after="160" w:line="259" w:lineRule="auto"/>
                          <w:ind w:left="0" w:right="0" w:firstLine="0"/>
                          <w:jc w:val="left"/>
                        </w:pPr>
                        <w:r>
                          <w:rPr>
                            <w:w w:val="104"/>
                            <w:sz w:val="16"/>
                          </w:rPr>
                          <w:t xml:space="preserve">ОАК</w:t>
                        </w:r>
                        <w:r>
                          <w:rPr>
                            <w:spacing w:val="-2"/>
                            <w:w w:val="104"/>
                            <w:sz w:val="16"/>
                          </w:rPr>
                          <w:t xml:space="preserve"> </w:t>
                        </w:r>
                      </w:p>
                    </w:txbxContent>
                  </v:textbox>
                </v:rect>
                <v:rect id="Rectangle 15520" style="position:absolute;width:7854;height:1624;left:41040;top:28211;" filled="f" stroked="f">
                  <v:textbox inset="0,0,0,0">
                    <w:txbxContent>
                      <w:p>
                        <w:pPr>
                          <w:spacing w:before="0" w:after="160" w:line="259" w:lineRule="auto"/>
                          <w:ind w:left="0" w:right="0" w:firstLine="0"/>
                          <w:jc w:val="left"/>
                        </w:pPr>
                        <w:r>
                          <w:rPr>
                            <w:w w:val="103"/>
                            <w:sz w:val="16"/>
                          </w:rPr>
                          <w:t xml:space="preserve">монотерапия</w:t>
                        </w:r>
                      </w:p>
                    </w:txbxContent>
                  </v:textbox>
                </v:rect>
                <v:shape id="Shape 378828" style="position:absolute;width:5165;height:2386;left:41751;top:29485;" coordsize="516598,238646" path="m0,0l516598,0l516598,238646l0,238646l0,0">
                  <v:stroke weight="0pt" endcap="flat" joinstyle="miter" miterlimit="4" on="false" color="#000000" opacity="0"/>
                  <v:fill on="true" color="#c4d983"/>
                </v:shape>
                <v:shape id="Shape 15522" style="position:absolute;width:5165;height:2386;left:41751;top:29485;" coordsize="516598,238646" path="m0,238646l516598,238646l516598,0l0,0x">
                  <v:stroke weight="0.709pt" endcap="flat" joinstyle="miter" miterlimit="4" on="true" color="#000000"/>
                  <v:fill on="false" color="#000000" opacity="0"/>
                </v:shape>
                <v:rect id="Rectangle 15523" style="position:absolute;width:5338;height:1624;left:42542;top:29584;" filled="f" stroked="f">
                  <v:textbox inset="0,0,0,0">
                    <w:txbxContent>
                      <w:p>
                        <w:pPr>
                          <w:spacing w:before="0" w:after="160" w:line="259" w:lineRule="auto"/>
                          <w:ind w:left="0" w:right="0" w:firstLine="0"/>
                          <w:jc w:val="left"/>
                        </w:pPr>
                        <w:r>
                          <w:rPr>
                            <w:w w:val="103"/>
                            <w:sz w:val="16"/>
                          </w:rPr>
                          <w:t xml:space="preserve">АВК</w:t>
                        </w:r>
                        <w:r>
                          <w:rPr>
                            <w:spacing w:val="-2"/>
                            <w:w w:val="103"/>
                            <w:sz w:val="16"/>
                          </w:rPr>
                          <w:t xml:space="preserve"> </w:t>
                        </w:r>
                        <w:r>
                          <w:rPr>
                            <w:w w:val="103"/>
                            <w:sz w:val="16"/>
                          </w:rPr>
                          <w:t xml:space="preserve">или</w:t>
                        </w:r>
                        <w:r>
                          <w:rPr>
                            <w:spacing w:val="-2"/>
                            <w:w w:val="103"/>
                            <w:sz w:val="16"/>
                          </w:rPr>
                          <w:t xml:space="preserve"> </w:t>
                        </w:r>
                        <w:r>
                          <w:rPr>
                            <w:spacing w:val="-2"/>
                            <w:w w:val="103"/>
                            <w:sz w:val="16"/>
                          </w:rPr>
                          <w:t xml:space="preserve"> </w:t>
                        </w:r>
                      </w:p>
                    </w:txbxContent>
                  </v:textbox>
                </v:rect>
                <v:rect id="Rectangle 15524" style="position:absolute;width:3333;height:1624;left:43080;top:30600;" filled="f" stroked="f">
                  <v:textbox inset="0,0,0,0">
                    <w:txbxContent>
                      <w:p>
                        <w:pPr>
                          <w:spacing w:before="0" w:after="160" w:line="259" w:lineRule="auto"/>
                          <w:ind w:left="0" w:right="0" w:firstLine="0"/>
                          <w:jc w:val="left"/>
                        </w:pPr>
                        <w:r>
                          <w:rPr>
                            <w:w w:val="104"/>
                            <w:sz w:val="16"/>
                          </w:rPr>
                          <w:t xml:space="preserve">ПОАК</w:t>
                        </w:r>
                      </w:p>
                    </w:txbxContent>
                  </v:textbox>
                </v:rect>
                <v:shape id="Shape 378837" style="position:absolute;width:5165;height:2386;left:31999;top:26590;" coordsize="516598,238646" path="m0,0l516598,0l516598,238646l0,238646l0,0">
                  <v:stroke weight="0pt" endcap="flat" joinstyle="miter" miterlimit="4" on="false" color="#000000" opacity="0"/>
                  <v:fill on="true" color="#c4d983"/>
                </v:shape>
                <v:shape id="Shape 15526" style="position:absolute;width:5165;height:2386;left:31999;top:26590;" coordsize="516598,238646" path="m0,238646l516598,238646l516598,0l0,0x">
                  <v:stroke weight="0.709pt" endcap="flat" joinstyle="miter" miterlimit="4" on="true" color="#000000"/>
                  <v:fill on="false" color="#000000" opacity="0"/>
                </v:shape>
                <v:rect id="Rectangle 15527" style="position:absolute;width:5338;height:1624;left:32791;top:26689;" filled="f" stroked="f">
                  <v:textbox inset="0,0,0,0">
                    <w:txbxContent>
                      <w:p>
                        <w:pPr>
                          <w:spacing w:before="0" w:after="160" w:line="259" w:lineRule="auto"/>
                          <w:ind w:left="0" w:right="0" w:firstLine="0"/>
                          <w:jc w:val="left"/>
                        </w:pPr>
                        <w:r>
                          <w:rPr>
                            <w:w w:val="103"/>
                            <w:sz w:val="16"/>
                          </w:rPr>
                          <w:t xml:space="preserve">АВК</w:t>
                        </w:r>
                        <w:r>
                          <w:rPr>
                            <w:spacing w:val="-2"/>
                            <w:w w:val="103"/>
                            <w:sz w:val="16"/>
                          </w:rPr>
                          <w:t xml:space="preserve"> </w:t>
                        </w:r>
                        <w:r>
                          <w:rPr>
                            <w:w w:val="103"/>
                            <w:sz w:val="16"/>
                          </w:rPr>
                          <w:t xml:space="preserve">или</w:t>
                        </w:r>
                        <w:r>
                          <w:rPr>
                            <w:spacing w:val="-2"/>
                            <w:w w:val="103"/>
                            <w:sz w:val="16"/>
                          </w:rPr>
                          <w:t xml:space="preserve"> </w:t>
                        </w:r>
                        <w:r>
                          <w:rPr>
                            <w:spacing w:val="-2"/>
                            <w:w w:val="103"/>
                            <w:sz w:val="16"/>
                          </w:rPr>
                          <w:t xml:space="preserve"> </w:t>
                        </w:r>
                      </w:p>
                    </w:txbxContent>
                  </v:textbox>
                </v:rect>
                <v:rect id="Rectangle 15528" style="position:absolute;width:3333;height:1624;left:33329;top:27705;" filled="f" stroked="f">
                  <v:textbox inset="0,0,0,0">
                    <w:txbxContent>
                      <w:p>
                        <w:pPr>
                          <w:spacing w:before="0" w:after="160" w:line="259" w:lineRule="auto"/>
                          <w:ind w:left="0" w:right="0" w:firstLine="0"/>
                          <w:jc w:val="left"/>
                        </w:pPr>
                        <w:r>
                          <w:rPr>
                            <w:w w:val="104"/>
                            <w:sz w:val="16"/>
                          </w:rPr>
                          <w:t xml:space="preserve">ПОАК</w:t>
                        </w:r>
                      </w:p>
                    </w:txbxContent>
                  </v:textbox>
                </v:rect>
                <v:shape id="Shape 378846" style="position:absolute;width:5165;height:2386;left:31999;top:20145;" coordsize="516598,238645" path="m0,0l516598,0l516598,238645l0,238645l0,0">
                  <v:stroke weight="0pt" endcap="flat" joinstyle="miter" miterlimit="4" on="false" color="#000000" opacity="0"/>
                  <v:fill on="true" color="#c4d983"/>
                </v:shape>
                <v:shape id="Shape 15530" style="position:absolute;width:5165;height:2386;left:31999;top:20145;" coordsize="516598,238645" path="m0,238645l516598,238645l516598,0l0,0x">
                  <v:stroke weight="0.709pt" endcap="flat" joinstyle="miter" miterlimit="4" on="true" color="#000000"/>
                  <v:fill on="false" color="#000000" opacity="0"/>
                </v:shape>
                <v:rect id="Rectangle 15531" style="position:absolute;width:5338;height:1624;left:32791;top:20244;" filled="f" stroked="f">
                  <v:textbox inset="0,0,0,0">
                    <w:txbxContent>
                      <w:p>
                        <w:pPr>
                          <w:spacing w:before="0" w:after="160" w:line="259" w:lineRule="auto"/>
                          <w:ind w:left="0" w:right="0" w:firstLine="0"/>
                          <w:jc w:val="left"/>
                        </w:pPr>
                        <w:r>
                          <w:rPr>
                            <w:w w:val="103"/>
                            <w:sz w:val="16"/>
                          </w:rPr>
                          <w:t xml:space="preserve">АВК</w:t>
                        </w:r>
                        <w:r>
                          <w:rPr>
                            <w:spacing w:val="-2"/>
                            <w:w w:val="103"/>
                            <w:sz w:val="16"/>
                          </w:rPr>
                          <w:t xml:space="preserve"> </w:t>
                        </w:r>
                        <w:r>
                          <w:rPr>
                            <w:w w:val="103"/>
                            <w:sz w:val="16"/>
                          </w:rPr>
                          <w:t xml:space="preserve">или</w:t>
                        </w:r>
                        <w:r>
                          <w:rPr>
                            <w:spacing w:val="-2"/>
                            <w:w w:val="103"/>
                            <w:sz w:val="16"/>
                          </w:rPr>
                          <w:t xml:space="preserve"> </w:t>
                        </w:r>
                        <w:r>
                          <w:rPr>
                            <w:spacing w:val="-2"/>
                            <w:w w:val="103"/>
                            <w:sz w:val="16"/>
                          </w:rPr>
                          <w:t xml:space="preserve"> </w:t>
                        </w:r>
                      </w:p>
                    </w:txbxContent>
                  </v:textbox>
                </v:rect>
                <v:rect id="Rectangle 15532" style="position:absolute;width:3333;height:1624;left:33329;top:21260;" filled="f" stroked="f">
                  <v:textbox inset="0,0,0,0">
                    <w:txbxContent>
                      <w:p>
                        <w:pPr>
                          <w:spacing w:before="0" w:after="160" w:line="259" w:lineRule="auto"/>
                          <w:ind w:left="0" w:right="0" w:firstLine="0"/>
                          <w:jc w:val="left"/>
                        </w:pPr>
                        <w:r>
                          <w:rPr>
                            <w:w w:val="104"/>
                            <w:sz w:val="16"/>
                          </w:rPr>
                          <w:t xml:space="preserve">ПОАК</w:t>
                        </w:r>
                      </w:p>
                    </w:txbxContent>
                  </v:textbox>
                </v:rect>
                <v:shape id="Shape 378855" style="position:absolute;width:5165;height:2386;left:41751;top:20145;" coordsize="516598,238645" path="m0,0l516598,0l516598,238645l0,238645l0,0">
                  <v:stroke weight="0pt" endcap="flat" joinstyle="miter" miterlimit="4" on="false" color="#000000" opacity="0"/>
                  <v:fill on="true" color="#f4d6c9"/>
                </v:shape>
                <v:shape id="Shape 15534" style="position:absolute;width:5165;height:2386;left:41751;top:20145;" coordsize="516598,238645" path="m0,238645l516598,238645l516598,0l0,0x">
                  <v:stroke weight="0.709pt" endcap="flat" joinstyle="miter" miterlimit="4" on="true" color="#000000"/>
                  <v:fill on="false" color="#000000" opacity="0"/>
                </v:shape>
                <v:rect id="Rectangle 15535" style="position:absolute;width:4320;height:1624;left:42709;top:20752;" filled="f" stroked="f">
                  <v:textbox inset="0,0,0,0">
                    <w:txbxContent>
                      <w:p>
                        <w:pPr>
                          <w:spacing w:before="0" w:after="160" w:line="259" w:lineRule="auto"/>
                          <w:ind w:left="0" w:right="0" w:firstLine="0"/>
                          <w:jc w:val="left"/>
                        </w:pPr>
                        <w:r>
                          <w:rPr>
                            <w:w w:val="104"/>
                            <w:sz w:val="16"/>
                          </w:rPr>
                          <w:t xml:space="preserve">А</w:t>
                        </w:r>
                        <w:r>
                          <w:rPr>
                            <w:spacing w:val="-2"/>
                            <w:w w:val="104"/>
                            <w:sz w:val="16"/>
                          </w:rPr>
                          <w:t xml:space="preserve"> </w:t>
                        </w:r>
                        <w:r>
                          <w:rPr>
                            <w:w w:val="104"/>
                            <w:sz w:val="16"/>
                          </w:rPr>
                          <w:t xml:space="preserve">или</w:t>
                        </w:r>
                        <w:r>
                          <w:rPr>
                            <w:spacing w:val="-2"/>
                            <w:w w:val="104"/>
                            <w:sz w:val="16"/>
                          </w:rPr>
                          <w:t xml:space="preserve"> </w:t>
                        </w:r>
                        <w:r>
                          <w:rPr>
                            <w:w w:val="104"/>
                            <w:sz w:val="16"/>
                          </w:rPr>
                          <w:t xml:space="preserve">К</w:t>
                        </w:r>
                      </w:p>
                    </w:txbxContent>
                  </v:textbox>
                </v:rect>
                <v:shape id="Shape 378862" style="position:absolute;width:5165;height:2386;left:15432;top:27670;" coordsize="516598,238645" path="m0,0l516598,0l516598,238645l0,238645l0,0">
                  <v:stroke weight="0pt" endcap="flat" joinstyle="miter" miterlimit="4" on="false" color="#000000" opacity="0"/>
                  <v:fill on="true" color="#c4d983"/>
                </v:shape>
                <v:shape id="Shape 15537" style="position:absolute;width:5165;height:2386;left:15432;top:27670;" coordsize="516598,238645" path="m0,238645l516598,238645l516598,0l0,0x">
                  <v:stroke weight="0.709pt" endcap="flat" joinstyle="miter" miterlimit="4" on="true" color="#000000"/>
                  <v:fill on="false" color="#000000" opacity="0"/>
                </v:shape>
                <v:rect id="Rectangle 15538" style="position:absolute;width:5338;height:1624;left:16224;top:27769;" filled="f" stroked="f">
                  <v:textbox inset="0,0,0,0">
                    <w:txbxContent>
                      <w:p>
                        <w:pPr>
                          <w:spacing w:before="0" w:after="160" w:line="259" w:lineRule="auto"/>
                          <w:ind w:left="0" w:right="0" w:firstLine="0"/>
                          <w:jc w:val="left"/>
                        </w:pPr>
                        <w:r>
                          <w:rPr>
                            <w:w w:val="103"/>
                            <w:sz w:val="16"/>
                          </w:rPr>
                          <w:t xml:space="preserve">АВК</w:t>
                        </w:r>
                        <w:r>
                          <w:rPr>
                            <w:spacing w:val="-2"/>
                            <w:w w:val="103"/>
                            <w:sz w:val="16"/>
                          </w:rPr>
                          <w:t xml:space="preserve"> </w:t>
                        </w:r>
                        <w:r>
                          <w:rPr>
                            <w:w w:val="103"/>
                            <w:sz w:val="16"/>
                          </w:rPr>
                          <w:t xml:space="preserve">или</w:t>
                        </w:r>
                        <w:r>
                          <w:rPr>
                            <w:spacing w:val="-2"/>
                            <w:w w:val="103"/>
                            <w:sz w:val="16"/>
                          </w:rPr>
                          <w:t xml:space="preserve"> </w:t>
                        </w:r>
                        <w:r>
                          <w:rPr>
                            <w:spacing w:val="-2"/>
                            <w:w w:val="103"/>
                            <w:sz w:val="16"/>
                          </w:rPr>
                          <w:t xml:space="preserve"> </w:t>
                        </w:r>
                      </w:p>
                    </w:txbxContent>
                  </v:textbox>
                </v:rect>
                <v:rect id="Rectangle 15539" style="position:absolute;width:3333;height:1624;left:16762;top:28785;" filled="f" stroked="f">
                  <v:textbox inset="0,0,0,0">
                    <w:txbxContent>
                      <w:p>
                        <w:pPr>
                          <w:spacing w:before="0" w:after="160" w:line="259" w:lineRule="auto"/>
                          <w:ind w:left="0" w:right="0" w:firstLine="0"/>
                          <w:jc w:val="left"/>
                        </w:pPr>
                        <w:r>
                          <w:rPr>
                            <w:w w:val="104"/>
                            <w:sz w:val="16"/>
                          </w:rPr>
                          <w:t xml:space="preserve">ПОАК</w:t>
                        </w:r>
                      </w:p>
                    </w:txbxContent>
                  </v:textbox>
                </v:rect>
                <v:shape id="Shape 378871" style="position:absolute;width:5165;height:2386;left:54314;top:27716;" coordsize="516598,238646" path="m0,0l516598,0l516598,238646l0,238646l0,0">
                  <v:stroke weight="0pt" endcap="flat" joinstyle="miter" miterlimit="4" on="false" color="#000000" opacity="0"/>
                  <v:fill on="true" color="#c4d983"/>
                </v:shape>
                <v:shape id="Shape 15541" style="position:absolute;width:5165;height:2386;left:54314;top:27716;" coordsize="516598,238646" path="m0,238646l516598,238646l516598,0l0,0x">
                  <v:stroke weight="0.709pt" endcap="flat" joinstyle="miter" miterlimit="4" on="true" color="#000000"/>
                  <v:fill on="false" color="#000000" opacity="0"/>
                </v:shape>
                <v:rect id="Rectangle 15542" style="position:absolute;width:5338;height:1624;left:55106;top:27815;" filled="f" stroked="f">
                  <v:textbox inset="0,0,0,0">
                    <w:txbxContent>
                      <w:p>
                        <w:pPr>
                          <w:spacing w:before="0" w:after="160" w:line="259" w:lineRule="auto"/>
                          <w:ind w:left="0" w:right="0" w:firstLine="0"/>
                          <w:jc w:val="left"/>
                        </w:pPr>
                        <w:r>
                          <w:rPr>
                            <w:w w:val="103"/>
                            <w:sz w:val="16"/>
                          </w:rPr>
                          <w:t xml:space="preserve">АВК</w:t>
                        </w:r>
                        <w:r>
                          <w:rPr>
                            <w:spacing w:val="-2"/>
                            <w:w w:val="103"/>
                            <w:sz w:val="16"/>
                          </w:rPr>
                          <w:t xml:space="preserve"> </w:t>
                        </w:r>
                        <w:r>
                          <w:rPr>
                            <w:w w:val="103"/>
                            <w:sz w:val="16"/>
                          </w:rPr>
                          <w:t xml:space="preserve">или</w:t>
                        </w:r>
                        <w:r>
                          <w:rPr>
                            <w:spacing w:val="-2"/>
                            <w:w w:val="103"/>
                            <w:sz w:val="16"/>
                          </w:rPr>
                          <w:t xml:space="preserve"> </w:t>
                        </w:r>
                        <w:r>
                          <w:rPr>
                            <w:spacing w:val="-2"/>
                            <w:w w:val="103"/>
                            <w:sz w:val="16"/>
                          </w:rPr>
                          <w:t xml:space="preserve"> </w:t>
                        </w:r>
                      </w:p>
                    </w:txbxContent>
                  </v:textbox>
                </v:rect>
                <v:rect id="Rectangle 15543" style="position:absolute;width:3333;height:1624;left:55644;top:28831;" filled="f" stroked="f">
                  <v:textbox inset="0,0,0,0">
                    <w:txbxContent>
                      <w:p>
                        <w:pPr>
                          <w:spacing w:before="0" w:after="160" w:line="259" w:lineRule="auto"/>
                          <w:ind w:left="0" w:right="0" w:firstLine="0"/>
                          <w:jc w:val="left"/>
                        </w:pPr>
                        <w:r>
                          <w:rPr>
                            <w:w w:val="104"/>
                            <w:sz w:val="16"/>
                          </w:rPr>
                          <w:t xml:space="preserve">ПОАК</w:t>
                        </w:r>
                      </w:p>
                    </w:txbxContent>
                  </v:textbox>
                </v:rect>
              </v:group>
            </w:pict>
          </mc:Fallback>
        </mc:AlternateContent>
      </w:r>
    </w:p>
    <w:p w:rsidR="00D27BC6" w:rsidRDefault="004D5071">
      <w:pPr>
        <w:spacing w:after="0" w:line="259" w:lineRule="auto"/>
        <w:ind w:left="-3" w:right="0"/>
        <w:jc w:val="left"/>
      </w:pPr>
      <w:r>
        <w:rPr>
          <w:b/>
          <w:sz w:val="16"/>
        </w:rPr>
        <w:t xml:space="preserve">Примечания: </w:t>
      </w:r>
    </w:p>
    <w:p w:rsidR="00D27BC6" w:rsidRDefault="004D5071">
      <w:pPr>
        <w:spacing w:after="4"/>
        <w:ind w:left="-3" w:right="0"/>
      </w:pPr>
      <w:r>
        <w:rPr>
          <w:sz w:val="16"/>
        </w:rPr>
        <w:t>А – Ацетилсалициловая кислота 75–100 мг/сут; АВК – антагонисты витамина К; К – Клопидогрел 75 мг/сут; ПОАК – прямые антикоагулянты.</w:t>
      </w:r>
    </w:p>
    <w:p w:rsidR="00D27BC6" w:rsidRDefault="004D5071">
      <w:pPr>
        <w:ind w:left="295" w:right="0"/>
      </w:pPr>
      <w:r>
        <w:rPr>
          <w:b/>
        </w:rPr>
        <w:t>1.6. Достижение и поддержание целевых показателей АД</w:t>
      </w:r>
      <w:r>
        <w:t xml:space="preserve"> (см. разделы 3.4 и 15).</w:t>
      </w:r>
    </w:p>
    <w:p w:rsidR="00D27BC6" w:rsidRDefault="004D5071">
      <w:pPr>
        <w:ind w:left="295" w:right="0"/>
      </w:pPr>
      <w:r>
        <w:rPr>
          <w:b/>
        </w:rPr>
        <w:t>1.7. Контроль массы тела.</w:t>
      </w:r>
    </w:p>
    <w:p w:rsidR="00D27BC6" w:rsidRDefault="004D5071">
      <w:pPr>
        <w:ind w:left="295" w:right="0"/>
      </w:pPr>
      <w:r>
        <w:rPr>
          <w:b/>
        </w:rPr>
        <w:t>1.8. Двигательная активность:</w:t>
      </w:r>
    </w:p>
    <w:p w:rsidR="00D27BC6" w:rsidRDefault="004D5071">
      <w:pPr>
        <w:spacing w:after="8" w:line="231" w:lineRule="auto"/>
        <w:ind w:left="579" w:right="2245"/>
        <w:jc w:val="left"/>
      </w:pPr>
      <w:r>
        <w:t xml:space="preserve">• </w:t>
      </w:r>
      <w:r>
        <w:tab/>
        <w:t xml:space="preserve">Регулярная физическая активность (пациентам группы риска развития ЗАНК); • </w:t>
      </w:r>
      <w:r>
        <w:tab/>
        <w:t xml:space="preserve">Структурированная программа по физической активности для пациентов с ЗАНК: </w:t>
      </w:r>
      <w:r>
        <w:rPr>
          <w:rFonts w:ascii="Wingdings" w:eastAsia="Wingdings" w:hAnsi="Wingdings" w:cs="Wingdings"/>
        </w:rPr>
        <w:t></w:t>
      </w:r>
      <w:r>
        <w:t xml:space="preserve"> </w:t>
      </w:r>
      <w:r>
        <w:tab/>
        <w:t>Программа формируе</w:t>
      </w:r>
      <w:r>
        <w:t xml:space="preserve">тся реабилитологом/врачом ЛФК. </w:t>
      </w:r>
    </w:p>
    <w:p w:rsidR="00D27BC6" w:rsidRDefault="004D5071">
      <w:pPr>
        <w:tabs>
          <w:tab w:val="center" w:pos="883"/>
          <w:tab w:val="center" w:pos="5161"/>
        </w:tabs>
        <w:ind w:left="0" w:right="0" w:firstLine="0"/>
        <w:jc w:val="left"/>
      </w:pPr>
      <w:r>
        <w:rPr>
          <w:sz w:val="22"/>
        </w:rPr>
        <w:tab/>
      </w:r>
      <w:r>
        <w:rPr>
          <w:rFonts w:ascii="Wingdings" w:eastAsia="Wingdings" w:hAnsi="Wingdings" w:cs="Wingdings"/>
        </w:rPr>
        <w:t></w:t>
      </w:r>
      <w:r>
        <w:t xml:space="preserve"> </w:t>
      </w:r>
      <w:r>
        <w:tab/>
        <w:t xml:space="preserve">Длительность занятия составляет 30–45 мин, не менее 3-х раз в неделю, не менее 12 недель. </w:t>
      </w:r>
    </w:p>
    <w:p w:rsidR="00D27BC6" w:rsidRDefault="004D5071">
      <w:pPr>
        <w:spacing w:after="230"/>
        <w:ind w:left="-11" w:right="0" w:firstLine="284"/>
      </w:pPr>
      <w:r>
        <w:t>Противопоказание: тяжелые сопутствующие сердечно-сосудистые заболевания, поражения мягких тканей и костно-суставного аппарата стоп, требующие разгрузки конечностей.</w:t>
      </w:r>
    </w:p>
    <w:p w:rsidR="00D27BC6" w:rsidRDefault="004D5071">
      <w:pPr>
        <w:numPr>
          <w:ilvl w:val="0"/>
          <w:numId w:val="96"/>
        </w:numPr>
        <w:ind w:right="0" w:hanging="283"/>
      </w:pPr>
      <w:r>
        <w:rPr>
          <w:b/>
        </w:rPr>
        <w:t>Индивидуальное обучение правилам ухода за стопами при СД пациентов и, при необходимости, ро</w:t>
      </w:r>
      <w:r>
        <w:rPr>
          <w:b/>
        </w:rPr>
        <w:t>дственников</w:t>
      </w:r>
      <w:r>
        <w:t xml:space="preserve"> (см. приложение 10).</w:t>
      </w:r>
    </w:p>
    <w:p w:rsidR="00D27BC6" w:rsidRDefault="004D5071">
      <w:pPr>
        <w:numPr>
          <w:ilvl w:val="0"/>
          <w:numId w:val="96"/>
        </w:numPr>
        <w:ind w:right="0" w:hanging="283"/>
      </w:pPr>
      <w:r>
        <w:rPr>
          <w:b/>
        </w:rPr>
        <w:t xml:space="preserve">Рекомендации по выбору обуви и стелек </w:t>
      </w:r>
      <w:r>
        <w:t xml:space="preserve">(см. приложение 11). </w:t>
      </w:r>
    </w:p>
    <w:p w:rsidR="00D27BC6" w:rsidRDefault="004D5071">
      <w:pPr>
        <w:numPr>
          <w:ilvl w:val="0"/>
          <w:numId w:val="96"/>
        </w:numPr>
        <w:spacing w:after="230"/>
        <w:ind w:right="0" w:hanging="283"/>
      </w:pPr>
      <w:r>
        <w:rPr>
          <w:b/>
        </w:rPr>
        <w:t>Профессиональный подиатрический уход:</w:t>
      </w:r>
      <w:r>
        <w:t xml:space="preserve"> осуществляется специально обученной медицинской сестрой в условиях кабинета диабетической стопы.</w:t>
      </w:r>
    </w:p>
    <w:p w:rsidR="00D27BC6" w:rsidRDefault="004D5071">
      <w:pPr>
        <w:pStyle w:val="Heading3"/>
        <w:ind w:left="162" w:right="157"/>
      </w:pPr>
      <w:r>
        <w:t xml:space="preserve">Тактика ведения пациентов с </w:t>
      </w:r>
      <w:r>
        <w:t>КИНК с риском потери конечности</w:t>
      </w:r>
    </w:p>
    <w:p w:rsidR="00D27BC6" w:rsidRDefault="004D5071">
      <w:pPr>
        <w:numPr>
          <w:ilvl w:val="0"/>
          <w:numId w:val="97"/>
        </w:numPr>
        <w:ind w:right="0" w:hanging="283"/>
      </w:pPr>
      <w:r>
        <w:rPr>
          <w:b/>
        </w:rPr>
        <w:t>Реваскуляризация артерий нижних конечностей:</w:t>
      </w:r>
    </w:p>
    <w:p w:rsidR="00D27BC6" w:rsidRDefault="004D5071">
      <w:pPr>
        <w:numPr>
          <w:ilvl w:val="1"/>
          <w:numId w:val="97"/>
        </w:numPr>
        <w:spacing w:after="8" w:line="231" w:lineRule="auto"/>
        <w:ind w:left="686" w:right="-4" w:hanging="283"/>
        <w:jc w:val="left"/>
      </w:pPr>
      <w:r>
        <w:t>У пациентов с низким риском потери конечности (наличие перемежающейся хромоты ишемического генеза, снижающей качество жизни), реваскуляризация может быть отложена. Пациенты нуждаются в активном наблюдении эндокринолога и ангиохирурга.</w:t>
      </w:r>
    </w:p>
    <w:p w:rsidR="00D27BC6" w:rsidRDefault="004D5071">
      <w:pPr>
        <w:numPr>
          <w:ilvl w:val="1"/>
          <w:numId w:val="97"/>
        </w:numPr>
        <w:spacing w:after="0" w:line="259" w:lineRule="auto"/>
        <w:ind w:left="686" w:right="-4" w:hanging="283"/>
        <w:jc w:val="left"/>
      </w:pPr>
      <w:r>
        <w:t>У пациентов с умеренн</w:t>
      </w:r>
      <w:r>
        <w:t xml:space="preserve">ым и высоким риском потери конечности проведение реваскуляризации обязательно. </w:t>
      </w:r>
    </w:p>
    <w:p w:rsidR="00D27BC6" w:rsidRDefault="004D5071">
      <w:pPr>
        <w:numPr>
          <w:ilvl w:val="0"/>
          <w:numId w:val="97"/>
        </w:numPr>
        <w:ind w:right="0" w:hanging="283"/>
      </w:pPr>
      <w:r>
        <w:rPr>
          <w:b/>
        </w:rPr>
        <w:t>Местное лечение ран</w:t>
      </w:r>
      <w:r>
        <w:t xml:space="preserve"> (см. раздел 14).</w:t>
      </w:r>
      <w:r>
        <w:br w:type="page"/>
      </w:r>
    </w:p>
    <w:p w:rsidR="00D27BC6" w:rsidRDefault="004D5071">
      <w:pPr>
        <w:pStyle w:val="Heading3"/>
        <w:spacing w:after="101"/>
        <w:ind w:left="162" w:right="156"/>
      </w:pPr>
      <w:r>
        <w:t>Тактика ведения пациентов с КИНК с риском потери конечности</w:t>
      </w:r>
    </w:p>
    <w:p w:rsidR="00D27BC6" w:rsidRDefault="004D5071">
      <w:pPr>
        <w:spacing w:after="280"/>
        <w:ind w:left="19" w:right="-1"/>
        <w:jc w:val="center"/>
      </w:pPr>
      <w:r>
        <w:rPr>
          <w:noProof/>
          <w:sz w:val="22"/>
        </w:rPr>
        <mc:AlternateContent>
          <mc:Choice Requires="wpg">
            <w:drawing>
              <wp:inline distT="0" distB="0" distL="0" distR="0">
                <wp:extent cx="6479997" cy="8427745"/>
                <wp:effectExtent l="0" t="0" r="0" b="0"/>
                <wp:docPr id="275602" name="Group 275602"/>
                <wp:cNvGraphicFramePr/>
                <a:graphic xmlns:a="http://schemas.openxmlformats.org/drawingml/2006/main">
                  <a:graphicData uri="http://schemas.microsoft.com/office/word/2010/wordprocessingGroup">
                    <wpg:wgp>
                      <wpg:cNvGrpSpPr/>
                      <wpg:grpSpPr>
                        <a:xfrm>
                          <a:off x="0" y="0"/>
                          <a:ext cx="6479997" cy="8427745"/>
                          <a:chOff x="0" y="0"/>
                          <a:chExt cx="6479997" cy="8427745"/>
                        </a:xfrm>
                      </wpg:grpSpPr>
                      <wps:wsp>
                        <wps:cNvPr id="378880" name="Shape 378880"/>
                        <wps:cNvSpPr/>
                        <wps:spPr>
                          <a:xfrm>
                            <a:off x="1575" y="0"/>
                            <a:ext cx="6476835" cy="216230"/>
                          </a:xfrm>
                          <a:custGeom>
                            <a:avLst/>
                            <a:gdLst/>
                            <a:ahLst/>
                            <a:cxnLst/>
                            <a:rect l="0" t="0" r="0" b="0"/>
                            <a:pathLst>
                              <a:path w="6476835" h="216230">
                                <a:moveTo>
                                  <a:pt x="0" y="0"/>
                                </a:moveTo>
                                <a:lnTo>
                                  <a:pt x="6476835" y="0"/>
                                </a:lnTo>
                                <a:lnTo>
                                  <a:pt x="6476835" y="216230"/>
                                </a:lnTo>
                                <a:lnTo>
                                  <a:pt x="0" y="216230"/>
                                </a:lnTo>
                                <a:lnTo>
                                  <a:pt x="0" y="0"/>
                                </a:lnTo>
                              </a:path>
                            </a:pathLst>
                          </a:custGeom>
                          <a:ln w="0" cap="flat">
                            <a:miter lim="127000"/>
                          </a:ln>
                        </wps:spPr>
                        <wps:style>
                          <a:lnRef idx="0">
                            <a:srgbClr val="000000">
                              <a:alpha val="0"/>
                            </a:srgbClr>
                          </a:lnRef>
                          <a:fillRef idx="1">
                            <a:srgbClr val="EF8161"/>
                          </a:fillRef>
                          <a:effectRef idx="0">
                            <a:scrgbClr r="0" g="0" b="0"/>
                          </a:effectRef>
                          <a:fontRef idx="none"/>
                        </wps:style>
                        <wps:bodyPr/>
                      </wps:wsp>
                      <wps:wsp>
                        <wps:cNvPr id="15661" name="Shape 15661"/>
                        <wps:cNvSpPr/>
                        <wps:spPr>
                          <a:xfrm>
                            <a:off x="1575" y="0"/>
                            <a:ext cx="6476835" cy="216230"/>
                          </a:xfrm>
                          <a:custGeom>
                            <a:avLst/>
                            <a:gdLst/>
                            <a:ahLst/>
                            <a:cxnLst/>
                            <a:rect l="0" t="0" r="0" b="0"/>
                            <a:pathLst>
                              <a:path w="6476835" h="216230">
                                <a:moveTo>
                                  <a:pt x="0" y="216230"/>
                                </a:moveTo>
                                <a:lnTo>
                                  <a:pt x="6476835" y="216230"/>
                                </a:lnTo>
                                <a:lnTo>
                                  <a:pt x="647683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881" name="Shape 378881"/>
                        <wps:cNvSpPr/>
                        <wps:spPr>
                          <a:xfrm>
                            <a:off x="1588" y="525603"/>
                            <a:ext cx="6476822" cy="403199"/>
                          </a:xfrm>
                          <a:custGeom>
                            <a:avLst/>
                            <a:gdLst/>
                            <a:ahLst/>
                            <a:cxnLst/>
                            <a:rect l="0" t="0" r="0" b="0"/>
                            <a:pathLst>
                              <a:path w="6476822" h="403199">
                                <a:moveTo>
                                  <a:pt x="0" y="0"/>
                                </a:moveTo>
                                <a:lnTo>
                                  <a:pt x="6476822" y="0"/>
                                </a:lnTo>
                                <a:lnTo>
                                  <a:pt x="6476822" y="403199"/>
                                </a:lnTo>
                                <a:lnTo>
                                  <a:pt x="0" y="403199"/>
                                </a:lnTo>
                                <a:lnTo>
                                  <a:pt x="0" y="0"/>
                                </a:lnTo>
                              </a:path>
                            </a:pathLst>
                          </a:custGeom>
                          <a:ln w="0" cap="flat">
                            <a:miter lim="100000"/>
                          </a:ln>
                        </wps:spPr>
                        <wps:style>
                          <a:lnRef idx="0">
                            <a:srgbClr val="000000">
                              <a:alpha val="0"/>
                            </a:srgbClr>
                          </a:lnRef>
                          <a:fillRef idx="1">
                            <a:srgbClr val="ADB7D6"/>
                          </a:fillRef>
                          <a:effectRef idx="0">
                            <a:scrgbClr r="0" g="0" b="0"/>
                          </a:effectRef>
                          <a:fontRef idx="none"/>
                        </wps:style>
                        <wps:bodyPr/>
                      </wps:wsp>
                      <wps:wsp>
                        <wps:cNvPr id="15663" name="Rectangle 15663"/>
                        <wps:cNvSpPr/>
                        <wps:spPr>
                          <a:xfrm>
                            <a:off x="828883" y="577723"/>
                            <a:ext cx="6485197" cy="203030"/>
                          </a:xfrm>
                          <a:prstGeom prst="rect">
                            <a:avLst/>
                          </a:prstGeom>
                          <a:ln>
                            <a:noFill/>
                          </a:ln>
                        </wps:spPr>
                        <wps:txbx>
                          <w:txbxContent>
                            <w:p w:rsidR="00D27BC6" w:rsidRDefault="004D5071">
                              <w:pPr>
                                <w:spacing w:after="160" w:line="259" w:lineRule="auto"/>
                                <w:ind w:left="0" w:right="0" w:firstLine="0"/>
                                <w:jc w:val="left"/>
                              </w:pPr>
                              <w:r>
                                <w:rPr>
                                  <w:w w:val="104"/>
                                </w:rPr>
                                <w:t>Контроль</w:t>
                              </w:r>
                              <w:r>
                                <w:rPr>
                                  <w:spacing w:val="-3"/>
                                  <w:w w:val="104"/>
                                </w:rPr>
                                <w:t xml:space="preserve"> </w:t>
                              </w:r>
                              <w:r>
                                <w:rPr>
                                  <w:w w:val="104"/>
                                </w:rPr>
                                <w:t>боли,</w:t>
                              </w:r>
                              <w:r>
                                <w:rPr>
                                  <w:spacing w:val="-3"/>
                                  <w:w w:val="104"/>
                                </w:rPr>
                                <w:t xml:space="preserve"> </w:t>
                              </w:r>
                              <w:r>
                                <w:rPr>
                                  <w:w w:val="104"/>
                                </w:rPr>
                                <w:t>коррекция</w:t>
                              </w:r>
                              <w:r>
                                <w:rPr>
                                  <w:spacing w:val="-3"/>
                                  <w:w w:val="104"/>
                                </w:rPr>
                                <w:t xml:space="preserve"> </w:t>
                              </w:r>
                              <w:r>
                                <w:rPr>
                                  <w:w w:val="104"/>
                                </w:rPr>
                                <w:t>факторов</w:t>
                              </w:r>
                              <w:r>
                                <w:rPr>
                                  <w:spacing w:val="-3"/>
                                  <w:w w:val="104"/>
                                </w:rPr>
                                <w:t xml:space="preserve"> </w:t>
                              </w:r>
                              <w:r>
                                <w:rPr>
                                  <w:w w:val="104"/>
                                </w:rPr>
                                <w:t>риска,</w:t>
                              </w:r>
                              <w:r>
                                <w:rPr>
                                  <w:spacing w:val="-3"/>
                                  <w:w w:val="104"/>
                                </w:rPr>
                                <w:t xml:space="preserve"> </w:t>
                              </w:r>
                              <w:r>
                                <w:rPr>
                                  <w:w w:val="104"/>
                                </w:rPr>
                                <w:t>уход</w:t>
                              </w:r>
                              <w:r>
                                <w:rPr>
                                  <w:spacing w:val="-3"/>
                                  <w:w w:val="104"/>
                                </w:rPr>
                                <w:t xml:space="preserve"> </w:t>
                              </w:r>
                              <w:r>
                                <w:rPr>
                                  <w:w w:val="104"/>
                                </w:rPr>
                                <w:t>за</w:t>
                              </w:r>
                              <w:r>
                                <w:rPr>
                                  <w:spacing w:val="-3"/>
                                  <w:w w:val="104"/>
                                </w:rPr>
                                <w:t xml:space="preserve"> </w:t>
                              </w:r>
                              <w:r>
                                <w:rPr>
                                  <w:w w:val="104"/>
                                </w:rPr>
                                <w:t>раной,</w:t>
                              </w:r>
                              <w:r>
                                <w:rPr>
                                  <w:spacing w:val="-3"/>
                                  <w:w w:val="104"/>
                                </w:rPr>
                                <w:t xml:space="preserve"> </w:t>
                              </w:r>
                              <w:r>
                                <w:rPr>
                                  <w:w w:val="104"/>
                                </w:rPr>
                                <w:t>антибактериальная</w:t>
                              </w:r>
                              <w:r>
                                <w:rPr>
                                  <w:spacing w:val="-3"/>
                                  <w:w w:val="104"/>
                                </w:rPr>
                                <w:t xml:space="preserve"> </w:t>
                              </w:r>
                              <w:r>
                                <w:rPr>
                                  <w:w w:val="104"/>
                                </w:rPr>
                                <w:t>т</w:t>
                              </w:r>
                              <w:r>
                                <w:rPr>
                                  <w:w w:val="104"/>
                                </w:rPr>
                                <w:t>ерапия</w:t>
                              </w:r>
                              <w:r>
                                <w:rPr>
                                  <w:spacing w:val="-3"/>
                                  <w:w w:val="104"/>
                                </w:rPr>
                                <w:t xml:space="preserve">  </w:t>
                              </w:r>
                            </w:p>
                          </w:txbxContent>
                        </wps:txbx>
                        <wps:bodyPr horzOverflow="overflow" vert="horz" lIns="0" tIns="0" rIns="0" bIns="0" rtlCol="0">
                          <a:noAutofit/>
                        </wps:bodyPr>
                      </wps:wsp>
                      <wps:wsp>
                        <wps:cNvPr id="275106" name="Rectangle 275106"/>
                        <wps:cNvSpPr/>
                        <wps:spPr>
                          <a:xfrm>
                            <a:off x="408005" y="730123"/>
                            <a:ext cx="47971" cy="203030"/>
                          </a:xfrm>
                          <a:prstGeom prst="rect">
                            <a:avLst/>
                          </a:prstGeom>
                          <a:ln>
                            <a:noFill/>
                          </a:ln>
                        </wps:spPr>
                        <wps:txbx>
                          <w:txbxContent>
                            <w:p w:rsidR="00D27BC6" w:rsidRDefault="004D5071">
                              <w:pPr>
                                <w:spacing w:after="160" w:line="259" w:lineRule="auto"/>
                                <w:ind w:left="0" w:right="0" w:firstLine="0"/>
                                <w:jc w:val="left"/>
                              </w:pPr>
                              <w:r>
                                <w:rPr>
                                  <w:w w:val="95"/>
                                </w:rPr>
                                <w:t>(</w:t>
                              </w:r>
                            </w:p>
                          </w:txbxContent>
                        </wps:txbx>
                        <wps:bodyPr horzOverflow="overflow" vert="horz" lIns="0" tIns="0" rIns="0" bIns="0" rtlCol="0">
                          <a:noAutofit/>
                        </wps:bodyPr>
                      </wps:wsp>
                      <wps:wsp>
                        <wps:cNvPr id="275108" name="Rectangle 275108"/>
                        <wps:cNvSpPr/>
                        <wps:spPr>
                          <a:xfrm>
                            <a:off x="444073" y="730123"/>
                            <a:ext cx="7437311" cy="203030"/>
                          </a:xfrm>
                          <a:prstGeom prst="rect">
                            <a:avLst/>
                          </a:prstGeom>
                          <a:ln>
                            <a:noFill/>
                          </a:ln>
                        </wps:spPr>
                        <wps:txbx>
                          <w:txbxContent>
                            <w:p w:rsidR="00D27BC6" w:rsidRDefault="004D5071">
                              <w:pPr>
                                <w:spacing w:after="160" w:line="259" w:lineRule="auto"/>
                                <w:ind w:left="0" w:right="0" w:firstLine="0"/>
                                <w:jc w:val="left"/>
                              </w:pPr>
                              <w:r>
                                <w:rPr>
                                  <w:w w:val="104"/>
                                </w:rPr>
                                <w:t>при</w:t>
                              </w:r>
                              <w:r>
                                <w:rPr>
                                  <w:spacing w:val="-3"/>
                                  <w:w w:val="104"/>
                                </w:rPr>
                                <w:t xml:space="preserve"> </w:t>
                              </w:r>
                              <w:r>
                                <w:rPr>
                                  <w:w w:val="104"/>
                                </w:rPr>
                                <w:t>наличии</w:t>
                              </w:r>
                              <w:r>
                                <w:rPr>
                                  <w:spacing w:val="-3"/>
                                  <w:w w:val="104"/>
                                </w:rPr>
                                <w:t xml:space="preserve"> </w:t>
                              </w:r>
                              <w:r>
                                <w:rPr>
                                  <w:w w:val="104"/>
                                </w:rPr>
                                <w:t>показаний),</w:t>
                              </w:r>
                              <w:r>
                                <w:rPr>
                                  <w:spacing w:val="-3"/>
                                  <w:w w:val="104"/>
                                </w:rPr>
                                <w:t xml:space="preserve"> </w:t>
                              </w:r>
                              <w:r>
                                <w:rPr>
                                  <w:w w:val="104"/>
                                </w:rPr>
                                <w:t>хирургическая</w:t>
                              </w:r>
                              <w:r>
                                <w:rPr>
                                  <w:spacing w:val="-3"/>
                                  <w:w w:val="104"/>
                                </w:rPr>
                                <w:t xml:space="preserve"> </w:t>
                              </w:r>
                              <w:r>
                                <w:rPr>
                                  <w:w w:val="104"/>
                                </w:rPr>
                                <w:t>обработка</w:t>
                              </w:r>
                              <w:r>
                                <w:rPr>
                                  <w:spacing w:val="-3"/>
                                  <w:w w:val="104"/>
                                </w:rPr>
                                <w:t xml:space="preserve"> </w:t>
                              </w:r>
                              <w:r>
                                <w:rPr>
                                  <w:w w:val="104"/>
                                </w:rPr>
                                <w:t>инфицированной</w:t>
                              </w:r>
                              <w:r>
                                <w:rPr>
                                  <w:spacing w:val="-3"/>
                                  <w:w w:val="104"/>
                                </w:rPr>
                                <w:t xml:space="preserve"> </w:t>
                              </w:r>
                              <w:r>
                                <w:rPr>
                                  <w:w w:val="104"/>
                                </w:rPr>
                                <w:t>стопы</w:t>
                              </w:r>
                              <w:r>
                                <w:rPr>
                                  <w:spacing w:val="-3"/>
                                  <w:w w:val="104"/>
                                </w:rPr>
                                <w:t xml:space="preserve"> </w:t>
                              </w:r>
                              <w:r>
                                <w:rPr>
                                  <w:w w:val="104"/>
                                </w:rPr>
                                <w:t>(при</w:t>
                              </w:r>
                              <w:r>
                                <w:rPr>
                                  <w:spacing w:val="-3"/>
                                  <w:w w:val="104"/>
                                </w:rPr>
                                <w:t xml:space="preserve"> </w:t>
                              </w:r>
                              <w:r>
                                <w:rPr>
                                  <w:w w:val="104"/>
                                </w:rPr>
                                <w:t>наличии</w:t>
                              </w:r>
                              <w:r>
                                <w:rPr>
                                  <w:spacing w:val="-3"/>
                                  <w:w w:val="104"/>
                                </w:rPr>
                                <w:t xml:space="preserve"> </w:t>
                              </w:r>
                              <w:r>
                                <w:rPr>
                                  <w:w w:val="104"/>
                                </w:rPr>
                                <w:t>показаний</w:t>
                              </w:r>
                            </w:p>
                          </w:txbxContent>
                        </wps:txbx>
                        <wps:bodyPr horzOverflow="overflow" vert="horz" lIns="0" tIns="0" rIns="0" bIns="0" rtlCol="0">
                          <a:noAutofit/>
                        </wps:bodyPr>
                      </wps:wsp>
                      <wps:wsp>
                        <wps:cNvPr id="275107" name="Rectangle 275107"/>
                        <wps:cNvSpPr/>
                        <wps:spPr>
                          <a:xfrm>
                            <a:off x="6036036" y="730123"/>
                            <a:ext cx="47971" cy="203030"/>
                          </a:xfrm>
                          <a:prstGeom prst="rect">
                            <a:avLst/>
                          </a:prstGeom>
                          <a:ln>
                            <a:noFill/>
                          </a:ln>
                        </wps:spPr>
                        <wps:txbx>
                          <w:txbxContent>
                            <w:p w:rsidR="00D27BC6" w:rsidRDefault="004D5071">
                              <w:pPr>
                                <w:spacing w:after="160" w:line="259" w:lineRule="auto"/>
                                <w:ind w:left="0" w:right="0" w:firstLine="0"/>
                                <w:jc w:val="left"/>
                              </w:pPr>
                              <w:r>
                                <w:rPr>
                                  <w:w w:val="95"/>
                                </w:rPr>
                                <w:t>)</w:t>
                              </w:r>
                            </w:p>
                          </w:txbxContent>
                        </wps:txbx>
                        <wps:bodyPr horzOverflow="overflow" vert="horz" lIns="0" tIns="0" rIns="0" bIns="0" rtlCol="0">
                          <a:noAutofit/>
                        </wps:bodyPr>
                      </wps:wsp>
                      <wps:wsp>
                        <wps:cNvPr id="15665" name="Shape 15665"/>
                        <wps:cNvSpPr/>
                        <wps:spPr>
                          <a:xfrm>
                            <a:off x="1588" y="525603"/>
                            <a:ext cx="6476822" cy="403199"/>
                          </a:xfrm>
                          <a:custGeom>
                            <a:avLst/>
                            <a:gdLst/>
                            <a:ahLst/>
                            <a:cxnLst/>
                            <a:rect l="0" t="0" r="0" b="0"/>
                            <a:pathLst>
                              <a:path w="6476822" h="403199">
                                <a:moveTo>
                                  <a:pt x="0" y="403199"/>
                                </a:moveTo>
                                <a:lnTo>
                                  <a:pt x="6476822" y="403199"/>
                                </a:lnTo>
                                <a:lnTo>
                                  <a:pt x="6476822"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924" name="Shape 378924"/>
                        <wps:cNvSpPr/>
                        <wps:spPr>
                          <a:xfrm>
                            <a:off x="0" y="1213206"/>
                            <a:ext cx="6479997" cy="216230"/>
                          </a:xfrm>
                          <a:custGeom>
                            <a:avLst/>
                            <a:gdLst/>
                            <a:ahLst/>
                            <a:cxnLst/>
                            <a:rect l="0" t="0" r="0" b="0"/>
                            <a:pathLst>
                              <a:path w="6479997" h="216230">
                                <a:moveTo>
                                  <a:pt x="0" y="0"/>
                                </a:moveTo>
                                <a:lnTo>
                                  <a:pt x="6479997" y="0"/>
                                </a:lnTo>
                                <a:lnTo>
                                  <a:pt x="6479997" y="216230"/>
                                </a:lnTo>
                                <a:lnTo>
                                  <a:pt x="0" y="216230"/>
                                </a:lnTo>
                                <a:lnTo>
                                  <a:pt x="0" y="0"/>
                                </a:lnTo>
                              </a:path>
                            </a:pathLst>
                          </a:custGeom>
                          <a:ln w="0" cap="flat">
                            <a:miter lim="100000"/>
                          </a:ln>
                        </wps:spPr>
                        <wps:style>
                          <a:lnRef idx="0">
                            <a:srgbClr val="000000">
                              <a:alpha val="0"/>
                            </a:srgbClr>
                          </a:lnRef>
                          <a:fillRef idx="1">
                            <a:srgbClr val="C4D983"/>
                          </a:fillRef>
                          <a:effectRef idx="0">
                            <a:scrgbClr r="0" g="0" b="0"/>
                          </a:effectRef>
                          <a:fontRef idx="none"/>
                        </wps:style>
                        <wps:bodyPr/>
                      </wps:wsp>
                      <wps:wsp>
                        <wps:cNvPr id="15667" name="Rectangle 15667"/>
                        <wps:cNvSpPr/>
                        <wps:spPr>
                          <a:xfrm>
                            <a:off x="950356" y="1248038"/>
                            <a:ext cx="6090456" cy="203030"/>
                          </a:xfrm>
                          <a:prstGeom prst="rect">
                            <a:avLst/>
                          </a:prstGeom>
                          <a:ln>
                            <a:noFill/>
                          </a:ln>
                        </wps:spPr>
                        <wps:txbx>
                          <w:txbxContent>
                            <w:p w:rsidR="00D27BC6" w:rsidRDefault="004D5071">
                              <w:pPr>
                                <w:spacing w:after="160" w:line="259" w:lineRule="auto"/>
                                <w:ind w:left="0" w:right="0" w:firstLine="0"/>
                                <w:jc w:val="left"/>
                              </w:pPr>
                              <w:r>
                                <w:rPr>
                                  <w:w w:val="103"/>
                                </w:rPr>
                                <w:t>Пациент</w:t>
                              </w:r>
                              <w:r>
                                <w:rPr>
                                  <w:spacing w:val="-3"/>
                                  <w:w w:val="103"/>
                                </w:rPr>
                                <w:t xml:space="preserve"> </w:t>
                              </w:r>
                              <w:r>
                                <w:rPr>
                                  <w:w w:val="103"/>
                                </w:rPr>
                                <w:t>является</w:t>
                              </w:r>
                              <w:r>
                                <w:rPr>
                                  <w:spacing w:val="-3"/>
                                  <w:w w:val="103"/>
                                </w:rPr>
                                <w:t xml:space="preserve"> </w:t>
                              </w:r>
                              <w:r>
                                <w:rPr>
                                  <w:w w:val="103"/>
                                </w:rPr>
                                <w:t>кандидатом</w:t>
                              </w:r>
                              <w:r>
                                <w:rPr>
                                  <w:spacing w:val="-3"/>
                                  <w:w w:val="103"/>
                                </w:rPr>
                                <w:t xml:space="preserve"> </w:t>
                              </w:r>
                              <w:r>
                                <w:rPr>
                                  <w:w w:val="103"/>
                                </w:rPr>
                                <w:t>на</w:t>
                              </w:r>
                              <w:r>
                                <w:rPr>
                                  <w:spacing w:val="-3"/>
                                  <w:w w:val="103"/>
                                </w:rPr>
                                <w:t xml:space="preserve"> </w:t>
                              </w:r>
                              <w:r>
                                <w:rPr>
                                  <w:w w:val="103"/>
                                </w:rPr>
                                <w:t>реваскуляризацию</w:t>
                              </w:r>
                              <w:r>
                                <w:rPr>
                                  <w:spacing w:val="-3"/>
                                  <w:w w:val="103"/>
                                </w:rPr>
                                <w:t xml:space="preserve"> </w:t>
                              </w:r>
                              <w:r>
                                <w:rPr>
                                  <w:w w:val="103"/>
                                </w:rPr>
                                <w:t>артерий</w:t>
                              </w:r>
                              <w:r>
                                <w:rPr>
                                  <w:spacing w:val="-3"/>
                                  <w:w w:val="103"/>
                                </w:rPr>
                                <w:t xml:space="preserve"> </w:t>
                              </w:r>
                              <w:r>
                                <w:rPr>
                                  <w:w w:val="103"/>
                                </w:rPr>
                                <w:t>нижних</w:t>
                              </w:r>
                              <w:r>
                                <w:rPr>
                                  <w:spacing w:val="-3"/>
                                  <w:w w:val="103"/>
                                </w:rPr>
                                <w:t xml:space="preserve"> </w:t>
                              </w:r>
                              <w:r>
                                <w:rPr>
                                  <w:w w:val="103"/>
                                </w:rPr>
                                <w:t>конечностей</w:t>
                              </w:r>
                            </w:p>
                          </w:txbxContent>
                        </wps:txbx>
                        <wps:bodyPr horzOverflow="overflow" vert="horz" lIns="0" tIns="0" rIns="0" bIns="0" rtlCol="0">
                          <a:noAutofit/>
                        </wps:bodyPr>
                      </wps:wsp>
                      <wps:wsp>
                        <wps:cNvPr id="15668" name="Shape 15668"/>
                        <wps:cNvSpPr/>
                        <wps:spPr>
                          <a:xfrm>
                            <a:off x="0" y="1213206"/>
                            <a:ext cx="6479997" cy="216230"/>
                          </a:xfrm>
                          <a:custGeom>
                            <a:avLst/>
                            <a:gdLst/>
                            <a:ahLst/>
                            <a:cxnLst/>
                            <a:rect l="0" t="0" r="0" b="0"/>
                            <a:pathLst>
                              <a:path w="6479997" h="216230">
                                <a:moveTo>
                                  <a:pt x="0" y="216230"/>
                                </a:moveTo>
                                <a:lnTo>
                                  <a:pt x="6479997" y="216230"/>
                                </a:lnTo>
                                <a:lnTo>
                                  <a:pt x="6479997"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941" name="Shape 378941"/>
                        <wps:cNvSpPr/>
                        <wps:spPr>
                          <a:xfrm>
                            <a:off x="1953006" y="1711211"/>
                            <a:ext cx="2187004" cy="329997"/>
                          </a:xfrm>
                          <a:custGeom>
                            <a:avLst/>
                            <a:gdLst/>
                            <a:ahLst/>
                            <a:cxnLst/>
                            <a:rect l="0" t="0" r="0" b="0"/>
                            <a:pathLst>
                              <a:path w="2187004" h="329997">
                                <a:moveTo>
                                  <a:pt x="0" y="0"/>
                                </a:moveTo>
                                <a:lnTo>
                                  <a:pt x="2187004" y="0"/>
                                </a:lnTo>
                                <a:lnTo>
                                  <a:pt x="2187004" y="329997"/>
                                </a:lnTo>
                                <a:lnTo>
                                  <a:pt x="0" y="329997"/>
                                </a:lnTo>
                                <a:lnTo>
                                  <a:pt x="0" y="0"/>
                                </a:lnTo>
                              </a:path>
                            </a:pathLst>
                          </a:custGeom>
                          <a:ln w="0" cap="flat">
                            <a:miter lim="100000"/>
                          </a:ln>
                        </wps:spPr>
                        <wps:style>
                          <a:lnRef idx="0">
                            <a:srgbClr val="000000">
                              <a:alpha val="0"/>
                            </a:srgbClr>
                          </a:lnRef>
                          <a:fillRef idx="1">
                            <a:srgbClr val="FBD9CA"/>
                          </a:fillRef>
                          <a:effectRef idx="0">
                            <a:scrgbClr r="0" g="0" b="0"/>
                          </a:effectRef>
                          <a:fontRef idx="none"/>
                        </wps:style>
                        <wps:bodyPr/>
                      </wps:wsp>
                      <wps:wsp>
                        <wps:cNvPr id="15670" name="Rectangle 15670"/>
                        <wps:cNvSpPr/>
                        <wps:spPr>
                          <a:xfrm>
                            <a:off x="2430620" y="1802927"/>
                            <a:ext cx="1638258" cy="203030"/>
                          </a:xfrm>
                          <a:prstGeom prst="rect">
                            <a:avLst/>
                          </a:prstGeom>
                          <a:ln>
                            <a:noFill/>
                          </a:ln>
                        </wps:spPr>
                        <wps:txbx>
                          <w:txbxContent>
                            <w:p w:rsidR="00D27BC6" w:rsidRDefault="004D5071">
                              <w:pPr>
                                <w:spacing w:after="160" w:line="259" w:lineRule="auto"/>
                                <w:ind w:left="0" w:right="0" w:firstLine="0"/>
                                <w:jc w:val="left"/>
                              </w:pPr>
                              <w:r>
                                <w:rPr>
                                  <w:w w:val="102"/>
                                </w:rPr>
                                <w:t>Методы</w:t>
                              </w:r>
                              <w:r>
                                <w:rPr>
                                  <w:spacing w:val="-3"/>
                                  <w:w w:val="102"/>
                                </w:rPr>
                                <w:t xml:space="preserve"> </w:t>
                              </w:r>
                              <w:r>
                                <w:rPr>
                                  <w:w w:val="102"/>
                                </w:rPr>
                                <w:t>визуализации</w:t>
                              </w:r>
                            </w:p>
                          </w:txbxContent>
                        </wps:txbx>
                        <wps:bodyPr horzOverflow="overflow" vert="horz" lIns="0" tIns="0" rIns="0" bIns="0" rtlCol="0">
                          <a:noAutofit/>
                        </wps:bodyPr>
                      </wps:wsp>
                      <wps:wsp>
                        <wps:cNvPr id="15671" name="Shape 15671"/>
                        <wps:cNvSpPr/>
                        <wps:spPr>
                          <a:xfrm>
                            <a:off x="1953006" y="1711211"/>
                            <a:ext cx="2187004" cy="329997"/>
                          </a:xfrm>
                          <a:custGeom>
                            <a:avLst/>
                            <a:gdLst/>
                            <a:ahLst/>
                            <a:cxnLst/>
                            <a:rect l="0" t="0" r="0" b="0"/>
                            <a:pathLst>
                              <a:path w="2187004" h="329997">
                                <a:moveTo>
                                  <a:pt x="0" y="329997"/>
                                </a:moveTo>
                                <a:lnTo>
                                  <a:pt x="2187004" y="329997"/>
                                </a:lnTo>
                                <a:lnTo>
                                  <a:pt x="2187004"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946" name="Shape 378946"/>
                        <wps:cNvSpPr/>
                        <wps:spPr>
                          <a:xfrm>
                            <a:off x="494995" y="2206206"/>
                            <a:ext cx="2187003" cy="329997"/>
                          </a:xfrm>
                          <a:custGeom>
                            <a:avLst/>
                            <a:gdLst/>
                            <a:ahLst/>
                            <a:cxnLst/>
                            <a:rect l="0" t="0" r="0" b="0"/>
                            <a:pathLst>
                              <a:path w="2187003" h="329997">
                                <a:moveTo>
                                  <a:pt x="0" y="0"/>
                                </a:moveTo>
                                <a:lnTo>
                                  <a:pt x="2187003" y="0"/>
                                </a:lnTo>
                                <a:lnTo>
                                  <a:pt x="2187003" y="329997"/>
                                </a:lnTo>
                                <a:lnTo>
                                  <a:pt x="0" y="329997"/>
                                </a:lnTo>
                                <a:lnTo>
                                  <a:pt x="0" y="0"/>
                                </a:lnTo>
                              </a:path>
                            </a:pathLst>
                          </a:custGeom>
                          <a:ln w="0" cap="flat">
                            <a:miter lim="100000"/>
                          </a:ln>
                        </wps:spPr>
                        <wps:style>
                          <a:lnRef idx="0">
                            <a:srgbClr val="000000">
                              <a:alpha val="0"/>
                            </a:srgbClr>
                          </a:lnRef>
                          <a:fillRef idx="1">
                            <a:srgbClr val="C4D983"/>
                          </a:fillRef>
                          <a:effectRef idx="0">
                            <a:scrgbClr r="0" g="0" b="0"/>
                          </a:effectRef>
                          <a:fontRef idx="none"/>
                        </wps:style>
                        <wps:bodyPr/>
                      </wps:wsp>
                      <wps:wsp>
                        <wps:cNvPr id="15673" name="Rectangle 15673"/>
                        <wps:cNvSpPr/>
                        <wps:spPr>
                          <a:xfrm>
                            <a:off x="788285" y="2297929"/>
                            <a:ext cx="2128570" cy="203030"/>
                          </a:xfrm>
                          <a:prstGeom prst="rect">
                            <a:avLst/>
                          </a:prstGeom>
                          <a:ln>
                            <a:noFill/>
                          </a:ln>
                        </wps:spPr>
                        <wps:txbx>
                          <w:txbxContent>
                            <w:p w:rsidR="00D27BC6" w:rsidRDefault="004D5071">
                              <w:pPr>
                                <w:spacing w:after="160" w:line="259" w:lineRule="auto"/>
                                <w:ind w:left="0" w:right="0" w:firstLine="0"/>
                                <w:jc w:val="left"/>
                              </w:pPr>
                              <w:r>
                                <w:rPr>
                                  <w:w w:val="103"/>
                                </w:rPr>
                                <w:t>Реваскуляризация</w:t>
                              </w:r>
                              <w:r>
                                <w:rPr>
                                  <w:spacing w:val="-3"/>
                                  <w:w w:val="103"/>
                                </w:rPr>
                                <w:t xml:space="preserve"> </w:t>
                              </w:r>
                              <w:r>
                                <w:rPr>
                                  <w:w w:val="103"/>
                                </w:rPr>
                                <w:t>возможна</w:t>
                              </w:r>
                            </w:p>
                          </w:txbxContent>
                        </wps:txbx>
                        <wps:bodyPr horzOverflow="overflow" vert="horz" lIns="0" tIns="0" rIns="0" bIns="0" rtlCol="0">
                          <a:noAutofit/>
                        </wps:bodyPr>
                      </wps:wsp>
                      <wps:wsp>
                        <wps:cNvPr id="15674" name="Shape 15674"/>
                        <wps:cNvSpPr/>
                        <wps:spPr>
                          <a:xfrm>
                            <a:off x="494995" y="2206206"/>
                            <a:ext cx="2187003" cy="329997"/>
                          </a:xfrm>
                          <a:custGeom>
                            <a:avLst/>
                            <a:gdLst/>
                            <a:ahLst/>
                            <a:cxnLst/>
                            <a:rect l="0" t="0" r="0" b="0"/>
                            <a:pathLst>
                              <a:path w="2187003" h="329997">
                                <a:moveTo>
                                  <a:pt x="0" y="329997"/>
                                </a:moveTo>
                                <a:lnTo>
                                  <a:pt x="2187003" y="329997"/>
                                </a:lnTo>
                                <a:lnTo>
                                  <a:pt x="218700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951" name="Shape 378951"/>
                        <wps:cNvSpPr/>
                        <wps:spPr>
                          <a:xfrm>
                            <a:off x="3465005" y="2206206"/>
                            <a:ext cx="2187003" cy="329997"/>
                          </a:xfrm>
                          <a:custGeom>
                            <a:avLst/>
                            <a:gdLst/>
                            <a:ahLst/>
                            <a:cxnLst/>
                            <a:rect l="0" t="0" r="0" b="0"/>
                            <a:pathLst>
                              <a:path w="2187003" h="329997">
                                <a:moveTo>
                                  <a:pt x="0" y="0"/>
                                </a:moveTo>
                                <a:lnTo>
                                  <a:pt x="2187003" y="0"/>
                                </a:lnTo>
                                <a:lnTo>
                                  <a:pt x="2187003" y="329997"/>
                                </a:lnTo>
                                <a:lnTo>
                                  <a:pt x="0" y="329997"/>
                                </a:lnTo>
                                <a:lnTo>
                                  <a:pt x="0" y="0"/>
                                </a:lnTo>
                              </a:path>
                            </a:pathLst>
                          </a:custGeom>
                          <a:ln w="0" cap="flat">
                            <a:miter lim="100000"/>
                          </a:ln>
                        </wps:spPr>
                        <wps:style>
                          <a:lnRef idx="0">
                            <a:srgbClr val="000000">
                              <a:alpha val="0"/>
                            </a:srgbClr>
                          </a:lnRef>
                          <a:fillRef idx="1">
                            <a:srgbClr val="EF8161"/>
                          </a:fillRef>
                          <a:effectRef idx="0">
                            <a:scrgbClr r="0" g="0" b="0"/>
                          </a:effectRef>
                          <a:fontRef idx="none"/>
                        </wps:style>
                        <wps:bodyPr/>
                      </wps:wsp>
                      <wps:wsp>
                        <wps:cNvPr id="15676" name="Rectangle 15676"/>
                        <wps:cNvSpPr/>
                        <wps:spPr>
                          <a:xfrm>
                            <a:off x="3691803" y="2297929"/>
                            <a:ext cx="2305419" cy="203030"/>
                          </a:xfrm>
                          <a:prstGeom prst="rect">
                            <a:avLst/>
                          </a:prstGeom>
                          <a:ln>
                            <a:noFill/>
                          </a:ln>
                        </wps:spPr>
                        <wps:txbx>
                          <w:txbxContent>
                            <w:p w:rsidR="00D27BC6" w:rsidRDefault="004D5071">
                              <w:pPr>
                                <w:spacing w:after="160" w:line="259" w:lineRule="auto"/>
                                <w:ind w:left="0" w:right="0" w:firstLine="0"/>
                                <w:jc w:val="left"/>
                              </w:pPr>
                              <w:r>
                                <w:rPr>
                                  <w:w w:val="103"/>
                                </w:rPr>
                                <w:t>Реваскуляризация</w:t>
                              </w:r>
                              <w:r>
                                <w:rPr>
                                  <w:spacing w:val="-3"/>
                                  <w:w w:val="103"/>
                                </w:rPr>
                                <w:t xml:space="preserve"> </w:t>
                              </w:r>
                              <w:r>
                                <w:rPr>
                                  <w:w w:val="103"/>
                                </w:rPr>
                                <w:t>невозможна</w:t>
                              </w:r>
                            </w:p>
                          </w:txbxContent>
                        </wps:txbx>
                        <wps:bodyPr horzOverflow="overflow" vert="horz" lIns="0" tIns="0" rIns="0" bIns="0" rtlCol="0">
                          <a:noAutofit/>
                        </wps:bodyPr>
                      </wps:wsp>
                      <wps:wsp>
                        <wps:cNvPr id="15677" name="Shape 15677"/>
                        <wps:cNvSpPr/>
                        <wps:spPr>
                          <a:xfrm>
                            <a:off x="3465005" y="2206206"/>
                            <a:ext cx="2187003" cy="329997"/>
                          </a:xfrm>
                          <a:custGeom>
                            <a:avLst/>
                            <a:gdLst/>
                            <a:ahLst/>
                            <a:cxnLst/>
                            <a:rect l="0" t="0" r="0" b="0"/>
                            <a:pathLst>
                              <a:path w="2187003" h="329997">
                                <a:moveTo>
                                  <a:pt x="0" y="329997"/>
                                </a:moveTo>
                                <a:lnTo>
                                  <a:pt x="2187003" y="329997"/>
                                </a:lnTo>
                                <a:lnTo>
                                  <a:pt x="218700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956" name="Shape 378956"/>
                        <wps:cNvSpPr/>
                        <wps:spPr>
                          <a:xfrm>
                            <a:off x="494995" y="2701201"/>
                            <a:ext cx="1403998" cy="498411"/>
                          </a:xfrm>
                          <a:custGeom>
                            <a:avLst/>
                            <a:gdLst/>
                            <a:ahLst/>
                            <a:cxnLst/>
                            <a:rect l="0" t="0" r="0" b="0"/>
                            <a:pathLst>
                              <a:path w="1403998" h="498411">
                                <a:moveTo>
                                  <a:pt x="0" y="0"/>
                                </a:moveTo>
                                <a:lnTo>
                                  <a:pt x="1403998" y="0"/>
                                </a:lnTo>
                                <a:lnTo>
                                  <a:pt x="1403998" y="498411"/>
                                </a:lnTo>
                                <a:lnTo>
                                  <a:pt x="0" y="498411"/>
                                </a:lnTo>
                                <a:lnTo>
                                  <a:pt x="0" y="0"/>
                                </a:lnTo>
                              </a:path>
                            </a:pathLst>
                          </a:custGeom>
                          <a:ln w="0" cap="flat">
                            <a:miter lim="100000"/>
                          </a:ln>
                        </wps:spPr>
                        <wps:style>
                          <a:lnRef idx="0">
                            <a:srgbClr val="000000">
                              <a:alpha val="0"/>
                            </a:srgbClr>
                          </a:lnRef>
                          <a:fillRef idx="1">
                            <a:srgbClr val="D6DAEB"/>
                          </a:fillRef>
                          <a:effectRef idx="0">
                            <a:scrgbClr r="0" g="0" b="0"/>
                          </a:effectRef>
                          <a:fontRef idx="none"/>
                        </wps:style>
                        <wps:bodyPr/>
                      </wps:wsp>
                      <wps:wsp>
                        <wps:cNvPr id="15679" name="Rectangle 15679"/>
                        <wps:cNvSpPr/>
                        <wps:spPr>
                          <a:xfrm>
                            <a:off x="681450" y="2800931"/>
                            <a:ext cx="1407173" cy="203030"/>
                          </a:xfrm>
                          <a:prstGeom prst="rect">
                            <a:avLst/>
                          </a:prstGeom>
                          <a:ln>
                            <a:noFill/>
                          </a:ln>
                        </wps:spPr>
                        <wps:txbx>
                          <w:txbxContent>
                            <w:p w:rsidR="00D27BC6" w:rsidRDefault="004D5071">
                              <w:pPr>
                                <w:spacing w:after="160" w:line="259" w:lineRule="auto"/>
                                <w:ind w:left="0" w:right="0" w:firstLine="0"/>
                                <w:jc w:val="left"/>
                              </w:pPr>
                              <w:r>
                                <w:rPr>
                                  <w:w w:val="103"/>
                                </w:rPr>
                                <w:t>Стенозы,</w:t>
                              </w:r>
                              <w:r>
                                <w:rPr>
                                  <w:spacing w:val="-3"/>
                                  <w:w w:val="103"/>
                                </w:rPr>
                                <w:t xml:space="preserve"> </w:t>
                              </w:r>
                              <w:r>
                                <w:rPr>
                                  <w:w w:val="103"/>
                                </w:rPr>
                                <w:t>короткие</w:t>
                              </w:r>
                              <w:r>
                                <w:rPr>
                                  <w:spacing w:val="-3"/>
                                  <w:w w:val="103"/>
                                </w:rPr>
                                <w:t xml:space="preserve"> </w:t>
                              </w:r>
                            </w:p>
                          </w:txbxContent>
                        </wps:txbx>
                        <wps:bodyPr horzOverflow="overflow" vert="horz" lIns="0" tIns="0" rIns="0" bIns="0" rtlCol="0">
                          <a:noAutofit/>
                        </wps:bodyPr>
                      </wps:wsp>
                      <wps:wsp>
                        <wps:cNvPr id="15680" name="Rectangle 15680"/>
                        <wps:cNvSpPr/>
                        <wps:spPr>
                          <a:xfrm>
                            <a:off x="682085" y="2953331"/>
                            <a:ext cx="1369674" cy="203030"/>
                          </a:xfrm>
                          <a:prstGeom prst="rect">
                            <a:avLst/>
                          </a:prstGeom>
                          <a:ln>
                            <a:noFill/>
                          </a:ln>
                        </wps:spPr>
                        <wps:txbx>
                          <w:txbxContent>
                            <w:p w:rsidR="00D27BC6" w:rsidRDefault="004D5071">
                              <w:pPr>
                                <w:spacing w:after="160" w:line="259" w:lineRule="auto"/>
                                <w:ind w:left="0" w:right="0" w:firstLine="0"/>
                                <w:jc w:val="left"/>
                              </w:pPr>
                              <w:r>
                                <w:rPr>
                                  <w:w w:val="104"/>
                                </w:rPr>
                                <w:t>окклюзии</w:t>
                              </w:r>
                              <w:r>
                                <w:rPr>
                                  <w:spacing w:val="-3"/>
                                  <w:w w:val="104"/>
                                </w:rPr>
                                <w:t xml:space="preserve"> </w:t>
                              </w:r>
                              <w:r>
                                <w:rPr>
                                  <w:w w:val="104"/>
                                </w:rPr>
                                <w:t>артерий</w:t>
                              </w:r>
                            </w:p>
                          </w:txbxContent>
                        </wps:txbx>
                        <wps:bodyPr horzOverflow="overflow" vert="horz" lIns="0" tIns="0" rIns="0" bIns="0" rtlCol="0">
                          <a:noAutofit/>
                        </wps:bodyPr>
                      </wps:wsp>
                      <wps:wsp>
                        <wps:cNvPr id="15681" name="Shape 15681"/>
                        <wps:cNvSpPr/>
                        <wps:spPr>
                          <a:xfrm>
                            <a:off x="494995" y="2701201"/>
                            <a:ext cx="1403998" cy="498411"/>
                          </a:xfrm>
                          <a:custGeom>
                            <a:avLst/>
                            <a:gdLst/>
                            <a:ahLst/>
                            <a:cxnLst/>
                            <a:rect l="0" t="0" r="0" b="0"/>
                            <a:pathLst>
                              <a:path w="1403998" h="498411">
                                <a:moveTo>
                                  <a:pt x="0" y="498411"/>
                                </a:moveTo>
                                <a:lnTo>
                                  <a:pt x="1403998" y="498411"/>
                                </a:lnTo>
                                <a:lnTo>
                                  <a:pt x="14039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966" name="Shape 378966"/>
                        <wps:cNvSpPr/>
                        <wps:spPr>
                          <a:xfrm>
                            <a:off x="2344496" y="2701201"/>
                            <a:ext cx="1403998" cy="498411"/>
                          </a:xfrm>
                          <a:custGeom>
                            <a:avLst/>
                            <a:gdLst/>
                            <a:ahLst/>
                            <a:cxnLst/>
                            <a:rect l="0" t="0" r="0" b="0"/>
                            <a:pathLst>
                              <a:path w="1403998" h="498411">
                                <a:moveTo>
                                  <a:pt x="0" y="0"/>
                                </a:moveTo>
                                <a:lnTo>
                                  <a:pt x="1403998" y="0"/>
                                </a:lnTo>
                                <a:lnTo>
                                  <a:pt x="1403998" y="498411"/>
                                </a:lnTo>
                                <a:lnTo>
                                  <a:pt x="0" y="498411"/>
                                </a:lnTo>
                                <a:lnTo>
                                  <a:pt x="0" y="0"/>
                                </a:lnTo>
                              </a:path>
                            </a:pathLst>
                          </a:custGeom>
                          <a:ln w="0" cap="flat">
                            <a:miter lim="100000"/>
                          </a:ln>
                        </wps:spPr>
                        <wps:style>
                          <a:lnRef idx="0">
                            <a:srgbClr val="000000">
                              <a:alpha val="0"/>
                            </a:srgbClr>
                          </a:lnRef>
                          <a:fillRef idx="1">
                            <a:srgbClr val="D6DAEB"/>
                          </a:fillRef>
                          <a:effectRef idx="0">
                            <a:scrgbClr r="0" g="0" b="0"/>
                          </a:effectRef>
                          <a:fontRef idx="none"/>
                        </wps:style>
                        <wps:bodyPr/>
                      </wps:wsp>
                      <wps:wsp>
                        <wps:cNvPr id="15683" name="Rectangle 15683"/>
                        <wps:cNvSpPr/>
                        <wps:spPr>
                          <a:xfrm>
                            <a:off x="2661060" y="2800931"/>
                            <a:ext cx="1096901" cy="203030"/>
                          </a:xfrm>
                          <a:prstGeom prst="rect">
                            <a:avLst/>
                          </a:prstGeom>
                          <a:ln>
                            <a:noFill/>
                          </a:ln>
                        </wps:spPr>
                        <wps:txbx>
                          <w:txbxContent>
                            <w:p w:rsidR="00D27BC6" w:rsidRDefault="004D5071">
                              <w:pPr>
                                <w:spacing w:after="160" w:line="259" w:lineRule="auto"/>
                                <w:ind w:left="0" w:right="0" w:firstLine="0"/>
                                <w:jc w:val="left"/>
                              </w:pPr>
                              <w:r>
                                <w:rPr>
                                  <w:w w:val="103"/>
                                </w:rPr>
                                <w:t>Протяженные</w:t>
                              </w:r>
                              <w:r>
                                <w:rPr>
                                  <w:spacing w:val="-3"/>
                                  <w:w w:val="103"/>
                                </w:rPr>
                                <w:t xml:space="preserve">  </w:t>
                              </w:r>
                            </w:p>
                          </w:txbxContent>
                        </wps:txbx>
                        <wps:bodyPr horzOverflow="overflow" vert="horz" lIns="0" tIns="0" rIns="0" bIns="0" rtlCol="0">
                          <a:noAutofit/>
                        </wps:bodyPr>
                      </wps:wsp>
                      <wps:wsp>
                        <wps:cNvPr id="15684" name="Rectangle 15684"/>
                        <wps:cNvSpPr/>
                        <wps:spPr>
                          <a:xfrm>
                            <a:off x="2774344" y="2953331"/>
                            <a:ext cx="723779" cy="203030"/>
                          </a:xfrm>
                          <a:prstGeom prst="rect">
                            <a:avLst/>
                          </a:prstGeom>
                          <a:ln>
                            <a:noFill/>
                          </a:ln>
                        </wps:spPr>
                        <wps:txbx>
                          <w:txbxContent>
                            <w:p w:rsidR="00D27BC6" w:rsidRDefault="004D5071">
                              <w:pPr>
                                <w:spacing w:after="160" w:line="259" w:lineRule="auto"/>
                                <w:ind w:left="0" w:right="0" w:firstLine="0"/>
                                <w:jc w:val="left"/>
                              </w:pPr>
                              <w:r>
                                <w:rPr>
                                  <w:w w:val="103"/>
                                </w:rPr>
                                <w:t>окклюзии</w:t>
                              </w:r>
                            </w:p>
                          </w:txbxContent>
                        </wps:txbx>
                        <wps:bodyPr horzOverflow="overflow" vert="horz" lIns="0" tIns="0" rIns="0" bIns="0" rtlCol="0">
                          <a:noAutofit/>
                        </wps:bodyPr>
                      </wps:wsp>
                      <wps:wsp>
                        <wps:cNvPr id="15685" name="Shape 15685"/>
                        <wps:cNvSpPr/>
                        <wps:spPr>
                          <a:xfrm>
                            <a:off x="2344496" y="2701201"/>
                            <a:ext cx="1403998" cy="498411"/>
                          </a:xfrm>
                          <a:custGeom>
                            <a:avLst/>
                            <a:gdLst/>
                            <a:ahLst/>
                            <a:cxnLst/>
                            <a:rect l="0" t="0" r="0" b="0"/>
                            <a:pathLst>
                              <a:path w="1403998" h="498411">
                                <a:moveTo>
                                  <a:pt x="0" y="498411"/>
                                </a:moveTo>
                                <a:lnTo>
                                  <a:pt x="1403998" y="498411"/>
                                </a:lnTo>
                                <a:lnTo>
                                  <a:pt x="14039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973" name="Shape 378973"/>
                        <wps:cNvSpPr/>
                        <wps:spPr>
                          <a:xfrm>
                            <a:off x="1525499" y="3364624"/>
                            <a:ext cx="1403998" cy="944994"/>
                          </a:xfrm>
                          <a:custGeom>
                            <a:avLst/>
                            <a:gdLst/>
                            <a:ahLst/>
                            <a:cxnLst/>
                            <a:rect l="0" t="0" r="0" b="0"/>
                            <a:pathLst>
                              <a:path w="1403998" h="944994">
                                <a:moveTo>
                                  <a:pt x="0" y="0"/>
                                </a:moveTo>
                                <a:lnTo>
                                  <a:pt x="1403998" y="0"/>
                                </a:lnTo>
                                <a:lnTo>
                                  <a:pt x="1403998" y="944994"/>
                                </a:lnTo>
                                <a:lnTo>
                                  <a:pt x="0" y="944994"/>
                                </a:lnTo>
                                <a:lnTo>
                                  <a:pt x="0" y="0"/>
                                </a:lnTo>
                              </a:path>
                            </a:pathLst>
                          </a:custGeom>
                          <a:ln w="0" cap="flat">
                            <a:miter lim="100000"/>
                          </a:ln>
                        </wps:spPr>
                        <wps:style>
                          <a:lnRef idx="0">
                            <a:srgbClr val="000000">
                              <a:alpha val="0"/>
                            </a:srgbClr>
                          </a:lnRef>
                          <a:fillRef idx="1">
                            <a:srgbClr val="D6DAEB"/>
                          </a:fillRef>
                          <a:effectRef idx="0">
                            <a:scrgbClr r="0" g="0" b="0"/>
                          </a:effectRef>
                          <a:fontRef idx="none"/>
                        </wps:style>
                        <wps:bodyPr/>
                      </wps:wsp>
                      <wps:wsp>
                        <wps:cNvPr id="15687" name="Rectangle 15687"/>
                        <wps:cNvSpPr/>
                        <wps:spPr>
                          <a:xfrm>
                            <a:off x="1644133" y="3459033"/>
                            <a:ext cx="1587568" cy="203030"/>
                          </a:xfrm>
                          <a:prstGeom prst="rect">
                            <a:avLst/>
                          </a:prstGeom>
                          <a:ln>
                            <a:noFill/>
                          </a:ln>
                        </wps:spPr>
                        <wps:txbx>
                          <w:txbxContent>
                            <w:p w:rsidR="00D27BC6" w:rsidRDefault="004D5071">
                              <w:pPr>
                                <w:spacing w:after="160" w:line="259" w:lineRule="auto"/>
                                <w:ind w:left="0" w:right="0" w:firstLine="0"/>
                                <w:jc w:val="left"/>
                              </w:pPr>
                              <w:r>
                                <w:rPr>
                                  <w:w w:val="104"/>
                                </w:rPr>
                                <w:t>Отсутствует</w:t>
                              </w:r>
                              <w:r>
                                <w:rPr>
                                  <w:spacing w:val="-3"/>
                                  <w:w w:val="104"/>
                                </w:rPr>
                                <w:t xml:space="preserve"> </w:t>
                              </w:r>
                              <w:r>
                                <w:rPr>
                                  <w:w w:val="104"/>
                                </w:rPr>
                                <w:t>большая</w:t>
                              </w:r>
                              <w:r>
                                <w:rPr>
                                  <w:spacing w:val="-3"/>
                                  <w:w w:val="104"/>
                                </w:rPr>
                                <w:t xml:space="preserve"> </w:t>
                              </w:r>
                            </w:p>
                          </w:txbxContent>
                        </wps:txbx>
                        <wps:bodyPr horzOverflow="overflow" vert="horz" lIns="0" tIns="0" rIns="0" bIns="0" rtlCol="0">
                          <a:noAutofit/>
                        </wps:bodyPr>
                      </wps:wsp>
                      <wps:wsp>
                        <wps:cNvPr id="15688" name="Rectangle 15688"/>
                        <wps:cNvSpPr/>
                        <wps:spPr>
                          <a:xfrm>
                            <a:off x="1778753" y="3611433"/>
                            <a:ext cx="1229310" cy="203030"/>
                          </a:xfrm>
                          <a:prstGeom prst="rect">
                            <a:avLst/>
                          </a:prstGeom>
                          <a:ln>
                            <a:noFill/>
                          </a:ln>
                        </wps:spPr>
                        <wps:txbx>
                          <w:txbxContent>
                            <w:p w:rsidR="00D27BC6" w:rsidRDefault="004D5071">
                              <w:pPr>
                                <w:spacing w:after="160" w:line="259" w:lineRule="auto"/>
                                <w:ind w:left="0" w:right="0" w:firstLine="0"/>
                                <w:jc w:val="left"/>
                              </w:pPr>
                              <w:r>
                                <w:rPr>
                                  <w:w w:val="103"/>
                                </w:rPr>
                                <w:t>подкожная</w:t>
                              </w:r>
                              <w:r>
                                <w:rPr>
                                  <w:spacing w:val="-3"/>
                                  <w:w w:val="103"/>
                                </w:rPr>
                                <w:t xml:space="preserve"> </w:t>
                              </w:r>
                              <w:r>
                                <w:rPr>
                                  <w:w w:val="103"/>
                                </w:rPr>
                                <w:t>вена</w:t>
                              </w:r>
                              <w:r>
                                <w:rPr>
                                  <w:spacing w:val="-3"/>
                                  <w:w w:val="103"/>
                                </w:rPr>
                                <w:t xml:space="preserve"> </w:t>
                              </w:r>
                            </w:p>
                          </w:txbxContent>
                        </wps:txbx>
                        <wps:bodyPr horzOverflow="overflow" vert="horz" lIns="0" tIns="0" rIns="0" bIns="0" rtlCol="0">
                          <a:noAutofit/>
                        </wps:bodyPr>
                      </wps:wsp>
                      <wps:wsp>
                        <wps:cNvPr id="15689" name="Rectangle 15689"/>
                        <wps:cNvSpPr/>
                        <wps:spPr>
                          <a:xfrm>
                            <a:off x="1729858" y="3763833"/>
                            <a:ext cx="1359371" cy="203030"/>
                          </a:xfrm>
                          <a:prstGeom prst="rect">
                            <a:avLst/>
                          </a:prstGeom>
                          <a:ln>
                            <a:noFill/>
                          </a:ln>
                        </wps:spPr>
                        <wps:txbx>
                          <w:txbxContent>
                            <w:p w:rsidR="00D27BC6" w:rsidRDefault="004D5071">
                              <w:pPr>
                                <w:spacing w:after="160" w:line="259" w:lineRule="auto"/>
                                <w:ind w:left="0" w:right="0" w:firstLine="0"/>
                                <w:jc w:val="left"/>
                              </w:pPr>
                              <w:r>
                                <w:rPr>
                                  <w:w w:val="104"/>
                                </w:rPr>
                                <w:t>или</w:t>
                              </w:r>
                              <w:r>
                                <w:rPr>
                                  <w:spacing w:val="-3"/>
                                  <w:w w:val="104"/>
                                </w:rPr>
                                <w:t xml:space="preserve"> </w:t>
                              </w:r>
                              <w:r>
                                <w:rPr>
                                  <w:w w:val="104"/>
                                </w:rPr>
                                <w:t>высокий</w:t>
                              </w:r>
                              <w:r>
                                <w:rPr>
                                  <w:spacing w:val="-3"/>
                                  <w:w w:val="104"/>
                                </w:rPr>
                                <w:t xml:space="preserve"> </w:t>
                              </w:r>
                              <w:r>
                                <w:rPr>
                                  <w:w w:val="104"/>
                                </w:rPr>
                                <w:t>риск</w:t>
                              </w:r>
                              <w:r>
                                <w:rPr>
                                  <w:spacing w:val="-3"/>
                                  <w:w w:val="104"/>
                                </w:rPr>
                                <w:t xml:space="preserve"> </w:t>
                              </w:r>
                            </w:p>
                          </w:txbxContent>
                        </wps:txbx>
                        <wps:bodyPr horzOverflow="overflow" vert="horz" lIns="0" tIns="0" rIns="0" bIns="0" rtlCol="0">
                          <a:noAutofit/>
                        </wps:bodyPr>
                      </wps:wsp>
                      <wps:wsp>
                        <wps:cNvPr id="15690" name="Rectangle 15690"/>
                        <wps:cNvSpPr/>
                        <wps:spPr>
                          <a:xfrm>
                            <a:off x="1786881" y="3916233"/>
                            <a:ext cx="1207521" cy="203030"/>
                          </a:xfrm>
                          <a:prstGeom prst="rect">
                            <a:avLst/>
                          </a:prstGeom>
                          <a:ln>
                            <a:noFill/>
                          </a:ln>
                        </wps:spPr>
                        <wps:txbx>
                          <w:txbxContent>
                            <w:p w:rsidR="00D27BC6" w:rsidRDefault="004D5071">
                              <w:pPr>
                                <w:spacing w:after="160" w:line="259" w:lineRule="auto"/>
                                <w:ind w:left="0" w:right="0" w:firstLine="0"/>
                                <w:jc w:val="left"/>
                              </w:pPr>
                              <w:r>
                                <w:rPr>
                                  <w:w w:val="106"/>
                                </w:rPr>
                                <w:t>хирургического</w:t>
                              </w:r>
                              <w:r>
                                <w:rPr>
                                  <w:spacing w:val="-3"/>
                                  <w:w w:val="106"/>
                                </w:rPr>
                                <w:t xml:space="preserve"> </w:t>
                              </w:r>
                            </w:p>
                          </w:txbxContent>
                        </wps:txbx>
                        <wps:bodyPr horzOverflow="overflow" vert="horz" lIns="0" tIns="0" rIns="0" bIns="0" rtlCol="0">
                          <a:noAutofit/>
                        </wps:bodyPr>
                      </wps:wsp>
                      <wps:wsp>
                        <wps:cNvPr id="15691" name="Rectangle 15691"/>
                        <wps:cNvSpPr/>
                        <wps:spPr>
                          <a:xfrm>
                            <a:off x="1807963" y="4068633"/>
                            <a:ext cx="1115634" cy="203030"/>
                          </a:xfrm>
                          <a:prstGeom prst="rect">
                            <a:avLst/>
                          </a:prstGeom>
                          <a:ln>
                            <a:noFill/>
                          </a:ln>
                        </wps:spPr>
                        <wps:txbx>
                          <w:txbxContent>
                            <w:p w:rsidR="00D27BC6" w:rsidRDefault="004D5071">
                              <w:pPr>
                                <w:spacing w:after="160" w:line="259" w:lineRule="auto"/>
                                <w:ind w:left="0" w:right="0" w:firstLine="0"/>
                                <w:jc w:val="left"/>
                              </w:pPr>
                              <w:r>
                                <w:rPr>
                                  <w:w w:val="102"/>
                                </w:rPr>
                                <w:t>вмешательства</w:t>
                              </w:r>
                            </w:p>
                          </w:txbxContent>
                        </wps:txbx>
                        <wps:bodyPr horzOverflow="overflow" vert="horz" lIns="0" tIns="0" rIns="0" bIns="0" rtlCol="0">
                          <a:noAutofit/>
                        </wps:bodyPr>
                      </wps:wsp>
                      <wps:wsp>
                        <wps:cNvPr id="15692" name="Shape 15692"/>
                        <wps:cNvSpPr/>
                        <wps:spPr>
                          <a:xfrm>
                            <a:off x="1525499" y="3364624"/>
                            <a:ext cx="1403998" cy="944994"/>
                          </a:xfrm>
                          <a:custGeom>
                            <a:avLst/>
                            <a:gdLst/>
                            <a:ahLst/>
                            <a:cxnLst/>
                            <a:rect l="0" t="0" r="0" b="0"/>
                            <a:pathLst>
                              <a:path w="1403998" h="944994">
                                <a:moveTo>
                                  <a:pt x="0" y="944994"/>
                                </a:moveTo>
                                <a:lnTo>
                                  <a:pt x="1403998" y="944994"/>
                                </a:lnTo>
                                <a:lnTo>
                                  <a:pt x="14039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8996" name="Shape 378996"/>
                        <wps:cNvSpPr/>
                        <wps:spPr>
                          <a:xfrm>
                            <a:off x="3154503" y="3364624"/>
                            <a:ext cx="1403998" cy="944994"/>
                          </a:xfrm>
                          <a:custGeom>
                            <a:avLst/>
                            <a:gdLst/>
                            <a:ahLst/>
                            <a:cxnLst/>
                            <a:rect l="0" t="0" r="0" b="0"/>
                            <a:pathLst>
                              <a:path w="1403998" h="944994">
                                <a:moveTo>
                                  <a:pt x="0" y="0"/>
                                </a:moveTo>
                                <a:lnTo>
                                  <a:pt x="1403998" y="0"/>
                                </a:lnTo>
                                <a:lnTo>
                                  <a:pt x="1403998" y="944994"/>
                                </a:lnTo>
                                <a:lnTo>
                                  <a:pt x="0" y="944994"/>
                                </a:lnTo>
                                <a:lnTo>
                                  <a:pt x="0" y="0"/>
                                </a:lnTo>
                              </a:path>
                            </a:pathLst>
                          </a:custGeom>
                          <a:ln w="0" cap="flat">
                            <a:miter lim="100000"/>
                          </a:ln>
                        </wps:spPr>
                        <wps:style>
                          <a:lnRef idx="0">
                            <a:srgbClr val="000000">
                              <a:alpha val="0"/>
                            </a:srgbClr>
                          </a:lnRef>
                          <a:fillRef idx="1">
                            <a:srgbClr val="D6DAEB"/>
                          </a:fillRef>
                          <a:effectRef idx="0">
                            <a:scrgbClr r="0" g="0" b="0"/>
                          </a:effectRef>
                          <a:fontRef idx="none"/>
                        </wps:style>
                        <wps:bodyPr/>
                      </wps:wsp>
                      <wps:wsp>
                        <wps:cNvPr id="15694" name="Rectangle 15694"/>
                        <wps:cNvSpPr/>
                        <wps:spPr>
                          <a:xfrm>
                            <a:off x="3229830" y="3459033"/>
                            <a:ext cx="1702765" cy="203030"/>
                          </a:xfrm>
                          <a:prstGeom prst="rect">
                            <a:avLst/>
                          </a:prstGeom>
                          <a:ln>
                            <a:noFill/>
                          </a:ln>
                        </wps:spPr>
                        <wps:txbx>
                          <w:txbxContent>
                            <w:p w:rsidR="00D27BC6" w:rsidRDefault="004D5071">
                              <w:pPr>
                                <w:spacing w:after="160" w:line="259" w:lineRule="auto"/>
                                <w:ind w:left="0" w:right="0" w:firstLine="0"/>
                                <w:jc w:val="left"/>
                              </w:pPr>
                              <w:r>
                                <w:rPr>
                                  <w:w w:val="104"/>
                                </w:rPr>
                                <w:t>Есть</w:t>
                              </w:r>
                              <w:r>
                                <w:rPr>
                                  <w:spacing w:val="-3"/>
                                  <w:w w:val="104"/>
                                </w:rPr>
                                <w:t xml:space="preserve"> </w:t>
                              </w:r>
                              <w:r>
                                <w:rPr>
                                  <w:w w:val="104"/>
                                </w:rPr>
                                <w:t>доступ</w:t>
                              </w:r>
                              <w:r>
                                <w:rPr>
                                  <w:spacing w:val="-3"/>
                                  <w:w w:val="104"/>
                                </w:rPr>
                                <w:t xml:space="preserve"> </w:t>
                              </w:r>
                              <w:r>
                                <w:rPr>
                                  <w:w w:val="104"/>
                                </w:rPr>
                                <w:t>к</w:t>
                              </w:r>
                              <w:r>
                                <w:rPr>
                                  <w:spacing w:val="-3"/>
                                  <w:w w:val="104"/>
                                </w:rPr>
                                <w:t xml:space="preserve"> </w:t>
                              </w:r>
                              <w:r>
                                <w:rPr>
                                  <w:w w:val="104"/>
                                </w:rPr>
                                <w:t>большой</w:t>
                              </w:r>
                              <w:r>
                                <w:rPr>
                                  <w:spacing w:val="-3"/>
                                  <w:w w:val="104"/>
                                </w:rPr>
                                <w:t xml:space="preserve"> </w:t>
                              </w:r>
                            </w:p>
                          </w:txbxContent>
                        </wps:txbx>
                        <wps:bodyPr horzOverflow="overflow" vert="horz" lIns="0" tIns="0" rIns="0" bIns="0" rtlCol="0">
                          <a:noAutofit/>
                        </wps:bodyPr>
                      </wps:wsp>
                      <wps:wsp>
                        <wps:cNvPr id="15695" name="Rectangle 15695"/>
                        <wps:cNvSpPr/>
                        <wps:spPr>
                          <a:xfrm>
                            <a:off x="3385913" y="3611433"/>
                            <a:ext cx="1323241" cy="203030"/>
                          </a:xfrm>
                          <a:prstGeom prst="rect">
                            <a:avLst/>
                          </a:prstGeom>
                          <a:ln>
                            <a:noFill/>
                          </a:ln>
                        </wps:spPr>
                        <wps:txbx>
                          <w:txbxContent>
                            <w:p w:rsidR="00D27BC6" w:rsidRDefault="004D5071">
                              <w:pPr>
                                <w:spacing w:after="160" w:line="259" w:lineRule="auto"/>
                                <w:ind w:left="0" w:right="0" w:firstLine="0"/>
                                <w:jc w:val="left"/>
                              </w:pPr>
                              <w:r>
                                <w:rPr>
                                  <w:w w:val="102"/>
                                </w:rPr>
                                <w:t>подкожной</w:t>
                              </w:r>
                              <w:r>
                                <w:rPr>
                                  <w:spacing w:val="-3"/>
                                  <w:w w:val="102"/>
                                </w:rPr>
                                <w:t xml:space="preserve"> </w:t>
                              </w:r>
                              <w:r>
                                <w:rPr>
                                  <w:w w:val="102"/>
                                </w:rPr>
                                <w:t>вене,</w:t>
                              </w:r>
                              <w:r>
                                <w:rPr>
                                  <w:spacing w:val="-3"/>
                                  <w:w w:val="102"/>
                                </w:rPr>
                                <w:t xml:space="preserve">  </w:t>
                              </w:r>
                            </w:p>
                          </w:txbxContent>
                        </wps:txbx>
                        <wps:bodyPr horzOverflow="overflow" vert="horz" lIns="0" tIns="0" rIns="0" bIns="0" rtlCol="0">
                          <a:noAutofit/>
                        </wps:bodyPr>
                      </wps:wsp>
                      <wps:wsp>
                        <wps:cNvPr id="15696" name="Rectangle 15696"/>
                        <wps:cNvSpPr/>
                        <wps:spPr>
                          <a:xfrm>
                            <a:off x="3303744" y="3763833"/>
                            <a:ext cx="1505985" cy="203030"/>
                          </a:xfrm>
                          <a:prstGeom prst="rect">
                            <a:avLst/>
                          </a:prstGeom>
                          <a:ln>
                            <a:noFill/>
                          </a:ln>
                        </wps:spPr>
                        <wps:txbx>
                          <w:txbxContent>
                            <w:p w:rsidR="00D27BC6" w:rsidRDefault="004D5071">
                              <w:pPr>
                                <w:spacing w:after="160" w:line="259" w:lineRule="auto"/>
                                <w:ind w:left="0" w:right="0" w:firstLine="0"/>
                                <w:jc w:val="left"/>
                              </w:pPr>
                              <w:r>
                                <w:rPr>
                                  <w:w w:val="103"/>
                                </w:rPr>
                                <w:t>и</w:t>
                              </w:r>
                              <w:r>
                                <w:rPr>
                                  <w:spacing w:val="-3"/>
                                  <w:w w:val="103"/>
                                </w:rPr>
                                <w:t xml:space="preserve"> </w:t>
                              </w:r>
                              <w:r>
                                <w:rPr>
                                  <w:w w:val="103"/>
                                </w:rPr>
                                <w:t>пациент</w:t>
                              </w:r>
                              <w:r>
                                <w:rPr>
                                  <w:spacing w:val="-3"/>
                                  <w:w w:val="103"/>
                                </w:rPr>
                                <w:t xml:space="preserve"> </w:t>
                              </w:r>
                              <w:r>
                                <w:rPr>
                                  <w:w w:val="103"/>
                                </w:rPr>
                                <w:t>пригоден</w:t>
                              </w:r>
                              <w:r>
                                <w:rPr>
                                  <w:spacing w:val="-3"/>
                                  <w:w w:val="103"/>
                                </w:rPr>
                                <w:t xml:space="preserve"> </w:t>
                              </w:r>
                            </w:p>
                          </w:txbxContent>
                        </wps:txbx>
                        <wps:bodyPr horzOverflow="overflow" vert="horz" lIns="0" tIns="0" rIns="0" bIns="0" rtlCol="0">
                          <a:noAutofit/>
                        </wps:bodyPr>
                      </wps:wsp>
                      <wps:wsp>
                        <wps:cNvPr id="15697" name="Rectangle 15697"/>
                        <wps:cNvSpPr/>
                        <wps:spPr>
                          <a:xfrm>
                            <a:off x="3304252" y="3916233"/>
                            <a:ext cx="1504465" cy="203030"/>
                          </a:xfrm>
                          <a:prstGeom prst="rect">
                            <a:avLst/>
                          </a:prstGeom>
                          <a:ln>
                            <a:noFill/>
                          </a:ln>
                        </wps:spPr>
                        <wps:txbx>
                          <w:txbxContent>
                            <w:p w:rsidR="00D27BC6" w:rsidRDefault="004D5071">
                              <w:pPr>
                                <w:spacing w:after="160" w:line="259" w:lineRule="auto"/>
                                <w:ind w:left="0" w:right="0" w:firstLine="0"/>
                                <w:jc w:val="left"/>
                              </w:pPr>
                              <w:r>
                                <w:rPr>
                                  <w:w w:val="105"/>
                                </w:rPr>
                                <w:t>для</w:t>
                              </w:r>
                              <w:r>
                                <w:rPr>
                                  <w:spacing w:val="-3"/>
                                  <w:w w:val="105"/>
                                </w:rPr>
                                <w:t xml:space="preserve"> </w:t>
                              </w:r>
                              <w:r>
                                <w:rPr>
                                  <w:w w:val="105"/>
                                </w:rPr>
                                <w:t>хирургического</w:t>
                              </w:r>
                              <w:r>
                                <w:rPr>
                                  <w:spacing w:val="-3"/>
                                  <w:w w:val="105"/>
                                </w:rPr>
                                <w:t xml:space="preserve"> </w:t>
                              </w:r>
                            </w:p>
                          </w:txbxContent>
                        </wps:txbx>
                        <wps:bodyPr horzOverflow="overflow" vert="horz" lIns="0" tIns="0" rIns="0" bIns="0" rtlCol="0">
                          <a:noAutofit/>
                        </wps:bodyPr>
                      </wps:wsp>
                      <wps:wsp>
                        <wps:cNvPr id="15698" name="Rectangle 15698"/>
                        <wps:cNvSpPr/>
                        <wps:spPr>
                          <a:xfrm>
                            <a:off x="3436967" y="4068633"/>
                            <a:ext cx="1115634" cy="203030"/>
                          </a:xfrm>
                          <a:prstGeom prst="rect">
                            <a:avLst/>
                          </a:prstGeom>
                          <a:ln>
                            <a:noFill/>
                          </a:ln>
                        </wps:spPr>
                        <wps:txbx>
                          <w:txbxContent>
                            <w:p w:rsidR="00D27BC6" w:rsidRDefault="004D5071">
                              <w:pPr>
                                <w:spacing w:after="160" w:line="259" w:lineRule="auto"/>
                                <w:ind w:left="0" w:right="0" w:firstLine="0"/>
                                <w:jc w:val="left"/>
                              </w:pPr>
                              <w:r>
                                <w:rPr>
                                  <w:w w:val="102"/>
                                </w:rPr>
                                <w:t>вмешательства</w:t>
                              </w:r>
                            </w:p>
                          </w:txbxContent>
                        </wps:txbx>
                        <wps:bodyPr horzOverflow="overflow" vert="horz" lIns="0" tIns="0" rIns="0" bIns="0" rtlCol="0">
                          <a:noAutofit/>
                        </wps:bodyPr>
                      </wps:wsp>
                      <wps:wsp>
                        <wps:cNvPr id="15699" name="Shape 15699"/>
                        <wps:cNvSpPr/>
                        <wps:spPr>
                          <a:xfrm>
                            <a:off x="3154503" y="3364624"/>
                            <a:ext cx="1403998" cy="944994"/>
                          </a:xfrm>
                          <a:custGeom>
                            <a:avLst/>
                            <a:gdLst/>
                            <a:ahLst/>
                            <a:cxnLst/>
                            <a:rect l="0" t="0" r="0" b="0"/>
                            <a:pathLst>
                              <a:path w="1403998" h="944994">
                                <a:moveTo>
                                  <a:pt x="0" y="944994"/>
                                </a:moveTo>
                                <a:lnTo>
                                  <a:pt x="1403998" y="944994"/>
                                </a:lnTo>
                                <a:lnTo>
                                  <a:pt x="14039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9026" name="Shape 379026"/>
                        <wps:cNvSpPr/>
                        <wps:spPr>
                          <a:xfrm>
                            <a:off x="1224001" y="4474617"/>
                            <a:ext cx="2015998" cy="332994"/>
                          </a:xfrm>
                          <a:custGeom>
                            <a:avLst/>
                            <a:gdLst/>
                            <a:ahLst/>
                            <a:cxnLst/>
                            <a:rect l="0" t="0" r="0" b="0"/>
                            <a:pathLst>
                              <a:path w="2015998" h="332994">
                                <a:moveTo>
                                  <a:pt x="0" y="0"/>
                                </a:moveTo>
                                <a:lnTo>
                                  <a:pt x="2015998" y="0"/>
                                </a:lnTo>
                                <a:lnTo>
                                  <a:pt x="2015998" y="332994"/>
                                </a:lnTo>
                                <a:lnTo>
                                  <a:pt x="0" y="332994"/>
                                </a:lnTo>
                                <a:lnTo>
                                  <a:pt x="0" y="0"/>
                                </a:lnTo>
                              </a:path>
                            </a:pathLst>
                          </a:custGeom>
                          <a:ln w="0" cap="flat">
                            <a:miter lim="100000"/>
                          </a:ln>
                        </wps:spPr>
                        <wps:style>
                          <a:lnRef idx="0">
                            <a:srgbClr val="000000">
                              <a:alpha val="0"/>
                            </a:srgbClr>
                          </a:lnRef>
                          <a:fillRef idx="1">
                            <a:srgbClr val="C4D983"/>
                          </a:fillRef>
                          <a:effectRef idx="0">
                            <a:scrgbClr r="0" g="0" b="0"/>
                          </a:effectRef>
                          <a:fontRef idx="none"/>
                        </wps:style>
                        <wps:bodyPr/>
                      </wps:wsp>
                      <wps:wsp>
                        <wps:cNvPr id="15701" name="Rectangle 15701"/>
                        <wps:cNvSpPr/>
                        <wps:spPr>
                          <a:xfrm>
                            <a:off x="1505698" y="4491633"/>
                            <a:ext cx="1967785" cy="203030"/>
                          </a:xfrm>
                          <a:prstGeom prst="rect">
                            <a:avLst/>
                          </a:prstGeom>
                          <a:ln>
                            <a:noFill/>
                          </a:ln>
                        </wps:spPr>
                        <wps:txbx>
                          <w:txbxContent>
                            <w:p w:rsidR="00D27BC6" w:rsidRDefault="004D5071">
                              <w:pPr>
                                <w:spacing w:after="160" w:line="259" w:lineRule="auto"/>
                                <w:ind w:left="0" w:right="0" w:firstLine="0"/>
                                <w:jc w:val="left"/>
                              </w:pPr>
                              <w:r>
                                <w:rPr>
                                  <w:w w:val="104"/>
                                </w:rPr>
                                <w:t>Сначала</w:t>
                              </w:r>
                              <w:r>
                                <w:rPr>
                                  <w:spacing w:val="-3"/>
                                  <w:w w:val="104"/>
                                </w:rPr>
                                <w:t xml:space="preserve"> </w:t>
                              </w:r>
                              <w:r>
                                <w:rPr>
                                  <w:w w:val="104"/>
                                </w:rPr>
                                <w:t>эндоваскулярное</w:t>
                              </w:r>
                              <w:r>
                                <w:rPr>
                                  <w:spacing w:val="-3"/>
                                  <w:w w:val="104"/>
                                </w:rPr>
                                <w:t xml:space="preserve"> </w:t>
                              </w:r>
                            </w:p>
                          </w:txbxContent>
                        </wps:txbx>
                        <wps:bodyPr horzOverflow="overflow" vert="horz" lIns="0" tIns="0" rIns="0" bIns="0" rtlCol="0">
                          <a:noAutofit/>
                        </wps:bodyPr>
                      </wps:wsp>
                      <wps:wsp>
                        <wps:cNvPr id="15702" name="Rectangle 15702"/>
                        <wps:cNvSpPr/>
                        <wps:spPr>
                          <a:xfrm>
                            <a:off x="1808339" y="4644033"/>
                            <a:ext cx="1126951" cy="203030"/>
                          </a:xfrm>
                          <a:prstGeom prst="rect">
                            <a:avLst/>
                          </a:prstGeom>
                          <a:ln>
                            <a:noFill/>
                          </a:ln>
                        </wps:spPr>
                        <wps:txbx>
                          <w:txbxContent>
                            <w:p w:rsidR="00D27BC6" w:rsidRDefault="004D5071">
                              <w:pPr>
                                <w:spacing w:after="160" w:line="259" w:lineRule="auto"/>
                                <w:ind w:left="0" w:right="0" w:firstLine="0"/>
                                <w:jc w:val="left"/>
                              </w:pPr>
                              <w:r>
                                <w:rPr>
                                  <w:w w:val="103"/>
                                </w:rPr>
                                <w:t>вмешательство</w:t>
                              </w:r>
                            </w:p>
                          </w:txbxContent>
                        </wps:txbx>
                        <wps:bodyPr horzOverflow="overflow" vert="horz" lIns="0" tIns="0" rIns="0" bIns="0" rtlCol="0">
                          <a:noAutofit/>
                        </wps:bodyPr>
                      </wps:wsp>
                      <wps:wsp>
                        <wps:cNvPr id="15703" name="Shape 15703"/>
                        <wps:cNvSpPr/>
                        <wps:spPr>
                          <a:xfrm>
                            <a:off x="1224001" y="4474617"/>
                            <a:ext cx="2015998" cy="332994"/>
                          </a:xfrm>
                          <a:custGeom>
                            <a:avLst/>
                            <a:gdLst/>
                            <a:ahLst/>
                            <a:cxnLst/>
                            <a:rect l="0" t="0" r="0" b="0"/>
                            <a:pathLst>
                              <a:path w="2015998" h="332994">
                                <a:moveTo>
                                  <a:pt x="0" y="332994"/>
                                </a:moveTo>
                                <a:lnTo>
                                  <a:pt x="2015998" y="332994"/>
                                </a:lnTo>
                                <a:lnTo>
                                  <a:pt x="20159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9034" name="Shape 379034"/>
                        <wps:cNvSpPr/>
                        <wps:spPr>
                          <a:xfrm>
                            <a:off x="3456000" y="4474617"/>
                            <a:ext cx="2015998" cy="332994"/>
                          </a:xfrm>
                          <a:custGeom>
                            <a:avLst/>
                            <a:gdLst/>
                            <a:ahLst/>
                            <a:cxnLst/>
                            <a:rect l="0" t="0" r="0" b="0"/>
                            <a:pathLst>
                              <a:path w="2015998" h="332994">
                                <a:moveTo>
                                  <a:pt x="0" y="0"/>
                                </a:moveTo>
                                <a:lnTo>
                                  <a:pt x="2015998" y="0"/>
                                </a:lnTo>
                                <a:lnTo>
                                  <a:pt x="2015998" y="332994"/>
                                </a:lnTo>
                                <a:lnTo>
                                  <a:pt x="0" y="332994"/>
                                </a:lnTo>
                                <a:lnTo>
                                  <a:pt x="0" y="0"/>
                                </a:lnTo>
                              </a:path>
                            </a:pathLst>
                          </a:custGeom>
                          <a:ln w="0" cap="flat">
                            <a:miter lim="100000"/>
                          </a:ln>
                        </wps:spPr>
                        <wps:style>
                          <a:lnRef idx="0">
                            <a:srgbClr val="000000">
                              <a:alpha val="0"/>
                            </a:srgbClr>
                          </a:lnRef>
                          <a:fillRef idx="1">
                            <a:srgbClr val="C4D983"/>
                          </a:fillRef>
                          <a:effectRef idx="0">
                            <a:scrgbClr r="0" g="0" b="0"/>
                          </a:effectRef>
                          <a:fontRef idx="none"/>
                        </wps:style>
                        <wps:bodyPr/>
                      </wps:wsp>
                      <wps:wsp>
                        <wps:cNvPr id="15705" name="Rectangle 15705"/>
                        <wps:cNvSpPr/>
                        <wps:spPr>
                          <a:xfrm>
                            <a:off x="3808561" y="4491633"/>
                            <a:ext cx="1779282" cy="203030"/>
                          </a:xfrm>
                          <a:prstGeom prst="rect">
                            <a:avLst/>
                          </a:prstGeom>
                          <a:ln>
                            <a:noFill/>
                          </a:ln>
                        </wps:spPr>
                        <wps:txbx>
                          <w:txbxContent>
                            <w:p w:rsidR="00D27BC6" w:rsidRDefault="004D5071">
                              <w:pPr>
                                <w:spacing w:after="160" w:line="259" w:lineRule="auto"/>
                                <w:ind w:left="0" w:right="0" w:firstLine="0"/>
                                <w:jc w:val="left"/>
                              </w:pPr>
                              <w:r>
                                <w:rPr>
                                  <w:w w:val="105"/>
                                </w:rPr>
                                <w:t>Сначала</w:t>
                              </w:r>
                              <w:r>
                                <w:rPr>
                                  <w:spacing w:val="-3"/>
                                  <w:w w:val="105"/>
                                </w:rPr>
                                <w:t xml:space="preserve"> </w:t>
                              </w:r>
                              <w:r>
                                <w:rPr>
                                  <w:w w:val="105"/>
                                </w:rPr>
                                <w:t>хирургическое</w:t>
                              </w:r>
                              <w:r>
                                <w:rPr>
                                  <w:spacing w:val="-3"/>
                                  <w:w w:val="105"/>
                                </w:rPr>
                                <w:t xml:space="preserve"> </w:t>
                              </w:r>
                            </w:p>
                          </w:txbxContent>
                        </wps:txbx>
                        <wps:bodyPr horzOverflow="overflow" vert="horz" lIns="0" tIns="0" rIns="0" bIns="0" rtlCol="0">
                          <a:noAutofit/>
                        </wps:bodyPr>
                      </wps:wsp>
                      <wps:wsp>
                        <wps:cNvPr id="15706" name="Rectangle 15706"/>
                        <wps:cNvSpPr/>
                        <wps:spPr>
                          <a:xfrm>
                            <a:off x="4040336" y="4644033"/>
                            <a:ext cx="1126951" cy="203030"/>
                          </a:xfrm>
                          <a:prstGeom prst="rect">
                            <a:avLst/>
                          </a:prstGeom>
                          <a:ln>
                            <a:noFill/>
                          </a:ln>
                        </wps:spPr>
                        <wps:txbx>
                          <w:txbxContent>
                            <w:p w:rsidR="00D27BC6" w:rsidRDefault="004D5071">
                              <w:pPr>
                                <w:spacing w:after="160" w:line="259" w:lineRule="auto"/>
                                <w:ind w:left="0" w:right="0" w:firstLine="0"/>
                                <w:jc w:val="left"/>
                              </w:pPr>
                              <w:r>
                                <w:rPr>
                                  <w:w w:val="103"/>
                                </w:rPr>
                                <w:t>вмешательство</w:t>
                              </w:r>
                            </w:p>
                          </w:txbxContent>
                        </wps:txbx>
                        <wps:bodyPr horzOverflow="overflow" vert="horz" lIns="0" tIns="0" rIns="0" bIns="0" rtlCol="0">
                          <a:noAutofit/>
                        </wps:bodyPr>
                      </wps:wsp>
                      <wps:wsp>
                        <wps:cNvPr id="15707" name="Shape 15707"/>
                        <wps:cNvSpPr/>
                        <wps:spPr>
                          <a:xfrm>
                            <a:off x="3456000" y="4474617"/>
                            <a:ext cx="2015998" cy="332994"/>
                          </a:xfrm>
                          <a:custGeom>
                            <a:avLst/>
                            <a:gdLst/>
                            <a:ahLst/>
                            <a:cxnLst/>
                            <a:rect l="0" t="0" r="0" b="0"/>
                            <a:pathLst>
                              <a:path w="2015998" h="332994">
                                <a:moveTo>
                                  <a:pt x="0" y="332994"/>
                                </a:moveTo>
                                <a:lnTo>
                                  <a:pt x="2015998" y="332994"/>
                                </a:lnTo>
                                <a:lnTo>
                                  <a:pt x="20159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9042" name="Shape 379042"/>
                        <wps:cNvSpPr/>
                        <wps:spPr>
                          <a:xfrm>
                            <a:off x="270002" y="4972622"/>
                            <a:ext cx="2015998" cy="332994"/>
                          </a:xfrm>
                          <a:custGeom>
                            <a:avLst/>
                            <a:gdLst/>
                            <a:ahLst/>
                            <a:cxnLst/>
                            <a:rect l="0" t="0" r="0" b="0"/>
                            <a:pathLst>
                              <a:path w="2015998" h="332994">
                                <a:moveTo>
                                  <a:pt x="0" y="0"/>
                                </a:moveTo>
                                <a:lnTo>
                                  <a:pt x="2015998" y="0"/>
                                </a:lnTo>
                                <a:lnTo>
                                  <a:pt x="2015998" y="332994"/>
                                </a:lnTo>
                                <a:lnTo>
                                  <a:pt x="0" y="332994"/>
                                </a:lnTo>
                                <a:lnTo>
                                  <a:pt x="0" y="0"/>
                                </a:lnTo>
                              </a:path>
                            </a:pathLst>
                          </a:custGeom>
                          <a:ln w="0" cap="flat">
                            <a:miter lim="100000"/>
                          </a:ln>
                        </wps:spPr>
                        <wps:style>
                          <a:lnRef idx="0">
                            <a:srgbClr val="000000">
                              <a:alpha val="0"/>
                            </a:srgbClr>
                          </a:lnRef>
                          <a:fillRef idx="1">
                            <a:srgbClr val="C4D983"/>
                          </a:fillRef>
                          <a:effectRef idx="0">
                            <a:scrgbClr r="0" g="0" b="0"/>
                          </a:effectRef>
                          <a:fontRef idx="none"/>
                        </wps:style>
                        <wps:bodyPr/>
                      </wps:wsp>
                      <wps:wsp>
                        <wps:cNvPr id="15709" name="Rectangle 15709"/>
                        <wps:cNvSpPr/>
                        <wps:spPr>
                          <a:xfrm>
                            <a:off x="481788" y="5065834"/>
                            <a:ext cx="2117929" cy="203030"/>
                          </a:xfrm>
                          <a:prstGeom prst="rect">
                            <a:avLst/>
                          </a:prstGeom>
                          <a:ln>
                            <a:noFill/>
                          </a:ln>
                        </wps:spPr>
                        <wps:txbx>
                          <w:txbxContent>
                            <w:p w:rsidR="00D27BC6" w:rsidRDefault="004D5071">
                              <w:pPr>
                                <w:spacing w:after="160" w:line="259" w:lineRule="auto"/>
                                <w:ind w:left="0" w:right="0" w:firstLine="0"/>
                                <w:jc w:val="left"/>
                              </w:pPr>
                              <w:r>
                                <w:rPr>
                                  <w:w w:val="104"/>
                                </w:rPr>
                                <w:t>Успешная</w:t>
                              </w:r>
                              <w:r>
                                <w:rPr>
                                  <w:spacing w:val="-3"/>
                                  <w:w w:val="104"/>
                                </w:rPr>
                                <w:t xml:space="preserve"> </w:t>
                              </w:r>
                              <w:r>
                                <w:rPr>
                                  <w:w w:val="104"/>
                                </w:rPr>
                                <w:t>реваскуляризация</w:t>
                              </w:r>
                            </w:p>
                          </w:txbxContent>
                        </wps:txbx>
                        <wps:bodyPr horzOverflow="overflow" vert="horz" lIns="0" tIns="0" rIns="0" bIns="0" rtlCol="0">
                          <a:noAutofit/>
                        </wps:bodyPr>
                      </wps:wsp>
                      <wps:wsp>
                        <wps:cNvPr id="15710" name="Shape 15710"/>
                        <wps:cNvSpPr/>
                        <wps:spPr>
                          <a:xfrm>
                            <a:off x="270002" y="4972622"/>
                            <a:ext cx="2015998" cy="332994"/>
                          </a:xfrm>
                          <a:custGeom>
                            <a:avLst/>
                            <a:gdLst/>
                            <a:ahLst/>
                            <a:cxnLst/>
                            <a:rect l="0" t="0" r="0" b="0"/>
                            <a:pathLst>
                              <a:path w="2015998" h="332994">
                                <a:moveTo>
                                  <a:pt x="0" y="332994"/>
                                </a:moveTo>
                                <a:lnTo>
                                  <a:pt x="2015998" y="332994"/>
                                </a:lnTo>
                                <a:lnTo>
                                  <a:pt x="20159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9047" name="Shape 379047"/>
                        <wps:cNvSpPr/>
                        <wps:spPr>
                          <a:xfrm>
                            <a:off x="2691003" y="5404612"/>
                            <a:ext cx="1165505" cy="329997"/>
                          </a:xfrm>
                          <a:custGeom>
                            <a:avLst/>
                            <a:gdLst/>
                            <a:ahLst/>
                            <a:cxnLst/>
                            <a:rect l="0" t="0" r="0" b="0"/>
                            <a:pathLst>
                              <a:path w="1165505" h="329997">
                                <a:moveTo>
                                  <a:pt x="0" y="0"/>
                                </a:moveTo>
                                <a:lnTo>
                                  <a:pt x="1165505" y="0"/>
                                </a:lnTo>
                                <a:lnTo>
                                  <a:pt x="1165505" y="329997"/>
                                </a:lnTo>
                                <a:lnTo>
                                  <a:pt x="0" y="329997"/>
                                </a:lnTo>
                                <a:lnTo>
                                  <a:pt x="0" y="0"/>
                                </a:lnTo>
                              </a:path>
                            </a:pathLst>
                          </a:custGeom>
                          <a:ln w="0" cap="flat">
                            <a:miter lim="100000"/>
                          </a:ln>
                        </wps:spPr>
                        <wps:style>
                          <a:lnRef idx="0">
                            <a:srgbClr val="000000">
                              <a:alpha val="0"/>
                            </a:srgbClr>
                          </a:lnRef>
                          <a:fillRef idx="1">
                            <a:srgbClr val="EF8161"/>
                          </a:fillRef>
                          <a:effectRef idx="0">
                            <a:scrgbClr r="0" g="0" b="0"/>
                          </a:effectRef>
                          <a:fontRef idx="none"/>
                        </wps:style>
                        <wps:bodyPr/>
                      </wps:wsp>
                      <wps:wsp>
                        <wps:cNvPr id="15712" name="Rectangle 15712"/>
                        <wps:cNvSpPr/>
                        <wps:spPr>
                          <a:xfrm>
                            <a:off x="3045469" y="5496333"/>
                            <a:ext cx="607232" cy="203030"/>
                          </a:xfrm>
                          <a:prstGeom prst="rect">
                            <a:avLst/>
                          </a:prstGeom>
                          <a:ln>
                            <a:noFill/>
                          </a:ln>
                        </wps:spPr>
                        <wps:txbx>
                          <w:txbxContent>
                            <w:p w:rsidR="00D27BC6" w:rsidRDefault="004D5071">
                              <w:pPr>
                                <w:spacing w:after="160" w:line="259" w:lineRule="auto"/>
                                <w:ind w:left="0" w:right="0" w:firstLine="0"/>
                                <w:jc w:val="left"/>
                              </w:pPr>
                              <w:r>
                                <w:rPr>
                                  <w:w w:val="102"/>
                                </w:rPr>
                                <w:t>Неудача</w:t>
                              </w:r>
                            </w:p>
                          </w:txbxContent>
                        </wps:txbx>
                        <wps:bodyPr horzOverflow="overflow" vert="horz" lIns="0" tIns="0" rIns="0" bIns="0" rtlCol="0">
                          <a:noAutofit/>
                        </wps:bodyPr>
                      </wps:wsp>
                      <wps:wsp>
                        <wps:cNvPr id="15713" name="Shape 15713"/>
                        <wps:cNvSpPr/>
                        <wps:spPr>
                          <a:xfrm>
                            <a:off x="2691003" y="5404612"/>
                            <a:ext cx="1165505" cy="329997"/>
                          </a:xfrm>
                          <a:custGeom>
                            <a:avLst/>
                            <a:gdLst/>
                            <a:ahLst/>
                            <a:cxnLst/>
                            <a:rect l="0" t="0" r="0" b="0"/>
                            <a:pathLst>
                              <a:path w="1165505" h="329997">
                                <a:moveTo>
                                  <a:pt x="0" y="329997"/>
                                </a:moveTo>
                                <a:lnTo>
                                  <a:pt x="1165505" y="329997"/>
                                </a:lnTo>
                                <a:lnTo>
                                  <a:pt x="11655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9050" name="Shape 379050"/>
                        <wps:cNvSpPr/>
                        <wps:spPr>
                          <a:xfrm>
                            <a:off x="4659745" y="5305616"/>
                            <a:ext cx="1165505" cy="329997"/>
                          </a:xfrm>
                          <a:custGeom>
                            <a:avLst/>
                            <a:gdLst/>
                            <a:ahLst/>
                            <a:cxnLst/>
                            <a:rect l="0" t="0" r="0" b="0"/>
                            <a:pathLst>
                              <a:path w="1165505" h="329997">
                                <a:moveTo>
                                  <a:pt x="0" y="0"/>
                                </a:moveTo>
                                <a:lnTo>
                                  <a:pt x="1165505" y="0"/>
                                </a:lnTo>
                                <a:lnTo>
                                  <a:pt x="1165505" y="329997"/>
                                </a:lnTo>
                                <a:lnTo>
                                  <a:pt x="0" y="329997"/>
                                </a:lnTo>
                                <a:lnTo>
                                  <a:pt x="0" y="0"/>
                                </a:lnTo>
                              </a:path>
                            </a:pathLst>
                          </a:custGeom>
                          <a:ln w="0" cap="flat">
                            <a:miter lim="100000"/>
                          </a:ln>
                        </wps:spPr>
                        <wps:style>
                          <a:lnRef idx="0">
                            <a:srgbClr val="000000">
                              <a:alpha val="0"/>
                            </a:srgbClr>
                          </a:lnRef>
                          <a:fillRef idx="1">
                            <a:srgbClr val="EF8161"/>
                          </a:fillRef>
                          <a:effectRef idx="0">
                            <a:scrgbClr r="0" g="0" b="0"/>
                          </a:effectRef>
                          <a:fontRef idx="none"/>
                        </wps:style>
                        <wps:bodyPr/>
                      </wps:wsp>
                      <wps:wsp>
                        <wps:cNvPr id="15715" name="Rectangle 15715"/>
                        <wps:cNvSpPr/>
                        <wps:spPr>
                          <a:xfrm>
                            <a:off x="5014219" y="5397334"/>
                            <a:ext cx="607232" cy="203030"/>
                          </a:xfrm>
                          <a:prstGeom prst="rect">
                            <a:avLst/>
                          </a:prstGeom>
                          <a:ln>
                            <a:noFill/>
                          </a:ln>
                        </wps:spPr>
                        <wps:txbx>
                          <w:txbxContent>
                            <w:p w:rsidR="00D27BC6" w:rsidRDefault="004D5071">
                              <w:pPr>
                                <w:spacing w:after="160" w:line="259" w:lineRule="auto"/>
                                <w:ind w:left="0" w:right="0" w:firstLine="0"/>
                                <w:jc w:val="left"/>
                              </w:pPr>
                              <w:r>
                                <w:rPr>
                                  <w:w w:val="102"/>
                                </w:rPr>
                                <w:t>Неудача</w:t>
                              </w:r>
                            </w:p>
                          </w:txbxContent>
                        </wps:txbx>
                        <wps:bodyPr horzOverflow="overflow" vert="horz" lIns="0" tIns="0" rIns="0" bIns="0" rtlCol="0">
                          <a:noAutofit/>
                        </wps:bodyPr>
                      </wps:wsp>
                      <wps:wsp>
                        <wps:cNvPr id="15716" name="Shape 15716"/>
                        <wps:cNvSpPr/>
                        <wps:spPr>
                          <a:xfrm>
                            <a:off x="4659745" y="5305616"/>
                            <a:ext cx="1165505" cy="329997"/>
                          </a:xfrm>
                          <a:custGeom>
                            <a:avLst/>
                            <a:gdLst/>
                            <a:ahLst/>
                            <a:cxnLst/>
                            <a:rect l="0" t="0" r="0" b="0"/>
                            <a:pathLst>
                              <a:path w="1165505" h="329997">
                                <a:moveTo>
                                  <a:pt x="0" y="329997"/>
                                </a:moveTo>
                                <a:lnTo>
                                  <a:pt x="1165505" y="329997"/>
                                </a:lnTo>
                                <a:lnTo>
                                  <a:pt x="11655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9053" name="Shape 379053"/>
                        <wps:cNvSpPr/>
                        <wps:spPr>
                          <a:xfrm>
                            <a:off x="270002" y="5470614"/>
                            <a:ext cx="2015998" cy="818998"/>
                          </a:xfrm>
                          <a:custGeom>
                            <a:avLst/>
                            <a:gdLst/>
                            <a:ahLst/>
                            <a:cxnLst/>
                            <a:rect l="0" t="0" r="0" b="0"/>
                            <a:pathLst>
                              <a:path w="2015998" h="818998">
                                <a:moveTo>
                                  <a:pt x="0" y="0"/>
                                </a:moveTo>
                                <a:lnTo>
                                  <a:pt x="2015998" y="0"/>
                                </a:lnTo>
                                <a:lnTo>
                                  <a:pt x="2015998" y="818998"/>
                                </a:lnTo>
                                <a:lnTo>
                                  <a:pt x="0" y="818998"/>
                                </a:lnTo>
                                <a:lnTo>
                                  <a:pt x="0" y="0"/>
                                </a:lnTo>
                              </a:path>
                            </a:pathLst>
                          </a:custGeom>
                          <a:ln w="0" cap="flat">
                            <a:miter lim="100000"/>
                          </a:ln>
                        </wps:spPr>
                        <wps:style>
                          <a:lnRef idx="0">
                            <a:srgbClr val="000000">
                              <a:alpha val="0"/>
                            </a:srgbClr>
                          </a:lnRef>
                          <a:fillRef idx="1">
                            <a:srgbClr val="D6DAEB"/>
                          </a:fillRef>
                          <a:effectRef idx="0">
                            <a:scrgbClr r="0" g="0" b="0"/>
                          </a:effectRef>
                          <a:fontRef idx="none"/>
                        </wps:style>
                        <wps:bodyPr/>
                      </wps:wsp>
                      <wps:wsp>
                        <wps:cNvPr id="15718" name="Rectangle 15718"/>
                        <wps:cNvSpPr/>
                        <wps:spPr>
                          <a:xfrm>
                            <a:off x="486673" y="5578234"/>
                            <a:ext cx="2140749" cy="203030"/>
                          </a:xfrm>
                          <a:prstGeom prst="rect">
                            <a:avLst/>
                          </a:prstGeom>
                          <a:ln>
                            <a:noFill/>
                          </a:ln>
                        </wps:spPr>
                        <wps:txbx>
                          <w:txbxContent>
                            <w:p w:rsidR="00D27BC6" w:rsidRDefault="004D5071">
                              <w:pPr>
                                <w:spacing w:after="160" w:line="259" w:lineRule="auto"/>
                                <w:ind w:left="0" w:right="0" w:firstLine="0"/>
                                <w:jc w:val="left"/>
                              </w:pPr>
                              <w:r>
                                <w:rPr>
                                  <w:w w:val="102"/>
                                </w:rPr>
                                <w:t>Уход</w:t>
                              </w:r>
                              <w:r>
                                <w:rPr>
                                  <w:spacing w:val="-3"/>
                                  <w:w w:val="102"/>
                                </w:rPr>
                                <w:t xml:space="preserve"> </w:t>
                              </w:r>
                              <w:r>
                                <w:rPr>
                                  <w:w w:val="102"/>
                                </w:rPr>
                                <w:t>за</w:t>
                              </w:r>
                              <w:r>
                                <w:rPr>
                                  <w:spacing w:val="-3"/>
                                  <w:w w:val="102"/>
                                </w:rPr>
                                <w:t xml:space="preserve"> </w:t>
                              </w:r>
                              <w:r>
                                <w:rPr>
                                  <w:w w:val="102"/>
                                </w:rPr>
                                <w:t>раной,</w:t>
                              </w:r>
                              <w:r>
                                <w:rPr>
                                  <w:spacing w:val="-3"/>
                                  <w:w w:val="102"/>
                                </w:rPr>
                                <w:t xml:space="preserve"> </w:t>
                              </w:r>
                              <w:r>
                                <w:rPr>
                                  <w:w w:val="102"/>
                                </w:rPr>
                                <w:t>поддержание</w:t>
                              </w:r>
                              <w:r>
                                <w:rPr>
                                  <w:spacing w:val="-3"/>
                                  <w:w w:val="102"/>
                                </w:rPr>
                                <w:t xml:space="preserve"> </w:t>
                              </w:r>
                            </w:p>
                          </w:txbxContent>
                        </wps:txbx>
                        <wps:bodyPr horzOverflow="overflow" vert="horz" lIns="0" tIns="0" rIns="0" bIns="0" rtlCol="0">
                          <a:noAutofit/>
                        </wps:bodyPr>
                      </wps:wsp>
                      <wps:wsp>
                        <wps:cNvPr id="15719" name="Rectangle 15719"/>
                        <wps:cNvSpPr/>
                        <wps:spPr>
                          <a:xfrm>
                            <a:off x="314842" y="5730634"/>
                            <a:ext cx="2597819" cy="203030"/>
                          </a:xfrm>
                          <a:prstGeom prst="rect">
                            <a:avLst/>
                          </a:prstGeom>
                          <a:ln>
                            <a:noFill/>
                          </a:ln>
                        </wps:spPr>
                        <wps:txbx>
                          <w:txbxContent>
                            <w:p w:rsidR="00D27BC6" w:rsidRDefault="004D5071">
                              <w:pPr>
                                <w:spacing w:after="160" w:line="259" w:lineRule="auto"/>
                                <w:ind w:left="0" w:right="0" w:firstLine="0"/>
                                <w:jc w:val="left"/>
                              </w:pPr>
                              <w:r>
                                <w:rPr>
                                  <w:w w:val="104"/>
                                </w:rPr>
                                <w:t>эффекта</w:t>
                              </w:r>
                              <w:r>
                                <w:rPr>
                                  <w:spacing w:val="-3"/>
                                  <w:w w:val="104"/>
                                </w:rPr>
                                <w:t xml:space="preserve"> </w:t>
                              </w:r>
                              <w:r>
                                <w:rPr>
                                  <w:w w:val="104"/>
                                </w:rPr>
                                <w:t>реваскуляризации,</w:t>
                              </w:r>
                              <w:r>
                                <w:rPr>
                                  <w:spacing w:val="-3"/>
                                  <w:w w:val="104"/>
                                </w:rPr>
                                <w:t xml:space="preserve"> </w:t>
                              </w:r>
                              <w:r>
                                <w:rPr>
                                  <w:w w:val="104"/>
                                </w:rPr>
                                <w:t>новые</w:t>
                              </w:r>
                              <w:r>
                                <w:rPr>
                                  <w:spacing w:val="-3"/>
                                  <w:w w:val="104"/>
                                </w:rPr>
                                <w:t xml:space="preserve"> </w:t>
                              </w:r>
                            </w:p>
                          </w:txbxContent>
                        </wps:txbx>
                        <wps:bodyPr horzOverflow="overflow" vert="horz" lIns="0" tIns="0" rIns="0" bIns="0" rtlCol="0">
                          <a:noAutofit/>
                        </wps:bodyPr>
                      </wps:wsp>
                      <wps:wsp>
                        <wps:cNvPr id="15720" name="Rectangle 15720"/>
                        <wps:cNvSpPr/>
                        <wps:spPr>
                          <a:xfrm>
                            <a:off x="386978" y="5883034"/>
                            <a:ext cx="2405921" cy="203030"/>
                          </a:xfrm>
                          <a:prstGeom prst="rect">
                            <a:avLst/>
                          </a:prstGeom>
                          <a:ln>
                            <a:noFill/>
                          </a:ln>
                        </wps:spPr>
                        <wps:txbx>
                          <w:txbxContent>
                            <w:p w:rsidR="00D27BC6" w:rsidRDefault="004D5071">
                              <w:pPr>
                                <w:spacing w:after="160" w:line="259" w:lineRule="auto"/>
                                <w:ind w:left="0" w:right="0" w:firstLine="0"/>
                                <w:jc w:val="left"/>
                              </w:pPr>
                              <w:r>
                                <w:rPr>
                                  <w:w w:val="103"/>
                                </w:rPr>
                                <w:t>процедуры,</w:t>
                              </w:r>
                              <w:r>
                                <w:rPr>
                                  <w:spacing w:val="-3"/>
                                  <w:w w:val="103"/>
                                </w:rPr>
                                <w:t xml:space="preserve"> </w:t>
                              </w:r>
                              <w:r>
                                <w:rPr>
                                  <w:w w:val="103"/>
                                </w:rPr>
                                <w:t>при</w:t>
                              </w:r>
                              <w:r>
                                <w:rPr>
                                  <w:spacing w:val="-3"/>
                                  <w:w w:val="103"/>
                                </w:rPr>
                                <w:t xml:space="preserve"> </w:t>
                              </w:r>
                              <w:r>
                                <w:rPr>
                                  <w:w w:val="103"/>
                                </w:rPr>
                                <w:t>необходимости</w:t>
                              </w:r>
                              <w:r>
                                <w:rPr>
                                  <w:spacing w:val="-3"/>
                                  <w:w w:val="103"/>
                                </w:rPr>
                                <w:t xml:space="preserve"> </w:t>
                              </w:r>
                            </w:p>
                          </w:txbxContent>
                        </wps:txbx>
                        <wps:bodyPr horzOverflow="overflow" vert="horz" lIns="0" tIns="0" rIns="0" bIns="0" rtlCol="0">
                          <a:noAutofit/>
                        </wps:bodyPr>
                      </wps:wsp>
                      <wps:wsp>
                        <wps:cNvPr id="15721" name="Rectangle 15721"/>
                        <wps:cNvSpPr/>
                        <wps:spPr>
                          <a:xfrm>
                            <a:off x="564270" y="6035434"/>
                            <a:ext cx="1898346" cy="203030"/>
                          </a:xfrm>
                          <a:prstGeom prst="rect">
                            <a:avLst/>
                          </a:prstGeom>
                          <a:ln>
                            <a:noFill/>
                          </a:ln>
                        </wps:spPr>
                        <wps:txbx>
                          <w:txbxContent>
                            <w:p w:rsidR="00D27BC6" w:rsidRDefault="004D5071">
                              <w:pPr>
                                <w:spacing w:after="160" w:line="259" w:lineRule="auto"/>
                                <w:ind w:left="0" w:right="0" w:firstLine="0"/>
                                <w:jc w:val="left"/>
                              </w:pPr>
                              <w:r>
                                <w:rPr>
                                  <w:w w:val="105"/>
                                </w:rPr>
                                <w:t>контроль</w:t>
                              </w:r>
                              <w:r>
                                <w:rPr>
                                  <w:spacing w:val="-3"/>
                                  <w:w w:val="105"/>
                                </w:rPr>
                                <w:t xml:space="preserve"> </w:t>
                              </w:r>
                              <w:r>
                                <w:rPr>
                                  <w:w w:val="105"/>
                                </w:rPr>
                                <w:t>факторов</w:t>
                              </w:r>
                              <w:r>
                                <w:rPr>
                                  <w:spacing w:val="-3"/>
                                  <w:w w:val="105"/>
                                </w:rPr>
                                <w:t xml:space="preserve"> </w:t>
                              </w:r>
                              <w:r>
                                <w:rPr>
                                  <w:w w:val="105"/>
                                </w:rPr>
                                <w:t>риска</w:t>
                              </w:r>
                            </w:p>
                          </w:txbxContent>
                        </wps:txbx>
                        <wps:bodyPr horzOverflow="overflow" vert="horz" lIns="0" tIns="0" rIns="0" bIns="0" rtlCol="0">
                          <a:noAutofit/>
                        </wps:bodyPr>
                      </wps:wsp>
                      <wps:wsp>
                        <wps:cNvPr id="15722" name="Shape 15722"/>
                        <wps:cNvSpPr/>
                        <wps:spPr>
                          <a:xfrm>
                            <a:off x="270002" y="5470614"/>
                            <a:ext cx="2015998" cy="818998"/>
                          </a:xfrm>
                          <a:custGeom>
                            <a:avLst/>
                            <a:gdLst/>
                            <a:ahLst/>
                            <a:cxnLst/>
                            <a:rect l="0" t="0" r="0" b="0"/>
                            <a:pathLst>
                              <a:path w="2015998" h="818998">
                                <a:moveTo>
                                  <a:pt x="0" y="818998"/>
                                </a:moveTo>
                                <a:lnTo>
                                  <a:pt x="2015998" y="818998"/>
                                </a:lnTo>
                                <a:lnTo>
                                  <a:pt x="20159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9083" name="Shape 379083"/>
                        <wps:cNvSpPr/>
                        <wps:spPr>
                          <a:xfrm>
                            <a:off x="2556002" y="5899621"/>
                            <a:ext cx="1556995" cy="764997"/>
                          </a:xfrm>
                          <a:custGeom>
                            <a:avLst/>
                            <a:gdLst/>
                            <a:ahLst/>
                            <a:cxnLst/>
                            <a:rect l="0" t="0" r="0" b="0"/>
                            <a:pathLst>
                              <a:path w="1556995" h="764997">
                                <a:moveTo>
                                  <a:pt x="0" y="0"/>
                                </a:moveTo>
                                <a:lnTo>
                                  <a:pt x="1556995" y="0"/>
                                </a:lnTo>
                                <a:lnTo>
                                  <a:pt x="1556995" y="764997"/>
                                </a:lnTo>
                                <a:lnTo>
                                  <a:pt x="0" y="764997"/>
                                </a:lnTo>
                                <a:lnTo>
                                  <a:pt x="0" y="0"/>
                                </a:lnTo>
                              </a:path>
                            </a:pathLst>
                          </a:custGeom>
                          <a:ln w="0" cap="flat">
                            <a:miter lim="100000"/>
                          </a:ln>
                        </wps:spPr>
                        <wps:style>
                          <a:lnRef idx="0">
                            <a:srgbClr val="000000">
                              <a:alpha val="0"/>
                            </a:srgbClr>
                          </a:lnRef>
                          <a:fillRef idx="1">
                            <a:srgbClr val="C4D983"/>
                          </a:fillRef>
                          <a:effectRef idx="0">
                            <a:scrgbClr r="0" g="0" b="0"/>
                          </a:effectRef>
                          <a:fontRef idx="none"/>
                        </wps:style>
                        <wps:bodyPr/>
                      </wps:wsp>
                      <wps:wsp>
                        <wps:cNvPr id="15724" name="Rectangle 15724"/>
                        <wps:cNvSpPr/>
                        <wps:spPr>
                          <a:xfrm>
                            <a:off x="3030783" y="5980234"/>
                            <a:ext cx="843706" cy="203029"/>
                          </a:xfrm>
                          <a:prstGeom prst="rect">
                            <a:avLst/>
                          </a:prstGeom>
                          <a:ln>
                            <a:noFill/>
                          </a:ln>
                        </wps:spPr>
                        <wps:txbx>
                          <w:txbxContent>
                            <w:p w:rsidR="00D27BC6" w:rsidRDefault="004D5071">
                              <w:pPr>
                                <w:spacing w:after="160" w:line="259" w:lineRule="auto"/>
                                <w:ind w:left="0" w:right="0" w:firstLine="0"/>
                                <w:jc w:val="left"/>
                              </w:pPr>
                              <w:r>
                                <w:rPr>
                                  <w:w w:val="104"/>
                                </w:rPr>
                                <w:t>Повторное</w:t>
                              </w:r>
                              <w:r>
                                <w:rPr>
                                  <w:spacing w:val="-3"/>
                                  <w:w w:val="104"/>
                                </w:rPr>
                                <w:t xml:space="preserve"> </w:t>
                              </w:r>
                            </w:p>
                          </w:txbxContent>
                        </wps:txbx>
                        <wps:bodyPr horzOverflow="overflow" vert="horz" lIns="0" tIns="0" rIns="0" bIns="0" rtlCol="0">
                          <a:noAutofit/>
                        </wps:bodyPr>
                      </wps:wsp>
                      <wps:wsp>
                        <wps:cNvPr id="15725" name="Rectangle 15725"/>
                        <wps:cNvSpPr/>
                        <wps:spPr>
                          <a:xfrm>
                            <a:off x="2733095" y="6132634"/>
                            <a:ext cx="1635522" cy="203029"/>
                          </a:xfrm>
                          <a:prstGeom prst="rect">
                            <a:avLst/>
                          </a:prstGeom>
                          <a:ln>
                            <a:noFill/>
                          </a:ln>
                        </wps:spPr>
                        <wps:txbx>
                          <w:txbxContent>
                            <w:p w:rsidR="00D27BC6" w:rsidRDefault="004D5071">
                              <w:pPr>
                                <w:spacing w:after="160" w:line="259" w:lineRule="auto"/>
                                <w:ind w:left="0" w:right="0" w:firstLine="0"/>
                                <w:jc w:val="left"/>
                              </w:pPr>
                              <w:r>
                                <w:rPr>
                                  <w:w w:val="104"/>
                                </w:rPr>
                                <w:t>эндоваскулярное</w:t>
                              </w:r>
                              <w:r>
                                <w:rPr>
                                  <w:spacing w:val="-3"/>
                                  <w:w w:val="104"/>
                                </w:rPr>
                                <w:t xml:space="preserve"> </w:t>
                              </w:r>
                              <w:r>
                                <w:rPr>
                                  <w:w w:val="104"/>
                                </w:rPr>
                                <w:t>или</w:t>
                              </w:r>
                              <w:r>
                                <w:rPr>
                                  <w:spacing w:val="-3"/>
                                  <w:w w:val="104"/>
                                </w:rPr>
                                <w:t xml:space="preserve"> </w:t>
                              </w:r>
                            </w:p>
                          </w:txbxContent>
                        </wps:txbx>
                        <wps:bodyPr horzOverflow="overflow" vert="horz" lIns="0" tIns="0" rIns="0" bIns="0" rtlCol="0">
                          <a:noAutofit/>
                        </wps:bodyPr>
                      </wps:wsp>
                      <wps:wsp>
                        <wps:cNvPr id="15726" name="Rectangle 15726"/>
                        <wps:cNvSpPr/>
                        <wps:spPr>
                          <a:xfrm>
                            <a:off x="2624129" y="6285034"/>
                            <a:ext cx="1925388" cy="203029"/>
                          </a:xfrm>
                          <a:prstGeom prst="rect">
                            <a:avLst/>
                          </a:prstGeom>
                          <a:ln>
                            <a:noFill/>
                          </a:ln>
                        </wps:spPr>
                        <wps:txbx>
                          <w:txbxContent>
                            <w:p w:rsidR="00D27BC6" w:rsidRDefault="004D5071">
                              <w:pPr>
                                <w:spacing w:after="160" w:line="259" w:lineRule="auto"/>
                                <w:ind w:left="0" w:right="0" w:firstLine="0"/>
                                <w:jc w:val="left"/>
                              </w:pPr>
                              <w:r>
                                <w:rPr>
                                  <w:w w:val="103"/>
                                </w:rPr>
                                <w:t>открытое</w:t>
                              </w:r>
                              <w:r>
                                <w:rPr>
                                  <w:spacing w:val="-3"/>
                                  <w:w w:val="103"/>
                                </w:rPr>
                                <w:t xml:space="preserve"> </w:t>
                              </w:r>
                              <w:r>
                                <w:rPr>
                                  <w:w w:val="103"/>
                                </w:rPr>
                                <w:t>вмешательство,</w:t>
                              </w:r>
                              <w:r>
                                <w:rPr>
                                  <w:spacing w:val="-3"/>
                                  <w:w w:val="103"/>
                                </w:rPr>
                                <w:t xml:space="preserve"> </w:t>
                              </w:r>
                            </w:p>
                          </w:txbxContent>
                        </wps:txbx>
                        <wps:bodyPr horzOverflow="overflow" vert="horz" lIns="0" tIns="0" rIns="0" bIns="0" rtlCol="0">
                          <a:noAutofit/>
                        </wps:bodyPr>
                      </wps:wsp>
                      <wps:wsp>
                        <wps:cNvPr id="15727" name="Rectangle 15727"/>
                        <wps:cNvSpPr/>
                        <wps:spPr>
                          <a:xfrm>
                            <a:off x="2911276" y="6437434"/>
                            <a:ext cx="1125769" cy="203029"/>
                          </a:xfrm>
                          <a:prstGeom prst="rect">
                            <a:avLst/>
                          </a:prstGeom>
                          <a:ln>
                            <a:noFill/>
                          </a:ln>
                        </wps:spPr>
                        <wps:txbx>
                          <w:txbxContent>
                            <w:p w:rsidR="00D27BC6" w:rsidRDefault="004D5071">
                              <w:pPr>
                                <w:spacing w:after="160" w:line="259" w:lineRule="auto"/>
                                <w:ind w:left="0" w:right="0" w:firstLine="0"/>
                                <w:jc w:val="left"/>
                              </w:pPr>
                              <w:r>
                                <w:rPr>
                                  <w:w w:val="102"/>
                                </w:rPr>
                                <w:t>если</w:t>
                              </w:r>
                              <w:r>
                                <w:rPr>
                                  <w:spacing w:val="-3"/>
                                  <w:w w:val="102"/>
                                </w:rPr>
                                <w:t xml:space="preserve"> </w:t>
                              </w:r>
                              <w:r>
                                <w:rPr>
                                  <w:w w:val="102"/>
                                </w:rPr>
                                <w:t>возможно</w:t>
                              </w:r>
                            </w:p>
                          </w:txbxContent>
                        </wps:txbx>
                        <wps:bodyPr horzOverflow="overflow" vert="horz" lIns="0" tIns="0" rIns="0" bIns="0" rtlCol="0">
                          <a:noAutofit/>
                        </wps:bodyPr>
                      </wps:wsp>
                      <wps:wsp>
                        <wps:cNvPr id="15728" name="Shape 15728"/>
                        <wps:cNvSpPr/>
                        <wps:spPr>
                          <a:xfrm>
                            <a:off x="2556002" y="5899621"/>
                            <a:ext cx="1556995" cy="764997"/>
                          </a:xfrm>
                          <a:custGeom>
                            <a:avLst/>
                            <a:gdLst/>
                            <a:ahLst/>
                            <a:cxnLst/>
                            <a:rect l="0" t="0" r="0" b="0"/>
                            <a:pathLst>
                              <a:path w="1556995" h="764997">
                                <a:moveTo>
                                  <a:pt x="0" y="764997"/>
                                </a:moveTo>
                                <a:lnTo>
                                  <a:pt x="1556995" y="764997"/>
                                </a:lnTo>
                                <a:lnTo>
                                  <a:pt x="155699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9101" name="Shape 379101"/>
                        <wps:cNvSpPr/>
                        <wps:spPr>
                          <a:xfrm>
                            <a:off x="4463999" y="5899621"/>
                            <a:ext cx="1556995" cy="764997"/>
                          </a:xfrm>
                          <a:custGeom>
                            <a:avLst/>
                            <a:gdLst/>
                            <a:ahLst/>
                            <a:cxnLst/>
                            <a:rect l="0" t="0" r="0" b="0"/>
                            <a:pathLst>
                              <a:path w="1556995" h="764997">
                                <a:moveTo>
                                  <a:pt x="0" y="0"/>
                                </a:moveTo>
                                <a:lnTo>
                                  <a:pt x="1556995" y="0"/>
                                </a:lnTo>
                                <a:lnTo>
                                  <a:pt x="1556995" y="764997"/>
                                </a:lnTo>
                                <a:lnTo>
                                  <a:pt x="0" y="764997"/>
                                </a:lnTo>
                                <a:lnTo>
                                  <a:pt x="0" y="0"/>
                                </a:lnTo>
                              </a:path>
                            </a:pathLst>
                          </a:custGeom>
                          <a:ln w="0" cap="flat">
                            <a:miter lim="100000"/>
                          </a:ln>
                        </wps:spPr>
                        <wps:style>
                          <a:lnRef idx="0">
                            <a:srgbClr val="000000">
                              <a:alpha val="0"/>
                            </a:srgbClr>
                          </a:lnRef>
                          <a:fillRef idx="1">
                            <a:srgbClr val="C4D983"/>
                          </a:fillRef>
                          <a:effectRef idx="0">
                            <a:scrgbClr r="0" g="0" b="0"/>
                          </a:effectRef>
                          <a:fontRef idx="none"/>
                        </wps:style>
                        <wps:bodyPr/>
                      </wps:wsp>
                      <wps:wsp>
                        <wps:cNvPr id="15730" name="Rectangle 15730"/>
                        <wps:cNvSpPr/>
                        <wps:spPr>
                          <a:xfrm>
                            <a:off x="4511052" y="5980234"/>
                            <a:ext cx="1981467" cy="203029"/>
                          </a:xfrm>
                          <a:prstGeom prst="rect">
                            <a:avLst/>
                          </a:prstGeom>
                          <a:ln>
                            <a:noFill/>
                          </a:ln>
                        </wps:spPr>
                        <wps:txbx>
                          <w:txbxContent>
                            <w:p w:rsidR="00D27BC6" w:rsidRDefault="004D5071">
                              <w:pPr>
                                <w:spacing w:after="160" w:line="259" w:lineRule="auto"/>
                                <w:ind w:left="0" w:right="0" w:firstLine="0"/>
                                <w:jc w:val="left"/>
                              </w:pPr>
                              <w:r>
                                <w:rPr>
                                  <w:w w:val="105"/>
                                </w:rPr>
                                <w:t>Повторное</w:t>
                              </w:r>
                              <w:r>
                                <w:rPr>
                                  <w:spacing w:val="-3"/>
                                  <w:w w:val="105"/>
                                </w:rPr>
                                <w:t xml:space="preserve"> </w:t>
                              </w:r>
                              <w:r>
                                <w:rPr>
                                  <w:w w:val="105"/>
                                </w:rPr>
                                <w:t>хирургическое</w:t>
                              </w:r>
                              <w:r>
                                <w:rPr>
                                  <w:spacing w:val="-3"/>
                                  <w:w w:val="105"/>
                                </w:rPr>
                                <w:t xml:space="preserve"> </w:t>
                              </w:r>
                            </w:p>
                          </w:txbxContent>
                        </wps:txbx>
                        <wps:bodyPr horzOverflow="overflow" vert="horz" lIns="0" tIns="0" rIns="0" bIns="0" rtlCol="0">
                          <a:noAutofit/>
                        </wps:bodyPr>
                      </wps:wsp>
                      <wps:wsp>
                        <wps:cNvPr id="15731" name="Rectangle 15731"/>
                        <wps:cNvSpPr/>
                        <wps:spPr>
                          <a:xfrm>
                            <a:off x="4641100" y="6132634"/>
                            <a:ext cx="1635539" cy="203029"/>
                          </a:xfrm>
                          <a:prstGeom prst="rect">
                            <a:avLst/>
                          </a:prstGeom>
                          <a:ln>
                            <a:noFill/>
                          </a:ln>
                        </wps:spPr>
                        <wps:txbx>
                          <w:txbxContent>
                            <w:p w:rsidR="00D27BC6" w:rsidRDefault="004D5071">
                              <w:pPr>
                                <w:spacing w:after="160" w:line="259" w:lineRule="auto"/>
                                <w:ind w:left="0" w:right="0" w:firstLine="0"/>
                                <w:jc w:val="left"/>
                              </w:pPr>
                              <w:r>
                                <w:rPr>
                                  <w:w w:val="104"/>
                                </w:rPr>
                                <w:t>или</w:t>
                              </w:r>
                              <w:r>
                                <w:rPr>
                                  <w:spacing w:val="-3"/>
                                  <w:w w:val="104"/>
                                </w:rPr>
                                <w:t xml:space="preserve"> </w:t>
                              </w:r>
                              <w:r>
                                <w:rPr>
                                  <w:w w:val="104"/>
                                </w:rPr>
                                <w:t>эндоваскулярное</w:t>
                              </w:r>
                              <w:r>
                                <w:rPr>
                                  <w:spacing w:val="-3"/>
                                  <w:w w:val="104"/>
                                </w:rPr>
                                <w:t xml:space="preserve"> </w:t>
                              </w:r>
                            </w:p>
                          </w:txbxContent>
                        </wps:txbx>
                        <wps:bodyPr horzOverflow="overflow" vert="horz" lIns="0" tIns="0" rIns="0" bIns="0" rtlCol="0">
                          <a:noAutofit/>
                        </wps:bodyPr>
                      </wps:wsp>
                      <wps:wsp>
                        <wps:cNvPr id="15732" name="Rectangle 15732"/>
                        <wps:cNvSpPr/>
                        <wps:spPr>
                          <a:xfrm>
                            <a:off x="4663197" y="6285034"/>
                            <a:ext cx="1576589" cy="203029"/>
                          </a:xfrm>
                          <a:prstGeom prst="rect">
                            <a:avLst/>
                          </a:prstGeom>
                          <a:ln>
                            <a:noFill/>
                          </a:ln>
                        </wps:spPr>
                        <wps:txbx>
                          <w:txbxContent>
                            <w:p w:rsidR="00D27BC6" w:rsidRDefault="004D5071">
                              <w:pPr>
                                <w:spacing w:after="160" w:line="259" w:lineRule="auto"/>
                                <w:ind w:left="0" w:right="0" w:firstLine="0"/>
                                <w:jc w:val="left"/>
                              </w:pPr>
                              <w:r>
                                <w:rPr>
                                  <w:w w:val="102"/>
                                </w:rPr>
                                <w:t>вмешательство,</w:t>
                              </w:r>
                              <w:r>
                                <w:rPr>
                                  <w:spacing w:val="-3"/>
                                  <w:w w:val="102"/>
                                </w:rPr>
                                <w:t xml:space="preserve"> </w:t>
                              </w:r>
                              <w:r>
                                <w:rPr>
                                  <w:w w:val="102"/>
                                </w:rPr>
                                <w:t>если</w:t>
                              </w:r>
                              <w:r>
                                <w:rPr>
                                  <w:spacing w:val="-3"/>
                                  <w:w w:val="102"/>
                                </w:rPr>
                                <w:t xml:space="preserve"> </w:t>
                              </w:r>
                            </w:p>
                          </w:txbxContent>
                        </wps:txbx>
                        <wps:bodyPr horzOverflow="overflow" vert="horz" lIns="0" tIns="0" rIns="0" bIns="0" rtlCol="0">
                          <a:noAutofit/>
                        </wps:bodyPr>
                      </wps:wsp>
                      <wps:wsp>
                        <wps:cNvPr id="15733" name="Rectangle 15733"/>
                        <wps:cNvSpPr/>
                        <wps:spPr>
                          <a:xfrm>
                            <a:off x="4961647" y="6437434"/>
                            <a:ext cx="746920" cy="203029"/>
                          </a:xfrm>
                          <a:prstGeom prst="rect">
                            <a:avLst/>
                          </a:prstGeom>
                          <a:ln>
                            <a:noFill/>
                          </a:ln>
                        </wps:spPr>
                        <wps:txbx>
                          <w:txbxContent>
                            <w:p w:rsidR="00D27BC6" w:rsidRDefault="004D5071">
                              <w:pPr>
                                <w:spacing w:after="160" w:line="259" w:lineRule="auto"/>
                                <w:ind w:left="0" w:right="0" w:firstLine="0"/>
                                <w:jc w:val="left"/>
                              </w:pPr>
                              <w:r>
                                <w:rPr>
                                  <w:w w:val="102"/>
                                </w:rPr>
                                <w:t>возможно</w:t>
                              </w:r>
                            </w:p>
                          </w:txbxContent>
                        </wps:txbx>
                        <wps:bodyPr horzOverflow="overflow" vert="horz" lIns="0" tIns="0" rIns="0" bIns="0" rtlCol="0">
                          <a:noAutofit/>
                        </wps:bodyPr>
                      </wps:wsp>
                      <wps:wsp>
                        <wps:cNvPr id="15734" name="Shape 15734"/>
                        <wps:cNvSpPr/>
                        <wps:spPr>
                          <a:xfrm>
                            <a:off x="4463999" y="5899621"/>
                            <a:ext cx="1556995" cy="764997"/>
                          </a:xfrm>
                          <a:custGeom>
                            <a:avLst/>
                            <a:gdLst/>
                            <a:ahLst/>
                            <a:cxnLst/>
                            <a:rect l="0" t="0" r="0" b="0"/>
                            <a:pathLst>
                              <a:path w="1556995" h="764997">
                                <a:moveTo>
                                  <a:pt x="0" y="764997"/>
                                </a:moveTo>
                                <a:lnTo>
                                  <a:pt x="1556995" y="764997"/>
                                </a:lnTo>
                                <a:lnTo>
                                  <a:pt x="155699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9119" name="Shape 379119"/>
                        <wps:cNvSpPr/>
                        <wps:spPr>
                          <a:xfrm>
                            <a:off x="3689998" y="6829616"/>
                            <a:ext cx="1165505" cy="329997"/>
                          </a:xfrm>
                          <a:custGeom>
                            <a:avLst/>
                            <a:gdLst/>
                            <a:ahLst/>
                            <a:cxnLst/>
                            <a:rect l="0" t="0" r="0" b="0"/>
                            <a:pathLst>
                              <a:path w="1165505" h="329997">
                                <a:moveTo>
                                  <a:pt x="0" y="0"/>
                                </a:moveTo>
                                <a:lnTo>
                                  <a:pt x="1165505" y="0"/>
                                </a:lnTo>
                                <a:lnTo>
                                  <a:pt x="1165505" y="329997"/>
                                </a:lnTo>
                                <a:lnTo>
                                  <a:pt x="0" y="329997"/>
                                </a:lnTo>
                                <a:lnTo>
                                  <a:pt x="0" y="0"/>
                                </a:lnTo>
                              </a:path>
                            </a:pathLst>
                          </a:custGeom>
                          <a:ln w="0" cap="flat">
                            <a:miter lim="100000"/>
                          </a:ln>
                        </wps:spPr>
                        <wps:style>
                          <a:lnRef idx="0">
                            <a:srgbClr val="000000">
                              <a:alpha val="0"/>
                            </a:srgbClr>
                          </a:lnRef>
                          <a:fillRef idx="1">
                            <a:srgbClr val="EF8161"/>
                          </a:fillRef>
                          <a:effectRef idx="0">
                            <a:scrgbClr r="0" g="0" b="0"/>
                          </a:effectRef>
                          <a:fontRef idx="none"/>
                        </wps:style>
                        <wps:bodyPr/>
                      </wps:wsp>
                      <wps:wsp>
                        <wps:cNvPr id="15736" name="Rectangle 15736"/>
                        <wps:cNvSpPr/>
                        <wps:spPr>
                          <a:xfrm>
                            <a:off x="3918740" y="6921334"/>
                            <a:ext cx="941673" cy="203030"/>
                          </a:xfrm>
                          <a:prstGeom prst="rect">
                            <a:avLst/>
                          </a:prstGeom>
                          <a:ln>
                            <a:noFill/>
                          </a:ln>
                        </wps:spPr>
                        <wps:txbx>
                          <w:txbxContent>
                            <w:p w:rsidR="00D27BC6" w:rsidRDefault="004D5071">
                              <w:pPr>
                                <w:spacing w:after="160" w:line="259" w:lineRule="auto"/>
                                <w:ind w:left="0" w:right="0" w:firstLine="0"/>
                                <w:jc w:val="left"/>
                              </w:pPr>
                              <w:r>
                                <w:rPr>
                                  <w:w w:val="102"/>
                                </w:rPr>
                                <w:t>Невозможно</w:t>
                              </w:r>
                            </w:p>
                          </w:txbxContent>
                        </wps:txbx>
                        <wps:bodyPr horzOverflow="overflow" vert="horz" lIns="0" tIns="0" rIns="0" bIns="0" rtlCol="0">
                          <a:noAutofit/>
                        </wps:bodyPr>
                      </wps:wsp>
                      <wps:wsp>
                        <wps:cNvPr id="15737" name="Shape 15737"/>
                        <wps:cNvSpPr/>
                        <wps:spPr>
                          <a:xfrm>
                            <a:off x="3689998" y="6829616"/>
                            <a:ext cx="1165505" cy="329997"/>
                          </a:xfrm>
                          <a:custGeom>
                            <a:avLst/>
                            <a:gdLst/>
                            <a:ahLst/>
                            <a:cxnLst/>
                            <a:rect l="0" t="0" r="0" b="0"/>
                            <a:pathLst>
                              <a:path w="1165505" h="329997">
                                <a:moveTo>
                                  <a:pt x="0" y="329997"/>
                                </a:moveTo>
                                <a:lnTo>
                                  <a:pt x="1165505" y="329997"/>
                                </a:lnTo>
                                <a:lnTo>
                                  <a:pt x="11655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9122" name="Shape 379122"/>
                        <wps:cNvSpPr/>
                        <wps:spPr>
                          <a:xfrm>
                            <a:off x="3689998" y="7410755"/>
                            <a:ext cx="2790000" cy="329997"/>
                          </a:xfrm>
                          <a:custGeom>
                            <a:avLst/>
                            <a:gdLst/>
                            <a:ahLst/>
                            <a:cxnLst/>
                            <a:rect l="0" t="0" r="0" b="0"/>
                            <a:pathLst>
                              <a:path w="2790000" h="329997">
                                <a:moveTo>
                                  <a:pt x="0" y="0"/>
                                </a:moveTo>
                                <a:lnTo>
                                  <a:pt x="2790000" y="0"/>
                                </a:lnTo>
                                <a:lnTo>
                                  <a:pt x="2790000" y="329997"/>
                                </a:lnTo>
                                <a:lnTo>
                                  <a:pt x="0" y="329997"/>
                                </a:lnTo>
                                <a:lnTo>
                                  <a:pt x="0" y="0"/>
                                </a:lnTo>
                              </a:path>
                            </a:pathLst>
                          </a:custGeom>
                          <a:ln w="0" cap="flat">
                            <a:miter lim="100000"/>
                          </a:ln>
                        </wps:spPr>
                        <wps:style>
                          <a:lnRef idx="0">
                            <a:srgbClr val="000000">
                              <a:alpha val="0"/>
                            </a:srgbClr>
                          </a:lnRef>
                          <a:fillRef idx="1">
                            <a:srgbClr val="EF8161"/>
                          </a:fillRef>
                          <a:effectRef idx="0">
                            <a:scrgbClr r="0" g="0" b="0"/>
                          </a:effectRef>
                          <a:fontRef idx="none"/>
                        </wps:style>
                        <wps:bodyPr/>
                      </wps:wsp>
                      <wps:wsp>
                        <wps:cNvPr id="15739" name="Rectangle 15739"/>
                        <wps:cNvSpPr/>
                        <wps:spPr>
                          <a:xfrm>
                            <a:off x="4399782" y="7502473"/>
                            <a:ext cx="1822691" cy="203030"/>
                          </a:xfrm>
                          <a:prstGeom prst="rect">
                            <a:avLst/>
                          </a:prstGeom>
                          <a:ln>
                            <a:noFill/>
                          </a:ln>
                        </wps:spPr>
                        <wps:txbx>
                          <w:txbxContent>
                            <w:p w:rsidR="00D27BC6" w:rsidRDefault="004D5071">
                              <w:pPr>
                                <w:spacing w:after="160" w:line="259" w:lineRule="auto"/>
                                <w:ind w:left="0" w:right="0" w:firstLine="0"/>
                                <w:jc w:val="left"/>
                              </w:pPr>
                              <w:r>
                                <w:rPr>
                                  <w:w w:val="102"/>
                                </w:rPr>
                                <w:t>Ампутация</w:t>
                              </w:r>
                              <w:r>
                                <w:rPr>
                                  <w:spacing w:val="-3"/>
                                  <w:w w:val="102"/>
                                </w:rPr>
                                <w:t xml:space="preserve"> </w:t>
                              </w:r>
                              <w:r>
                                <w:rPr>
                                  <w:w w:val="102"/>
                                </w:rPr>
                                <w:t>обязательна?</w:t>
                              </w:r>
                            </w:p>
                          </w:txbxContent>
                        </wps:txbx>
                        <wps:bodyPr horzOverflow="overflow" vert="horz" lIns="0" tIns="0" rIns="0" bIns="0" rtlCol="0">
                          <a:noAutofit/>
                        </wps:bodyPr>
                      </wps:wsp>
                      <wps:wsp>
                        <wps:cNvPr id="15740" name="Shape 15740"/>
                        <wps:cNvSpPr/>
                        <wps:spPr>
                          <a:xfrm>
                            <a:off x="3689998" y="7410755"/>
                            <a:ext cx="2790000" cy="329997"/>
                          </a:xfrm>
                          <a:custGeom>
                            <a:avLst/>
                            <a:gdLst/>
                            <a:ahLst/>
                            <a:cxnLst/>
                            <a:rect l="0" t="0" r="0" b="0"/>
                            <a:pathLst>
                              <a:path w="2790000" h="329997">
                                <a:moveTo>
                                  <a:pt x="0" y="329997"/>
                                </a:moveTo>
                                <a:lnTo>
                                  <a:pt x="2790000" y="329997"/>
                                </a:lnTo>
                                <a:lnTo>
                                  <a:pt x="2790000"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9127" name="Shape 379127"/>
                        <wps:cNvSpPr/>
                        <wps:spPr>
                          <a:xfrm>
                            <a:off x="2096999" y="8080363"/>
                            <a:ext cx="2015998" cy="332994"/>
                          </a:xfrm>
                          <a:custGeom>
                            <a:avLst/>
                            <a:gdLst/>
                            <a:ahLst/>
                            <a:cxnLst/>
                            <a:rect l="0" t="0" r="0" b="0"/>
                            <a:pathLst>
                              <a:path w="2015998" h="332994">
                                <a:moveTo>
                                  <a:pt x="0" y="0"/>
                                </a:moveTo>
                                <a:lnTo>
                                  <a:pt x="2015998" y="0"/>
                                </a:lnTo>
                                <a:lnTo>
                                  <a:pt x="2015998" y="332994"/>
                                </a:lnTo>
                                <a:lnTo>
                                  <a:pt x="0" y="332994"/>
                                </a:lnTo>
                                <a:lnTo>
                                  <a:pt x="0" y="0"/>
                                </a:lnTo>
                              </a:path>
                            </a:pathLst>
                          </a:custGeom>
                          <a:ln w="0" cap="flat">
                            <a:miter lim="100000"/>
                          </a:ln>
                        </wps:spPr>
                        <wps:style>
                          <a:lnRef idx="0">
                            <a:srgbClr val="000000">
                              <a:alpha val="0"/>
                            </a:srgbClr>
                          </a:lnRef>
                          <a:fillRef idx="1">
                            <a:srgbClr val="C4D983"/>
                          </a:fillRef>
                          <a:effectRef idx="0">
                            <a:scrgbClr r="0" g="0" b="0"/>
                          </a:effectRef>
                          <a:fontRef idx="none"/>
                        </wps:style>
                        <wps:bodyPr/>
                      </wps:wsp>
                      <wps:wsp>
                        <wps:cNvPr id="15742" name="Rectangle 15742"/>
                        <wps:cNvSpPr/>
                        <wps:spPr>
                          <a:xfrm>
                            <a:off x="2383527" y="8173573"/>
                            <a:ext cx="1919122" cy="203029"/>
                          </a:xfrm>
                          <a:prstGeom prst="rect">
                            <a:avLst/>
                          </a:prstGeom>
                          <a:ln>
                            <a:noFill/>
                          </a:ln>
                        </wps:spPr>
                        <wps:txbx>
                          <w:txbxContent>
                            <w:p w:rsidR="00D27BC6" w:rsidRDefault="004D5071">
                              <w:pPr>
                                <w:spacing w:after="160" w:line="259" w:lineRule="auto"/>
                                <w:ind w:left="0" w:right="0" w:firstLine="0"/>
                                <w:jc w:val="left"/>
                              </w:pPr>
                              <w:r>
                                <w:rPr>
                                  <w:w w:val="103"/>
                                </w:rPr>
                                <w:t>Ампутация,</w:t>
                              </w:r>
                              <w:r>
                                <w:rPr>
                                  <w:spacing w:val="-3"/>
                                  <w:w w:val="103"/>
                                </w:rPr>
                                <w:t xml:space="preserve"> </w:t>
                              </w:r>
                              <w:r>
                                <w:rPr>
                                  <w:w w:val="103"/>
                                </w:rPr>
                                <w:t>реабилитация</w:t>
                              </w:r>
                            </w:p>
                          </w:txbxContent>
                        </wps:txbx>
                        <wps:bodyPr horzOverflow="overflow" vert="horz" lIns="0" tIns="0" rIns="0" bIns="0" rtlCol="0">
                          <a:noAutofit/>
                        </wps:bodyPr>
                      </wps:wsp>
                      <wps:wsp>
                        <wps:cNvPr id="15743" name="Shape 15743"/>
                        <wps:cNvSpPr/>
                        <wps:spPr>
                          <a:xfrm>
                            <a:off x="2096999" y="8080363"/>
                            <a:ext cx="2015998" cy="332994"/>
                          </a:xfrm>
                          <a:custGeom>
                            <a:avLst/>
                            <a:gdLst/>
                            <a:ahLst/>
                            <a:cxnLst/>
                            <a:rect l="0" t="0" r="0" b="0"/>
                            <a:pathLst>
                              <a:path w="2015998" h="332994">
                                <a:moveTo>
                                  <a:pt x="0" y="332994"/>
                                </a:moveTo>
                                <a:lnTo>
                                  <a:pt x="2015998" y="332994"/>
                                </a:lnTo>
                                <a:lnTo>
                                  <a:pt x="20159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79132" name="Shape 379132"/>
                        <wps:cNvSpPr/>
                        <wps:spPr>
                          <a:xfrm>
                            <a:off x="4463999" y="8094752"/>
                            <a:ext cx="2015998" cy="332994"/>
                          </a:xfrm>
                          <a:custGeom>
                            <a:avLst/>
                            <a:gdLst/>
                            <a:ahLst/>
                            <a:cxnLst/>
                            <a:rect l="0" t="0" r="0" b="0"/>
                            <a:pathLst>
                              <a:path w="2015998" h="332994">
                                <a:moveTo>
                                  <a:pt x="0" y="0"/>
                                </a:moveTo>
                                <a:lnTo>
                                  <a:pt x="2015998" y="0"/>
                                </a:lnTo>
                                <a:lnTo>
                                  <a:pt x="2015998" y="332994"/>
                                </a:lnTo>
                                <a:lnTo>
                                  <a:pt x="0" y="332994"/>
                                </a:lnTo>
                                <a:lnTo>
                                  <a:pt x="0" y="0"/>
                                </a:lnTo>
                              </a:path>
                            </a:pathLst>
                          </a:custGeom>
                          <a:ln w="0" cap="flat">
                            <a:miter lim="100000"/>
                          </a:ln>
                        </wps:spPr>
                        <wps:style>
                          <a:lnRef idx="0">
                            <a:srgbClr val="000000">
                              <a:alpha val="0"/>
                            </a:srgbClr>
                          </a:lnRef>
                          <a:fillRef idx="1">
                            <a:srgbClr val="C4D983"/>
                          </a:fillRef>
                          <a:effectRef idx="0">
                            <a:scrgbClr r="0" g="0" b="0"/>
                          </a:effectRef>
                          <a:fontRef idx="none"/>
                        </wps:style>
                        <wps:bodyPr/>
                      </wps:wsp>
                      <wps:wsp>
                        <wps:cNvPr id="15745" name="Rectangle 15745"/>
                        <wps:cNvSpPr/>
                        <wps:spPr>
                          <a:xfrm>
                            <a:off x="4635400" y="8111773"/>
                            <a:ext cx="2261182" cy="203030"/>
                          </a:xfrm>
                          <a:prstGeom prst="rect">
                            <a:avLst/>
                          </a:prstGeom>
                          <a:ln>
                            <a:noFill/>
                          </a:ln>
                        </wps:spPr>
                        <wps:txbx>
                          <w:txbxContent>
                            <w:p w:rsidR="00D27BC6" w:rsidRDefault="004D5071">
                              <w:pPr>
                                <w:spacing w:after="160" w:line="259" w:lineRule="auto"/>
                                <w:ind w:left="0" w:right="0" w:firstLine="0"/>
                                <w:jc w:val="left"/>
                              </w:pPr>
                              <w:r>
                                <w:rPr>
                                  <w:w w:val="103"/>
                                </w:rPr>
                                <w:t>Контроль</w:t>
                              </w:r>
                              <w:r>
                                <w:rPr>
                                  <w:spacing w:val="-3"/>
                                  <w:w w:val="103"/>
                                </w:rPr>
                                <w:t xml:space="preserve"> </w:t>
                              </w:r>
                              <w:r>
                                <w:rPr>
                                  <w:w w:val="103"/>
                                </w:rPr>
                                <w:t>боли,</w:t>
                              </w:r>
                              <w:r>
                                <w:rPr>
                                  <w:spacing w:val="-3"/>
                                  <w:w w:val="103"/>
                                </w:rPr>
                                <w:t xml:space="preserve"> </w:t>
                              </w:r>
                              <w:r>
                                <w:rPr>
                                  <w:w w:val="103"/>
                                </w:rPr>
                                <w:t>уход</w:t>
                              </w:r>
                              <w:r>
                                <w:rPr>
                                  <w:spacing w:val="-3"/>
                                  <w:w w:val="103"/>
                                </w:rPr>
                                <w:t xml:space="preserve"> </w:t>
                              </w:r>
                              <w:r>
                                <w:rPr>
                                  <w:w w:val="103"/>
                                </w:rPr>
                                <w:t>за</w:t>
                              </w:r>
                              <w:r>
                                <w:rPr>
                                  <w:spacing w:val="-3"/>
                                  <w:w w:val="103"/>
                                </w:rPr>
                                <w:t xml:space="preserve"> </w:t>
                              </w:r>
                              <w:r>
                                <w:rPr>
                                  <w:w w:val="103"/>
                                </w:rPr>
                                <w:t>раной,</w:t>
                              </w:r>
                              <w:r>
                                <w:rPr>
                                  <w:spacing w:val="-3"/>
                                  <w:w w:val="103"/>
                                </w:rPr>
                                <w:t xml:space="preserve"> </w:t>
                              </w:r>
                            </w:p>
                          </w:txbxContent>
                        </wps:txbx>
                        <wps:bodyPr horzOverflow="overflow" vert="horz" lIns="0" tIns="0" rIns="0" bIns="0" rtlCol="0">
                          <a:noAutofit/>
                        </wps:bodyPr>
                      </wps:wsp>
                      <wps:wsp>
                        <wps:cNvPr id="15746" name="Rectangle 15746"/>
                        <wps:cNvSpPr/>
                        <wps:spPr>
                          <a:xfrm>
                            <a:off x="4758336" y="8264173"/>
                            <a:ext cx="1898346" cy="203030"/>
                          </a:xfrm>
                          <a:prstGeom prst="rect">
                            <a:avLst/>
                          </a:prstGeom>
                          <a:ln>
                            <a:noFill/>
                          </a:ln>
                        </wps:spPr>
                        <wps:txbx>
                          <w:txbxContent>
                            <w:p w:rsidR="00D27BC6" w:rsidRDefault="004D5071">
                              <w:pPr>
                                <w:spacing w:after="160" w:line="259" w:lineRule="auto"/>
                                <w:ind w:left="0" w:right="0" w:firstLine="0"/>
                                <w:jc w:val="left"/>
                              </w:pPr>
                              <w:r>
                                <w:rPr>
                                  <w:w w:val="105"/>
                                </w:rPr>
                                <w:t>контроль</w:t>
                              </w:r>
                              <w:r>
                                <w:rPr>
                                  <w:spacing w:val="-3"/>
                                  <w:w w:val="105"/>
                                </w:rPr>
                                <w:t xml:space="preserve"> </w:t>
                              </w:r>
                              <w:r>
                                <w:rPr>
                                  <w:w w:val="105"/>
                                </w:rPr>
                                <w:t>факторов</w:t>
                              </w:r>
                              <w:r>
                                <w:rPr>
                                  <w:spacing w:val="-3"/>
                                  <w:w w:val="105"/>
                                </w:rPr>
                                <w:t xml:space="preserve"> </w:t>
                              </w:r>
                              <w:r>
                                <w:rPr>
                                  <w:w w:val="105"/>
                                </w:rPr>
                                <w:t>риска</w:t>
                              </w:r>
                            </w:p>
                          </w:txbxContent>
                        </wps:txbx>
                        <wps:bodyPr horzOverflow="overflow" vert="horz" lIns="0" tIns="0" rIns="0" bIns="0" rtlCol="0">
                          <a:noAutofit/>
                        </wps:bodyPr>
                      </wps:wsp>
                      <wps:wsp>
                        <wps:cNvPr id="15747" name="Shape 15747"/>
                        <wps:cNvSpPr/>
                        <wps:spPr>
                          <a:xfrm>
                            <a:off x="4463999" y="8094752"/>
                            <a:ext cx="2015998" cy="332994"/>
                          </a:xfrm>
                          <a:custGeom>
                            <a:avLst/>
                            <a:gdLst/>
                            <a:ahLst/>
                            <a:cxnLst/>
                            <a:rect l="0" t="0" r="0" b="0"/>
                            <a:pathLst>
                              <a:path w="2015998" h="332994">
                                <a:moveTo>
                                  <a:pt x="0" y="332994"/>
                                </a:moveTo>
                                <a:lnTo>
                                  <a:pt x="2015998" y="332994"/>
                                </a:lnTo>
                                <a:lnTo>
                                  <a:pt x="20159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48" name="Shape 15748"/>
                        <wps:cNvSpPr/>
                        <wps:spPr>
                          <a:xfrm>
                            <a:off x="3125267" y="214414"/>
                            <a:ext cx="0" cy="244945"/>
                          </a:xfrm>
                          <a:custGeom>
                            <a:avLst/>
                            <a:gdLst/>
                            <a:ahLst/>
                            <a:cxnLst/>
                            <a:rect l="0" t="0" r="0" b="0"/>
                            <a:pathLst>
                              <a:path h="244945">
                                <a:moveTo>
                                  <a:pt x="0" y="0"/>
                                </a:moveTo>
                                <a:lnTo>
                                  <a:pt x="0" y="244945"/>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49" name="Shape 15749"/>
                        <wps:cNvSpPr/>
                        <wps:spPr>
                          <a:xfrm>
                            <a:off x="3094711" y="439347"/>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50" name="Shape 15750"/>
                        <wps:cNvSpPr/>
                        <wps:spPr>
                          <a:xfrm>
                            <a:off x="3125267" y="934414"/>
                            <a:ext cx="0" cy="214401"/>
                          </a:xfrm>
                          <a:custGeom>
                            <a:avLst/>
                            <a:gdLst/>
                            <a:ahLst/>
                            <a:cxnLst/>
                            <a:rect l="0" t="0" r="0" b="0"/>
                            <a:pathLst>
                              <a:path h="214401">
                                <a:moveTo>
                                  <a:pt x="0" y="0"/>
                                </a:moveTo>
                                <a:lnTo>
                                  <a:pt x="0" y="21440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51" name="Shape 15751"/>
                        <wps:cNvSpPr/>
                        <wps:spPr>
                          <a:xfrm>
                            <a:off x="3094711" y="1128796"/>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52" name="Shape 15752"/>
                        <wps:cNvSpPr/>
                        <wps:spPr>
                          <a:xfrm>
                            <a:off x="3125230" y="1428472"/>
                            <a:ext cx="0" cy="215989"/>
                          </a:xfrm>
                          <a:custGeom>
                            <a:avLst/>
                            <a:gdLst/>
                            <a:ahLst/>
                            <a:cxnLst/>
                            <a:rect l="0" t="0" r="0" b="0"/>
                            <a:pathLst>
                              <a:path h="215989">
                                <a:moveTo>
                                  <a:pt x="0" y="0"/>
                                </a:moveTo>
                                <a:lnTo>
                                  <a:pt x="0" y="21598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53" name="Shape 15753"/>
                        <wps:cNvSpPr/>
                        <wps:spPr>
                          <a:xfrm>
                            <a:off x="3094674" y="1624442"/>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54" name="Shape 15754"/>
                        <wps:cNvSpPr/>
                        <wps:spPr>
                          <a:xfrm>
                            <a:off x="2214427" y="2041208"/>
                            <a:ext cx="0" cy="101041"/>
                          </a:xfrm>
                          <a:custGeom>
                            <a:avLst/>
                            <a:gdLst/>
                            <a:ahLst/>
                            <a:cxnLst/>
                            <a:rect l="0" t="0" r="0" b="0"/>
                            <a:pathLst>
                              <a:path h="101041">
                                <a:moveTo>
                                  <a:pt x="0" y="0"/>
                                </a:moveTo>
                                <a:lnTo>
                                  <a:pt x="0" y="10104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55" name="Shape 15755"/>
                        <wps:cNvSpPr/>
                        <wps:spPr>
                          <a:xfrm>
                            <a:off x="2183870" y="2122235"/>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56" name="Shape 15756"/>
                        <wps:cNvSpPr/>
                        <wps:spPr>
                          <a:xfrm>
                            <a:off x="3953235" y="2041208"/>
                            <a:ext cx="0" cy="101041"/>
                          </a:xfrm>
                          <a:custGeom>
                            <a:avLst/>
                            <a:gdLst/>
                            <a:ahLst/>
                            <a:cxnLst/>
                            <a:rect l="0" t="0" r="0" b="0"/>
                            <a:pathLst>
                              <a:path h="101041">
                                <a:moveTo>
                                  <a:pt x="0" y="0"/>
                                </a:moveTo>
                                <a:lnTo>
                                  <a:pt x="0" y="10104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57" name="Shape 15757"/>
                        <wps:cNvSpPr/>
                        <wps:spPr>
                          <a:xfrm>
                            <a:off x="3922679" y="2122235"/>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58" name="Shape 15758"/>
                        <wps:cNvSpPr/>
                        <wps:spPr>
                          <a:xfrm>
                            <a:off x="662831" y="2536207"/>
                            <a:ext cx="0" cy="101041"/>
                          </a:xfrm>
                          <a:custGeom>
                            <a:avLst/>
                            <a:gdLst/>
                            <a:ahLst/>
                            <a:cxnLst/>
                            <a:rect l="0" t="0" r="0" b="0"/>
                            <a:pathLst>
                              <a:path h="101041">
                                <a:moveTo>
                                  <a:pt x="0" y="0"/>
                                </a:moveTo>
                                <a:lnTo>
                                  <a:pt x="0" y="10104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59" name="Shape 15759"/>
                        <wps:cNvSpPr/>
                        <wps:spPr>
                          <a:xfrm>
                            <a:off x="632275" y="2617234"/>
                            <a:ext cx="61112" cy="83972"/>
                          </a:xfrm>
                          <a:custGeom>
                            <a:avLst/>
                            <a:gdLst/>
                            <a:ahLst/>
                            <a:cxnLst/>
                            <a:rect l="0" t="0" r="0" b="0"/>
                            <a:pathLst>
                              <a:path w="61112" h="83972">
                                <a:moveTo>
                                  <a:pt x="0" y="0"/>
                                </a:moveTo>
                                <a:lnTo>
                                  <a:pt x="30556" y="20015"/>
                                </a:lnTo>
                                <a:lnTo>
                                  <a:pt x="61112"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60" name="Shape 15760"/>
                        <wps:cNvSpPr/>
                        <wps:spPr>
                          <a:xfrm>
                            <a:off x="2490764" y="2536207"/>
                            <a:ext cx="0" cy="101041"/>
                          </a:xfrm>
                          <a:custGeom>
                            <a:avLst/>
                            <a:gdLst/>
                            <a:ahLst/>
                            <a:cxnLst/>
                            <a:rect l="0" t="0" r="0" b="0"/>
                            <a:pathLst>
                              <a:path h="101041">
                                <a:moveTo>
                                  <a:pt x="0" y="0"/>
                                </a:moveTo>
                                <a:lnTo>
                                  <a:pt x="0" y="10104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61" name="Shape 15761"/>
                        <wps:cNvSpPr/>
                        <wps:spPr>
                          <a:xfrm>
                            <a:off x="2460207" y="2617234"/>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62" name="Shape 15762"/>
                        <wps:cNvSpPr/>
                        <wps:spPr>
                          <a:xfrm>
                            <a:off x="2490764" y="3199612"/>
                            <a:ext cx="0" cy="101041"/>
                          </a:xfrm>
                          <a:custGeom>
                            <a:avLst/>
                            <a:gdLst/>
                            <a:ahLst/>
                            <a:cxnLst/>
                            <a:rect l="0" t="0" r="0" b="0"/>
                            <a:pathLst>
                              <a:path h="101041">
                                <a:moveTo>
                                  <a:pt x="0" y="0"/>
                                </a:moveTo>
                                <a:lnTo>
                                  <a:pt x="0" y="10104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63" name="Shape 15763"/>
                        <wps:cNvSpPr/>
                        <wps:spPr>
                          <a:xfrm>
                            <a:off x="2460207" y="3280640"/>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64" name="Shape 15764"/>
                        <wps:cNvSpPr/>
                        <wps:spPr>
                          <a:xfrm>
                            <a:off x="3604457" y="3199612"/>
                            <a:ext cx="0" cy="101041"/>
                          </a:xfrm>
                          <a:custGeom>
                            <a:avLst/>
                            <a:gdLst/>
                            <a:ahLst/>
                            <a:cxnLst/>
                            <a:rect l="0" t="0" r="0" b="0"/>
                            <a:pathLst>
                              <a:path h="101041">
                                <a:moveTo>
                                  <a:pt x="0" y="0"/>
                                </a:moveTo>
                                <a:lnTo>
                                  <a:pt x="0" y="10104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65" name="Shape 15765"/>
                        <wps:cNvSpPr/>
                        <wps:spPr>
                          <a:xfrm>
                            <a:off x="3573901" y="3280640"/>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66" name="Shape 15766"/>
                        <wps:cNvSpPr/>
                        <wps:spPr>
                          <a:xfrm>
                            <a:off x="2461530" y="4309613"/>
                            <a:ext cx="0" cy="101041"/>
                          </a:xfrm>
                          <a:custGeom>
                            <a:avLst/>
                            <a:gdLst/>
                            <a:ahLst/>
                            <a:cxnLst/>
                            <a:rect l="0" t="0" r="0" b="0"/>
                            <a:pathLst>
                              <a:path h="101041">
                                <a:moveTo>
                                  <a:pt x="0" y="0"/>
                                </a:moveTo>
                                <a:lnTo>
                                  <a:pt x="0" y="10104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67" name="Shape 15767"/>
                        <wps:cNvSpPr/>
                        <wps:spPr>
                          <a:xfrm>
                            <a:off x="2430974" y="4390640"/>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68" name="Shape 15768"/>
                        <wps:cNvSpPr/>
                        <wps:spPr>
                          <a:xfrm>
                            <a:off x="3575224" y="4309613"/>
                            <a:ext cx="0" cy="101041"/>
                          </a:xfrm>
                          <a:custGeom>
                            <a:avLst/>
                            <a:gdLst/>
                            <a:ahLst/>
                            <a:cxnLst/>
                            <a:rect l="0" t="0" r="0" b="0"/>
                            <a:pathLst>
                              <a:path h="101041">
                                <a:moveTo>
                                  <a:pt x="0" y="0"/>
                                </a:moveTo>
                                <a:lnTo>
                                  <a:pt x="0" y="10104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69" name="Shape 15769"/>
                        <wps:cNvSpPr/>
                        <wps:spPr>
                          <a:xfrm>
                            <a:off x="3544668" y="4390640"/>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70" name="Shape 15770"/>
                        <wps:cNvSpPr/>
                        <wps:spPr>
                          <a:xfrm>
                            <a:off x="1440433" y="4807612"/>
                            <a:ext cx="0" cy="101041"/>
                          </a:xfrm>
                          <a:custGeom>
                            <a:avLst/>
                            <a:gdLst/>
                            <a:ahLst/>
                            <a:cxnLst/>
                            <a:rect l="0" t="0" r="0" b="0"/>
                            <a:pathLst>
                              <a:path h="101041">
                                <a:moveTo>
                                  <a:pt x="0" y="0"/>
                                </a:moveTo>
                                <a:lnTo>
                                  <a:pt x="0" y="10104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71" name="Shape 15771"/>
                        <wps:cNvSpPr/>
                        <wps:spPr>
                          <a:xfrm>
                            <a:off x="1409877" y="4888641"/>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72" name="Shape 15772"/>
                        <wps:cNvSpPr/>
                        <wps:spPr>
                          <a:xfrm>
                            <a:off x="3038835" y="4807612"/>
                            <a:ext cx="0" cy="533044"/>
                          </a:xfrm>
                          <a:custGeom>
                            <a:avLst/>
                            <a:gdLst/>
                            <a:ahLst/>
                            <a:cxnLst/>
                            <a:rect l="0" t="0" r="0" b="0"/>
                            <a:pathLst>
                              <a:path h="533044">
                                <a:moveTo>
                                  <a:pt x="0" y="0"/>
                                </a:moveTo>
                                <a:lnTo>
                                  <a:pt x="0" y="533044"/>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73" name="Shape 15773"/>
                        <wps:cNvSpPr/>
                        <wps:spPr>
                          <a:xfrm>
                            <a:off x="3008279" y="5320640"/>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74" name="Shape 15774"/>
                        <wps:cNvSpPr/>
                        <wps:spPr>
                          <a:xfrm>
                            <a:off x="5242496" y="4807612"/>
                            <a:ext cx="0" cy="434035"/>
                          </a:xfrm>
                          <a:custGeom>
                            <a:avLst/>
                            <a:gdLst/>
                            <a:ahLst/>
                            <a:cxnLst/>
                            <a:rect l="0" t="0" r="0" b="0"/>
                            <a:pathLst>
                              <a:path h="434035">
                                <a:moveTo>
                                  <a:pt x="0" y="0"/>
                                </a:moveTo>
                                <a:lnTo>
                                  <a:pt x="0" y="434035"/>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75" name="Shape 15775"/>
                        <wps:cNvSpPr/>
                        <wps:spPr>
                          <a:xfrm>
                            <a:off x="5211939" y="5221641"/>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76" name="Shape 15776"/>
                        <wps:cNvSpPr/>
                        <wps:spPr>
                          <a:xfrm>
                            <a:off x="5242496" y="5636852"/>
                            <a:ext cx="0" cy="198234"/>
                          </a:xfrm>
                          <a:custGeom>
                            <a:avLst/>
                            <a:gdLst/>
                            <a:ahLst/>
                            <a:cxnLst/>
                            <a:rect l="0" t="0" r="0" b="0"/>
                            <a:pathLst>
                              <a:path h="198234">
                                <a:moveTo>
                                  <a:pt x="0" y="0"/>
                                </a:moveTo>
                                <a:lnTo>
                                  <a:pt x="0" y="198234"/>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77" name="Shape 15777"/>
                        <wps:cNvSpPr/>
                        <wps:spPr>
                          <a:xfrm>
                            <a:off x="5211939" y="5815080"/>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78" name="Shape 15778"/>
                        <wps:cNvSpPr/>
                        <wps:spPr>
                          <a:xfrm>
                            <a:off x="1440433" y="5305612"/>
                            <a:ext cx="0" cy="101041"/>
                          </a:xfrm>
                          <a:custGeom>
                            <a:avLst/>
                            <a:gdLst/>
                            <a:ahLst/>
                            <a:cxnLst/>
                            <a:rect l="0" t="0" r="0" b="0"/>
                            <a:pathLst>
                              <a:path h="101041">
                                <a:moveTo>
                                  <a:pt x="0" y="0"/>
                                </a:moveTo>
                                <a:lnTo>
                                  <a:pt x="0" y="10104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79" name="Shape 15779"/>
                        <wps:cNvSpPr/>
                        <wps:spPr>
                          <a:xfrm>
                            <a:off x="1409877" y="5386640"/>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80" name="Shape 15780"/>
                        <wps:cNvSpPr/>
                        <wps:spPr>
                          <a:xfrm>
                            <a:off x="4301977" y="7159613"/>
                            <a:ext cx="0" cy="182181"/>
                          </a:xfrm>
                          <a:custGeom>
                            <a:avLst/>
                            <a:gdLst/>
                            <a:ahLst/>
                            <a:cxnLst/>
                            <a:rect l="0" t="0" r="0" b="0"/>
                            <a:pathLst>
                              <a:path h="182181">
                                <a:moveTo>
                                  <a:pt x="0" y="0"/>
                                </a:moveTo>
                                <a:lnTo>
                                  <a:pt x="0" y="18218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81" name="Shape 15781"/>
                        <wps:cNvSpPr/>
                        <wps:spPr>
                          <a:xfrm>
                            <a:off x="4271421" y="7321779"/>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82" name="Shape 15782"/>
                        <wps:cNvSpPr/>
                        <wps:spPr>
                          <a:xfrm>
                            <a:off x="4601233" y="6664613"/>
                            <a:ext cx="0" cy="101041"/>
                          </a:xfrm>
                          <a:custGeom>
                            <a:avLst/>
                            <a:gdLst/>
                            <a:ahLst/>
                            <a:cxnLst/>
                            <a:rect l="0" t="0" r="0" b="0"/>
                            <a:pathLst>
                              <a:path h="101041">
                                <a:moveTo>
                                  <a:pt x="0" y="0"/>
                                </a:moveTo>
                                <a:lnTo>
                                  <a:pt x="0" y="10104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83" name="Shape 15783"/>
                        <wps:cNvSpPr/>
                        <wps:spPr>
                          <a:xfrm>
                            <a:off x="4570677" y="6745641"/>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84" name="Shape 15784"/>
                        <wps:cNvSpPr/>
                        <wps:spPr>
                          <a:xfrm>
                            <a:off x="3953235" y="6664613"/>
                            <a:ext cx="0" cy="101041"/>
                          </a:xfrm>
                          <a:custGeom>
                            <a:avLst/>
                            <a:gdLst/>
                            <a:ahLst/>
                            <a:cxnLst/>
                            <a:rect l="0" t="0" r="0" b="0"/>
                            <a:pathLst>
                              <a:path h="101041">
                                <a:moveTo>
                                  <a:pt x="0" y="0"/>
                                </a:moveTo>
                                <a:lnTo>
                                  <a:pt x="0" y="10104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85" name="Shape 15785"/>
                        <wps:cNvSpPr/>
                        <wps:spPr>
                          <a:xfrm>
                            <a:off x="3922679" y="6745641"/>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86" name="Shape 15786"/>
                        <wps:cNvSpPr/>
                        <wps:spPr>
                          <a:xfrm>
                            <a:off x="4666035" y="7740364"/>
                            <a:ext cx="0" cy="279197"/>
                          </a:xfrm>
                          <a:custGeom>
                            <a:avLst/>
                            <a:gdLst/>
                            <a:ahLst/>
                            <a:cxnLst/>
                            <a:rect l="0" t="0" r="0" b="0"/>
                            <a:pathLst>
                              <a:path h="279197">
                                <a:moveTo>
                                  <a:pt x="0" y="0"/>
                                </a:moveTo>
                                <a:lnTo>
                                  <a:pt x="0" y="27919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87" name="Shape 15787"/>
                        <wps:cNvSpPr/>
                        <wps:spPr>
                          <a:xfrm>
                            <a:off x="4635479" y="7999545"/>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88" name="Shape 15788"/>
                        <wps:cNvSpPr/>
                        <wps:spPr>
                          <a:xfrm>
                            <a:off x="3899235" y="7740364"/>
                            <a:ext cx="0" cy="271996"/>
                          </a:xfrm>
                          <a:custGeom>
                            <a:avLst/>
                            <a:gdLst/>
                            <a:ahLst/>
                            <a:cxnLst/>
                            <a:rect l="0" t="0" r="0" b="0"/>
                            <a:pathLst>
                              <a:path h="271996">
                                <a:moveTo>
                                  <a:pt x="0" y="0"/>
                                </a:moveTo>
                                <a:lnTo>
                                  <a:pt x="0" y="271996"/>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89" name="Shape 15789"/>
                        <wps:cNvSpPr/>
                        <wps:spPr>
                          <a:xfrm>
                            <a:off x="3868679" y="7992344"/>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90" name="Shape 15790"/>
                        <wps:cNvSpPr/>
                        <wps:spPr>
                          <a:xfrm>
                            <a:off x="3046500" y="5734613"/>
                            <a:ext cx="0" cy="101041"/>
                          </a:xfrm>
                          <a:custGeom>
                            <a:avLst/>
                            <a:gdLst/>
                            <a:ahLst/>
                            <a:cxnLst/>
                            <a:rect l="0" t="0" r="0" b="0"/>
                            <a:pathLst>
                              <a:path h="101041">
                                <a:moveTo>
                                  <a:pt x="0" y="0"/>
                                </a:moveTo>
                                <a:lnTo>
                                  <a:pt x="0" y="10104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91" name="Shape 15791"/>
                        <wps:cNvSpPr/>
                        <wps:spPr>
                          <a:xfrm>
                            <a:off x="3015944" y="5815641"/>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92" name="Shape 15792"/>
                        <wps:cNvSpPr/>
                        <wps:spPr>
                          <a:xfrm>
                            <a:off x="3575224" y="4807612"/>
                            <a:ext cx="0" cy="312865"/>
                          </a:xfrm>
                          <a:custGeom>
                            <a:avLst/>
                            <a:gdLst/>
                            <a:ahLst/>
                            <a:cxnLst/>
                            <a:rect l="0" t="0" r="0" b="0"/>
                            <a:pathLst>
                              <a:path h="312865">
                                <a:moveTo>
                                  <a:pt x="0" y="0"/>
                                </a:moveTo>
                                <a:lnTo>
                                  <a:pt x="0" y="312865"/>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93" name="Shape 15793"/>
                        <wps:cNvSpPr/>
                        <wps:spPr>
                          <a:xfrm>
                            <a:off x="3544668" y="5100468"/>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94" name="Shape 15794"/>
                        <wps:cNvSpPr/>
                        <wps:spPr>
                          <a:xfrm>
                            <a:off x="2310843" y="5321545"/>
                            <a:ext cx="242900" cy="575831"/>
                          </a:xfrm>
                          <a:custGeom>
                            <a:avLst/>
                            <a:gdLst/>
                            <a:ahLst/>
                            <a:cxnLst/>
                            <a:rect l="0" t="0" r="0" b="0"/>
                            <a:pathLst>
                              <a:path w="242900" h="575831">
                                <a:moveTo>
                                  <a:pt x="242900" y="575831"/>
                                </a:move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95" name="Shape 15795"/>
                        <wps:cNvSpPr/>
                        <wps:spPr>
                          <a:xfrm>
                            <a:off x="2285987" y="5262611"/>
                            <a:ext cx="60808" cy="89243"/>
                          </a:xfrm>
                          <a:custGeom>
                            <a:avLst/>
                            <a:gdLst/>
                            <a:ahLst/>
                            <a:cxnLst/>
                            <a:rect l="0" t="0" r="0" b="0"/>
                            <a:pathLst>
                              <a:path w="60808" h="89243">
                                <a:moveTo>
                                  <a:pt x="0" y="0"/>
                                </a:moveTo>
                                <a:lnTo>
                                  <a:pt x="60808" y="65494"/>
                                </a:lnTo>
                                <a:lnTo>
                                  <a:pt x="24854" y="58941"/>
                                </a:lnTo>
                                <a:lnTo>
                                  <a:pt x="4496" y="89243"/>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96" name="Shape 15796"/>
                        <wps:cNvSpPr/>
                        <wps:spPr>
                          <a:xfrm>
                            <a:off x="2351254" y="5200216"/>
                            <a:ext cx="2112747" cy="839229"/>
                          </a:xfrm>
                          <a:custGeom>
                            <a:avLst/>
                            <a:gdLst/>
                            <a:ahLst/>
                            <a:cxnLst/>
                            <a:rect l="0" t="0" r="0" b="0"/>
                            <a:pathLst>
                              <a:path w="2112747" h="839229">
                                <a:moveTo>
                                  <a:pt x="2112747" y="839229"/>
                                </a:moveTo>
                                <a:lnTo>
                                  <a:pt x="1947748" y="839229"/>
                                </a:lnTo>
                                <a:lnTo>
                                  <a:pt x="1947748" y="0"/>
                                </a:ln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797" name="Shape 15797"/>
                        <wps:cNvSpPr/>
                        <wps:spPr>
                          <a:xfrm>
                            <a:off x="2287298" y="5169660"/>
                            <a:ext cx="83972" cy="61100"/>
                          </a:xfrm>
                          <a:custGeom>
                            <a:avLst/>
                            <a:gdLst/>
                            <a:ahLst/>
                            <a:cxnLst/>
                            <a:rect l="0" t="0" r="0" b="0"/>
                            <a:pathLst>
                              <a:path w="83972" h="61100">
                                <a:moveTo>
                                  <a:pt x="83972" y="0"/>
                                </a:moveTo>
                                <a:lnTo>
                                  <a:pt x="63957" y="30556"/>
                                </a:lnTo>
                                <a:lnTo>
                                  <a:pt x="83972" y="61100"/>
                                </a:lnTo>
                                <a:lnTo>
                                  <a:pt x="0" y="30556"/>
                                </a:lnTo>
                                <a:lnTo>
                                  <a:pt x="83972"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798" name="Rectangle 15798"/>
                        <wps:cNvSpPr/>
                        <wps:spPr>
                          <a:xfrm>
                            <a:off x="3621601" y="7815510"/>
                            <a:ext cx="188673" cy="203030"/>
                          </a:xfrm>
                          <a:prstGeom prst="rect">
                            <a:avLst/>
                          </a:prstGeom>
                          <a:ln>
                            <a:noFill/>
                          </a:ln>
                        </wps:spPr>
                        <wps:txbx>
                          <w:txbxContent>
                            <w:p w:rsidR="00D27BC6" w:rsidRDefault="004D5071">
                              <w:pPr>
                                <w:spacing w:after="160" w:line="259" w:lineRule="auto"/>
                                <w:ind w:left="0" w:right="0" w:firstLine="0"/>
                                <w:jc w:val="left"/>
                              </w:pPr>
                              <w:r>
                                <w:rPr>
                                  <w:spacing w:val="1"/>
                                  <w:w w:val="101"/>
                                </w:rPr>
                                <w:t>Да</w:t>
                              </w:r>
                            </w:p>
                          </w:txbxContent>
                        </wps:txbx>
                        <wps:bodyPr horzOverflow="overflow" vert="horz" lIns="0" tIns="0" rIns="0" bIns="0" rtlCol="0">
                          <a:noAutofit/>
                        </wps:bodyPr>
                      </wps:wsp>
                      <wps:wsp>
                        <wps:cNvPr id="15799" name="Rectangle 15799"/>
                        <wps:cNvSpPr/>
                        <wps:spPr>
                          <a:xfrm>
                            <a:off x="4756473" y="7844339"/>
                            <a:ext cx="263500" cy="203030"/>
                          </a:xfrm>
                          <a:prstGeom prst="rect">
                            <a:avLst/>
                          </a:prstGeom>
                          <a:ln>
                            <a:noFill/>
                          </a:ln>
                        </wps:spPr>
                        <wps:txbx>
                          <w:txbxContent>
                            <w:p w:rsidR="00D27BC6" w:rsidRDefault="004D5071">
                              <w:pPr>
                                <w:spacing w:after="160" w:line="259" w:lineRule="auto"/>
                                <w:ind w:left="0" w:right="0" w:firstLine="0"/>
                                <w:jc w:val="left"/>
                              </w:pPr>
                              <w:r>
                                <w:rPr>
                                  <w:w w:val="104"/>
                                </w:rPr>
                                <w:t>Нет</w:t>
                              </w:r>
                            </w:p>
                          </w:txbxContent>
                        </wps:txbx>
                        <wps:bodyPr horzOverflow="overflow" vert="horz" lIns="0" tIns="0" rIns="0" bIns="0" rtlCol="0">
                          <a:noAutofit/>
                        </wps:bodyPr>
                      </wps:wsp>
                      <wps:wsp>
                        <wps:cNvPr id="15800" name="Shape 15800"/>
                        <wps:cNvSpPr/>
                        <wps:spPr>
                          <a:xfrm>
                            <a:off x="6149231" y="1430052"/>
                            <a:ext cx="0" cy="5915152"/>
                          </a:xfrm>
                          <a:custGeom>
                            <a:avLst/>
                            <a:gdLst/>
                            <a:ahLst/>
                            <a:cxnLst/>
                            <a:rect l="0" t="0" r="0" b="0"/>
                            <a:pathLst>
                              <a:path h="5915152">
                                <a:moveTo>
                                  <a:pt x="0" y="0"/>
                                </a:moveTo>
                                <a:lnTo>
                                  <a:pt x="0" y="5915152"/>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801" name="Shape 15801"/>
                        <wps:cNvSpPr/>
                        <wps:spPr>
                          <a:xfrm>
                            <a:off x="6118675" y="7325193"/>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802" name="Shape 15802"/>
                        <wps:cNvSpPr/>
                        <wps:spPr>
                          <a:xfrm>
                            <a:off x="5651999" y="2375841"/>
                            <a:ext cx="433273" cy="0"/>
                          </a:xfrm>
                          <a:custGeom>
                            <a:avLst/>
                            <a:gdLst/>
                            <a:ahLst/>
                            <a:cxnLst/>
                            <a:rect l="0" t="0" r="0" b="0"/>
                            <a:pathLst>
                              <a:path w="433273">
                                <a:moveTo>
                                  <a:pt x="0" y="0"/>
                                </a:moveTo>
                                <a:lnTo>
                                  <a:pt x="433273"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803" name="Shape 15803"/>
                        <wps:cNvSpPr/>
                        <wps:spPr>
                          <a:xfrm>
                            <a:off x="6065260" y="2345285"/>
                            <a:ext cx="83972" cy="61113"/>
                          </a:xfrm>
                          <a:custGeom>
                            <a:avLst/>
                            <a:gdLst/>
                            <a:ahLst/>
                            <a:cxnLst/>
                            <a:rect l="0" t="0" r="0" b="0"/>
                            <a:pathLst>
                              <a:path w="83972" h="61113">
                                <a:moveTo>
                                  <a:pt x="0" y="0"/>
                                </a:moveTo>
                                <a:lnTo>
                                  <a:pt x="83972" y="30556"/>
                                </a:lnTo>
                                <a:lnTo>
                                  <a:pt x="0" y="61113"/>
                                </a:lnTo>
                                <a:lnTo>
                                  <a:pt x="20015" y="3055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5804" name="Rectangle 15804"/>
                        <wps:cNvSpPr/>
                        <wps:spPr>
                          <a:xfrm>
                            <a:off x="6246002" y="2306554"/>
                            <a:ext cx="263499" cy="203030"/>
                          </a:xfrm>
                          <a:prstGeom prst="rect">
                            <a:avLst/>
                          </a:prstGeom>
                          <a:ln>
                            <a:noFill/>
                          </a:ln>
                        </wps:spPr>
                        <wps:txbx>
                          <w:txbxContent>
                            <w:p w:rsidR="00D27BC6" w:rsidRDefault="004D5071">
                              <w:pPr>
                                <w:spacing w:after="160" w:line="259" w:lineRule="auto"/>
                                <w:ind w:left="0" w:right="0" w:firstLine="0"/>
                                <w:jc w:val="left"/>
                              </w:pPr>
                              <w:r>
                                <w:rPr>
                                  <w:w w:val="104"/>
                                </w:rPr>
                                <w:t>Нет</w:t>
                              </w:r>
                            </w:p>
                          </w:txbxContent>
                        </wps:txbx>
                        <wps:bodyPr horzOverflow="overflow" vert="horz" lIns="0" tIns="0" rIns="0" bIns="0" rtlCol="0">
                          <a:noAutofit/>
                        </wps:bodyPr>
                      </wps:wsp>
                      <wps:wsp>
                        <wps:cNvPr id="15805" name="Shape 15805"/>
                        <wps:cNvSpPr/>
                        <wps:spPr>
                          <a:xfrm>
                            <a:off x="1444029" y="3199807"/>
                            <a:ext cx="0" cy="1210437"/>
                          </a:xfrm>
                          <a:custGeom>
                            <a:avLst/>
                            <a:gdLst/>
                            <a:ahLst/>
                            <a:cxnLst/>
                            <a:rect l="0" t="0" r="0" b="0"/>
                            <a:pathLst>
                              <a:path h="1210437">
                                <a:moveTo>
                                  <a:pt x="0" y="0"/>
                                </a:moveTo>
                                <a:lnTo>
                                  <a:pt x="0" y="1210437"/>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5806" name="Shape 15806"/>
                        <wps:cNvSpPr/>
                        <wps:spPr>
                          <a:xfrm>
                            <a:off x="1413473" y="4390235"/>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75602" style="width:510.236pt;height:663.602pt;mso-position-horizontal-relative:char;mso-position-vertical-relative:line" coordsize="64799,84277">
                <v:shape id="Shape 379156" style="position:absolute;width:64768;height:2162;left:15;top:0;" coordsize="6476835,216230" path="m0,0l6476835,0l6476835,216230l0,216230l0,0">
                  <v:stroke weight="0pt" endcap="flat" joinstyle="miter" miterlimit="10" on="false" color="#000000" opacity="0"/>
                  <v:fill on="true" color="#ef8161"/>
                </v:shape>
                <v:shape id="Shape 15661" style="position:absolute;width:64768;height:2162;left:15;top:0;" coordsize="6476835,216230" path="m0,216230l6476835,216230l6476835,0l0,0x">
                  <v:stroke weight="0.709pt" endcap="flat" joinstyle="miter" miterlimit="4" on="true" color="#000000"/>
                  <v:fill on="false" color="#000000" opacity="0"/>
                </v:shape>
                <v:shape id="Shape 379157" style="position:absolute;width:64768;height:4031;left:15;top:5256;" coordsize="6476822,403199" path="m0,0l6476822,0l6476822,403199l0,403199l0,0">
                  <v:stroke weight="0pt" endcap="flat" joinstyle="miter" miterlimit="4" on="false" color="#000000" opacity="0"/>
                  <v:fill on="true" color="#adb7d6"/>
                </v:shape>
                <v:rect id="Rectangle 15663" style="position:absolute;width:64851;height:2030;left:8288;top:5777;" filled="f" stroked="f">
                  <v:textbox inset="0,0,0,0">
                    <w:txbxContent>
                      <w:p>
                        <w:pPr>
                          <w:spacing w:before="0" w:after="160" w:line="259" w:lineRule="auto"/>
                          <w:ind w:left="0" w:right="0" w:firstLine="0"/>
                          <w:jc w:val="left"/>
                        </w:pPr>
                        <w:r>
                          <w:rPr>
                            <w:w w:val="104"/>
                          </w:rPr>
                          <w:t xml:space="preserve">Контроль</w:t>
                        </w:r>
                        <w:r>
                          <w:rPr>
                            <w:spacing w:val="-3"/>
                            <w:w w:val="104"/>
                          </w:rPr>
                          <w:t xml:space="preserve"> </w:t>
                        </w:r>
                        <w:r>
                          <w:rPr>
                            <w:w w:val="104"/>
                          </w:rPr>
                          <w:t xml:space="preserve">боли,</w:t>
                        </w:r>
                        <w:r>
                          <w:rPr>
                            <w:spacing w:val="-3"/>
                            <w:w w:val="104"/>
                          </w:rPr>
                          <w:t xml:space="preserve"> </w:t>
                        </w:r>
                        <w:r>
                          <w:rPr>
                            <w:w w:val="104"/>
                          </w:rPr>
                          <w:t xml:space="preserve">коррекция</w:t>
                        </w:r>
                        <w:r>
                          <w:rPr>
                            <w:spacing w:val="-3"/>
                            <w:w w:val="104"/>
                          </w:rPr>
                          <w:t xml:space="preserve"> </w:t>
                        </w:r>
                        <w:r>
                          <w:rPr>
                            <w:w w:val="104"/>
                          </w:rPr>
                          <w:t xml:space="preserve">факторов</w:t>
                        </w:r>
                        <w:r>
                          <w:rPr>
                            <w:spacing w:val="-3"/>
                            <w:w w:val="104"/>
                          </w:rPr>
                          <w:t xml:space="preserve"> </w:t>
                        </w:r>
                        <w:r>
                          <w:rPr>
                            <w:w w:val="104"/>
                          </w:rPr>
                          <w:t xml:space="preserve">риска,</w:t>
                        </w:r>
                        <w:r>
                          <w:rPr>
                            <w:spacing w:val="-3"/>
                            <w:w w:val="104"/>
                          </w:rPr>
                          <w:t xml:space="preserve"> </w:t>
                        </w:r>
                        <w:r>
                          <w:rPr>
                            <w:w w:val="104"/>
                          </w:rPr>
                          <w:t xml:space="preserve">уход</w:t>
                        </w:r>
                        <w:r>
                          <w:rPr>
                            <w:spacing w:val="-3"/>
                            <w:w w:val="104"/>
                          </w:rPr>
                          <w:t xml:space="preserve"> </w:t>
                        </w:r>
                        <w:r>
                          <w:rPr>
                            <w:w w:val="104"/>
                          </w:rPr>
                          <w:t xml:space="preserve">за</w:t>
                        </w:r>
                        <w:r>
                          <w:rPr>
                            <w:spacing w:val="-3"/>
                            <w:w w:val="104"/>
                          </w:rPr>
                          <w:t xml:space="preserve"> </w:t>
                        </w:r>
                        <w:r>
                          <w:rPr>
                            <w:w w:val="104"/>
                          </w:rPr>
                          <w:t xml:space="preserve">раной,</w:t>
                        </w:r>
                        <w:r>
                          <w:rPr>
                            <w:spacing w:val="-3"/>
                            <w:w w:val="104"/>
                          </w:rPr>
                          <w:t xml:space="preserve"> </w:t>
                        </w:r>
                        <w:r>
                          <w:rPr>
                            <w:w w:val="104"/>
                          </w:rPr>
                          <w:t xml:space="preserve">антибактериальная</w:t>
                        </w:r>
                        <w:r>
                          <w:rPr>
                            <w:spacing w:val="-3"/>
                            <w:w w:val="104"/>
                          </w:rPr>
                          <w:t xml:space="preserve"> </w:t>
                        </w:r>
                        <w:r>
                          <w:rPr>
                            <w:w w:val="104"/>
                          </w:rPr>
                          <w:t xml:space="preserve">терапия</w:t>
                        </w:r>
                        <w:r>
                          <w:rPr>
                            <w:spacing w:val="-3"/>
                            <w:w w:val="104"/>
                          </w:rPr>
                          <w:t xml:space="preserve"> </w:t>
                        </w:r>
                        <w:r>
                          <w:rPr>
                            <w:spacing w:val="-3"/>
                            <w:w w:val="104"/>
                          </w:rPr>
                          <w:t xml:space="preserve"> </w:t>
                        </w:r>
                      </w:p>
                    </w:txbxContent>
                  </v:textbox>
                </v:rect>
                <v:rect id="Rectangle 275106" style="position:absolute;width:479;height:2030;left:4080;top:7301;" filled="f" stroked="f">
                  <v:textbox inset="0,0,0,0">
                    <w:txbxContent>
                      <w:p>
                        <w:pPr>
                          <w:spacing w:before="0" w:after="160" w:line="259" w:lineRule="auto"/>
                          <w:ind w:left="0" w:right="0" w:firstLine="0"/>
                          <w:jc w:val="left"/>
                        </w:pPr>
                        <w:r>
                          <w:rPr>
                            <w:w w:val="95"/>
                          </w:rPr>
                          <w:t xml:space="preserve">(</w:t>
                        </w:r>
                      </w:p>
                    </w:txbxContent>
                  </v:textbox>
                </v:rect>
                <v:rect id="Rectangle 275108" style="position:absolute;width:74373;height:2030;left:4440;top:7301;" filled="f" stroked="f">
                  <v:textbox inset="0,0,0,0">
                    <w:txbxContent>
                      <w:p>
                        <w:pPr>
                          <w:spacing w:before="0" w:after="160" w:line="259" w:lineRule="auto"/>
                          <w:ind w:left="0" w:right="0" w:firstLine="0"/>
                          <w:jc w:val="left"/>
                        </w:pPr>
                        <w:r>
                          <w:rPr>
                            <w:w w:val="104"/>
                          </w:rPr>
                          <w:t xml:space="preserve">при</w:t>
                        </w:r>
                        <w:r>
                          <w:rPr>
                            <w:spacing w:val="-3"/>
                            <w:w w:val="104"/>
                          </w:rPr>
                          <w:t xml:space="preserve"> </w:t>
                        </w:r>
                        <w:r>
                          <w:rPr>
                            <w:w w:val="104"/>
                          </w:rPr>
                          <w:t xml:space="preserve">наличии</w:t>
                        </w:r>
                        <w:r>
                          <w:rPr>
                            <w:spacing w:val="-3"/>
                            <w:w w:val="104"/>
                          </w:rPr>
                          <w:t xml:space="preserve"> </w:t>
                        </w:r>
                        <w:r>
                          <w:rPr>
                            <w:w w:val="104"/>
                          </w:rPr>
                          <w:t xml:space="preserve">показаний),</w:t>
                        </w:r>
                        <w:r>
                          <w:rPr>
                            <w:spacing w:val="-3"/>
                            <w:w w:val="104"/>
                          </w:rPr>
                          <w:t xml:space="preserve"> </w:t>
                        </w:r>
                        <w:r>
                          <w:rPr>
                            <w:w w:val="104"/>
                          </w:rPr>
                          <w:t xml:space="preserve">хирургическая</w:t>
                        </w:r>
                        <w:r>
                          <w:rPr>
                            <w:spacing w:val="-3"/>
                            <w:w w:val="104"/>
                          </w:rPr>
                          <w:t xml:space="preserve"> </w:t>
                        </w:r>
                        <w:r>
                          <w:rPr>
                            <w:w w:val="104"/>
                          </w:rPr>
                          <w:t xml:space="preserve">обработка</w:t>
                        </w:r>
                        <w:r>
                          <w:rPr>
                            <w:spacing w:val="-3"/>
                            <w:w w:val="104"/>
                          </w:rPr>
                          <w:t xml:space="preserve"> </w:t>
                        </w:r>
                        <w:r>
                          <w:rPr>
                            <w:w w:val="104"/>
                          </w:rPr>
                          <w:t xml:space="preserve">инфицированной</w:t>
                        </w:r>
                        <w:r>
                          <w:rPr>
                            <w:spacing w:val="-3"/>
                            <w:w w:val="104"/>
                          </w:rPr>
                          <w:t xml:space="preserve"> </w:t>
                        </w:r>
                        <w:r>
                          <w:rPr>
                            <w:w w:val="104"/>
                          </w:rPr>
                          <w:t xml:space="preserve">стопы</w:t>
                        </w:r>
                        <w:r>
                          <w:rPr>
                            <w:spacing w:val="-3"/>
                            <w:w w:val="104"/>
                          </w:rPr>
                          <w:t xml:space="preserve"> </w:t>
                        </w:r>
                        <w:r>
                          <w:rPr>
                            <w:w w:val="104"/>
                          </w:rPr>
                          <w:t xml:space="preserve">(при</w:t>
                        </w:r>
                        <w:r>
                          <w:rPr>
                            <w:spacing w:val="-3"/>
                            <w:w w:val="104"/>
                          </w:rPr>
                          <w:t xml:space="preserve"> </w:t>
                        </w:r>
                        <w:r>
                          <w:rPr>
                            <w:w w:val="104"/>
                          </w:rPr>
                          <w:t xml:space="preserve">наличии</w:t>
                        </w:r>
                        <w:r>
                          <w:rPr>
                            <w:spacing w:val="-3"/>
                            <w:w w:val="104"/>
                          </w:rPr>
                          <w:t xml:space="preserve"> </w:t>
                        </w:r>
                        <w:r>
                          <w:rPr>
                            <w:w w:val="104"/>
                          </w:rPr>
                          <w:t xml:space="preserve">показаний</w:t>
                        </w:r>
                      </w:p>
                    </w:txbxContent>
                  </v:textbox>
                </v:rect>
                <v:rect id="Rectangle 275107" style="position:absolute;width:479;height:2030;left:60360;top:7301;" filled="f" stroked="f">
                  <v:textbox inset="0,0,0,0">
                    <w:txbxContent>
                      <w:p>
                        <w:pPr>
                          <w:spacing w:before="0" w:after="160" w:line="259" w:lineRule="auto"/>
                          <w:ind w:left="0" w:right="0" w:firstLine="0"/>
                          <w:jc w:val="left"/>
                        </w:pPr>
                        <w:r>
                          <w:rPr>
                            <w:w w:val="95"/>
                          </w:rPr>
                          <w:t xml:space="preserve">)</w:t>
                        </w:r>
                      </w:p>
                    </w:txbxContent>
                  </v:textbox>
                </v:rect>
                <v:shape id="Shape 15665" style="position:absolute;width:64768;height:4031;left:15;top:5256;" coordsize="6476822,403199" path="m0,403199l6476822,403199l6476822,0l0,0x">
                  <v:stroke weight="0.709pt" endcap="flat" joinstyle="miter" miterlimit="4" on="true" color="#000000"/>
                  <v:fill on="false" color="#000000" opacity="0"/>
                </v:shape>
                <v:shape id="Shape 379200" style="position:absolute;width:64799;height:2162;left:0;top:12132;" coordsize="6479997,216230" path="m0,0l6479997,0l6479997,216230l0,216230l0,0">
                  <v:stroke weight="0pt" endcap="flat" joinstyle="miter" miterlimit="4" on="false" color="#000000" opacity="0"/>
                  <v:fill on="true" color="#c4d983"/>
                </v:shape>
                <v:rect id="Rectangle 15667" style="position:absolute;width:60904;height:2030;left:9503;top:12480;" filled="f" stroked="f">
                  <v:textbox inset="0,0,0,0">
                    <w:txbxContent>
                      <w:p>
                        <w:pPr>
                          <w:spacing w:before="0" w:after="160" w:line="259" w:lineRule="auto"/>
                          <w:ind w:left="0" w:right="0" w:firstLine="0"/>
                          <w:jc w:val="left"/>
                        </w:pPr>
                        <w:r>
                          <w:rPr>
                            <w:w w:val="103"/>
                          </w:rPr>
                          <w:t xml:space="preserve">Пациент</w:t>
                        </w:r>
                        <w:r>
                          <w:rPr>
                            <w:spacing w:val="-3"/>
                            <w:w w:val="103"/>
                          </w:rPr>
                          <w:t xml:space="preserve"> </w:t>
                        </w:r>
                        <w:r>
                          <w:rPr>
                            <w:w w:val="103"/>
                          </w:rPr>
                          <w:t xml:space="preserve">является</w:t>
                        </w:r>
                        <w:r>
                          <w:rPr>
                            <w:spacing w:val="-3"/>
                            <w:w w:val="103"/>
                          </w:rPr>
                          <w:t xml:space="preserve"> </w:t>
                        </w:r>
                        <w:r>
                          <w:rPr>
                            <w:w w:val="103"/>
                          </w:rPr>
                          <w:t xml:space="preserve">кандидатом</w:t>
                        </w:r>
                        <w:r>
                          <w:rPr>
                            <w:spacing w:val="-3"/>
                            <w:w w:val="103"/>
                          </w:rPr>
                          <w:t xml:space="preserve"> </w:t>
                        </w:r>
                        <w:r>
                          <w:rPr>
                            <w:w w:val="103"/>
                          </w:rPr>
                          <w:t xml:space="preserve">на</w:t>
                        </w:r>
                        <w:r>
                          <w:rPr>
                            <w:spacing w:val="-3"/>
                            <w:w w:val="103"/>
                          </w:rPr>
                          <w:t xml:space="preserve"> </w:t>
                        </w:r>
                        <w:r>
                          <w:rPr>
                            <w:w w:val="103"/>
                          </w:rPr>
                          <w:t xml:space="preserve">реваскуляризацию</w:t>
                        </w:r>
                        <w:r>
                          <w:rPr>
                            <w:spacing w:val="-3"/>
                            <w:w w:val="103"/>
                          </w:rPr>
                          <w:t xml:space="preserve"> </w:t>
                        </w:r>
                        <w:r>
                          <w:rPr>
                            <w:w w:val="103"/>
                          </w:rPr>
                          <w:t xml:space="preserve">артерий</w:t>
                        </w:r>
                        <w:r>
                          <w:rPr>
                            <w:spacing w:val="-3"/>
                            <w:w w:val="103"/>
                          </w:rPr>
                          <w:t xml:space="preserve"> </w:t>
                        </w:r>
                        <w:r>
                          <w:rPr>
                            <w:w w:val="103"/>
                          </w:rPr>
                          <w:t xml:space="preserve">нижних</w:t>
                        </w:r>
                        <w:r>
                          <w:rPr>
                            <w:spacing w:val="-3"/>
                            <w:w w:val="103"/>
                          </w:rPr>
                          <w:t xml:space="preserve"> </w:t>
                        </w:r>
                        <w:r>
                          <w:rPr>
                            <w:w w:val="103"/>
                          </w:rPr>
                          <w:t xml:space="preserve">конечностей</w:t>
                        </w:r>
                      </w:p>
                    </w:txbxContent>
                  </v:textbox>
                </v:rect>
                <v:shape id="Shape 15668" style="position:absolute;width:64799;height:2162;left:0;top:12132;" coordsize="6479997,216230" path="m0,216230l6479997,216230l6479997,0l0,0x">
                  <v:stroke weight="0.709pt" endcap="flat" joinstyle="miter" miterlimit="4" on="true" color="#000000"/>
                  <v:fill on="false" color="#000000" opacity="0"/>
                </v:shape>
                <v:shape id="Shape 379217" style="position:absolute;width:21870;height:3299;left:19530;top:17112;" coordsize="2187004,329997" path="m0,0l2187004,0l2187004,329997l0,329997l0,0">
                  <v:stroke weight="0pt" endcap="flat" joinstyle="miter" miterlimit="4" on="false" color="#000000" opacity="0"/>
                  <v:fill on="true" color="#fbd9ca"/>
                </v:shape>
                <v:rect id="Rectangle 15670" style="position:absolute;width:16382;height:2030;left:24306;top:18029;" filled="f" stroked="f">
                  <v:textbox inset="0,0,0,0">
                    <w:txbxContent>
                      <w:p>
                        <w:pPr>
                          <w:spacing w:before="0" w:after="160" w:line="259" w:lineRule="auto"/>
                          <w:ind w:left="0" w:right="0" w:firstLine="0"/>
                          <w:jc w:val="left"/>
                        </w:pPr>
                        <w:r>
                          <w:rPr>
                            <w:w w:val="102"/>
                          </w:rPr>
                          <w:t xml:space="preserve">Методы</w:t>
                        </w:r>
                        <w:r>
                          <w:rPr>
                            <w:spacing w:val="-3"/>
                            <w:w w:val="102"/>
                          </w:rPr>
                          <w:t xml:space="preserve"> </w:t>
                        </w:r>
                        <w:r>
                          <w:rPr>
                            <w:w w:val="102"/>
                          </w:rPr>
                          <w:t xml:space="preserve">визуализации</w:t>
                        </w:r>
                      </w:p>
                    </w:txbxContent>
                  </v:textbox>
                </v:rect>
                <v:shape id="Shape 15671" style="position:absolute;width:21870;height:3299;left:19530;top:17112;" coordsize="2187004,329997" path="m0,329997l2187004,329997l2187004,0l0,0x">
                  <v:stroke weight="0.709pt" endcap="flat" joinstyle="miter" miterlimit="4" on="true" color="#000000"/>
                  <v:fill on="false" color="#000000" opacity="0"/>
                </v:shape>
                <v:shape id="Shape 379222" style="position:absolute;width:21870;height:3299;left:4949;top:22062;" coordsize="2187003,329997" path="m0,0l2187003,0l2187003,329997l0,329997l0,0">
                  <v:stroke weight="0pt" endcap="flat" joinstyle="miter" miterlimit="4" on="false" color="#000000" opacity="0"/>
                  <v:fill on="true" color="#c4d983"/>
                </v:shape>
                <v:rect id="Rectangle 15673" style="position:absolute;width:21285;height:2030;left:7882;top:22979;" filled="f" stroked="f">
                  <v:textbox inset="0,0,0,0">
                    <w:txbxContent>
                      <w:p>
                        <w:pPr>
                          <w:spacing w:before="0" w:after="160" w:line="259" w:lineRule="auto"/>
                          <w:ind w:left="0" w:right="0" w:firstLine="0"/>
                          <w:jc w:val="left"/>
                        </w:pPr>
                        <w:r>
                          <w:rPr>
                            <w:w w:val="103"/>
                          </w:rPr>
                          <w:t xml:space="preserve">Реваскуляризация</w:t>
                        </w:r>
                        <w:r>
                          <w:rPr>
                            <w:spacing w:val="-3"/>
                            <w:w w:val="103"/>
                          </w:rPr>
                          <w:t xml:space="preserve"> </w:t>
                        </w:r>
                        <w:r>
                          <w:rPr>
                            <w:w w:val="103"/>
                          </w:rPr>
                          <w:t xml:space="preserve">возможна</w:t>
                        </w:r>
                      </w:p>
                    </w:txbxContent>
                  </v:textbox>
                </v:rect>
                <v:shape id="Shape 15674" style="position:absolute;width:21870;height:3299;left:4949;top:22062;" coordsize="2187003,329997" path="m0,329997l2187003,329997l2187003,0l0,0x">
                  <v:stroke weight="0.709pt" endcap="flat" joinstyle="miter" miterlimit="4" on="true" color="#000000"/>
                  <v:fill on="false" color="#000000" opacity="0"/>
                </v:shape>
                <v:shape id="Shape 379227" style="position:absolute;width:21870;height:3299;left:34650;top:22062;" coordsize="2187003,329997" path="m0,0l2187003,0l2187003,329997l0,329997l0,0">
                  <v:stroke weight="0pt" endcap="flat" joinstyle="miter" miterlimit="4" on="false" color="#000000" opacity="0"/>
                  <v:fill on="true" color="#ef8161"/>
                </v:shape>
                <v:rect id="Rectangle 15676" style="position:absolute;width:23054;height:2030;left:36918;top:22979;" filled="f" stroked="f">
                  <v:textbox inset="0,0,0,0">
                    <w:txbxContent>
                      <w:p>
                        <w:pPr>
                          <w:spacing w:before="0" w:after="160" w:line="259" w:lineRule="auto"/>
                          <w:ind w:left="0" w:right="0" w:firstLine="0"/>
                          <w:jc w:val="left"/>
                        </w:pPr>
                        <w:r>
                          <w:rPr>
                            <w:w w:val="103"/>
                          </w:rPr>
                          <w:t xml:space="preserve">Реваскуляризация</w:t>
                        </w:r>
                        <w:r>
                          <w:rPr>
                            <w:spacing w:val="-3"/>
                            <w:w w:val="103"/>
                          </w:rPr>
                          <w:t xml:space="preserve"> </w:t>
                        </w:r>
                        <w:r>
                          <w:rPr>
                            <w:w w:val="103"/>
                          </w:rPr>
                          <w:t xml:space="preserve">невозможна</w:t>
                        </w:r>
                      </w:p>
                    </w:txbxContent>
                  </v:textbox>
                </v:rect>
                <v:shape id="Shape 15677" style="position:absolute;width:21870;height:3299;left:34650;top:22062;" coordsize="2187003,329997" path="m0,329997l2187003,329997l2187003,0l0,0x">
                  <v:stroke weight="0.709pt" endcap="flat" joinstyle="miter" miterlimit="4" on="true" color="#000000"/>
                  <v:fill on="false" color="#000000" opacity="0"/>
                </v:shape>
                <v:shape id="Shape 379232" style="position:absolute;width:14039;height:4984;left:4949;top:27012;" coordsize="1403998,498411" path="m0,0l1403998,0l1403998,498411l0,498411l0,0">
                  <v:stroke weight="0pt" endcap="flat" joinstyle="miter" miterlimit="4" on="false" color="#000000" opacity="0"/>
                  <v:fill on="true" color="#d6daeb"/>
                </v:shape>
                <v:rect id="Rectangle 15679" style="position:absolute;width:14071;height:2030;left:6814;top:28009;" filled="f" stroked="f">
                  <v:textbox inset="0,0,0,0">
                    <w:txbxContent>
                      <w:p>
                        <w:pPr>
                          <w:spacing w:before="0" w:after="160" w:line="259" w:lineRule="auto"/>
                          <w:ind w:left="0" w:right="0" w:firstLine="0"/>
                          <w:jc w:val="left"/>
                        </w:pPr>
                        <w:r>
                          <w:rPr>
                            <w:w w:val="103"/>
                          </w:rPr>
                          <w:t xml:space="preserve">Стенозы,</w:t>
                        </w:r>
                        <w:r>
                          <w:rPr>
                            <w:spacing w:val="-3"/>
                            <w:w w:val="103"/>
                          </w:rPr>
                          <w:t xml:space="preserve"> </w:t>
                        </w:r>
                        <w:r>
                          <w:rPr>
                            <w:w w:val="103"/>
                          </w:rPr>
                          <w:t xml:space="preserve">короткие</w:t>
                        </w:r>
                        <w:r>
                          <w:rPr>
                            <w:spacing w:val="-3"/>
                            <w:w w:val="103"/>
                          </w:rPr>
                          <w:t xml:space="preserve"> </w:t>
                        </w:r>
                      </w:p>
                    </w:txbxContent>
                  </v:textbox>
                </v:rect>
                <v:rect id="Rectangle 15680" style="position:absolute;width:13696;height:2030;left:6820;top:29533;" filled="f" stroked="f">
                  <v:textbox inset="0,0,0,0">
                    <w:txbxContent>
                      <w:p>
                        <w:pPr>
                          <w:spacing w:before="0" w:after="160" w:line="259" w:lineRule="auto"/>
                          <w:ind w:left="0" w:right="0" w:firstLine="0"/>
                          <w:jc w:val="left"/>
                        </w:pPr>
                        <w:r>
                          <w:rPr>
                            <w:w w:val="104"/>
                          </w:rPr>
                          <w:t xml:space="preserve">окклюзии</w:t>
                        </w:r>
                        <w:r>
                          <w:rPr>
                            <w:spacing w:val="-3"/>
                            <w:w w:val="104"/>
                          </w:rPr>
                          <w:t xml:space="preserve"> </w:t>
                        </w:r>
                        <w:r>
                          <w:rPr>
                            <w:w w:val="104"/>
                          </w:rPr>
                          <w:t xml:space="preserve">артерий</w:t>
                        </w:r>
                      </w:p>
                    </w:txbxContent>
                  </v:textbox>
                </v:rect>
                <v:shape id="Shape 15681" style="position:absolute;width:14039;height:4984;left:4949;top:27012;" coordsize="1403998,498411" path="m0,498411l1403998,498411l1403998,0l0,0x">
                  <v:stroke weight="0.709pt" endcap="flat" joinstyle="miter" miterlimit="4" on="true" color="#000000"/>
                  <v:fill on="false" color="#000000" opacity="0"/>
                </v:shape>
                <v:shape id="Shape 379242" style="position:absolute;width:14039;height:4984;left:23444;top:27012;" coordsize="1403998,498411" path="m0,0l1403998,0l1403998,498411l0,498411l0,0">
                  <v:stroke weight="0pt" endcap="flat" joinstyle="miter" miterlimit="4" on="false" color="#000000" opacity="0"/>
                  <v:fill on="true" color="#d6daeb"/>
                </v:shape>
                <v:rect id="Rectangle 15683" style="position:absolute;width:10969;height:2030;left:26610;top:28009;" filled="f" stroked="f">
                  <v:textbox inset="0,0,0,0">
                    <w:txbxContent>
                      <w:p>
                        <w:pPr>
                          <w:spacing w:before="0" w:after="160" w:line="259" w:lineRule="auto"/>
                          <w:ind w:left="0" w:right="0" w:firstLine="0"/>
                          <w:jc w:val="left"/>
                        </w:pPr>
                        <w:r>
                          <w:rPr>
                            <w:w w:val="103"/>
                          </w:rPr>
                          <w:t xml:space="preserve">Протяженные</w:t>
                        </w:r>
                        <w:r>
                          <w:rPr>
                            <w:spacing w:val="-3"/>
                            <w:w w:val="103"/>
                          </w:rPr>
                          <w:t xml:space="preserve"> </w:t>
                        </w:r>
                        <w:r>
                          <w:rPr>
                            <w:spacing w:val="-3"/>
                            <w:w w:val="103"/>
                          </w:rPr>
                          <w:t xml:space="preserve"> </w:t>
                        </w:r>
                      </w:p>
                    </w:txbxContent>
                  </v:textbox>
                </v:rect>
                <v:rect id="Rectangle 15684" style="position:absolute;width:7237;height:2030;left:27743;top:29533;" filled="f" stroked="f">
                  <v:textbox inset="0,0,0,0">
                    <w:txbxContent>
                      <w:p>
                        <w:pPr>
                          <w:spacing w:before="0" w:after="160" w:line="259" w:lineRule="auto"/>
                          <w:ind w:left="0" w:right="0" w:firstLine="0"/>
                          <w:jc w:val="left"/>
                        </w:pPr>
                        <w:r>
                          <w:rPr>
                            <w:w w:val="103"/>
                          </w:rPr>
                          <w:t xml:space="preserve">окклюзии</w:t>
                        </w:r>
                      </w:p>
                    </w:txbxContent>
                  </v:textbox>
                </v:rect>
                <v:shape id="Shape 15685" style="position:absolute;width:14039;height:4984;left:23444;top:27012;" coordsize="1403998,498411" path="m0,498411l1403998,498411l1403998,0l0,0x">
                  <v:stroke weight="0.709pt" endcap="flat" joinstyle="miter" miterlimit="4" on="true" color="#000000"/>
                  <v:fill on="false" color="#000000" opacity="0"/>
                </v:shape>
                <v:shape id="Shape 379249" style="position:absolute;width:14039;height:9449;left:15254;top:33646;" coordsize="1403998,944994" path="m0,0l1403998,0l1403998,944994l0,944994l0,0">
                  <v:stroke weight="0pt" endcap="flat" joinstyle="miter" miterlimit="4" on="false" color="#000000" opacity="0"/>
                  <v:fill on="true" color="#d6daeb"/>
                </v:shape>
                <v:rect id="Rectangle 15687" style="position:absolute;width:15875;height:2030;left:16441;top:34590;" filled="f" stroked="f">
                  <v:textbox inset="0,0,0,0">
                    <w:txbxContent>
                      <w:p>
                        <w:pPr>
                          <w:spacing w:before="0" w:after="160" w:line="259" w:lineRule="auto"/>
                          <w:ind w:left="0" w:right="0" w:firstLine="0"/>
                          <w:jc w:val="left"/>
                        </w:pPr>
                        <w:r>
                          <w:rPr>
                            <w:w w:val="104"/>
                          </w:rPr>
                          <w:t xml:space="preserve">Отсутствует</w:t>
                        </w:r>
                        <w:r>
                          <w:rPr>
                            <w:spacing w:val="-3"/>
                            <w:w w:val="104"/>
                          </w:rPr>
                          <w:t xml:space="preserve"> </w:t>
                        </w:r>
                        <w:r>
                          <w:rPr>
                            <w:w w:val="104"/>
                          </w:rPr>
                          <w:t xml:space="preserve">большая</w:t>
                        </w:r>
                        <w:r>
                          <w:rPr>
                            <w:spacing w:val="-3"/>
                            <w:w w:val="104"/>
                          </w:rPr>
                          <w:t xml:space="preserve"> </w:t>
                        </w:r>
                      </w:p>
                    </w:txbxContent>
                  </v:textbox>
                </v:rect>
                <v:rect id="Rectangle 15688" style="position:absolute;width:12293;height:2030;left:17787;top:36114;" filled="f" stroked="f">
                  <v:textbox inset="0,0,0,0">
                    <w:txbxContent>
                      <w:p>
                        <w:pPr>
                          <w:spacing w:before="0" w:after="160" w:line="259" w:lineRule="auto"/>
                          <w:ind w:left="0" w:right="0" w:firstLine="0"/>
                          <w:jc w:val="left"/>
                        </w:pPr>
                        <w:r>
                          <w:rPr>
                            <w:w w:val="103"/>
                          </w:rPr>
                          <w:t xml:space="preserve">подкожная</w:t>
                        </w:r>
                        <w:r>
                          <w:rPr>
                            <w:spacing w:val="-3"/>
                            <w:w w:val="103"/>
                          </w:rPr>
                          <w:t xml:space="preserve"> </w:t>
                        </w:r>
                        <w:r>
                          <w:rPr>
                            <w:w w:val="103"/>
                          </w:rPr>
                          <w:t xml:space="preserve">вена</w:t>
                        </w:r>
                        <w:r>
                          <w:rPr>
                            <w:spacing w:val="-3"/>
                            <w:w w:val="103"/>
                          </w:rPr>
                          <w:t xml:space="preserve"> </w:t>
                        </w:r>
                      </w:p>
                    </w:txbxContent>
                  </v:textbox>
                </v:rect>
                <v:rect id="Rectangle 15689" style="position:absolute;width:13593;height:2030;left:17298;top:37638;" filled="f" stroked="f">
                  <v:textbox inset="0,0,0,0">
                    <w:txbxContent>
                      <w:p>
                        <w:pPr>
                          <w:spacing w:before="0" w:after="160" w:line="259" w:lineRule="auto"/>
                          <w:ind w:left="0" w:right="0" w:firstLine="0"/>
                          <w:jc w:val="left"/>
                        </w:pPr>
                        <w:r>
                          <w:rPr>
                            <w:w w:val="104"/>
                          </w:rPr>
                          <w:t xml:space="preserve">или</w:t>
                        </w:r>
                        <w:r>
                          <w:rPr>
                            <w:spacing w:val="-3"/>
                            <w:w w:val="104"/>
                          </w:rPr>
                          <w:t xml:space="preserve"> </w:t>
                        </w:r>
                        <w:r>
                          <w:rPr>
                            <w:w w:val="104"/>
                          </w:rPr>
                          <w:t xml:space="preserve">высокий</w:t>
                        </w:r>
                        <w:r>
                          <w:rPr>
                            <w:spacing w:val="-3"/>
                            <w:w w:val="104"/>
                          </w:rPr>
                          <w:t xml:space="preserve"> </w:t>
                        </w:r>
                        <w:r>
                          <w:rPr>
                            <w:w w:val="104"/>
                          </w:rPr>
                          <w:t xml:space="preserve">риск</w:t>
                        </w:r>
                        <w:r>
                          <w:rPr>
                            <w:spacing w:val="-3"/>
                            <w:w w:val="104"/>
                          </w:rPr>
                          <w:t xml:space="preserve"> </w:t>
                        </w:r>
                      </w:p>
                    </w:txbxContent>
                  </v:textbox>
                </v:rect>
                <v:rect id="Rectangle 15690" style="position:absolute;width:12075;height:2030;left:17868;top:39162;" filled="f" stroked="f">
                  <v:textbox inset="0,0,0,0">
                    <w:txbxContent>
                      <w:p>
                        <w:pPr>
                          <w:spacing w:before="0" w:after="160" w:line="259" w:lineRule="auto"/>
                          <w:ind w:left="0" w:right="0" w:firstLine="0"/>
                          <w:jc w:val="left"/>
                        </w:pPr>
                        <w:r>
                          <w:rPr>
                            <w:w w:val="106"/>
                          </w:rPr>
                          <w:t xml:space="preserve">хирургического</w:t>
                        </w:r>
                        <w:r>
                          <w:rPr>
                            <w:spacing w:val="-3"/>
                            <w:w w:val="106"/>
                          </w:rPr>
                          <w:t xml:space="preserve"> </w:t>
                        </w:r>
                      </w:p>
                    </w:txbxContent>
                  </v:textbox>
                </v:rect>
                <v:rect id="Rectangle 15691" style="position:absolute;width:11156;height:2030;left:18079;top:40686;" filled="f" stroked="f">
                  <v:textbox inset="0,0,0,0">
                    <w:txbxContent>
                      <w:p>
                        <w:pPr>
                          <w:spacing w:before="0" w:after="160" w:line="259" w:lineRule="auto"/>
                          <w:ind w:left="0" w:right="0" w:firstLine="0"/>
                          <w:jc w:val="left"/>
                        </w:pPr>
                        <w:r>
                          <w:rPr>
                            <w:w w:val="102"/>
                          </w:rPr>
                          <w:t xml:space="preserve">вмешательства</w:t>
                        </w:r>
                      </w:p>
                    </w:txbxContent>
                  </v:textbox>
                </v:rect>
                <v:shape id="Shape 15692" style="position:absolute;width:14039;height:9449;left:15254;top:33646;" coordsize="1403998,944994" path="m0,944994l1403998,944994l1403998,0l0,0x">
                  <v:stroke weight="0.709pt" endcap="flat" joinstyle="miter" miterlimit="4" on="true" color="#000000"/>
                  <v:fill on="false" color="#000000" opacity="0"/>
                </v:shape>
                <v:shape id="Shape 379272" style="position:absolute;width:14039;height:9449;left:31545;top:33646;" coordsize="1403998,944994" path="m0,0l1403998,0l1403998,944994l0,944994l0,0">
                  <v:stroke weight="0pt" endcap="flat" joinstyle="miter" miterlimit="4" on="false" color="#000000" opacity="0"/>
                  <v:fill on="true" color="#d6daeb"/>
                </v:shape>
                <v:rect id="Rectangle 15694" style="position:absolute;width:17027;height:2030;left:32298;top:34590;" filled="f" stroked="f">
                  <v:textbox inset="0,0,0,0">
                    <w:txbxContent>
                      <w:p>
                        <w:pPr>
                          <w:spacing w:before="0" w:after="160" w:line="259" w:lineRule="auto"/>
                          <w:ind w:left="0" w:right="0" w:firstLine="0"/>
                          <w:jc w:val="left"/>
                        </w:pPr>
                        <w:r>
                          <w:rPr>
                            <w:w w:val="104"/>
                          </w:rPr>
                          <w:t xml:space="preserve">Есть</w:t>
                        </w:r>
                        <w:r>
                          <w:rPr>
                            <w:spacing w:val="-3"/>
                            <w:w w:val="104"/>
                          </w:rPr>
                          <w:t xml:space="preserve"> </w:t>
                        </w:r>
                        <w:r>
                          <w:rPr>
                            <w:w w:val="104"/>
                          </w:rPr>
                          <w:t xml:space="preserve">доступ</w:t>
                        </w:r>
                        <w:r>
                          <w:rPr>
                            <w:spacing w:val="-3"/>
                            <w:w w:val="104"/>
                          </w:rPr>
                          <w:t xml:space="preserve"> </w:t>
                        </w:r>
                        <w:r>
                          <w:rPr>
                            <w:w w:val="104"/>
                          </w:rPr>
                          <w:t xml:space="preserve">к</w:t>
                        </w:r>
                        <w:r>
                          <w:rPr>
                            <w:spacing w:val="-3"/>
                            <w:w w:val="104"/>
                          </w:rPr>
                          <w:t xml:space="preserve"> </w:t>
                        </w:r>
                        <w:r>
                          <w:rPr>
                            <w:w w:val="104"/>
                          </w:rPr>
                          <w:t xml:space="preserve">большой</w:t>
                        </w:r>
                        <w:r>
                          <w:rPr>
                            <w:spacing w:val="-3"/>
                            <w:w w:val="104"/>
                          </w:rPr>
                          <w:t xml:space="preserve"> </w:t>
                        </w:r>
                      </w:p>
                    </w:txbxContent>
                  </v:textbox>
                </v:rect>
                <v:rect id="Rectangle 15695" style="position:absolute;width:13232;height:2030;left:33859;top:36114;" filled="f" stroked="f">
                  <v:textbox inset="0,0,0,0">
                    <w:txbxContent>
                      <w:p>
                        <w:pPr>
                          <w:spacing w:before="0" w:after="160" w:line="259" w:lineRule="auto"/>
                          <w:ind w:left="0" w:right="0" w:firstLine="0"/>
                          <w:jc w:val="left"/>
                        </w:pPr>
                        <w:r>
                          <w:rPr>
                            <w:w w:val="102"/>
                          </w:rPr>
                          <w:t xml:space="preserve">подкожной</w:t>
                        </w:r>
                        <w:r>
                          <w:rPr>
                            <w:spacing w:val="-3"/>
                            <w:w w:val="102"/>
                          </w:rPr>
                          <w:t xml:space="preserve"> </w:t>
                        </w:r>
                        <w:r>
                          <w:rPr>
                            <w:w w:val="102"/>
                          </w:rPr>
                          <w:t xml:space="preserve">вене,</w:t>
                        </w:r>
                        <w:r>
                          <w:rPr>
                            <w:spacing w:val="-3"/>
                            <w:w w:val="102"/>
                          </w:rPr>
                          <w:t xml:space="preserve"> </w:t>
                        </w:r>
                        <w:r>
                          <w:rPr>
                            <w:spacing w:val="-3"/>
                            <w:w w:val="102"/>
                          </w:rPr>
                          <w:t xml:space="preserve"> </w:t>
                        </w:r>
                      </w:p>
                    </w:txbxContent>
                  </v:textbox>
                </v:rect>
                <v:rect id="Rectangle 15696" style="position:absolute;width:15059;height:2030;left:33037;top:37638;" filled="f" stroked="f">
                  <v:textbox inset="0,0,0,0">
                    <w:txbxContent>
                      <w:p>
                        <w:pPr>
                          <w:spacing w:before="0" w:after="160" w:line="259" w:lineRule="auto"/>
                          <w:ind w:left="0" w:right="0" w:firstLine="0"/>
                          <w:jc w:val="left"/>
                        </w:pPr>
                        <w:r>
                          <w:rPr>
                            <w:w w:val="103"/>
                          </w:rPr>
                          <w:t xml:space="preserve">и</w:t>
                        </w:r>
                        <w:r>
                          <w:rPr>
                            <w:spacing w:val="-3"/>
                            <w:w w:val="103"/>
                          </w:rPr>
                          <w:t xml:space="preserve"> </w:t>
                        </w:r>
                        <w:r>
                          <w:rPr>
                            <w:w w:val="103"/>
                          </w:rPr>
                          <w:t xml:space="preserve">пациент</w:t>
                        </w:r>
                        <w:r>
                          <w:rPr>
                            <w:spacing w:val="-3"/>
                            <w:w w:val="103"/>
                          </w:rPr>
                          <w:t xml:space="preserve"> </w:t>
                        </w:r>
                        <w:r>
                          <w:rPr>
                            <w:w w:val="103"/>
                          </w:rPr>
                          <w:t xml:space="preserve">пригоден</w:t>
                        </w:r>
                        <w:r>
                          <w:rPr>
                            <w:spacing w:val="-3"/>
                            <w:w w:val="103"/>
                          </w:rPr>
                          <w:t xml:space="preserve"> </w:t>
                        </w:r>
                      </w:p>
                    </w:txbxContent>
                  </v:textbox>
                </v:rect>
                <v:rect id="Rectangle 15697" style="position:absolute;width:15044;height:2030;left:33042;top:39162;" filled="f" stroked="f">
                  <v:textbox inset="0,0,0,0">
                    <w:txbxContent>
                      <w:p>
                        <w:pPr>
                          <w:spacing w:before="0" w:after="160" w:line="259" w:lineRule="auto"/>
                          <w:ind w:left="0" w:right="0" w:firstLine="0"/>
                          <w:jc w:val="left"/>
                        </w:pPr>
                        <w:r>
                          <w:rPr>
                            <w:w w:val="105"/>
                          </w:rPr>
                          <w:t xml:space="preserve">для</w:t>
                        </w:r>
                        <w:r>
                          <w:rPr>
                            <w:spacing w:val="-3"/>
                            <w:w w:val="105"/>
                          </w:rPr>
                          <w:t xml:space="preserve"> </w:t>
                        </w:r>
                        <w:r>
                          <w:rPr>
                            <w:w w:val="105"/>
                          </w:rPr>
                          <w:t xml:space="preserve">хирургического</w:t>
                        </w:r>
                        <w:r>
                          <w:rPr>
                            <w:spacing w:val="-3"/>
                            <w:w w:val="105"/>
                          </w:rPr>
                          <w:t xml:space="preserve"> </w:t>
                        </w:r>
                      </w:p>
                    </w:txbxContent>
                  </v:textbox>
                </v:rect>
                <v:rect id="Rectangle 15698" style="position:absolute;width:11156;height:2030;left:34369;top:40686;" filled="f" stroked="f">
                  <v:textbox inset="0,0,0,0">
                    <w:txbxContent>
                      <w:p>
                        <w:pPr>
                          <w:spacing w:before="0" w:after="160" w:line="259" w:lineRule="auto"/>
                          <w:ind w:left="0" w:right="0" w:firstLine="0"/>
                          <w:jc w:val="left"/>
                        </w:pPr>
                        <w:r>
                          <w:rPr>
                            <w:w w:val="102"/>
                          </w:rPr>
                          <w:t xml:space="preserve">вмешательства</w:t>
                        </w:r>
                      </w:p>
                    </w:txbxContent>
                  </v:textbox>
                </v:rect>
                <v:shape id="Shape 15699" style="position:absolute;width:14039;height:9449;left:31545;top:33646;" coordsize="1403998,944994" path="m0,944994l1403998,944994l1403998,0l0,0x">
                  <v:stroke weight="0.709pt" endcap="flat" joinstyle="miter" miterlimit="4" on="true" color="#000000"/>
                  <v:fill on="false" color="#000000" opacity="0"/>
                </v:shape>
                <v:shape id="Shape 379302" style="position:absolute;width:20159;height:3329;left:12240;top:44746;" coordsize="2015998,332994" path="m0,0l2015998,0l2015998,332994l0,332994l0,0">
                  <v:stroke weight="0pt" endcap="flat" joinstyle="miter" miterlimit="4" on="false" color="#000000" opacity="0"/>
                  <v:fill on="true" color="#c4d983"/>
                </v:shape>
                <v:rect id="Rectangle 15701" style="position:absolute;width:19677;height:2030;left:15056;top:44916;" filled="f" stroked="f">
                  <v:textbox inset="0,0,0,0">
                    <w:txbxContent>
                      <w:p>
                        <w:pPr>
                          <w:spacing w:before="0" w:after="160" w:line="259" w:lineRule="auto"/>
                          <w:ind w:left="0" w:right="0" w:firstLine="0"/>
                          <w:jc w:val="left"/>
                        </w:pPr>
                        <w:r>
                          <w:rPr>
                            <w:w w:val="104"/>
                          </w:rPr>
                          <w:t xml:space="preserve">Сначала</w:t>
                        </w:r>
                        <w:r>
                          <w:rPr>
                            <w:spacing w:val="-3"/>
                            <w:w w:val="104"/>
                          </w:rPr>
                          <w:t xml:space="preserve"> </w:t>
                        </w:r>
                        <w:r>
                          <w:rPr>
                            <w:w w:val="104"/>
                          </w:rPr>
                          <w:t xml:space="preserve">эндоваскулярное</w:t>
                        </w:r>
                        <w:r>
                          <w:rPr>
                            <w:spacing w:val="-3"/>
                            <w:w w:val="104"/>
                          </w:rPr>
                          <w:t xml:space="preserve"> </w:t>
                        </w:r>
                      </w:p>
                    </w:txbxContent>
                  </v:textbox>
                </v:rect>
                <v:rect id="Rectangle 15702" style="position:absolute;width:11269;height:2030;left:18083;top:46440;" filled="f" stroked="f">
                  <v:textbox inset="0,0,0,0">
                    <w:txbxContent>
                      <w:p>
                        <w:pPr>
                          <w:spacing w:before="0" w:after="160" w:line="259" w:lineRule="auto"/>
                          <w:ind w:left="0" w:right="0" w:firstLine="0"/>
                          <w:jc w:val="left"/>
                        </w:pPr>
                        <w:r>
                          <w:rPr>
                            <w:w w:val="103"/>
                          </w:rPr>
                          <w:t xml:space="preserve">вмешательство</w:t>
                        </w:r>
                      </w:p>
                    </w:txbxContent>
                  </v:textbox>
                </v:rect>
                <v:shape id="Shape 15703" style="position:absolute;width:20159;height:3329;left:12240;top:44746;" coordsize="2015998,332994" path="m0,332994l2015998,332994l2015998,0l0,0x">
                  <v:stroke weight="0.709pt" endcap="flat" joinstyle="miter" miterlimit="4" on="true" color="#000000"/>
                  <v:fill on="false" color="#000000" opacity="0"/>
                </v:shape>
                <v:shape id="Shape 379310" style="position:absolute;width:20159;height:3329;left:34560;top:44746;" coordsize="2015998,332994" path="m0,0l2015998,0l2015998,332994l0,332994l0,0">
                  <v:stroke weight="0pt" endcap="flat" joinstyle="miter" miterlimit="4" on="false" color="#000000" opacity="0"/>
                  <v:fill on="true" color="#c4d983"/>
                </v:shape>
                <v:rect id="Rectangle 15705" style="position:absolute;width:17792;height:2030;left:38085;top:44916;" filled="f" stroked="f">
                  <v:textbox inset="0,0,0,0">
                    <w:txbxContent>
                      <w:p>
                        <w:pPr>
                          <w:spacing w:before="0" w:after="160" w:line="259" w:lineRule="auto"/>
                          <w:ind w:left="0" w:right="0" w:firstLine="0"/>
                          <w:jc w:val="left"/>
                        </w:pPr>
                        <w:r>
                          <w:rPr>
                            <w:w w:val="105"/>
                          </w:rPr>
                          <w:t xml:space="preserve">Сначала</w:t>
                        </w:r>
                        <w:r>
                          <w:rPr>
                            <w:spacing w:val="-3"/>
                            <w:w w:val="105"/>
                          </w:rPr>
                          <w:t xml:space="preserve"> </w:t>
                        </w:r>
                        <w:r>
                          <w:rPr>
                            <w:w w:val="105"/>
                          </w:rPr>
                          <w:t xml:space="preserve">хирургическое</w:t>
                        </w:r>
                        <w:r>
                          <w:rPr>
                            <w:spacing w:val="-3"/>
                            <w:w w:val="105"/>
                          </w:rPr>
                          <w:t xml:space="preserve"> </w:t>
                        </w:r>
                      </w:p>
                    </w:txbxContent>
                  </v:textbox>
                </v:rect>
                <v:rect id="Rectangle 15706" style="position:absolute;width:11269;height:2030;left:40403;top:46440;" filled="f" stroked="f">
                  <v:textbox inset="0,0,0,0">
                    <w:txbxContent>
                      <w:p>
                        <w:pPr>
                          <w:spacing w:before="0" w:after="160" w:line="259" w:lineRule="auto"/>
                          <w:ind w:left="0" w:right="0" w:firstLine="0"/>
                          <w:jc w:val="left"/>
                        </w:pPr>
                        <w:r>
                          <w:rPr>
                            <w:w w:val="103"/>
                          </w:rPr>
                          <w:t xml:space="preserve">вмешательство</w:t>
                        </w:r>
                      </w:p>
                    </w:txbxContent>
                  </v:textbox>
                </v:rect>
                <v:shape id="Shape 15707" style="position:absolute;width:20159;height:3329;left:34560;top:44746;" coordsize="2015998,332994" path="m0,332994l2015998,332994l2015998,0l0,0x">
                  <v:stroke weight="0.709pt" endcap="flat" joinstyle="miter" miterlimit="4" on="true" color="#000000"/>
                  <v:fill on="false" color="#000000" opacity="0"/>
                </v:shape>
                <v:shape id="Shape 379318" style="position:absolute;width:20159;height:3329;left:2700;top:49726;" coordsize="2015998,332994" path="m0,0l2015998,0l2015998,332994l0,332994l0,0">
                  <v:stroke weight="0pt" endcap="flat" joinstyle="miter" miterlimit="4" on="false" color="#000000" opacity="0"/>
                  <v:fill on="true" color="#c4d983"/>
                </v:shape>
                <v:rect id="Rectangle 15709" style="position:absolute;width:21179;height:2030;left:4817;top:50658;" filled="f" stroked="f">
                  <v:textbox inset="0,0,0,0">
                    <w:txbxContent>
                      <w:p>
                        <w:pPr>
                          <w:spacing w:before="0" w:after="160" w:line="259" w:lineRule="auto"/>
                          <w:ind w:left="0" w:right="0" w:firstLine="0"/>
                          <w:jc w:val="left"/>
                        </w:pPr>
                        <w:r>
                          <w:rPr>
                            <w:w w:val="104"/>
                          </w:rPr>
                          <w:t xml:space="preserve">Успешная</w:t>
                        </w:r>
                        <w:r>
                          <w:rPr>
                            <w:spacing w:val="-3"/>
                            <w:w w:val="104"/>
                          </w:rPr>
                          <w:t xml:space="preserve"> </w:t>
                        </w:r>
                        <w:r>
                          <w:rPr>
                            <w:w w:val="104"/>
                          </w:rPr>
                          <w:t xml:space="preserve">реваскуляризация</w:t>
                        </w:r>
                      </w:p>
                    </w:txbxContent>
                  </v:textbox>
                </v:rect>
                <v:shape id="Shape 15710" style="position:absolute;width:20159;height:3329;left:2700;top:49726;" coordsize="2015998,332994" path="m0,332994l2015998,332994l2015998,0l0,0x">
                  <v:stroke weight="0.709pt" endcap="flat" joinstyle="miter" miterlimit="4" on="true" color="#000000"/>
                  <v:fill on="false" color="#000000" opacity="0"/>
                </v:shape>
                <v:shape id="Shape 379323" style="position:absolute;width:11655;height:3299;left:26910;top:54046;" coordsize="1165505,329997" path="m0,0l1165505,0l1165505,329997l0,329997l0,0">
                  <v:stroke weight="0pt" endcap="flat" joinstyle="miter" miterlimit="4" on="false" color="#000000" opacity="0"/>
                  <v:fill on="true" color="#ef8161"/>
                </v:shape>
                <v:rect id="Rectangle 15712" style="position:absolute;width:6072;height:2030;left:30454;top:54963;" filled="f" stroked="f">
                  <v:textbox inset="0,0,0,0">
                    <w:txbxContent>
                      <w:p>
                        <w:pPr>
                          <w:spacing w:before="0" w:after="160" w:line="259" w:lineRule="auto"/>
                          <w:ind w:left="0" w:right="0" w:firstLine="0"/>
                          <w:jc w:val="left"/>
                        </w:pPr>
                        <w:r>
                          <w:rPr>
                            <w:w w:val="102"/>
                          </w:rPr>
                          <w:t xml:space="preserve">Неудача</w:t>
                        </w:r>
                      </w:p>
                    </w:txbxContent>
                  </v:textbox>
                </v:rect>
                <v:shape id="Shape 15713" style="position:absolute;width:11655;height:3299;left:26910;top:54046;" coordsize="1165505,329997" path="m0,329997l1165505,329997l1165505,0l0,0x">
                  <v:stroke weight="0.709pt" endcap="flat" joinstyle="miter" miterlimit="4" on="true" color="#000000"/>
                  <v:fill on="false" color="#000000" opacity="0"/>
                </v:shape>
                <v:shape id="Shape 379326" style="position:absolute;width:11655;height:3299;left:46597;top:53056;" coordsize="1165505,329997" path="m0,0l1165505,0l1165505,329997l0,329997l0,0">
                  <v:stroke weight="0pt" endcap="flat" joinstyle="miter" miterlimit="4" on="false" color="#000000" opacity="0"/>
                  <v:fill on="true" color="#ef8161"/>
                </v:shape>
                <v:rect id="Rectangle 15715" style="position:absolute;width:6072;height:2030;left:50142;top:53973;" filled="f" stroked="f">
                  <v:textbox inset="0,0,0,0">
                    <w:txbxContent>
                      <w:p>
                        <w:pPr>
                          <w:spacing w:before="0" w:after="160" w:line="259" w:lineRule="auto"/>
                          <w:ind w:left="0" w:right="0" w:firstLine="0"/>
                          <w:jc w:val="left"/>
                        </w:pPr>
                        <w:r>
                          <w:rPr>
                            <w:w w:val="102"/>
                          </w:rPr>
                          <w:t xml:space="preserve">Неудача</w:t>
                        </w:r>
                      </w:p>
                    </w:txbxContent>
                  </v:textbox>
                </v:rect>
                <v:shape id="Shape 15716" style="position:absolute;width:11655;height:3299;left:46597;top:53056;" coordsize="1165505,329997" path="m0,329997l1165505,329997l1165505,0l0,0x">
                  <v:stroke weight="0.709pt" endcap="flat" joinstyle="miter" miterlimit="4" on="true" color="#000000"/>
                  <v:fill on="false" color="#000000" opacity="0"/>
                </v:shape>
                <v:shape id="Shape 379329" style="position:absolute;width:20159;height:8189;left:2700;top:54706;" coordsize="2015998,818998" path="m0,0l2015998,0l2015998,818998l0,818998l0,0">
                  <v:stroke weight="0pt" endcap="flat" joinstyle="miter" miterlimit="4" on="false" color="#000000" opacity="0"/>
                  <v:fill on="true" color="#d6daeb"/>
                </v:shape>
                <v:rect id="Rectangle 15718" style="position:absolute;width:21407;height:2030;left:4866;top:55782;" filled="f" stroked="f">
                  <v:textbox inset="0,0,0,0">
                    <w:txbxContent>
                      <w:p>
                        <w:pPr>
                          <w:spacing w:before="0" w:after="160" w:line="259" w:lineRule="auto"/>
                          <w:ind w:left="0" w:right="0" w:firstLine="0"/>
                          <w:jc w:val="left"/>
                        </w:pPr>
                        <w:r>
                          <w:rPr>
                            <w:w w:val="102"/>
                          </w:rPr>
                          <w:t xml:space="preserve">Уход</w:t>
                        </w:r>
                        <w:r>
                          <w:rPr>
                            <w:spacing w:val="-3"/>
                            <w:w w:val="102"/>
                          </w:rPr>
                          <w:t xml:space="preserve"> </w:t>
                        </w:r>
                        <w:r>
                          <w:rPr>
                            <w:w w:val="102"/>
                          </w:rPr>
                          <w:t xml:space="preserve">за</w:t>
                        </w:r>
                        <w:r>
                          <w:rPr>
                            <w:spacing w:val="-3"/>
                            <w:w w:val="102"/>
                          </w:rPr>
                          <w:t xml:space="preserve"> </w:t>
                        </w:r>
                        <w:r>
                          <w:rPr>
                            <w:w w:val="102"/>
                          </w:rPr>
                          <w:t xml:space="preserve">раной,</w:t>
                        </w:r>
                        <w:r>
                          <w:rPr>
                            <w:spacing w:val="-3"/>
                            <w:w w:val="102"/>
                          </w:rPr>
                          <w:t xml:space="preserve"> </w:t>
                        </w:r>
                        <w:r>
                          <w:rPr>
                            <w:w w:val="102"/>
                          </w:rPr>
                          <w:t xml:space="preserve">поддержание</w:t>
                        </w:r>
                        <w:r>
                          <w:rPr>
                            <w:spacing w:val="-3"/>
                            <w:w w:val="102"/>
                          </w:rPr>
                          <w:t xml:space="preserve"> </w:t>
                        </w:r>
                      </w:p>
                    </w:txbxContent>
                  </v:textbox>
                </v:rect>
                <v:rect id="Rectangle 15719" style="position:absolute;width:25978;height:2030;left:3148;top:57306;" filled="f" stroked="f">
                  <v:textbox inset="0,0,0,0">
                    <w:txbxContent>
                      <w:p>
                        <w:pPr>
                          <w:spacing w:before="0" w:after="160" w:line="259" w:lineRule="auto"/>
                          <w:ind w:left="0" w:right="0" w:firstLine="0"/>
                          <w:jc w:val="left"/>
                        </w:pPr>
                        <w:r>
                          <w:rPr>
                            <w:w w:val="104"/>
                          </w:rPr>
                          <w:t xml:space="preserve">эффекта</w:t>
                        </w:r>
                        <w:r>
                          <w:rPr>
                            <w:spacing w:val="-3"/>
                            <w:w w:val="104"/>
                          </w:rPr>
                          <w:t xml:space="preserve"> </w:t>
                        </w:r>
                        <w:r>
                          <w:rPr>
                            <w:w w:val="104"/>
                          </w:rPr>
                          <w:t xml:space="preserve">реваскуляризации,</w:t>
                        </w:r>
                        <w:r>
                          <w:rPr>
                            <w:spacing w:val="-3"/>
                            <w:w w:val="104"/>
                          </w:rPr>
                          <w:t xml:space="preserve"> </w:t>
                        </w:r>
                        <w:r>
                          <w:rPr>
                            <w:w w:val="104"/>
                          </w:rPr>
                          <w:t xml:space="preserve">новые</w:t>
                        </w:r>
                        <w:r>
                          <w:rPr>
                            <w:spacing w:val="-3"/>
                            <w:w w:val="104"/>
                          </w:rPr>
                          <w:t xml:space="preserve"> </w:t>
                        </w:r>
                      </w:p>
                    </w:txbxContent>
                  </v:textbox>
                </v:rect>
                <v:rect id="Rectangle 15720" style="position:absolute;width:24059;height:2030;left:3869;top:58830;" filled="f" stroked="f">
                  <v:textbox inset="0,0,0,0">
                    <w:txbxContent>
                      <w:p>
                        <w:pPr>
                          <w:spacing w:before="0" w:after="160" w:line="259" w:lineRule="auto"/>
                          <w:ind w:left="0" w:right="0" w:firstLine="0"/>
                          <w:jc w:val="left"/>
                        </w:pPr>
                        <w:r>
                          <w:rPr>
                            <w:w w:val="103"/>
                          </w:rPr>
                          <w:t xml:space="preserve">процедуры,</w:t>
                        </w:r>
                        <w:r>
                          <w:rPr>
                            <w:spacing w:val="-3"/>
                            <w:w w:val="103"/>
                          </w:rPr>
                          <w:t xml:space="preserve"> </w:t>
                        </w:r>
                        <w:r>
                          <w:rPr>
                            <w:w w:val="103"/>
                          </w:rPr>
                          <w:t xml:space="preserve">при</w:t>
                        </w:r>
                        <w:r>
                          <w:rPr>
                            <w:spacing w:val="-3"/>
                            <w:w w:val="103"/>
                          </w:rPr>
                          <w:t xml:space="preserve"> </w:t>
                        </w:r>
                        <w:r>
                          <w:rPr>
                            <w:w w:val="103"/>
                          </w:rPr>
                          <w:t xml:space="preserve">необходимости</w:t>
                        </w:r>
                        <w:r>
                          <w:rPr>
                            <w:spacing w:val="-3"/>
                            <w:w w:val="103"/>
                          </w:rPr>
                          <w:t xml:space="preserve"> </w:t>
                        </w:r>
                      </w:p>
                    </w:txbxContent>
                  </v:textbox>
                </v:rect>
                <v:rect id="Rectangle 15721" style="position:absolute;width:18983;height:2030;left:5642;top:60354;" filled="f" stroked="f">
                  <v:textbox inset="0,0,0,0">
                    <w:txbxContent>
                      <w:p>
                        <w:pPr>
                          <w:spacing w:before="0" w:after="160" w:line="259" w:lineRule="auto"/>
                          <w:ind w:left="0" w:right="0" w:firstLine="0"/>
                          <w:jc w:val="left"/>
                        </w:pPr>
                        <w:r>
                          <w:rPr>
                            <w:w w:val="105"/>
                          </w:rPr>
                          <w:t xml:space="preserve">контроль</w:t>
                        </w:r>
                        <w:r>
                          <w:rPr>
                            <w:spacing w:val="-3"/>
                            <w:w w:val="105"/>
                          </w:rPr>
                          <w:t xml:space="preserve"> </w:t>
                        </w:r>
                        <w:r>
                          <w:rPr>
                            <w:w w:val="105"/>
                          </w:rPr>
                          <w:t xml:space="preserve">факторов</w:t>
                        </w:r>
                        <w:r>
                          <w:rPr>
                            <w:spacing w:val="-3"/>
                            <w:w w:val="105"/>
                          </w:rPr>
                          <w:t xml:space="preserve"> </w:t>
                        </w:r>
                        <w:r>
                          <w:rPr>
                            <w:w w:val="105"/>
                          </w:rPr>
                          <w:t xml:space="preserve">риска</w:t>
                        </w:r>
                      </w:p>
                    </w:txbxContent>
                  </v:textbox>
                </v:rect>
                <v:shape id="Shape 15722" style="position:absolute;width:20159;height:8189;left:2700;top:54706;" coordsize="2015998,818998" path="m0,818998l2015998,818998l2015998,0l0,0x">
                  <v:stroke weight="0.709pt" endcap="flat" joinstyle="miter" miterlimit="4" on="true" color="#000000"/>
                  <v:fill on="false" color="#000000" opacity="0"/>
                </v:shape>
                <v:shape id="Shape 379359" style="position:absolute;width:15569;height:7649;left:25560;top:58996;" coordsize="1556995,764997" path="m0,0l1556995,0l1556995,764997l0,764997l0,0">
                  <v:stroke weight="0pt" endcap="flat" joinstyle="miter" miterlimit="4" on="false" color="#000000" opacity="0"/>
                  <v:fill on="true" color="#c4d983"/>
                </v:shape>
                <v:rect id="Rectangle 15724" style="position:absolute;width:8437;height:2030;left:30307;top:59802;" filled="f" stroked="f">
                  <v:textbox inset="0,0,0,0">
                    <w:txbxContent>
                      <w:p>
                        <w:pPr>
                          <w:spacing w:before="0" w:after="160" w:line="259" w:lineRule="auto"/>
                          <w:ind w:left="0" w:right="0" w:firstLine="0"/>
                          <w:jc w:val="left"/>
                        </w:pPr>
                        <w:r>
                          <w:rPr>
                            <w:w w:val="104"/>
                          </w:rPr>
                          <w:t xml:space="preserve">Повторное</w:t>
                        </w:r>
                        <w:r>
                          <w:rPr>
                            <w:spacing w:val="-3"/>
                            <w:w w:val="104"/>
                          </w:rPr>
                          <w:t xml:space="preserve"> </w:t>
                        </w:r>
                      </w:p>
                    </w:txbxContent>
                  </v:textbox>
                </v:rect>
                <v:rect id="Rectangle 15725" style="position:absolute;width:16355;height:2030;left:27330;top:61326;" filled="f" stroked="f">
                  <v:textbox inset="0,0,0,0">
                    <w:txbxContent>
                      <w:p>
                        <w:pPr>
                          <w:spacing w:before="0" w:after="160" w:line="259" w:lineRule="auto"/>
                          <w:ind w:left="0" w:right="0" w:firstLine="0"/>
                          <w:jc w:val="left"/>
                        </w:pPr>
                        <w:r>
                          <w:rPr>
                            <w:w w:val="104"/>
                          </w:rPr>
                          <w:t xml:space="preserve">эндоваскулярное</w:t>
                        </w:r>
                        <w:r>
                          <w:rPr>
                            <w:spacing w:val="-3"/>
                            <w:w w:val="104"/>
                          </w:rPr>
                          <w:t xml:space="preserve"> </w:t>
                        </w:r>
                        <w:r>
                          <w:rPr>
                            <w:w w:val="104"/>
                          </w:rPr>
                          <w:t xml:space="preserve">или</w:t>
                        </w:r>
                        <w:r>
                          <w:rPr>
                            <w:spacing w:val="-3"/>
                            <w:w w:val="104"/>
                          </w:rPr>
                          <w:t xml:space="preserve"> </w:t>
                        </w:r>
                      </w:p>
                    </w:txbxContent>
                  </v:textbox>
                </v:rect>
                <v:rect id="Rectangle 15726" style="position:absolute;width:19253;height:2030;left:26241;top:62850;" filled="f" stroked="f">
                  <v:textbox inset="0,0,0,0">
                    <w:txbxContent>
                      <w:p>
                        <w:pPr>
                          <w:spacing w:before="0" w:after="160" w:line="259" w:lineRule="auto"/>
                          <w:ind w:left="0" w:right="0" w:firstLine="0"/>
                          <w:jc w:val="left"/>
                        </w:pPr>
                        <w:r>
                          <w:rPr>
                            <w:w w:val="103"/>
                          </w:rPr>
                          <w:t xml:space="preserve">открытое</w:t>
                        </w:r>
                        <w:r>
                          <w:rPr>
                            <w:spacing w:val="-3"/>
                            <w:w w:val="103"/>
                          </w:rPr>
                          <w:t xml:space="preserve"> </w:t>
                        </w:r>
                        <w:r>
                          <w:rPr>
                            <w:w w:val="103"/>
                          </w:rPr>
                          <w:t xml:space="preserve">вмешательство,</w:t>
                        </w:r>
                        <w:r>
                          <w:rPr>
                            <w:spacing w:val="-3"/>
                            <w:w w:val="103"/>
                          </w:rPr>
                          <w:t xml:space="preserve"> </w:t>
                        </w:r>
                      </w:p>
                    </w:txbxContent>
                  </v:textbox>
                </v:rect>
                <v:rect id="Rectangle 15727" style="position:absolute;width:11257;height:2030;left:29112;top:64374;" filled="f" stroked="f">
                  <v:textbox inset="0,0,0,0">
                    <w:txbxContent>
                      <w:p>
                        <w:pPr>
                          <w:spacing w:before="0" w:after="160" w:line="259" w:lineRule="auto"/>
                          <w:ind w:left="0" w:right="0" w:firstLine="0"/>
                          <w:jc w:val="left"/>
                        </w:pPr>
                        <w:r>
                          <w:rPr>
                            <w:w w:val="102"/>
                          </w:rPr>
                          <w:t xml:space="preserve">если</w:t>
                        </w:r>
                        <w:r>
                          <w:rPr>
                            <w:spacing w:val="-3"/>
                            <w:w w:val="102"/>
                          </w:rPr>
                          <w:t xml:space="preserve"> </w:t>
                        </w:r>
                        <w:r>
                          <w:rPr>
                            <w:w w:val="102"/>
                          </w:rPr>
                          <w:t xml:space="preserve">возможно</w:t>
                        </w:r>
                      </w:p>
                    </w:txbxContent>
                  </v:textbox>
                </v:rect>
                <v:shape id="Shape 15728" style="position:absolute;width:15569;height:7649;left:25560;top:58996;" coordsize="1556995,764997" path="m0,764997l1556995,764997l1556995,0l0,0x">
                  <v:stroke weight="0.709pt" endcap="flat" joinstyle="miter" miterlimit="4" on="true" color="#000000"/>
                  <v:fill on="false" color="#000000" opacity="0"/>
                </v:shape>
                <v:shape id="Shape 379377" style="position:absolute;width:15569;height:7649;left:44639;top:58996;" coordsize="1556995,764997" path="m0,0l1556995,0l1556995,764997l0,764997l0,0">
                  <v:stroke weight="0pt" endcap="flat" joinstyle="miter" miterlimit="4" on="false" color="#000000" opacity="0"/>
                  <v:fill on="true" color="#c4d983"/>
                </v:shape>
                <v:rect id="Rectangle 15730" style="position:absolute;width:19814;height:2030;left:45110;top:59802;" filled="f" stroked="f">
                  <v:textbox inset="0,0,0,0">
                    <w:txbxContent>
                      <w:p>
                        <w:pPr>
                          <w:spacing w:before="0" w:after="160" w:line="259" w:lineRule="auto"/>
                          <w:ind w:left="0" w:right="0" w:firstLine="0"/>
                          <w:jc w:val="left"/>
                        </w:pPr>
                        <w:r>
                          <w:rPr>
                            <w:w w:val="105"/>
                          </w:rPr>
                          <w:t xml:space="preserve">Повторное</w:t>
                        </w:r>
                        <w:r>
                          <w:rPr>
                            <w:spacing w:val="-3"/>
                            <w:w w:val="105"/>
                          </w:rPr>
                          <w:t xml:space="preserve"> </w:t>
                        </w:r>
                        <w:r>
                          <w:rPr>
                            <w:w w:val="105"/>
                          </w:rPr>
                          <w:t xml:space="preserve">хирургическое</w:t>
                        </w:r>
                        <w:r>
                          <w:rPr>
                            <w:spacing w:val="-3"/>
                            <w:w w:val="105"/>
                          </w:rPr>
                          <w:t xml:space="preserve"> </w:t>
                        </w:r>
                      </w:p>
                    </w:txbxContent>
                  </v:textbox>
                </v:rect>
                <v:rect id="Rectangle 15731" style="position:absolute;width:16355;height:2030;left:46411;top:61326;" filled="f" stroked="f">
                  <v:textbox inset="0,0,0,0">
                    <w:txbxContent>
                      <w:p>
                        <w:pPr>
                          <w:spacing w:before="0" w:after="160" w:line="259" w:lineRule="auto"/>
                          <w:ind w:left="0" w:right="0" w:firstLine="0"/>
                          <w:jc w:val="left"/>
                        </w:pPr>
                        <w:r>
                          <w:rPr>
                            <w:w w:val="104"/>
                          </w:rPr>
                          <w:t xml:space="preserve">или</w:t>
                        </w:r>
                        <w:r>
                          <w:rPr>
                            <w:spacing w:val="-3"/>
                            <w:w w:val="104"/>
                          </w:rPr>
                          <w:t xml:space="preserve"> </w:t>
                        </w:r>
                        <w:r>
                          <w:rPr>
                            <w:w w:val="104"/>
                          </w:rPr>
                          <w:t xml:space="preserve">эндоваскулярное</w:t>
                        </w:r>
                        <w:r>
                          <w:rPr>
                            <w:spacing w:val="-3"/>
                            <w:w w:val="104"/>
                          </w:rPr>
                          <w:t xml:space="preserve"> </w:t>
                        </w:r>
                      </w:p>
                    </w:txbxContent>
                  </v:textbox>
                </v:rect>
                <v:rect id="Rectangle 15732" style="position:absolute;width:15765;height:2030;left:46631;top:62850;" filled="f" stroked="f">
                  <v:textbox inset="0,0,0,0">
                    <w:txbxContent>
                      <w:p>
                        <w:pPr>
                          <w:spacing w:before="0" w:after="160" w:line="259" w:lineRule="auto"/>
                          <w:ind w:left="0" w:right="0" w:firstLine="0"/>
                          <w:jc w:val="left"/>
                        </w:pPr>
                        <w:r>
                          <w:rPr>
                            <w:w w:val="102"/>
                          </w:rPr>
                          <w:t xml:space="preserve">вмешательство,</w:t>
                        </w:r>
                        <w:r>
                          <w:rPr>
                            <w:spacing w:val="-3"/>
                            <w:w w:val="102"/>
                          </w:rPr>
                          <w:t xml:space="preserve"> </w:t>
                        </w:r>
                        <w:r>
                          <w:rPr>
                            <w:w w:val="102"/>
                          </w:rPr>
                          <w:t xml:space="preserve">если</w:t>
                        </w:r>
                        <w:r>
                          <w:rPr>
                            <w:spacing w:val="-3"/>
                            <w:w w:val="102"/>
                          </w:rPr>
                          <w:t xml:space="preserve"> </w:t>
                        </w:r>
                      </w:p>
                    </w:txbxContent>
                  </v:textbox>
                </v:rect>
                <v:rect id="Rectangle 15733" style="position:absolute;width:7469;height:2030;left:49616;top:64374;" filled="f" stroked="f">
                  <v:textbox inset="0,0,0,0">
                    <w:txbxContent>
                      <w:p>
                        <w:pPr>
                          <w:spacing w:before="0" w:after="160" w:line="259" w:lineRule="auto"/>
                          <w:ind w:left="0" w:right="0" w:firstLine="0"/>
                          <w:jc w:val="left"/>
                        </w:pPr>
                        <w:r>
                          <w:rPr>
                            <w:w w:val="102"/>
                          </w:rPr>
                          <w:t xml:space="preserve">возможно</w:t>
                        </w:r>
                      </w:p>
                    </w:txbxContent>
                  </v:textbox>
                </v:rect>
                <v:shape id="Shape 15734" style="position:absolute;width:15569;height:7649;left:44639;top:58996;" coordsize="1556995,764997" path="m0,764997l1556995,764997l1556995,0l0,0x">
                  <v:stroke weight="0.709pt" endcap="flat" joinstyle="miter" miterlimit="4" on="true" color="#000000"/>
                  <v:fill on="false" color="#000000" opacity="0"/>
                </v:shape>
                <v:shape id="Shape 379395" style="position:absolute;width:11655;height:3299;left:36899;top:68296;" coordsize="1165505,329997" path="m0,0l1165505,0l1165505,329997l0,329997l0,0">
                  <v:stroke weight="0pt" endcap="flat" joinstyle="miter" miterlimit="4" on="false" color="#000000" opacity="0"/>
                  <v:fill on="true" color="#ef8161"/>
                </v:shape>
                <v:rect id="Rectangle 15736" style="position:absolute;width:9416;height:2030;left:39187;top:69213;" filled="f" stroked="f">
                  <v:textbox inset="0,0,0,0">
                    <w:txbxContent>
                      <w:p>
                        <w:pPr>
                          <w:spacing w:before="0" w:after="160" w:line="259" w:lineRule="auto"/>
                          <w:ind w:left="0" w:right="0" w:firstLine="0"/>
                          <w:jc w:val="left"/>
                        </w:pPr>
                        <w:r>
                          <w:rPr>
                            <w:w w:val="102"/>
                          </w:rPr>
                          <w:t xml:space="preserve">Невозможно</w:t>
                        </w:r>
                      </w:p>
                    </w:txbxContent>
                  </v:textbox>
                </v:rect>
                <v:shape id="Shape 15737" style="position:absolute;width:11655;height:3299;left:36899;top:68296;" coordsize="1165505,329997" path="m0,329997l1165505,329997l1165505,0l0,0x">
                  <v:stroke weight="0.709pt" endcap="flat" joinstyle="miter" miterlimit="4" on="true" color="#000000"/>
                  <v:fill on="false" color="#000000" opacity="0"/>
                </v:shape>
                <v:shape id="Shape 379398" style="position:absolute;width:27900;height:3299;left:36899;top:74107;" coordsize="2790000,329997" path="m0,0l2790000,0l2790000,329997l0,329997l0,0">
                  <v:stroke weight="0pt" endcap="flat" joinstyle="miter" miterlimit="4" on="false" color="#000000" opacity="0"/>
                  <v:fill on="true" color="#ef8161"/>
                </v:shape>
                <v:rect id="Rectangle 15739" style="position:absolute;width:18226;height:2030;left:43997;top:75024;" filled="f" stroked="f">
                  <v:textbox inset="0,0,0,0">
                    <w:txbxContent>
                      <w:p>
                        <w:pPr>
                          <w:spacing w:before="0" w:after="160" w:line="259" w:lineRule="auto"/>
                          <w:ind w:left="0" w:right="0" w:firstLine="0"/>
                          <w:jc w:val="left"/>
                        </w:pPr>
                        <w:r>
                          <w:rPr>
                            <w:w w:val="102"/>
                          </w:rPr>
                          <w:t xml:space="preserve">Ампутация</w:t>
                        </w:r>
                        <w:r>
                          <w:rPr>
                            <w:spacing w:val="-3"/>
                            <w:w w:val="102"/>
                          </w:rPr>
                          <w:t xml:space="preserve"> </w:t>
                        </w:r>
                        <w:r>
                          <w:rPr>
                            <w:w w:val="102"/>
                          </w:rPr>
                          <w:t xml:space="preserve">обязательна?</w:t>
                        </w:r>
                      </w:p>
                    </w:txbxContent>
                  </v:textbox>
                </v:rect>
                <v:shape id="Shape 15740" style="position:absolute;width:27900;height:3299;left:36899;top:74107;" coordsize="2790000,329997" path="m0,329997l2790000,329997l2790000,0l0,0x">
                  <v:stroke weight="0.709pt" endcap="flat" joinstyle="miter" miterlimit="4" on="true" color="#000000"/>
                  <v:fill on="false" color="#000000" opacity="0"/>
                </v:shape>
                <v:shape id="Shape 379403" style="position:absolute;width:20159;height:3329;left:20969;top:80803;" coordsize="2015998,332994" path="m0,0l2015998,0l2015998,332994l0,332994l0,0">
                  <v:stroke weight="0pt" endcap="flat" joinstyle="miter" miterlimit="4" on="false" color="#000000" opacity="0"/>
                  <v:fill on="true" color="#c4d983"/>
                </v:shape>
                <v:rect id="Rectangle 15742" style="position:absolute;width:19191;height:2030;left:23835;top:81735;" filled="f" stroked="f">
                  <v:textbox inset="0,0,0,0">
                    <w:txbxContent>
                      <w:p>
                        <w:pPr>
                          <w:spacing w:before="0" w:after="160" w:line="259" w:lineRule="auto"/>
                          <w:ind w:left="0" w:right="0" w:firstLine="0"/>
                          <w:jc w:val="left"/>
                        </w:pPr>
                        <w:r>
                          <w:rPr>
                            <w:w w:val="103"/>
                          </w:rPr>
                          <w:t xml:space="preserve">Ампутация,</w:t>
                        </w:r>
                        <w:r>
                          <w:rPr>
                            <w:spacing w:val="-3"/>
                            <w:w w:val="103"/>
                          </w:rPr>
                          <w:t xml:space="preserve"> </w:t>
                        </w:r>
                        <w:r>
                          <w:rPr>
                            <w:w w:val="103"/>
                          </w:rPr>
                          <w:t xml:space="preserve">реабилитация</w:t>
                        </w:r>
                      </w:p>
                    </w:txbxContent>
                  </v:textbox>
                </v:rect>
                <v:shape id="Shape 15743" style="position:absolute;width:20159;height:3329;left:20969;top:80803;" coordsize="2015998,332994" path="m0,332994l2015998,332994l2015998,0l0,0x">
                  <v:stroke weight="0.709pt" endcap="flat" joinstyle="miter" miterlimit="4" on="true" color="#000000"/>
                  <v:fill on="false" color="#000000" opacity="0"/>
                </v:shape>
                <v:shape id="Shape 379408" style="position:absolute;width:20159;height:3329;left:44639;top:80947;" coordsize="2015998,332994" path="m0,0l2015998,0l2015998,332994l0,332994l0,0">
                  <v:stroke weight="0pt" endcap="flat" joinstyle="miter" miterlimit="4" on="false" color="#000000" opacity="0"/>
                  <v:fill on="true" color="#c4d983"/>
                </v:shape>
                <v:rect id="Rectangle 15745" style="position:absolute;width:22611;height:2030;left:46354;top:81117;" filled="f" stroked="f">
                  <v:textbox inset="0,0,0,0">
                    <w:txbxContent>
                      <w:p>
                        <w:pPr>
                          <w:spacing w:before="0" w:after="160" w:line="259" w:lineRule="auto"/>
                          <w:ind w:left="0" w:right="0" w:firstLine="0"/>
                          <w:jc w:val="left"/>
                        </w:pPr>
                        <w:r>
                          <w:rPr>
                            <w:w w:val="103"/>
                          </w:rPr>
                          <w:t xml:space="preserve">Контроль</w:t>
                        </w:r>
                        <w:r>
                          <w:rPr>
                            <w:spacing w:val="-3"/>
                            <w:w w:val="103"/>
                          </w:rPr>
                          <w:t xml:space="preserve"> </w:t>
                        </w:r>
                        <w:r>
                          <w:rPr>
                            <w:w w:val="103"/>
                          </w:rPr>
                          <w:t xml:space="preserve">боли,</w:t>
                        </w:r>
                        <w:r>
                          <w:rPr>
                            <w:spacing w:val="-3"/>
                            <w:w w:val="103"/>
                          </w:rPr>
                          <w:t xml:space="preserve"> </w:t>
                        </w:r>
                        <w:r>
                          <w:rPr>
                            <w:w w:val="103"/>
                          </w:rPr>
                          <w:t xml:space="preserve">уход</w:t>
                        </w:r>
                        <w:r>
                          <w:rPr>
                            <w:spacing w:val="-3"/>
                            <w:w w:val="103"/>
                          </w:rPr>
                          <w:t xml:space="preserve"> </w:t>
                        </w:r>
                        <w:r>
                          <w:rPr>
                            <w:w w:val="103"/>
                          </w:rPr>
                          <w:t xml:space="preserve">за</w:t>
                        </w:r>
                        <w:r>
                          <w:rPr>
                            <w:spacing w:val="-3"/>
                            <w:w w:val="103"/>
                          </w:rPr>
                          <w:t xml:space="preserve"> </w:t>
                        </w:r>
                        <w:r>
                          <w:rPr>
                            <w:w w:val="103"/>
                          </w:rPr>
                          <w:t xml:space="preserve">раной,</w:t>
                        </w:r>
                        <w:r>
                          <w:rPr>
                            <w:spacing w:val="-3"/>
                            <w:w w:val="103"/>
                          </w:rPr>
                          <w:t xml:space="preserve"> </w:t>
                        </w:r>
                      </w:p>
                    </w:txbxContent>
                  </v:textbox>
                </v:rect>
                <v:rect id="Rectangle 15746" style="position:absolute;width:18983;height:2030;left:47583;top:82641;" filled="f" stroked="f">
                  <v:textbox inset="0,0,0,0">
                    <w:txbxContent>
                      <w:p>
                        <w:pPr>
                          <w:spacing w:before="0" w:after="160" w:line="259" w:lineRule="auto"/>
                          <w:ind w:left="0" w:right="0" w:firstLine="0"/>
                          <w:jc w:val="left"/>
                        </w:pPr>
                        <w:r>
                          <w:rPr>
                            <w:w w:val="105"/>
                          </w:rPr>
                          <w:t xml:space="preserve">контроль</w:t>
                        </w:r>
                        <w:r>
                          <w:rPr>
                            <w:spacing w:val="-3"/>
                            <w:w w:val="105"/>
                          </w:rPr>
                          <w:t xml:space="preserve"> </w:t>
                        </w:r>
                        <w:r>
                          <w:rPr>
                            <w:w w:val="105"/>
                          </w:rPr>
                          <w:t xml:space="preserve">факторов</w:t>
                        </w:r>
                        <w:r>
                          <w:rPr>
                            <w:spacing w:val="-3"/>
                            <w:w w:val="105"/>
                          </w:rPr>
                          <w:t xml:space="preserve"> </w:t>
                        </w:r>
                        <w:r>
                          <w:rPr>
                            <w:w w:val="105"/>
                          </w:rPr>
                          <w:t xml:space="preserve">риска</w:t>
                        </w:r>
                      </w:p>
                    </w:txbxContent>
                  </v:textbox>
                </v:rect>
                <v:shape id="Shape 15747" style="position:absolute;width:20159;height:3329;left:44639;top:80947;" coordsize="2015998,332994" path="m0,332994l2015998,332994l2015998,0l0,0x">
                  <v:stroke weight="0.709pt" endcap="flat" joinstyle="miter" miterlimit="4" on="true" color="#000000"/>
                  <v:fill on="false" color="#000000" opacity="0"/>
                </v:shape>
                <v:shape id="Shape 15748" style="position:absolute;width:0;height:2449;left:31252;top:2144;" coordsize="0,244945" path="m0,0l0,244945">
                  <v:stroke weight="0.709pt" endcap="flat" joinstyle="miter" miterlimit="4" on="true" color="#000000"/>
                  <v:fill on="false" color="#000000" opacity="0"/>
                </v:shape>
                <v:shape id="Shape 15749" style="position:absolute;width:611;height:839;left:30947;top:4393;" coordsize="61113,83972" path="m0,0l30556,20015l61113,0l30556,83972l0,0x">
                  <v:stroke weight="0pt" endcap="flat" joinstyle="miter" miterlimit="4" on="false" color="#000000" opacity="0"/>
                  <v:fill on="true" color="#000000"/>
                </v:shape>
                <v:shape id="Shape 15750" style="position:absolute;width:0;height:2144;left:31252;top:9344;" coordsize="0,214401" path="m0,0l0,214401">
                  <v:stroke weight="0.709pt" endcap="flat" joinstyle="miter" miterlimit="4" on="true" color="#000000"/>
                  <v:fill on="false" color="#000000" opacity="0"/>
                </v:shape>
                <v:shape id="Shape 15751" style="position:absolute;width:611;height:839;left:30947;top:11287;" coordsize="61113,83972" path="m0,0l30556,20015l61113,0l30556,83972l0,0x">
                  <v:stroke weight="0pt" endcap="flat" joinstyle="miter" miterlimit="4" on="false" color="#000000" opacity="0"/>
                  <v:fill on="true" color="#000000"/>
                </v:shape>
                <v:shape id="Shape 15752" style="position:absolute;width:0;height:2159;left:31252;top:14284;" coordsize="0,215989" path="m0,0l0,215989">
                  <v:stroke weight="0.709pt" endcap="flat" joinstyle="miter" miterlimit="4" on="true" color="#000000"/>
                  <v:fill on="false" color="#000000" opacity="0"/>
                </v:shape>
                <v:shape id="Shape 15753" style="position:absolute;width:611;height:839;left:30946;top:16244;" coordsize="61113,83972" path="m0,0l30556,20015l61113,0l30556,83972l0,0x">
                  <v:stroke weight="0pt" endcap="flat" joinstyle="miter" miterlimit="4" on="false" color="#000000" opacity="0"/>
                  <v:fill on="true" color="#000000"/>
                </v:shape>
                <v:shape id="Shape 15754" style="position:absolute;width:0;height:1010;left:22144;top:20412;" coordsize="0,101041" path="m0,0l0,101041">
                  <v:stroke weight="0.709pt" endcap="flat" joinstyle="miter" miterlimit="4" on="true" color="#000000"/>
                  <v:fill on="false" color="#000000" opacity="0"/>
                </v:shape>
                <v:shape id="Shape 15755" style="position:absolute;width:611;height:839;left:21838;top:21222;" coordsize="61113,83972" path="m0,0l30556,20015l61113,0l30556,83972l0,0x">
                  <v:stroke weight="0pt" endcap="flat" joinstyle="miter" miterlimit="4" on="false" color="#000000" opacity="0"/>
                  <v:fill on="true" color="#000000"/>
                </v:shape>
                <v:shape id="Shape 15756" style="position:absolute;width:0;height:1010;left:39532;top:20412;" coordsize="0,101041" path="m0,0l0,101041">
                  <v:stroke weight="0.709pt" endcap="flat" joinstyle="miter" miterlimit="4" on="true" color="#000000"/>
                  <v:fill on="false" color="#000000" opacity="0"/>
                </v:shape>
                <v:shape id="Shape 15757" style="position:absolute;width:611;height:839;left:39226;top:21222;" coordsize="61113,83972" path="m0,0l30556,20015l61113,0l30556,83972l0,0x">
                  <v:stroke weight="0pt" endcap="flat" joinstyle="miter" miterlimit="4" on="false" color="#000000" opacity="0"/>
                  <v:fill on="true" color="#000000"/>
                </v:shape>
                <v:shape id="Shape 15758" style="position:absolute;width:0;height:1010;left:6628;top:25362;" coordsize="0,101041" path="m0,0l0,101041">
                  <v:stroke weight="0.709pt" endcap="flat" joinstyle="miter" miterlimit="4" on="true" color="#000000"/>
                  <v:fill on="false" color="#000000" opacity="0"/>
                </v:shape>
                <v:shape id="Shape 15759" style="position:absolute;width:611;height:839;left:6322;top:26172;" coordsize="61112,83972" path="m0,0l30556,20015l61112,0l30556,83972l0,0x">
                  <v:stroke weight="0pt" endcap="flat" joinstyle="miter" miterlimit="4" on="false" color="#000000" opacity="0"/>
                  <v:fill on="true" color="#000000"/>
                </v:shape>
                <v:shape id="Shape 15760" style="position:absolute;width:0;height:1010;left:24907;top:25362;" coordsize="0,101041" path="m0,0l0,101041">
                  <v:stroke weight="0.709pt" endcap="flat" joinstyle="miter" miterlimit="4" on="true" color="#000000"/>
                  <v:fill on="false" color="#000000" opacity="0"/>
                </v:shape>
                <v:shape id="Shape 15761" style="position:absolute;width:611;height:839;left:24602;top:26172;" coordsize="61113,83972" path="m0,0l30556,20015l61113,0l30556,83972l0,0x">
                  <v:stroke weight="0pt" endcap="flat" joinstyle="miter" miterlimit="4" on="false" color="#000000" opacity="0"/>
                  <v:fill on="true" color="#000000"/>
                </v:shape>
                <v:shape id="Shape 15762" style="position:absolute;width:0;height:1010;left:24907;top:31996;" coordsize="0,101041" path="m0,0l0,101041">
                  <v:stroke weight="0.709pt" endcap="flat" joinstyle="miter" miterlimit="4" on="true" color="#000000"/>
                  <v:fill on="false" color="#000000" opacity="0"/>
                </v:shape>
                <v:shape id="Shape 15763" style="position:absolute;width:611;height:839;left:24602;top:32806;" coordsize="61113,83972" path="m0,0l30556,20015l61113,0l30556,83972l0,0x">
                  <v:stroke weight="0pt" endcap="flat" joinstyle="miter" miterlimit="4" on="false" color="#000000" opacity="0"/>
                  <v:fill on="true" color="#000000"/>
                </v:shape>
                <v:shape id="Shape 15764" style="position:absolute;width:0;height:1010;left:36044;top:31996;" coordsize="0,101041" path="m0,0l0,101041">
                  <v:stroke weight="0.709pt" endcap="flat" joinstyle="miter" miterlimit="4" on="true" color="#000000"/>
                  <v:fill on="false" color="#000000" opacity="0"/>
                </v:shape>
                <v:shape id="Shape 15765" style="position:absolute;width:611;height:839;left:35739;top:32806;" coordsize="61113,83972" path="m0,0l30556,20015l61113,0l30556,83972l0,0x">
                  <v:stroke weight="0pt" endcap="flat" joinstyle="miter" miterlimit="4" on="false" color="#000000" opacity="0"/>
                  <v:fill on="true" color="#000000"/>
                </v:shape>
                <v:shape id="Shape 15766" style="position:absolute;width:0;height:1010;left:24615;top:43096;" coordsize="0,101041" path="m0,0l0,101041">
                  <v:stroke weight="0.709pt" endcap="flat" joinstyle="miter" miterlimit="4" on="true" color="#000000"/>
                  <v:fill on="false" color="#000000" opacity="0"/>
                </v:shape>
                <v:shape id="Shape 15767" style="position:absolute;width:611;height:839;left:24309;top:43906;" coordsize="61113,83972" path="m0,0l30556,20015l61113,0l30556,83972l0,0x">
                  <v:stroke weight="0pt" endcap="flat" joinstyle="miter" miterlimit="4" on="false" color="#000000" opacity="0"/>
                  <v:fill on="true" color="#000000"/>
                </v:shape>
                <v:shape id="Shape 15768" style="position:absolute;width:0;height:1010;left:35752;top:43096;" coordsize="0,101041" path="m0,0l0,101041">
                  <v:stroke weight="0.709pt" endcap="flat" joinstyle="miter" miterlimit="4" on="true" color="#000000"/>
                  <v:fill on="false" color="#000000" opacity="0"/>
                </v:shape>
                <v:shape id="Shape 15769" style="position:absolute;width:611;height:839;left:35446;top:43906;" coordsize="61113,83972" path="m0,0l30556,20015l61113,0l30556,83972l0,0x">
                  <v:stroke weight="0pt" endcap="flat" joinstyle="miter" miterlimit="4" on="false" color="#000000" opacity="0"/>
                  <v:fill on="true" color="#000000"/>
                </v:shape>
                <v:shape id="Shape 15770" style="position:absolute;width:0;height:1010;left:14404;top:48076;" coordsize="0,101041" path="m0,0l0,101041">
                  <v:stroke weight="0.709pt" endcap="flat" joinstyle="miter" miterlimit="4" on="true" color="#000000"/>
                  <v:fill on="false" color="#000000" opacity="0"/>
                </v:shape>
                <v:shape id="Shape 15771" style="position:absolute;width:611;height:839;left:14098;top:48886;" coordsize="61113,83972" path="m0,0l30556,20015l61113,0l30556,83972l0,0x">
                  <v:stroke weight="0pt" endcap="flat" joinstyle="miter" miterlimit="4" on="false" color="#000000" opacity="0"/>
                  <v:fill on="true" color="#000000"/>
                </v:shape>
                <v:shape id="Shape 15772" style="position:absolute;width:0;height:5330;left:30388;top:48076;" coordsize="0,533044" path="m0,0l0,533044">
                  <v:stroke weight="0.709pt" endcap="flat" joinstyle="miter" miterlimit="4" on="true" color="#000000"/>
                  <v:fill on="false" color="#000000" opacity="0"/>
                </v:shape>
                <v:shape id="Shape 15773" style="position:absolute;width:611;height:839;left:30082;top:53206;" coordsize="61113,83972" path="m0,0l30556,20015l61113,0l30556,83972l0,0x">
                  <v:stroke weight="0pt" endcap="flat" joinstyle="miter" miterlimit="4" on="false" color="#000000" opacity="0"/>
                  <v:fill on="true" color="#000000"/>
                </v:shape>
                <v:shape id="Shape 15774" style="position:absolute;width:0;height:4340;left:52424;top:48076;" coordsize="0,434035" path="m0,0l0,434035">
                  <v:stroke weight="0.709pt" endcap="flat" joinstyle="miter" miterlimit="4" on="true" color="#000000"/>
                  <v:fill on="false" color="#000000" opacity="0"/>
                </v:shape>
                <v:shape id="Shape 15775" style="position:absolute;width:611;height:839;left:52119;top:52216;" coordsize="61113,83972" path="m0,0l30556,20015l61113,0l30556,83972l0,0x">
                  <v:stroke weight="0pt" endcap="flat" joinstyle="miter" miterlimit="4" on="false" color="#000000" opacity="0"/>
                  <v:fill on="true" color="#000000"/>
                </v:shape>
                <v:shape id="Shape 15776" style="position:absolute;width:0;height:1982;left:52424;top:56368;" coordsize="0,198234" path="m0,0l0,198234">
                  <v:stroke weight="0.709pt" endcap="flat" joinstyle="miter" miterlimit="4" on="true" color="#000000"/>
                  <v:fill on="false" color="#000000" opacity="0"/>
                </v:shape>
                <v:shape id="Shape 15777" style="position:absolute;width:611;height:839;left:52119;top:58150;" coordsize="61113,83972" path="m0,0l30556,20015l61113,0l30556,83972l0,0x">
                  <v:stroke weight="0pt" endcap="flat" joinstyle="miter" miterlimit="4" on="false" color="#000000" opacity="0"/>
                  <v:fill on="true" color="#000000"/>
                </v:shape>
                <v:shape id="Shape 15778" style="position:absolute;width:0;height:1010;left:14404;top:53056;" coordsize="0,101041" path="m0,0l0,101041">
                  <v:stroke weight="0.709pt" endcap="flat" joinstyle="miter" miterlimit="4" on="true" color="#000000"/>
                  <v:fill on="false" color="#000000" opacity="0"/>
                </v:shape>
                <v:shape id="Shape 15779" style="position:absolute;width:611;height:839;left:14098;top:53866;" coordsize="61113,83972" path="m0,0l30556,20015l61113,0l30556,83972l0,0x">
                  <v:stroke weight="0pt" endcap="flat" joinstyle="miter" miterlimit="4" on="false" color="#000000" opacity="0"/>
                  <v:fill on="true" color="#000000"/>
                </v:shape>
                <v:shape id="Shape 15780" style="position:absolute;width:0;height:1821;left:43019;top:71596;" coordsize="0,182181" path="m0,0l0,182181">
                  <v:stroke weight="0.709pt" endcap="flat" joinstyle="miter" miterlimit="4" on="true" color="#000000"/>
                  <v:fill on="false" color="#000000" opacity="0"/>
                </v:shape>
                <v:shape id="Shape 15781" style="position:absolute;width:611;height:839;left:42714;top:73217;" coordsize="61113,83972" path="m0,0l30556,20015l61113,0l30556,83972l0,0x">
                  <v:stroke weight="0pt" endcap="flat" joinstyle="miter" miterlimit="4" on="false" color="#000000" opacity="0"/>
                  <v:fill on="true" color="#000000"/>
                </v:shape>
                <v:shape id="Shape 15782" style="position:absolute;width:0;height:1010;left:46012;top:66646;" coordsize="0,101041" path="m0,0l0,101041">
                  <v:stroke weight="0.709pt" endcap="flat" joinstyle="miter" miterlimit="4" on="true" color="#000000"/>
                  <v:fill on="false" color="#000000" opacity="0"/>
                </v:shape>
                <v:shape id="Shape 15783" style="position:absolute;width:611;height:839;left:45706;top:67456;" coordsize="61113,83972" path="m0,0l30556,20015l61113,0l30556,83972l0,0x">
                  <v:stroke weight="0pt" endcap="flat" joinstyle="miter" miterlimit="4" on="false" color="#000000" opacity="0"/>
                  <v:fill on="true" color="#000000"/>
                </v:shape>
                <v:shape id="Shape 15784" style="position:absolute;width:0;height:1010;left:39532;top:66646;" coordsize="0,101041" path="m0,0l0,101041">
                  <v:stroke weight="0.709pt" endcap="flat" joinstyle="miter" miterlimit="4" on="true" color="#000000"/>
                  <v:fill on="false" color="#000000" opacity="0"/>
                </v:shape>
                <v:shape id="Shape 15785" style="position:absolute;width:611;height:839;left:39226;top:67456;" coordsize="61113,83972" path="m0,0l30556,20015l61113,0l30556,83972l0,0x">
                  <v:stroke weight="0pt" endcap="flat" joinstyle="miter" miterlimit="4" on="false" color="#000000" opacity="0"/>
                  <v:fill on="true" color="#000000"/>
                </v:shape>
                <v:shape id="Shape 15786" style="position:absolute;width:0;height:2791;left:46660;top:77403;" coordsize="0,279197" path="m0,0l0,279197">
                  <v:stroke weight="0.709pt" endcap="flat" joinstyle="miter" miterlimit="4" on="true" color="#000000"/>
                  <v:fill on="false" color="#000000" opacity="0"/>
                </v:shape>
                <v:shape id="Shape 15787" style="position:absolute;width:611;height:839;left:46354;top:79995;" coordsize="61113,83972" path="m0,0l30556,20015l61113,0l30556,83972l0,0x">
                  <v:stroke weight="0pt" endcap="flat" joinstyle="miter" miterlimit="4" on="false" color="#000000" opacity="0"/>
                  <v:fill on="true" color="#000000"/>
                </v:shape>
                <v:shape id="Shape 15788" style="position:absolute;width:0;height:2719;left:38992;top:77403;" coordsize="0,271996" path="m0,0l0,271996">
                  <v:stroke weight="0.709pt" endcap="flat" joinstyle="miter" miterlimit="4" on="true" color="#000000"/>
                  <v:fill on="false" color="#000000" opacity="0"/>
                </v:shape>
                <v:shape id="Shape 15789" style="position:absolute;width:611;height:839;left:38686;top:79923;" coordsize="61113,83972" path="m0,0l30556,20015l61113,0l30556,83972l0,0x">
                  <v:stroke weight="0pt" endcap="flat" joinstyle="miter" miterlimit="4" on="false" color="#000000" opacity="0"/>
                  <v:fill on="true" color="#000000"/>
                </v:shape>
                <v:shape id="Shape 15790" style="position:absolute;width:0;height:1010;left:30465;top:57346;" coordsize="0,101041" path="m0,0l0,101041">
                  <v:stroke weight="0.709pt" endcap="flat" joinstyle="miter" miterlimit="4" on="true" color="#000000"/>
                  <v:fill on="false" color="#000000" opacity="0"/>
                </v:shape>
                <v:shape id="Shape 15791" style="position:absolute;width:611;height:839;left:30159;top:58156;" coordsize="61113,83972" path="m0,0l30556,20015l61113,0l30556,83972l0,0x">
                  <v:stroke weight="0pt" endcap="flat" joinstyle="miter" miterlimit="4" on="false" color="#000000" opacity="0"/>
                  <v:fill on="true" color="#000000"/>
                </v:shape>
                <v:shape id="Shape 15792" style="position:absolute;width:0;height:3128;left:35752;top:48076;" coordsize="0,312865" path="m0,0l0,312865">
                  <v:stroke weight="0.709pt" endcap="flat" joinstyle="miter" miterlimit="4" on="true" color="#000000"/>
                  <v:fill on="false" color="#000000" opacity="0"/>
                </v:shape>
                <v:shape id="Shape 15793" style="position:absolute;width:611;height:839;left:35446;top:51004;" coordsize="61113,83972" path="m0,0l30556,20015l61113,0l30556,83972l0,0x">
                  <v:stroke weight="0pt" endcap="flat" joinstyle="miter" miterlimit="4" on="false" color="#000000" opacity="0"/>
                  <v:fill on="true" color="#000000"/>
                </v:shape>
                <v:shape id="Shape 15794" style="position:absolute;width:2429;height:5758;left:23108;top:53215;" coordsize="242900,575831" path="m242900,575831l0,0">
                  <v:stroke weight="0.709pt" endcap="flat" joinstyle="miter" miterlimit="4" on="true" color="#000000"/>
                  <v:fill on="false" color="#000000" opacity="0"/>
                </v:shape>
                <v:shape id="Shape 15795" style="position:absolute;width:608;height:892;left:22859;top:52626;" coordsize="60808,89243" path="m0,0l60808,65494l24854,58941l4496,89243l0,0x">
                  <v:stroke weight="0pt" endcap="flat" joinstyle="miter" miterlimit="4" on="false" color="#000000" opacity="0"/>
                  <v:fill on="true" color="#000000"/>
                </v:shape>
                <v:shape id="Shape 15796" style="position:absolute;width:21127;height:8392;left:23512;top:52002;" coordsize="2112747,839229" path="m2112747,839229l1947748,839229l1947748,0l0,0">
                  <v:stroke weight="0.709pt" endcap="flat" joinstyle="miter" miterlimit="4" on="true" color="#000000"/>
                  <v:fill on="false" color="#000000" opacity="0"/>
                </v:shape>
                <v:shape id="Shape 15797" style="position:absolute;width:839;height:611;left:22872;top:51696;" coordsize="83972,61100" path="m83972,0l63957,30556l83972,61100l0,30556l83972,0x">
                  <v:stroke weight="0pt" endcap="flat" joinstyle="miter" miterlimit="4" on="false" color="#000000" opacity="0"/>
                  <v:fill on="true" color="#000000"/>
                </v:shape>
                <v:rect id="Rectangle 15798" style="position:absolute;width:1886;height:2030;left:36216;top:78155;" filled="f" stroked="f">
                  <v:textbox inset="0,0,0,0">
                    <w:txbxContent>
                      <w:p>
                        <w:pPr>
                          <w:spacing w:before="0" w:after="160" w:line="259" w:lineRule="auto"/>
                          <w:ind w:left="0" w:right="0" w:firstLine="0"/>
                          <w:jc w:val="left"/>
                        </w:pPr>
                        <w:r>
                          <w:rPr>
                            <w:spacing w:val="1"/>
                            <w:w w:val="101"/>
                          </w:rPr>
                          <w:t xml:space="preserve">Да</w:t>
                        </w:r>
                      </w:p>
                    </w:txbxContent>
                  </v:textbox>
                </v:rect>
                <v:rect id="Rectangle 15799" style="position:absolute;width:2635;height:2030;left:47564;top:78443;" filled="f" stroked="f">
                  <v:textbox inset="0,0,0,0">
                    <w:txbxContent>
                      <w:p>
                        <w:pPr>
                          <w:spacing w:before="0" w:after="160" w:line="259" w:lineRule="auto"/>
                          <w:ind w:left="0" w:right="0" w:firstLine="0"/>
                          <w:jc w:val="left"/>
                        </w:pPr>
                        <w:r>
                          <w:rPr>
                            <w:w w:val="104"/>
                          </w:rPr>
                          <w:t xml:space="preserve">Нет</w:t>
                        </w:r>
                      </w:p>
                    </w:txbxContent>
                  </v:textbox>
                </v:rect>
                <v:shape id="Shape 15800" style="position:absolute;width:0;height:59151;left:61492;top:14300;" coordsize="0,5915152" path="m0,0l0,5915152">
                  <v:stroke weight="0.709pt" endcap="flat" joinstyle="miter" miterlimit="4" on="true" color="#000000"/>
                  <v:fill on="false" color="#000000" opacity="0"/>
                </v:shape>
                <v:shape id="Shape 15801" style="position:absolute;width:611;height:839;left:61186;top:73251;" coordsize="61113,83972" path="m0,0l30556,20015l61113,0l30556,83972l0,0x">
                  <v:stroke weight="0pt" endcap="flat" joinstyle="miter" miterlimit="4" on="false" color="#000000" opacity="0"/>
                  <v:fill on="true" color="#000000"/>
                </v:shape>
                <v:shape id="Shape 15802" style="position:absolute;width:4332;height:0;left:56519;top:23758;" coordsize="433273,0" path="m0,0l433273,0">
                  <v:stroke weight="0.709pt" endcap="flat" joinstyle="miter" miterlimit="4" on="true" color="#000000"/>
                  <v:fill on="false" color="#000000" opacity="0"/>
                </v:shape>
                <v:shape id="Shape 15803" style="position:absolute;width:839;height:611;left:60652;top:23452;" coordsize="83972,61113" path="m0,0l83972,30556l0,61113l20015,30556l0,0x">
                  <v:stroke weight="0pt" endcap="flat" joinstyle="miter" miterlimit="4" on="false" color="#000000" opacity="0"/>
                  <v:fill on="true" color="#000000"/>
                </v:shape>
                <v:rect id="Rectangle 15804" style="position:absolute;width:2634;height:2030;left:62460;top:23065;" filled="f" stroked="f">
                  <v:textbox inset="0,0,0,0">
                    <w:txbxContent>
                      <w:p>
                        <w:pPr>
                          <w:spacing w:before="0" w:after="160" w:line="259" w:lineRule="auto"/>
                          <w:ind w:left="0" w:right="0" w:firstLine="0"/>
                          <w:jc w:val="left"/>
                        </w:pPr>
                        <w:r>
                          <w:rPr>
                            <w:w w:val="104"/>
                          </w:rPr>
                          <w:t xml:space="preserve">Нет</w:t>
                        </w:r>
                      </w:p>
                    </w:txbxContent>
                  </v:textbox>
                </v:rect>
                <v:shape id="Shape 15805" style="position:absolute;width:0;height:12104;left:14440;top:31998;" coordsize="0,1210437" path="m0,0l0,1210437">
                  <v:stroke weight="0.709pt" endcap="flat" joinstyle="miter" miterlimit="4" on="true" color="#000000"/>
                  <v:fill on="false" color="#000000" opacity="0"/>
                </v:shape>
                <v:shape id="Shape 15806" style="position:absolute;width:611;height:839;left:14134;top:43902;" coordsize="61113,83972" path="m0,0l30556,20015l61113,0l30556,83972l0,0x">
                  <v:stroke weight="0pt" endcap="flat" joinstyle="miter" miterlimit="4" on="false" color="#000000" opacity="0"/>
                  <v:fill on="true" color="#000000"/>
                </v:shape>
              </v:group>
            </w:pict>
          </mc:Fallback>
        </mc:AlternateContent>
      </w:r>
      <w:r>
        <w:t>Критическая ишемия нижних конечностей</w:t>
      </w:r>
    </w:p>
    <w:p w:rsidR="00D27BC6" w:rsidRDefault="004D5071">
      <w:pPr>
        <w:ind w:left="-11" w:right="0" w:firstLine="283"/>
      </w:pPr>
      <w:r>
        <w:t>У пациентов, прикованных к постели, страдающих деменцией и/или крайне ослабленных пациентов, должна рассматриваться первичная ампутация.</w:t>
      </w:r>
    </w:p>
    <w:p w:rsidR="00D27BC6" w:rsidRDefault="004D5071">
      <w:pPr>
        <w:spacing w:after="230"/>
        <w:ind w:left="290" w:right="280"/>
        <w:jc w:val="center"/>
      </w:pPr>
      <w:r>
        <w:rPr>
          <w:b/>
        </w:rPr>
        <w:t>10.4. ТАКТИКА ДИАГНОСТИКИ И ЛЕЧЕНИЯ ИБС У БОЛЬНЫХ СД И КРИТИЧЕСКОЙ ИШЕМИЕЙ НИЖНИХ КОНЕЧНОСТЕЙ</w:t>
      </w:r>
    </w:p>
    <w:p w:rsidR="00D27BC6" w:rsidRDefault="004D5071">
      <w:pPr>
        <w:numPr>
          <w:ilvl w:val="0"/>
          <w:numId w:val="98"/>
        </w:numPr>
        <w:ind w:right="0" w:hanging="283"/>
      </w:pPr>
      <w:r>
        <w:t>Больные СД и КИНК имеют в</w:t>
      </w:r>
      <w:r>
        <w:t>ысокий риск наличия ИБС.</w:t>
      </w:r>
    </w:p>
    <w:p w:rsidR="00D27BC6" w:rsidRDefault="004D5071">
      <w:pPr>
        <w:numPr>
          <w:ilvl w:val="0"/>
          <w:numId w:val="98"/>
        </w:numPr>
        <w:ind w:right="0" w:hanging="283"/>
      </w:pPr>
      <w:r>
        <w:t>Прогноз больных СД и КИНК во многом определяется тяжестью ИБС.</w:t>
      </w:r>
    </w:p>
    <w:p w:rsidR="00D27BC6" w:rsidRDefault="004D5071">
      <w:pPr>
        <w:numPr>
          <w:ilvl w:val="0"/>
          <w:numId w:val="98"/>
        </w:numPr>
        <w:spacing w:after="230"/>
        <w:ind w:right="0" w:hanging="283"/>
      </w:pPr>
      <w:r>
        <w:t>У больных СД и КИНК важно определить не само наличие ИБС, а выявить острые формы ИБС или тяжелую ишемию миокарда.</w:t>
      </w:r>
    </w:p>
    <w:p w:rsidR="00D27BC6" w:rsidRDefault="004D5071">
      <w:pPr>
        <w:ind w:left="281" w:right="51"/>
        <w:jc w:val="left"/>
      </w:pPr>
      <w:r>
        <w:rPr>
          <w:b/>
        </w:rPr>
        <w:t>Трудность диагностики ИБС у больных СД и КИНК определя</w:t>
      </w:r>
      <w:r>
        <w:rPr>
          <w:b/>
        </w:rPr>
        <w:t>ется несколькими факторами:</w:t>
      </w:r>
    </w:p>
    <w:p w:rsidR="00D27BC6" w:rsidRDefault="004D5071">
      <w:pPr>
        <w:numPr>
          <w:ilvl w:val="0"/>
          <w:numId w:val="99"/>
        </w:numPr>
        <w:ind w:right="0" w:hanging="283"/>
      </w:pPr>
      <w:r>
        <w:t>Ограничением физической активности.</w:t>
      </w:r>
    </w:p>
    <w:p w:rsidR="00D27BC6" w:rsidRDefault="004D5071">
      <w:pPr>
        <w:numPr>
          <w:ilvl w:val="0"/>
          <w:numId w:val="99"/>
        </w:numPr>
        <w:ind w:right="0" w:hanging="283"/>
      </w:pPr>
      <w:r>
        <w:t>Болями, иногда сильными, в пораженной конечности.</w:t>
      </w:r>
    </w:p>
    <w:p w:rsidR="00D27BC6" w:rsidRDefault="004D5071">
      <w:pPr>
        <w:numPr>
          <w:ilvl w:val="0"/>
          <w:numId w:val="99"/>
        </w:numPr>
        <w:spacing w:after="226"/>
        <w:ind w:right="0" w:hanging="283"/>
      </w:pPr>
      <w:r>
        <w:t>Наличием диабетической кардиоваскулярной автономной нейропатии.</w:t>
      </w:r>
    </w:p>
    <w:p w:rsidR="00D27BC6" w:rsidRDefault="004D5071">
      <w:pPr>
        <w:spacing w:after="226"/>
        <w:ind w:left="295" w:right="0"/>
      </w:pPr>
      <w:r>
        <w:t>Баллонная ангиопластика артерий нижних конечностей относится к операциям среднего риска.</w:t>
      </w:r>
    </w:p>
    <w:p w:rsidR="00D27BC6" w:rsidRDefault="004D5071">
      <w:pPr>
        <w:ind w:left="-11" w:right="0" w:firstLine="283"/>
      </w:pPr>
      <w:r>
        <w:t>У всех больных СД и КИНК следует определить срочность проведения операции на конечности, предикторы операционного риска, оценить необходимость проведения коронароангио</w:t>
      </w:r>
      <w:r>
        <w:t>графии и реваскуляризации миокарда.</w:t>
      </w:r>
    </w:p>
    <w:p w:rsidR="00D27BC6" w:rsidRDefault="004D5071">
      <w:pPr>
        <w:numPr>
          <w:ilvl w:val="0"/>
          <w:numId w:val="100"/>
        </w:numPr>
        <w:ind w:right="0" w:hanging="283"/>
      </w:pPr>
      <w:r>
        <w:t>при выявлении высокого риска операцию следует отложить.</w:t>
      </w:r>
    </w:p>
    <w:p w:rsidR="00D27BC6" w:rsidRDefault="004D5071">
      <w:pPr>
        <w:numPr>
          <w:ilvl w:val="0"/>
          <w:numId w:val="100"/>
        </w:numPr>
        <w:ind w:right="0" w:hanging="283"/>
      </w:pPr>
      <w:r>
        <w:t>при выявлении среднего и низкого риска необходимо оценить выраженность ишемии миокарда.</w:t>
      </w:r>
    </w:p>
    <w:p w:rsidR="00D27BC6" w:rsidRDefault="004D5071">
      <w:pPr>
        <w:numPr>
          <w:ilvl w:val="0"/>
          <w:numId w:val="100"/>
        </w:numPr>
        <w:spacing w:after="226"/>
        <w:ind w:right="0" w:hanging="283"/>
      </w:pPr>
      <w:r>
        <w:t>при минимальном риске возможно проведение операции.</w:t>
      </w:r>
    </w:p>
    <w:p w:rsidR="00D27BC6" w:rsidRDefault="004D5071">
      <w:pPr>
        <w:pStyle w:val="Heading2"/>
        <w:ind w:left="-3"/>
      </w:pPr>
      <w:r>
        <w:t>Предикторы операционного</w:t>
      </w:r>
      <w:r>
        <w:t xml:space="preserve"> риска у больных СД и КИНК</w:t>
      </w:r>
    </w:p>
    <w:tbl>
      <w:tblPr>
        <w:tblStyle w:val="TableGrid"/>
        <w:tblW w:w="10195" w:type="dxa"/>
        <w:tblInd w:w="9" w:type="dxa"/>
        <w:tblCellMar>
          <w:top w:w="9" w:type="dxa"/>
          <w:left w:w="56" w:type="dxa"/>
          <w:bottom w:w="0" w:type="dxa"/>
          <w:right w:w="17" w:type="dxa"/>
        </w:tblCellMar>
        <w:tblLook w:val="04A0" w:firstRow="1" w:lastRow="0" w:firstColumn="1" w:lastColumn="0" w:noHBand="0" w:noVBand="1"/>
      </w:tblPr>
      <w:tblGrid>
        <w:gridCol w:w="5097"/>
        <w:gridCol w:w="5097"/>
      </w:tblGrid>
      <w:tr w:rsidR="00D27BC6">
        <w:trPr>
          <w:trHeight w:val="224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9" w:firstLine="0"/>
              <w:jc w:val="center"/>
            </w:pPr>
            <w:r>
              <w:rPr>
                <w:b/>
              </w:rPr>
              <w:t>Предикторы высокого риска</w:t>
            </w:r>
          </w:p>
          <w:p w:rsidR="00D27BC6" w:rsidRDefault="004D5071">
            <w:pPr>
              <w:numPr>
                <w:ilvl w:val="0"/>
                <w:numId w:val="287"/>
              </w:numPr>
              <w:spacing w:after="0" w:line="259" w:lineRule="auto"/>
              <w:ind w:right="0" w:hanging="170"/>
              <w:jc w:val="left"/>
            </w:pPr>
            <w:r>
              <w:t>ИМ в последние 4 недели</w:t>
            </w:r>
          </w:p>
          <w:p w:rsidR="00D27BC6" w:rsidRDefault="004D5071">
            <w:pPr>
              <w:numPr>
                <w:ilvl w:val="0"/>
                <w:numId w:val="287"/>
              </w:numPr>
              <w:spacing w:after="0" w:line="236" w:lineRule="auto"/>
              <w:ind w:right="0" w:hanging="170"/>
              <w:jc w:val="left"/>
            </w:pPr>
            <w:r>
              <w:t>нестабильная стенокардия или признаки ишемии миокарда на ЭКГ</w:t>
            </w:r>
          </w:p>
          <w:p w:rsidR="00D27BC6" w:rsidRDefault="004D5071">
            <w:pPr>
              <w:numPr>
                <w:ilvl w:val="0"/>
                <w:numId w:val="287"/>
              </w:numPr>
              <w:spacing w:after="0" w:line="259" w:lineRule="auto"/>
              <w:ind w:right="0" w:hanging="170"/>
              <w:jc w:val="left"/>
            </w:pPr>
            <w:r>
              <w:t>стенокардия ФК III и IV</w:t>
            </w:r>
          </w:p>
          <w:p w:rsidR="00D27BC6" w:rsidRDefault="004D5071">
            <w:pPr>
              <w:numPr>
                <w:ilvl w:val="0"/>
                <w:numId w:val="287"/>
              </w:numPr>
              <w:spacing w:after="0" w:line="259" w:lineRule="auto"/>
              <w:ind w:right="0" w:hanging="170"/>
              <w:jc w:val="left"/>
            </w:pPr>
            <w:r>
              <w:t>декомпенсированная сердечная недостаточность</w:t>
            </w:r>
          </w:p>
          <w:p w:rsidR="00D27BC6" w:rsidRDefault="004D5071">
            <w:pPr>
              <w:numPr>
                <w:ilvl w:val="0"/>
                <w:numId w:val="287"/>
              </w:numPr>
              <w:spacing w:after="0" w:line="259" w:lineRule="auto"/>
              <w:ind w:right="0" w:hanging="170"/>
              <w:jc w:val="left"/>
            </w:pPr>
            <w:r>
              <w:t>тяжелый клапанный порок сердца</w:t>
            </w:r>
          </w:p>
          <w:p w:rsidR="00D27BC6" w:rsidRDefault="004D5071">
            <w:pPr>
              <w:numPr>
                <w:ilvl w:val="0"/>
                <w:numId w:val="287"/>
              </w:numPr>
              <w:spacing w:after="0" w:line="259" w:lineRule="auto"/>
              <w:ind w:right="0" w:hanging="170"/>
              <w:jc w:val="left"/>
            </w:pPr>
            <w:r>
              <w:t>жизнеугрожающие желудочковые нарушения ритма сердца</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40" w:firstLine="0"/>
              <w:jc w:val="center"/>
            </w:pPr>
            <w:r>
              <w:rPr>
                <w:b/>
              </w:rPr>
              <w:t>Предикторы среднего риска</w:t>
            </w:r>
          </w:p>
          <w:p w:rsidR="00D27BC6" w:rsidRDefault="004D5071">
            <w:pPr>
              <w:numPr>
                <w:ilvl w:val="0"/>
                <w:numId w:val="288"/>
              </w:numPr>
              <w:spacing w:after="0" w:line="259" w:lineRule="auto"/>
              <w:ind w:right="0" w:hanging="170"/>
              <w:jc w:val="left"/>
            </w:pPr>
            <w:r>
              <w:t>ИМ более 4 недель назад</w:t>
            </w:r>
          </w:p>
          <w:p w:rsidR="00D27BC6" w:rsidRDefault="004D5071">
            <w:pPr>
              <w:numPr>
                <w:ilvl w:val="0"/>
                <w:numId w:val="288"/>
              </w:numPr>
              <w:spacing w:after="0" w:line="259" w:lineRule="auto"/>
              <w:ind w:right="0" w:hanging="170"/>
              <w:jc w:val="left"/>
            </w:pPr>
            <w:r>
              <w:t>стенокардия ФК I и II</w:t>
            </w:r>
          </w:p>
          <w:p w:rsidR="00D27BC6" w:rsidRDefault="004D5071">
            <w:pPr>
              <w:numPr>
                <w:ilvl w:val="0"/>
                <w:numId w:val="288"/>
              </w:numPr>
              <w:spacing w:after="0" w:line="259" w:lineRule="auto"/>
              <w:ind w:right="0" w:hanging="170"/>
              <w:jc w:val="left"/>
            </w:pPr>
            <w:r>
              <w:t>компенсированная сердечная недостаточность</w:t>
            </w:r>
          </w:p>
          <w:p w:rsidR="00D27BC6" w:rsidRDefault="004D5071">
            <w:pPr>
              <w:numPr>
                <w:ilvl w:val="0"/>
                <w:numId w:val="288"/>
              </w:numPr>
              <w:spacing w:after="0" w:line="259" w:lineRule="auto"/>
              <w:ind w:right="0" w:hanging="170"/>
              <w:jc w:val="left"/>
            </w:pPr>
            <w:r>
              <w:t>ХБП С3-5</w:t>
            </w:r>
          </w:p>
          <w:p w:rsidR="00D27BC6" w:rsidRDefault="004D5071">
            <w:pPr>
              <w:numPr>
                <w:ilvl w:val="0"/>
                <w:numId w:val="288"/>
              </w:numPr>
              <w:spacing w:after="0" w:line="259" w:lineRule="auto"/>
              <w:ind w:right="0" w:hanging="170"/>
              <w:jc w:val="left"/>
            </w:pPr>
            <w:r>
              <w:t>цереброваскулярные заболевания</w:t>
            </w:r>
          </w:p>
        </w:tc>
      </w:tr>
      <w:tr w:rsidR="00D27BC6">
        <w:trPr>
          <w:trHeight w:val="1633"/>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90" w:line="259" w:lineRule="auto"/>
              <w:ind w:left="0" w:right="40" w:firstLine="0"/>
              <w:jc w:val="center"/>
            </w:pPr>
            <w:r>
              <w:rPr>
                <w:b/>
              </w:rPr>
              <w:t>Предикторы низкого риска</w:t>
            </w:r>
          </w:p>
          <w:p w:rsidR="00D27BC6" w:rsidRDefault="004D5071">
            <w:pPr>
              <w:spacing w:after="0" w:line="259" w:lineRule="auto"/>
              <w:ind w:left="0" w:right="389" w:firstLine="0"/>
              <w:jc w:val="left"/>
            </w:pPr>
            <w:r>
              <w:t>Отсутствие факторов высокого и среднего риска при любом возрасте, уровне АД, несинусовом ритме и наличие патологических изменений на ЭКГ.</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90" w:line="259" w:lineRule="auto"/>
              <w:ind w:left="0" w:right="40" w:firstLine="0"/>
              <w:jc w:val="center"/>
            </w:pPr>
            <w:r>
              <w:rPr>
                <w:b/>
              </w:rPr>
              <w:t>Предикторы минимального риска</w:t>
            </w:r>
          </w:p>
          <w:p w:rsidR="00D27BC6" w:rsidRDefault="004D5071">
            <w:pPr>
              <w:spacing w:after="0" w:line="259" w:lineRule="auto"/>
              <w:ind w:left="0" w:right="42" w:firstLine="0"/>
              <w:jc w:val="left"/>
            </w:pPr>
            <w:r>
              <w:t>У больного нет гемодинамически значимых стенозов коронарных артерий (по данным коронароа</w:t>
            </w:r>
            <w:r>
              <w:t>нгиографии) или проведена реваскуляризация миокарда за последний год и с того времени отсутствует симптоматика ИБС.</w:t>
            </w:r>
          </w:p>
        </w:tc>
      </w:tr>
    </w:tbl>
    <w:p w:rsidR="00D27BC6" w:rsidRDefault="004D5071">
      <w:pPr>
        <w:pStyle w:val="Heading1"/>
        <w:ind w:left="313" w:right="309"/>
      </w:pPr>
      <w:r>
        <w:t>11. ХРОНИЧЕСКАЯ СЕРДЕЧНАЯ НЕДОСТАТОЧНОСТЬ</w:t>
      </w:r>
    </w:p>
    <w:p w:rsidR="00D27BC6" w:rsidRDefault="004D5071">
      <w:pPr>
        <w:spacing w:after="0" w:line="259" w:lineRule="auto"/>
        <w:ind w:left="248" w:right="-9"/>
        <w:jc w:val="right"/>
      </w:pPr>
      <w:r>
        <w:rPr>
          <w:b/>
        </w:rPr>
        <w:t>Хроническая сердечная недостаточность (ХСН)</w:t>
      </w:r>
      <w:r>
        <w:t xml:space="preserve"> — это синдром, развивающийся в результате нарушения с</w:t>
      </w:r>
      <w:r>
        <w:t>по-</w:t>
      </w:r>
    </w:p>
    <w:p w:rsidR="00D27BC6" w:rsidRDefault="004D5071">
      <w:pPr>
        <w:spacing w:after="230"/>
        <w:ind w:left="-1" w:right="0"/>
      </w:pPr>
      <w:r>
        <w:t>собности сердца к наполнению и/или опорожнению, протекающий в условиях дисбаланса вазоконстрикторных и вазодилатирующих нейрогормональных систем, сопровождающийся недостаточной перфузией органов и систем и проявляющийся жалобами: одышкой, слабостью, сердце</w:t>
      </w:r>
      <w:r>
        <w:t>биением и повышенной утомляемостью и, при прогрессировании, задержкой жидкости в организме (отёчным синдромом).</w:t>
      </w:r>
    </w:p>
    <w:p w:rsidR="00D27BC6" w:rsidRDefault="004D5071">
      <w:pPr>
        <w:pStyle w:val="Heading2"/>
        <w:ind w:left="-3"/>
      </w:pPr>
      <w:r>
        <w:t>Симптомы и признаки типичной ХСН</w:t>
      </w:r>
    </w:p>
    <w:tbl>
      <w:tblPr>
        <w:tblStyle w:val="TableGrid"/>
        <w:tblW w:w="10185" w:type="dxa"/>
        <w:tblInd w:w="9" w:type="dxa"/>
        <w:tblCellMar>
          <w:top w:w="9" w:type="dxa"/>
          <w:left w:w="57" w:type="dxa"/>
          <w:bottom w:w="0" w:type="dxa"/>
          <w:right w:w="112" w:type="dxa"/>
        </w:tblCellMar>
        <w:tblLook w:val="04A0" w:firstRow="1" w:lastRow="0" w:firstColumn="1" w:lastColumn="0" w:noHBand="0" w:noVBand="1"/>
      </w:tblPr>
      <w:tblGrid>
        <w:gridCol w:w="5092"/>
        <w:gridCol w:w="5092"/>
      </w:tblGrid>
      <w:tr w:rsidR="00D27BC6">
        <w:trPr>
          <w:trHeight w:val="320"/>
        </w:trPr>
        <w:tc>
          <w:tcPr>
            <w:tcW w:w="509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Симптомы</w:t>
            </w:r>
          </w:p>
        </w:tc>
        <w:tc>
          <w:tcPr>
            <w:tcW w:w="509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Признаки</w:t>
            </w:r>
          </w:p>
        </w:tc>
      </w:tr>
      <w:tr w:rsidR="00D27BC6">
        <w:trPr>
          <w:trHeight w:val="320"/>
        </w:trPr>
        <w:tc>
          <w:tcPr>
            <w:tcW w:w="5092" w:type="dxa"/>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59" w:right="0" w:firstLine="0"/>
              <w:jc w:val="center"/>
            </w:pPr>
            <w:r>
              <w:rPr>
                <w:b/>
              </w:rPr>
              <w:t>Типичные</w:t>
            </w:r>
          </w:p>
        </w:tc>
        <w:tc>
          <w:tcPr>
            <w:tcW w:w="5092" w:type="dxa"/>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59" w:right="0" w:firstLine="0"/>
              <w:jc w:val="center"/>
            </w:pPr>
            <w:r>
              <w:rPr>
                <w:b/>
              </w:rPr>
              <w:t>Более специфичные</w:t>
            </w:r>
          </w:p>
        </w:tc>
      </w:tr>
      <w:tr w:rsidR="00D27BC6">
        <w:trPr>
          <w:trHeight w:val="2000"/>
        </w:trPr>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Одышка</w:t>
            </w:r>
          </w:p>
          <w:p w:rsidR="00D27BC6" w:rsidRDefault="004D5071">
            <w:pPr>
              <w:spacing w:after="0" w:line="259" w:lineRule="auto"/>
              <w:ind w:left="0" w:right="0" w:firstLine="0"/>
              <w:jc w:val="left"/>
            </w:pPr>
            <w:r>
              <w:t>Ортопноэ</w:t>
            </w:r>
          </w:p>
          <w:p w:rsidR="00D27BC6" w:rsidRDefault="004D5071">
            <w:pPr>
              <w:spacing w:after="0" w:line="259" w:lineRule="auto"/>
              <w:ind w:left="0" w:right="0" w:firstLine="0"/>
              <w:jc w:val="left"/>
            </w:pPr>
            <w:r>
              <w:t>Пароксизмальная ночная одышка</w:t>
            </w:r>
          </w:p>
          <w:p w:rsidR="00D27BC6" w:rsidRDefault="004D5071">
            <w:pPr>
              <w:spacing w:after="0" w:line="259" w:lineRule="auto"/>
              <w:ind w:left="0" w:right="0" w:firstLine="0"/>
              <w:jc w:val="left"/>
            </w:pPr>
            <w:r>
              <w:t>Снижение толерантности к нагрузке</w:t>
            </w:r>
          </w:p>
          <w:p w:rsidR="00D27BC6" w:rsidRDefault="004D5071">
            <w:pPr>
              <w:spacing w:after="0" w:line="259" w:lineRule="auto"/>
              <w:ind w:left="0" w:right="0" w:firstLine="0"/>
              <w:jc w:val="left"/>
            </w:pPr>
            <w:r>
              <w:t>Усталость</w:t>
            </w:r>
          </w:p>
          <w:p w:rsidR="00D27BC6" w:rsidRDefault="004D5071">
            <w:pPr>
              <w:spacing w:after="0" w:line="259" w:lineRule="auto"/>
              <w:ind w:left="0" w:right="0" w:firstLine="0"/>
              <w:jc w:val="left"/>
            </w:pPr>
            <w:r>
              <w:t>Утомляемость</w:t>
            </w:r>
          </w:p>
          <w:p w:rsidR="00D27BC6" w:rsidRDefault="004D5071">
            <w:pPr>
              <w:spacing w:after="0" w:line="259" w:lineRule="auto"/>
              <w:ind w:left="0" w:right="0" w:firstLine="0"/>
              <w:jc w:val="left"/>
            </w:pPr>
            <w:r>
              <w:t>Увеличение времени восстановления после нагрузок Отек лодыжек</w:t>
            </w: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Повышенное давление в яремных венах</w:t>
            </w:r>
          </w:p>
          <w:p w:rsidR="00D27BC6" w:rsidRDefault="004D5071">
            <w:pPr>
              <w:spacing w:after="0" w:line="259" w:lineRule="auto"/>
              <w:ind w:left="0" w:right="0" w:firstLine="0"/>
              <w:jc w:val="left"/>
            </w:pPr>
            <w:r>
              <w:t>Гепато-югулярный рефлюкс</w:t>
            </w:r>
          </w:p>
          <w:p w:rsidR="00D27BC6" w:rsidRDefault="004D5071">
            <w:pPr>
              <w:spacing w:after="0" w:line="259" w:lineRule="auto"/>
              <w:ind w:left="0" w:right="0" w:firstLine="0"/>
              <w:jc w:val="left"/>
            </w:pPr>
            <w:r>
              <w:t>Третий сердечный тон (ритм галопа)</w:t>
            </w:r>
          </w:p>
          <w:p w:rsidR="00D27BC6" w:rsidRDefault="004D5071">
            <w:pPr>
              <w:spacing w:after="0" w:line="259" w:lineRule="auto"/>
              <w:ind w:left="0" w:right="0" w:firstLine="0"/>
              <w:jc w:val="left"/>
            </w:pPr>
            <w:r>
              <w:t xml:space="preserve">Латеральное смещение верхушечного толчка </w:t>
            </w:r>
          </w:p>
        </w:tc>
      </w:tr>
      <w:tr w:rsidR="00D27BC6">
        <w:trPr>
          <w:trHeight w:val="320"/>
        </w:trPr>
        <w:tc>
          <w:tcPr>
            <w:tcW w:w="509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6" w:right="0" w:firstLine="0"/>
              <w:jc w:val="center"/>
            </w:pPr>
            <w:r>
              <w:rPr>
                <w:b/>
              </w:rPr>
              <w:t>Симптомы</w:t>
            </w:r>
          </w:p>
        </w:tc>
        <w:tc>
          <w:tcPr>
            <w:tcW w:w="509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6" w:right="0" w:firstLine="0"/>
              <w:jc w:val="center"/>
            </w:pPr>
            <w:r>
              <w:rPr>
                <w:b/>
              </w:rPr>
              <w:t>Признаки</w:t>
            </w:r>
          </w:p>
        </w:tc>
      </w:tr>
      <w:tr w:rsidR="00D27BC6">
        <w:trPr>
          <w:trHeight w:val="320"/>
        </w:trPr>
        <w:tc>
          <w:tcPr>
            <w:tcW w:w="5092" w:type="dxa"/>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56" w:right="0" w:firstLine="0"/>
              <w:jc w:val="center"/>
            </w:pPr>
            <w:r>
              <w:rPr>
                <w:b/>
              </w:rPr>
              <w:t>Менее типичные</w:t>
            </w:r>
          </w:p>
        </w:tc>
        <w:tc>
          <w:tcPr>
            <w:tcW w:w="5092" w:type="dxa"/>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56" w:right="0" w:firstLine="0"/>
              <w:jc w:val="center"/>
            </w:pPr>
            <w:r>
              <w:rPr>
                <w:b/>
              </w:rPr>
              <w:t>Менее специфичные</w:t>
            </w:r>
          </w:p>
        </w:tc>
      </w:tr>
      <w:tr w:rsidR="00D27BC6">
        <w:trPr>
          <w:trHeight w:val="2960"/>
        </w:trPr>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Ночной кашель</w:t>
            </w:r>
          </w:p>
          <w:p w:rsidR="00D27BC6" w:rsidRDefault="004D5071">
            <w:pPr>
              <w:spacing w:after="0" w:line="259" w:lineRule="auto"/>
              <w:ind w:left="0" w:right="0" w:firstLine="0"/>
              <w:jc w:val="left"/>
            </w:pPr>
            <w:r>
              <w:t>Свистящее дыхание</w:t>
            </w:r>
          </w:p>
          <w:p w:rsidR="00D27BC6" w:rsidRDefault="004D5071">
            <w:pPr>
              <w:spacing w:after="0" w:line="259" w:lineRule="auto"/>
              <w:ind w:left="0" w:right="0" w:firstLine="0"/>
              <w:jc w:val="left"/>
            </w:pPr>
            <w:r>
              <w:t>Ощущение раздутости</w:t>
            </w:r>
          </w:p>
          <w:p w:rsidR="00D27BC6" w:rsidRDefault="004D5071">
            <w:pPr>
              <w:spacing w:after="0" w:line="259" w:lineRule="auto"/>
              <w:ind w:left="0" w:right="0" w:firstLine="0"/>
              <w:jc w:val="left"/>
            </w:pPr>
            <w:r>
              <w:t>Потеря аппетита</w:t>
            </w:r>
          </w:p>
          <w:p w:rsidR="00D27BC6" w:rsidRDefault="004D5071">
            <w:pPr>
              <w:spacing w:after="0" w:line="259" w:lineRule="auto"/>
              <w:ind w:left="0" w:right="0" w:firstLine="0"/>
              <w:jc w:val="left"/>
            </w:pPr>
            <w:r>
              <w:t>Спутанность мышления (особенно в пожилом возрасте)</w:t>
            </w:r>
          </w:p>
          <w:p w:rsidR="00D27BC6" w:rsidRDefault="004D5071">
            <w:pPr>
              <w:spacing w:after="0" w:line="259" w:lineRule="auto"/>
              <w:ind w:left="0" w:right="0" w:firstLine="0"/>
              <w:jc w:val="left"/>
            </w:pPr>
            <w:r>
              <w:t>Депрессия</w:t>
            </w:r>
          </w:p>
          <w:p w:rsidR="00D27BC6" w:rsidRDefault="004D5071">
            <w:pPr>
              <w:spacing w:after="0" w:line="259" w:lineRule="auto"/>
              <w:ind w:left="0" w:right="0" w:firstLine="0"/>
              <w:jc w:val="left"/>
            </w:pPr>
            <w:r>
              <w:t>Усиленное сердцебиение</w:t>
            </w:r>
          </w:p>
          <w:p w:rsidR="00D27BC6" w:rsidRDefault="004D5071">
            <w:pPr>
              <w:spacing w:after="0" w:line="259" w:lineRule="auto"/>
              <w:ind w:left="0" w:right="0" w:firstLine="0"/>
              <w:jc w:val="left"/>
            </w:pPr>
            <w:r>
              <w:t>Головокружение</w:t>
            </w:r>
          </w:p>
          <w:p w:rsidR="00D27BC6" w:rsidRDefault="004D5071">
            <w:pPr>
              <w:spacing w:after="0" w:line="259" w:lineRule="auto"/>
              <w:ind w:left="0" w:right="0" w:firstLine="0"/>
              <w:jc w:val="left"/>
            </w:pPr>
            <w:r>
              <w:t>Бендопноэ (одышка при наклоне)</w:t>
            </w: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Прибавка массы тела (более 2 кг в неделю)</w:t>
            </w:r>
          </w:p>
          <w:p w:rsidR="00D27BC6" w:rsidRDefault="004D5071">
            <w:pPr>
              <w:spacing w:after="0" w:line="259" w:lineRule="auto"/>
              <w:ind w:left="0" w:right="0" w:firstLine="0"/>
              <w:jc w:val="left"/>
            </w:pPr>
            <w:r>
              <w:t>Потеря веса, кахексия</w:t>
            </w:r>
          </w:p>
          <w:p w:rsidR="00D27BC6" w:rsidRDefault="004D5071">
            <w:pPr>
              <w:spacing w:after="0" w:line="236" w:lineRule="auto"/>
              <w:ind w:left="0" w:right="2076" w:firstLine="0"/>
              <w:jc w:val="left"/>
            </w:pPr>
            <w:r>
              <w:t>Периферические отеки Легочная крепитация</w:t>
            </w:r>
          </w:p>
          <w:p w:rsidR="00D27BC6" w:rsidRDefault="004D5071">
            <w:pPr>
              <w:spacing w:after="0" w:line="236" w:lineRule="auto"/>
              <w:ind w:left="0" w:right="0" w:firstLine="0"/>
              <w:jc w:val="left"/>
            </w:pPr>
            <w:r>
              <w:t>Плевральный выпот (ослабленное дыхание и притупление при перкуссии в базальных отделах легких)</w:t>
            </w:r>
          </w:p>
          <w:p w:rsidR="00D27BC6" w:rsidRDefault="004D5071">
            <w:pPr>
              <w:spacing w:after="0" w:line="259" w:lineRule="auto"/>
              <w:ind w:left="0" w:right="0" w:firstLine="0"/>
              <w:jc w:val="left"/>
            </w:pPr>
            <w:r>
              <w:t>Тахикардия, неритмичный пульс</w:t>
            </w:r>
          </w:p>
          <w:p w:rsidR="00D27BC6" w:rsidRDefault="004D5071">
            <w:pPr>
              <w:spacing w:after="0" w:line="259" w:lineRule="auto"/>
              <w:ind w:left="0" w:right="0" w:firstLine="0"/>
              <w:jc w:val="left"/>
            </w:pPr>
            <w:r>
              <w:t>Тахипноэ, дыхание Чейн-Стокса</w:t>
            </w:r>
          </w:p>
          <w:p w:rsidR="00D27BC6" w:rsidRDefault="004D5071">
            <w:pPr>
              <w:spacing w:after="0" w:line="259" w:lineRule="auto"/>
              <w:ind w:left="0" w:right="0" w:firstLine="0"/>
              <w:jc w:val="left"/>
            </w:pPr>
            <w:r>
              <w:t>Гепатомегалия, асцит</w:t>
            </w:r>
          </w:p>
          <w:p w:rsidR="00D27BC6" w:rsidRDefault="004D5071">
            <w:pPr>
              <w:spacing w:after="0" w:line="259" w:lineRule="auto"/>
              <w:ind w:left="0" w:right="0" w:firstLine="0"/>
              <w:jc w:val="left"/>
            </w:pPr>
            <w:r>
              <w:t>Похолодание конечностей</w:t>
            </w:r>
          </w:p>
          <w:p w:rsidR="00D27BC6" w:rsidRDefault="004D5071">
            <w:pPr>
              <w:spacing w:after="0" w:line="259" w:lineRule="auto"/>
              <w:ind w:left="0" w:right="0" w:firstLine="0"/>
              <w:jc w:val="left"/>
            </w:pPr>
            <w:r>
              <w:t>Олигурия</w:t>
            </w:r>
          </w:p>
          <w:p w:rsidR="00D27BC6" w:rsidRDefault="004D5071">
            <w:pPr>
              <w:spacing w:after="0" w:line="259" w:lineRule="auto"/>
              <w:ind w:left="0" w:right="0" w:firstLine="0"/>
              <w:jc w:val="left"/>
            </w:pPr>
            <w:r>
              <w:t xml:space="preserve">Низкое пульсовое давление </w:t>
            </w:r>
          </w:p>
        </w:tc>
      </w:tr>
    </w:tbl>
    <w:p w:rsidR="00D27BC6" w:rsidRDefault="004D5071">
      <w:pPr>
        <w:ind w:left="295" w:right="0"/>
      </w:pPr>
      <w:r>
        <w:t xml:space="preserve">СД является мощным фактором риска развития ХСН. </w:t>
      </w:r>
    </w:p>
    <w:p w:rsidR="00D27BC6" w:rsidRDefault="004D5071">
      <w:pPr>
        <w:ind w:left="-11" w:right="0" w:firstLine="283"/>
      </w:pPr>
      <w:r>
        <w:t>Сочетание СД и ХСН ассоциируется с более высоким риском общей и сердечно-сосудистой смертности,</w:t>
      </w:r>
      <w:r>
        <w:t xml:space="preserve"> а также с повышенным риском неблагоприятных клинических исходов. </w:t>
      </w:r>
    </w:p>
    <w:p w:rsidR="00D27BC6" w:rsidRDefault="004D5071">
      <w:pPr>
        <w:spacing w:after="230"/>
        <w:ind w:left="-11" w:right="0" w:firstLine="283"/>
      </w:pPr>
      <w:r>
        <w:t>Неудовлетворительный контроль гликемии связан с повышенным риском развития ХСН: на каждый % повышения уровня HbA1c риск развития ХСН повышается на 8–36%. Более того, наличие предиабета при ХСН также связано с высоким риском смерти и неблагоприятных исходов</w:t>
      </w:r>
      <w:r>
        <w:t xml:space="preserve"> ХСН.</w:t>
      </w:r>
    </w:p>
    <w:p w:rsidR="00D27BC6" w:rsidRDefault="004D5071">
      <w:pPr>
        <w:ind w:left="281" w:right="51"/>
        <w:jc w:val="left"/>
      </w:pPr>
      <w:r>
        <w:rPr>
          <w:b/>
        </w:rPr>
        <w:t>Классификация</w:t>
      </w:r>
    </w:p>
    <w:p w:rsidR="00D27BC6" w:rsidRDefault="004D5071">
      <w:pPr>
        <w:spacing w:after="230"/>
        <w:ind w:left="-11" w:right="0" w:firstLine="283"/>
      </w:pPr>
      <w:r>
        <w:t xml:space="preserve">В настоящее время в клинической практике используют несколько классификаций ХСН. Наиболее значимые представлены ниже. </w:t>
      </w:r>
    </w:p>
    <w:p w:rsidR="00D27BC6" w:rsidRDefault="004D5071">
      <w:pPr>
        <w:ind w:left="281" w:right="51"/>
        <w:jc w:val="left"/>
      </w:pPr>
      <w:r>
        <w:rPr>
          <w:b/>
        </w:rPr>
        <w:t xml:space="preserve">Классификация ХСН в зависимости от фракции выброса (ФВ) левого желудочка (ЛЖ): </w:t>
      </w:r>
    </w:p>
    <w:p w:rsidR="00D27BC6" w:rsidRDefault="004D5071">
      <w:pPr>
        <w:numPr>
          <w:ilvl w:val="0"/>
          <w:numId w:val="101"/>
        </w:numPr>
        <w:ind w:right="0" w:hanging="283"/>
      </w:pPr>
      <w:r>
        <w:t xml:space="preserve">ХСН со сниженной ФВ ЛЖ (ХСНнФВ) – ФВ </w:t>
      </w:r>
      <w:r>
        <w:t>менее 40%</w:t>
      </w:r>
    </w:p>
    <w:p w:rsidR="00D27BC6" w:rsidRDefault="004D5071">
      <w:pPr>
        <w:numPr>
          <w:ilvl w:val="0"/>
          <w:numId w:val="101"/>
        </w:numPr>
        <w:ind w:right="0" w:hanging="283"/>
      </w:pPr>
      <w:r>
        <w:t>ХСН с умеренно сниженной ФВ ЛЖ (ХСНунФВ) – ФВ 40–49%</w:t>
      </w:r>
    </w:p>
    <w:p w:rsidR="00D27BC6" w:rsidRDefault="004D5071">
      <w:pPr>
        <w:numPr>
          <w:ilvl w:val="0"/>
          <w:numId w:val="101"/>
        </w:numPr>
        <w:spacing w:after="226"/>
        <w:ind w:right="0" w:hanging="283"/>
      </w:pPr>
      <w:r>
        <w:t>ХСН с сохранённой ФВ ЛЖ (ХСНсФВ) – ФВ 50% и более</w:t>
      </w:r>
    </w:p>
    <w:p w:rsidR="00D27BC6" w:rsidRDefault="004D5071">
      <w:pPr>
        <w:pStyle w:val="Heading2"/>
        <w:ind w:left="-3"/>
      </w:pPr>
      <w:r>
        <w:t xml:space="preserve">Классификация по клинической стадии ХСН </w:t>
      </w:r>
    </w:p>
    <w:tbl>
      <w:tblPr>
        <w:tblStyle w:val="TableGrid"/>
        <w:tblW w:w="10185" w:type="dxa"/>
        <w:tblInd w:w="9" w:type="dxa"/>
        <w:tblCellMar>
          <w:top w:w="9" w:type="dxa"/>
          <w:left w:w="57" w:type="dxa"/>
          <w:bottom w:w="0" w:type="dxa"/>
          <w:right w:w="115" w:type="dxa"/>
        </w:tblCellMar>
        <w:tblLook w:val="04A0" w:firstRow="1" w:lastRow="0" w:firstColumn="1" w:lastColumn="0" w:noHBand="0" w:noVBand="1"/>
      </w:tblPr>
      <w:tblGrid>
        <w:gridCol w:w="709"/>
        <w:gridCol w:w="4738"/>
        <w:gridCol w:w="4738"/>
      </w:tblGrid>
      <w:tr w:rsidR="00D27BC6">
        <w:trPr>
          <w:trHeight w:val="320"/>
        </w:trPr>
        <w:tc>
          <w:tcPr>
            <w:tcW w:w="5447"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Стадия</w:t>
            </w:r>
          </w:p>
        </w:tc>
        <w:tc>
          <w:tcPr>
            <w:tcW w:w="473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Характеристика</w:t>
            </w:r>
          </w:p>
        </w:tc>
      </w:tr>
      <w:tr w:rsidR="00D27BC6">
        <w:trPr>
          <w:trHeight w:val="1520"/>
        </w:trPr>
        <w:tc>
          <w:tcPr>
            <w:tcW w:w="70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A</w:t>
            </w:r>
          </w:p>
        </w:tc>
        <w:tc>
          <w:tcPr>
            <w:tcW w:w="473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Высокий риск развития ХСН</w:t>
            </w:r>
          </w:p>
        </w:tc>
        <w:tc>
          <w:tcPr>
            <w:tcW w:w="473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Артериальная гипертония</w:t>
            </w:r>
          </w:p>
          <w:p w:rsidR="00D27BC6" w:rsidRDefault="004D5071">
            <w:pPr>
              <w:spacing w:after="0" w:line="259" w:lineRule="auto"/>
              <w:ind w:left="0" w:right="0" w:firstLine="0"/>
              <w:jc w:val="left"/>
            </w:pPr>
            <w:r>
              <w:t>ИБС</w:t>
            </w:r>
          </w:p>
          <w:p w:rsidR="00D27BC6" w:rsidRDefault="004D5071">
            <w:pPr>
              <w:spacing w:after="0" w:line="259" w:lineRule="auto"/>
              <w:ind w:left="0" w:right="0" w:firstLine="0"/>
              <w:jc w:val="left"/>
            </w:pPr>
            <w:r>
              <w:t>Сахарный диабет</w:t>
            </w:r>
          </w:p>
          <w:p w:rsidR="00D27BC6" w:rsidRDefault="004D5071">
            <w:pPr>
              <w:spacing w:after="0" w:line="259" w:lineRule="auto"/>
              <w:ind w:left="0" w:right="0" w:firstLine="0"/>
              <w:jc w:val="left"/>
            </w:pPr>
            <w:r>
              <w:t>Ожирение</w:t>
            </w:r>
          </w:p>
          <w:p w:rsidR="00D27BC6" w:rsidRDefault="004D5071">
            <w:pPr>
              <w:spacing w:after="0" w:line="259" w:lineRule="auto"/>
              <w:ind w:left="0" w:right="0" w:firstLine="0"/>
              <w:jc w:val="left"/>
            </w:pPr>
            <w:r>
              <w:t>Хроническая болезнь почек</w:t>
            </w:r>
          </w:p>
          <w:p w:rsidR="00D27BC6" w:rsidRDefault="004D5071">
            <w:pPr>
              <w:spacing w:after="0" w:line="259" w:lineRule="auto"/>
              <w:ind w:left="0" w:right="0" w:firstLine="0"/>
              <w:jc w:val="left"/>
            </w:pPr>
            <w:r>
              <w:t>Гиперлипидемия</w:t>
            </w:r>
          </w:p>
        </w:tc>
      </w:tr>
      <w:tr w:rsidR="00D27BC6">
        <w:trPr>
          <w:trHeight w:val="1760"/>
        </w:trPr>
        <w:tc>
          <w:tcPr>
            <w:tcW w:w="70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8" w:right="0" w:firstLine="0"/>
              <w:jc w:val="center"/>
            </w:pPr>
            <w:r>
              <w:t>B</w:t>
            </w:r>
          </w:p>
        </w:tc>
        <w:tc>
          <w:tcPr>
            <w:tcW w:w="473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Бессимптомная ХСН</w:t>
            </w:r>
          </w:p>
        </w:tc>
        <w:tc>
          <w:tcPr>
            <w:tcW w:w="473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Систолическая дисфункция ЛЖ</w:t>
            </w:r>
          </w:p>
          <w:p w:rsidR="00D27BC6" w:rsidRDefault="004D5071">
            <w:pPr>
              <w:spacing w:after="0" w:line="259" w:lineRule="auto"/>
              <w:ind w:left="0" w:right="0" w:firstLine="0"/>
              <w:jc w:val="left"/>
            </w:pPr>
            <w:r>
              <w:t>Диастолическая дисфункция ЛЖ</w:t>
            </w:r>
          </w:p>
          <w:p w:rsidR="00D27BC6" w:rsidRDefault="004D5071">
            <w:pPr>
              <w:spacing w:after="0" w:line="259" w:lineRule="auto"/>
              <w:ind w:left="0" w:right="0" w:firstLine="0"/>
              <w:jc w:val="left"/>
            </w:pPr>
            <w:r>
              <w:t>Гипертрофия ЛЖ</w:t>
            </w:r>
          </w:p>
          <w:p w:rsidR="00D27BC6" w:rsidRDefault="004D5071">
            <w:pPr>
              <w:spacing w:after="0" w:line="259" w:lineRule="auto"/>
              <w:ind w:left="0" w:right="0" w:firstLine="0"/>
              <w:jc w:val="left"/>
            </w:pPr>
            <w:r>
              <w:t>Увеличение камер сердца</w:t>
            </w:r>
          </w:p>
          <w:p w:rsidR="00D27BC6" w:rsidRDefault="004D5071">
            <w:pPr>
              <w:spacing w:after="0" w:line="259" w:lineRule="auto"/>
              <w:ind w:left="0" w:right="0" w:firstLine="0"/>
              <w:jc w:val="left"/>
            </w:pPr>
            <w:r>
              <w:t>Заболевания клапанов сердца</w:t>
            </w:r>
          </w:p>
          <w:p w:rsidR="00D27BC6" w:rsidRDefault="004D5071">
            <w:pPr>
              <w:spacing w:after="0" w:line="259" w:lineRule="auto"/>
              <w:ind w:left="0" w:right="0" w:firstLine="0"/>
              <w:jc w:val="left"/>
            </w:pPr>
            <w:r>
              <w:t>Увеличение давления наполнения или повышение уровня биомаркеров</w:t>
            </w:r>
          </w:p>
        </w:tc>
      </w:tr>
      <w:tr w:rsidR="00D27BC6">
        <w:trPr>
          <w:trHeight w:val="1280"/>
        </w:trPr>
        <w:tc>
          <w:tcPr>
            <w:tcW w:w="70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8" w:right="0" w:firstLine="0"/>
              <w:jc w:val="center"/>
            </w:pPr>
            <w:r>
              <w:t>C</w:t>
            </w:r>
          </w:p>
        </w:tc>
        <w:tc>
          <w:tcPr>
            <w:tcW w:w="473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ХСН с клиническими проявлениями </w:t>
            </w:r>
          </w:p>
        </w:tc>
        <w:tc>
          <w:tcPr>
            <w:tcW w:w="473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Одышка при физической нагрузке</w:t>
            </w:r>
          </w:p>
          <w:p w:rsidR="00D27BC6" w:rsidRDefault="004D5071">
            <w:pPr>
              <w:spacing w:after="0" w:line="259" w:lineRule="auto"/>
              <w:ind w:left="0" w:right="0" w:firstLine="0"/>
              <w:jc w:val="left"/>
            </w:pPr>
            <w:r>
              <w:t>Пароксизмальная ночная одышка</w:t>
            </w:r>
          </w:p>
          <w:p w:rsidR="00D27BC6" w:rsidRDefault="004D5071">
            <w:pPr>
              <w:spacing w:after="0" w:line="259" w:lineRule="auto"/>
              <w:ind w:left="0" w:right="0" w:firstLine="0"/>
              <w:jc w:val="left"/>
            </w:pPr>
            <w:r>
              <w:t>Ортопноэ</w:t>
            </w:r>
          </w:p>
          <w:p w:rsidR="00D27BC6" w:rsidRDefault="004D5071">
            <w:pPr>
              <w:spacing w:after="0" w:line="259" w:lineRule="auto"/>
              <w:ind w:left="0" w:right="0" w:firstLine="0"/>
              <w:jc w:val="left"/>
            </w:pPr>
            <w:r>
              <w:t>Общая слабость/утомляемость</w:t>
            </w:r>
          </w:p>
          <w:p w:rsidR="00D27BC6" w:rsidRDefault="004D5071">
            <w:pPr>
              <w:spacing w:after="0" w:line="259" w:lineRule="auto"/>
              <w:ind w:left="0" w:right="0" w:firstLine="0"/>
              <w:jc w:val="left"/>
            </w:pPr>
            <w:r>
              <w:t>Прибавка в весе</w:t>
            </w:r>
          </w:p>
        </w:tc>
      </w:tr>
      <w:tr w:rsidR="00D27BC6">
        <w:trPr>
          <w:trHeight w:val="942"/>
        </w:trPr>
        <w:tc>
          <w:tcPr>
            <w:tcW w:w="70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8" w:right="0" w:firstLine="0"/>
              <w:jc w:val="center"/>
            </w:pPr>
            <w:r>
              <w:t>D</w:t>
            </w:r>
          </w:p>
        </w:tc>
        <w:tc>
          <w:tcPr>
            <w:tcW w:w="473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Устойчивая к лечению терминальная стадия ХСН </w:t>
            </w:r>
          </w:p>
        </w:tc>
        <w:tc>
          <w:tcPr>
            <w:tcW w:w="473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Выраженные симптомы в покое, несмотря на проводимую терапию</w:t>
            </w:r>
          </w:p>
        </w:tc>
      </w:tr>
    </w:tbl>
    <w:p w:rsidR="00D27BC6" w:rsidRDefault="004D5071">
      <w:pPr>
        <w:ind w:left="295" w:right="0"/>
      </w:pPr>
      <w:r>
        <w:t>Все пациенты, страдающие СД, находятся как минимум в стадии с высоким риском развития ХСН (стадии А).</w:t>
      </w:r>
    </w:p>
    <w:p w:rsidR="00D27BC6" w:rsidRDefault="004D5071">
      <w:pPr>
        <w:spacing w:line="472" w:lineRule="auto"/>
        <w:ind w:left="285" w:right="3329" w:firstLine="4185"/>
      </w:pPr>
      <w:r>
        <w:rPr>
          <w:b/>
          <w:color w:val="6F6F6E"/>
          <w:sz w:val="18"/>
          <w:u w:val="single" w:color="6F6F6E"/>
        </w:rPr>
        <w:t xml:space="preserve">ДИАГНОСТИКА </w:t>
      </w:r>
      <w:r>
        <w:t>Диагностика ХСН при СД не отличается от диагностики без СД.</w:t>
      </w:r>
    </w:p>
    <w:p w:rsidR="00D27BC6" w:rsidRDefault="004D5071">
      <w:pPr>
        <w:spacing w:after="280" w:line="259" w:lineRule="auto"/>
        <w:ind w:left="576" w:right="0" w:firstLine="0"/>
        <w:jc w:val="left"/>
      </w:pPr>
      <w:r>
        <w:rPr>
          <w:noProof/>
          <w:sz w:val="22"/>
        </w:rPr>
        <mc:AlternateContent>
          <mc:Choice Requires="wpg">
            <w:drawing>
              <wp:inline distT="0" distB="0" distL="0" distR="0">
                <wp:extent cx="5628006" cy="5020330"/>
                <wp:effectExtent l="0" t="0" r="0" b="0"/>
                <wp:docPr id="276567" name="Group 276567"/>
                <wp:cNvGraphicFramePr/>
                <a:graphic xmlns:a="http://schemas.openxmlformats.org/drawingml/2006/main">
                  <a:graphicData uri="http://schemas.microsoft.com/office/word/2010/wordprocessingGroup">
                    <wpg:wgp>
                      <wpg:cNvGrpSpPr/>
                      <wpg:grpSpPr>
                        <a:xfrm>
                          <a:off x="0" y="0"/>
                          <a:ext cx="5628006" cy="5020330"/>
                          <a:chOff x="0" y="0"/>
                          <a:chExt cx="5628006" cy="5020330"/>
                        </a:xfrm>
                      </wpg:grpSpPr>
                      <wps:wsp>
                        <wps:cNvPr id="16097" name="Rectangle 16097"/>
                        <wps:cNvSpPr/>
                        <wps:spPr>
                          <a:xfrm>
                            <a:off x="2066276" y="0"/>
                            <a:ext cx="2152403" cy="209280"/>
                          </a:xfrm>
                          <a:prstGeom prst="rect">
                            <a:avLst/>
                          </a:prstGeom>
                          <a:ln>
                            <a:noFill/>
                          </a:ln>
                        </wps:spPr>
                        <wps:txbx>
                          <w:txbxContent>
                            <w:p w:rsidR="00D27BC6" w:rsidRDefault="004D5071">
                              <w:pPr>
                                <w:spacing w:after="160" w:line="259" w:lineRule="auto"/>
                                <w:ind w:left="0" w:right="0" w:firstLine="0"/>
                                <w:jc w:val="left"/>
                              </w:pPr>
                              <w:r>
                                <w:rPr>
                                  <w:b/>
                                  <w:color w:val="1E5D99"/>
                                  <w:w w:val="112"/>
                                </w:rPr>
                                <w:t>Алгоритм</w:t>
                              </w:r>
                              <w:r>
                                <w:rPr>
                                  <w:b/>
                                  <w:color w:val="1E5D99"/>
                                  <w:spacing w:val="-5"/>
                                  <w:w w:val="112"/>
                                </w:rPr>
                                <w:t xml:space="preserve"> </w:t>
                              </w:r>
                              <w:r>
                                <w:rPr>
                                  <w:b/>
                                  <w:color w:val="1E5D99"/>
                                  <w:w w:val="112"/>
                                </w:rPr>
                                <w:t>диагностики</w:t>
                              </w:r>
                              <w:r>
                                <w:rPr>
                                  <w:b/>
                                  <w:color w:val="1E5D99"/>
                                  <w:spacing w:val="-5"/>
                                  <w:w w:val="112"/>
                                </w:rPr>
                                <w:t xml:space="preserve"> </w:t>
                              </w:r>
                              <w:r>
                                <w:rPr>
                                  <w:b/>
                                  <w:color w:val="1E5D99"/>
                                  <w:w w:val="112"/>
                                </w:rPr>
                                <w:t>ХСН</w:t>
                              </w:r>
                            </w:p>
                          </w:txbxContent>
                        </wps:txbx>
                        <wps:bodyPr horzOverflow="overflow" vert="horz" lIns="0" tIns="0" rIns="0" bIns="0" rtlCol="0">
                          <a:noAutofit/>
                        </wps:bodyPr>
                      </wps:wsp>
                      <wps:wsp>
                        <wps:cNvPr id="16099" name="Shape 16099"/>
                        <wps:cNvSpPr/>
                        <wps:spPr>
                          <a:xfrm>
                            <a:off x="747090" y="827069"/>
                            <a:ext cx="4136822" cy="1571536"/>
                          </a:xfrm>
                          <a:custGeom>
                            <a:avLst/>
                            <a:gdLst/>
                            <a:ahLst/>
                            <a:cxnLst/>
                            <a:rect l="0" t="0" r="0" b="0"/>
                            <a:pathLst>
                              <a:path w="4136822" h="1571536">
                                <a:moveTo>
                                  <a:pt x="0" y="1571536"/>
                                </a:moveTo>
                                <a:lnTo>
                                  <a:pt x="4136822" y="1571536"/>
                                </a:lnTo>
                                <a:lnTo>
                                  <a:pt x="4136822"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00" name="Shape 16100"/>
                        <wps:cNvSpPr/>
                        <wps:spPr>
                          <a:xfrm>
                            <a:off x="2815501" y="634464"/>
                            <a:ext cx="0" cy="118059"/>
                          </a:xfrm>
                          <a:custGeom>
                            <a:avLst/>
                            <a:gdLst/>
                            <a:ahLst/>
                            <a:cxnLst/>
                            <a:rect l="0" t="0" r="0" b="0"/>
                            <a:pathLst>
                              <a:path h="118059">
                                <a:moveTo>
                                  <a:pt x="0" y="0"/>
                                </a:moveTo>
                                <a:lnTo>
                                  <a:pt x="0" y="11805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01" name="Shape 16101"/>
                        <wps:cNvSpPr/>
                        <wps:spPr>
                          <a:xfrm>
                            <a:off x="2784945" y="732505"/>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103" name="Rectangle 16103"/>
                        <wps:cNvSpPr/>
                        <wps:spPr>
                          <a:xfrm>
                            <a:off x="2238352" y="293750"/>
                            <a:ext cx="1603447" cy="209280"/>
                          </a:xfrm>
                          <a:prstGeom prst="rect">
                            <a:avLst/>
                          </a:prstGeom>
                          <a:ln>
                            <a:noFill/>
                          </a:ln>
                        </wps:spPr>
                        <wps:txbx>
                          <w:txbxContent>
                            <w:p w:rsidR="00D27BC6" w:rsidRDefault="004D5071">
                              <w:pPr>
                                <w:spacing w:after="160" w:line="259" w:lineRule="auto"/>
                                <w:ind w:left="0" w:right="0" w:firstLine="0"/>
                                <w:jc w:val="left"/>
                              </w:pPr>
                              <w:r>
                                <w:rPr>
                                  <w:b/>
                                  <w:w w:val="110"/>
                                </w:rPr>
                                <w:t>Подозрение</w:t>
                              </w:r>
                              <w:r>
                                <w:rPr>
                                  <w:b/>
                                  <w:spacing w:val="-5"/>
                                  <w:w w:val="110"/>
                                </w:rPr>
                                <w:t xml:space="preserve"> </w:t>
                              </w:r>
                              <w:r>
                                <w:rPr>
                                  <w:b/>
                                  <w:w w:val="110"/>
                                </w:rPr>
                                <w:t>на</w:t>
                              </w:r>
                              <w:r>
                                <w:rPr>
                                  <w:b/>
                                  <w:spacing w:val="-5"/>
                                  <w:w w:val="110"/>
                                </w:rPr>
                                <w:t xml:space="preserve"> </w:t>
                              </w:r>
                              <w:r>
                                <w:rPr>
                                  <w:b/>
                                  <w:w w:val="110"/>
                                </w:rPr>
                                <w:t>ХСН</w:t>
                              </w:r>
                              <w:r>
                                <w:rPr>
                                  <w:b/>
                                  <w:spacing w:val="-5"/>
                                  <w:w w:val="110"/>
                                </w:rPr>
                                <w:t xml:space="preserve">  </w:t>
                              </w:r>
                            </w:p>
                          </w:txbxContent>
                        </wps:txbx>
                        <wps:bodyPr horzOverflow="overflow" vert="horz" lIns="0" tIns="0" rIns="0" bIns="0" rtlCol="0">
                          <a:noAutofit/>
                        </wps:bodyPr>
                      </wps:wsp>
                      <wps:wsp>
                        <wps:cNvPr id="276375" name="Rectangle 276375"/>
                        <wps:cNvSpPr/>
                        <wps:spPr>
                          <a:xfrm>
                            <a:off x="2319124" y="446150"/>
                            <a:ext cx="1320370" cy="209280"/>
                          </a:xfrm>
                          <a:prstGeom prst="rect">
                            <a:avLst/>
                          </a:prstGeom>
                          <a:ln>
                            <a:noFill/>
                          </a:ln>
                        </wps:spPr>
                        <wps:txbx>
                          <w:txbxContent>
                            <w:p w:rsidR="00D27BC6" w:rsidRDefault="004D5071">
                              <w:pPr>
                                <w:spacing w:after="160" w:line="259" w:lineRule="auto"/>
                                <w:ind w:left="0" w:right="0" w:firstLine="0"/>
                                <w:jc w:val="left"/>
                              </w:pPr>
                              <w:r>
                                <w:rPr>
                                  <w:b/>
                                  <w:w w:val="111"/>
                                </w:rPr>
                                <w:t>неострое</w:t>
                              </w:r>
                              <w:r>
                                <w:rPr>
                                  <w:b/>
                                  <w:spacing w:val="-5"/>
                                  <w:w w:val="111"/>
                                </w:rPr>
                                <w:t xml:space="preserve"> </w:t>
                              </w:r>
                              <w:r>
                                <w:rPr>
                                  <w:b/>
                                  <w:w w:val="111"/>
                                </w:rPr>
                                <w:t>начало</w:t>
                              </w:r>
                            </w:p>
                          </w:txbxContent>
                        </wps:txbx>
                        <wps:bodyPr horzOverflow="overflow" vert="horz" lIns="0" tIns="0" rIns="0" bIns="0" rtlCol="0">
                          <a:noAutofit/>
                        </wps:bodyPr>
                      </wps:wsp>
                      <wps:wsp>
                        <wps:cNvPr id="276373" name="Rectangle 276373"/>
                        <wps:cNvSpPr/>
                        <wps:spPr>
                          <a:xfrm>
                            <a:off x="3311883" y="446150"/>
                            <a:ext cx="53038" cy="209280"/>
                          </a:xfrm>
                          <a:prstGeom prst="rect">
                            <a:avLst/>
                          </a:prstGeom>
                          <a:ln>
                            <a:noFill/>
                          </a:ln>
                        </wps:spPr>
                        <wps:txbx>
                          <w:txbxContent>
                            <w:p w:rsidR="00D27BC6" w:rsidRDefault="004D5071">
                              <w:pPr>
                                <w:spacing w:after="160" w:line="259" w:lineRule="auto"/>
                                <w:ind w:left="0" w:right="0" w:firstLine="0"/>
                                <w:jc w:val="left"/>
                              </w:pPr>
                              <w:r>
                                <w:rPr>
                                  <w:b/>
                                  <w:w w:val="105"/>
                                </w:rPr>
                                <w:t>)</w:t>
                              </w:r>
                            </w:p>
                          </w:txbxContent>
                        </wps:txbx>
                        <wps:bodyPr horzOverflow="overflow" vert="horz" lIns="0" tIns="0" rIns="0" bIns="0" rtlCol="0">
                          <a:noAutofit/>
                        </wps:bodyPr>
                      </wps:wsp>
                      <wps:wsp>
                        <wps:cNvPr id="276371" name="Rectangle 276371"/>
                        <wps:cNvSpPr/>
                        <wps:spPr>
                          <a:xfrm>
                            <a:off x="2279246" y="446150"/>
                            <a:ext cx="53038" cy="209280"/>
                          </a:xfrm>
                          <a:prstGeom prst="rect">
                            <a:avLst/>
                          </a:prstGeom>
                          <a:ln>
                            <a:noFill/>
                          </a:ln>
                        </wps:spPr>
                        <wps:txbx>
                          <w:txbxContent>
                            <w:p w:rsidR="00D27BC6" w:rsidRDefault="004D5071">
                              <w:pPr>
                                <w:spacing w:after="160" w:line="259" w:lineRule="auto"/>
                                <w:ind w:left="0" w:right="0" w:firstLine="0"/>
                                <w:jc w:val="left"/>
                              </w:pPr>
                              <w:r>
                                <w:rPr>
                                  <w:b/>
                                  <w:w w:val="105"/>
                                </w:rPr>
                                <w:t>(</w:t>
                              </w:r>
                            </w:p>
                          </w:txbxContent>
                        </wps:txbx>
                        <wps:bodyPr horzOverflow="overflow" vert="horz" lIns="0" tIns="0" rIns="0" bIns="0" rtlCol="0">
                          <a:noAutofit/>
                        </wps:bodyPr>
                      </wps:wsp>
                      <wps:wsp>
                        <wps:cNvPr id="16105" name="Shape 16105"/>
                        <wps:cNvSpPr/>
                        <wps:spPr>
                          <a:xfrm>
                            <a:off x="1420584" y="265602"/>
                            <a:ext cx="2789822" cy="364655"/>
                          </a:xfrm>
                          <a:custGeom>
                            <a:avLst/>
                            <a:gdLst/>
                            <a:ahLst/>
                            <a:cxnLst/>
                            <a:rect l="0" t="0" r="0" b="0"/>
                            <a:pathLst>
                              <a:path w="2789822" h="364655">
                                <a:moveTo>
                                  <a:pt x="0" y="364655"/>
                                </a:moveTo>
                                <a:lnTo>
                                  <a:pt x="2789822" y="364655"/>
                                </a:lnTo>
                                <a:lnTo>
                                  <a:pt x="2789822"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06" name="Shape 16106"/>
                        <wps:cNvSpPr/>
                        <wps:spPr>
                          <a:xfrm>
                            <a:off x="2506730" y="2586645"/>
                            <a:ext cx="1338961" cy="413995"/>
                          </a:xfrm>
                          <a:custGeom>
                            <a:avLst/>
                            <a:gdLst/>
                            <a:ahLst/>
                            <a:cxnLst/>
                            <a:rect l="0" t="0" r="0" b="0"/>
                            <a:pathLst>
                              <a:path w="1338961" h="413995">
                                <a:moveTo>
                                  <a:pt x="1338961" y="207023"/>
                                </a:moveTo>
                                <a:lnTo>
                                  <a:pt x="669480" y="0"/>
                                </a:lnTo>
                                <a:lnTo>
                                  <a:pt x="0" y="207023"/>
                                </a:lnTo>
                                <a:lnTo>
                                  <a:pt x="669480" y="413995"/>
                                </a:lnTo>
                                <a:lnTo>
                                  <a:pt x="1338961" y="207023"/>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76392" name="Rectangle 276392"/>
                        <wps:cNvSpPr/>
                        <wps:spPr>
                          <a:xfrm>
                            <a:off x="2966921" y="2679941"/>
                            <a:ext cx="683328" cy="162424"/>
                          </a:xfrm>
                          <a:prstGeom prst="rect">
                            <a:avLst/>
                          </a:prstGeom>
                          <a:ln>
                            <a:noFill/>
                          </a:ln>
                        </wps:spPr>
                        <wps:txbx>
                          <w:txbxContent>
                            <w:p w:rsidR="00D27BC6" w:rsidRDefault="004D5071">
                              <w:pPr>
                                <w:spacing w:after="160" w:line="259" w:lineRule="auto"/>
                                <w:ind w:left="0" w:right="0" w:firstLine="0"/>
                                <w:jc w:val="left"/>
                              </w:pPr>
                              <w:r>
                                <w:rPr>
                                  <w:spacing w:val="-2"/>
                                  <w:w w:val="102"/>
                                  <w:sz w:val="16"/>
                                </w:rPr>
                                <w:t xml:space="preserve"> </w:t>
                              </w:r>
                              <w:r>
                                <w:rPr>
                                  <w:w w:val="102"/>
                                  <w:sz w:val="16"/>
                                </w:rPr>
                                <w:t>или</w:t>
                              </w:r>
                              <w:r>
                                <w:rPr>
                                  <w:spacing w:val="-2"/>
                                  <w:w w:val="102"/>
                                  <w:sz w:val="16"/>
                                </w:rPr>
                                <w:t xml:space="preserve"> </w:t>
                              </w:r>
                              <w:r>
                                <w:rPr>
                                  <w:w w:val="102"/>
                                  <w:sz w:val="16"/>
                                </w:rPr>
                                <w:t>более</w:t>
                              </w:r>
                              <w:r>
                                <w:rPr>
                                  <w:spacing w:val="-2"/>
                                  <w:w w:val="102"/>
                                  <w:sz w:val="16"/>
                                </w:rPr>
                                <w:t xml:space="preserve">  </w:t>
                              </w:r>
                            </w:p>
                          </w:txbxContent>
                        </wps:txbx>
                        <wps:bodyPr horzOverflow="overflow" vert="horz" lIns="0" tIns="0" rIns="0" bIns="0" rtlCol="0">
                          <a:noAutofit/>
                        </wps:bodyPr>
                      </wps:wsp>
                      <wps:wsp>
                        <wps:cNvPr id="276391" name="Rectangle 276391"/>
                        <wps:cNvSpPr/>
                        <wps:spPr>
                          <a:xfrm>
                            <a:off x="2914800" y="2679941"/>
                            <a:ext cx="69321" cy="162424"/>
                          </a:xfrm>
                          <a:prstGeom prst="rect">
                            <a:avLst/>
                          </a:prstGeom>
                          <a:ln>
                            <a:noFill/>
                          </a:ln>
                        </wps:spPr>
                        <wps:txbx>
                          <w:txbxContent>
                            <w:p w:rsidR="00D27BC6" w:rsidRDefault="004D5071">
                              <w:pPr>
                                <w:spacing w:after="160" w:line="259" w:lineRule="auto"/>
                                <w:ind w:left="0" w:right="0" w:firstLine="0"/>
                                <w:jc w:val="left"/>
                              </w:pPr>
                              <w:r>
                                <w:rPr>
                                  <w:w w:val="101"/>
                                  <w:sz w:val="16"/>
                                </w:rPr>
                                <w:t>1</w:t>
                              </w:r>
                            </w:p>
                          </w:txbxContent>
                        </wps:txbx>
                        <wps:bodyPr horzOverflow="overflow" vert="horz" lIns="0" tIns="0" rIns="0" bIns="0" rtlCol="0">
                          <a:noAutofit/>
                        </wps:bodyPr>
                      </wps:wsp>
                      <wps:wsp>
                        <wps:cNvPr id="16108" name="Rectangle 16108"/>
                        <wps:cNvSpPr/>
                        <wps:spPr>
                          <a:xfrm>
                            <a:off x="2998925" y="2781541"/>
                            <a:ext cx="471597" cy="162424"/>
                          </a:xfrm>
                          <a:prstGeom prst="rect">
                            <a:avLst/>
                          </a:prstGeom>
                          <a:ln>
                            <a:noFill/>
                          </a:ln>
                        </wps:spPr>
                        <wps:txbx>
                          <w:txbxContent>
                            <w:p w:rsidR="00D27BC6" w:rsidRDefault="004D5071">
                              <w:pPr>
                                <w:spacing w:after="160" w:line="259" w:lineRule="auto"/>
                                <w:ind w:left="0" w:right="0" w:firstLine="0"/>
                                <w:jc w:val="left"/>
                              </w:pPr>
                              <w:r>
                                <w:rPr>
                                  <w:w w:val="104"/>
                                  <w:sz w:val="16"/>
                                </w:rPr>
                                <w:t>пунктов</w:t>
                              </w:r>
                            </w:p>
                          </w:txbxContent>
                        </wps:txbx>
                        <wps:bodyPr horzOverflow="overflow" vert="horz" lIns="0" tIns="0" rIns="0" bIns="0" rtlCol="0">
                          <a:noAutofit/>
                        </wps:bodyPr>
                      </wps:wsp>
                      <wps:wsp>
                        <wps:cNvPr id="16109" name="Shape 16109"/>
                        <wps:cNvSpPr/>
                        <wps:spPr>
                          <a:xfrm>
                            <a:off x="3177265" y="2401966"/>
                            <a:ext cx="0" cy="118059"/>
                          </a:xfrm>
                          <a:custGeom>
                            <a:avLst/>
                            <a:gdLst/>
                            <a:ahLst/>
                            <a:cxnLst/>
                            <a:rect l="0" t="0" r="0" b="0"/>
                            <a:pathLst>
                              <a:path h="118059">
                                <a:moveTo>
                                  <a:pt x="0" y="0"/>
                                </a:moveTo>
                                <a:lnTo>
                                  <a:pt x="0" y="11805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10" name="Shape 16110"/>
                        <wps:cNvSpPr/>
                        <wps:spPr>
                          <a:xfrm>
                            <a:off x="3146708" y="2500007"/>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111" name="Rectangle 16111"/>
                        <wps:cNvSpPr/>
                        <wps:spPr>
                          <a:xfrm>
                            <a:off x="1232407" y="2994132"/>
                            <a:ext cx="1150598" cy="203030"/>
                          </a:xfrm>
                          <a:prstGeom prst="rect">
                            <a:avLst/>
                          </a:prstGeom>
                          <a:ln>
                            <a:noFill/>
                          </a:ln>
                        </wps:spPr>
                        <wps:txbx>
                          <w:txbxContent>
                            <w:p w:rsidR="00D27BC6" w:rsidRDefault="004D5071">
                              <w:pPr>
                                <w:spacing w:after="160" w:line="259" w:lineRule="auto"/>
                                <w:ind w:left="0" w:right="0" w:firstLine="0"/>
                                <w:jc w:val="left"/>
                              </w:pPr>
                              <w:r>
                                <w:rPr>
                                  <w:w w:val="105"/>
                                </w:rPr>
                                <w:t>Оценка</w:t>
                              </w:r>
                              <w:r>
                                <w:rPr>
                                  <w:spacing w:val="-3"/>
                                  <w:w w:val="105"/>
                                </w:rPr>
                                <w:t xml:space="preserve"> </w:t>
                              </w:r>
                              <w:r>
                                <w:rPr>
                                  <w:w w:val="105"/>
                                </w:rPr>
                                <w:t>уровня</w:t>
                              </w:r>
                              <w:r>
                                <w:rPr>
                                  <w:spacing w:val="-3"/>
                                  <w:w w:val="105"/>
                                </w:rPr>
                                <w:t xml:space="preserve"> </w:t>
                              </w:r>
                            </w:p>
                          </w:txbxContent>
                        </wps:txbx>
                        <wps:bodyPr horzOverflow="overflow" vert="horz" lIns="0" tIns="0" rIns="0" bIns="0" rtlCol="0">
                          <a:noAutofit/>
                        </wps:bodyPr>
                      </wps:wsp>
                      <wps:wsp>
                        <wps:cNvPr id="16112" name="Rectangle 16112"/>
                        <wps:cNvSpPr/>
                        <wps:spPr>
                          <a:xfrm>
                            <a:off x="834516" y="3121132"/>
                            <a:ext cx="2173348" cy="203030"/>
                          </a:xfrm>
                          <a:prstGeom prst="rect">
                            <a:avLst/>
                          </a:prstGeom>
                          <a:ln>
                            <a:noFill/>
                          </a:ln>
                        </wps:spPr>
                        <wps:txbx>
                          <w:txbxContent>
                            <w:p w:rsidR="00D27BC6" w:rsidRDefault="004D5071">
                              <w:pPr>
                                <w:spacing w:after="160" w:line="259" w:lineRule="auto"/>
                                <w:ind w:left="0" w:right="0" w:firstLine="0"/>
                                <w:jc w:val="left"/>
                              </w:pPr>
                              <w:r>
                                <w:rPr>
                                  <w:w w:val="104"/>
                                </w:rPr>
                                <w:t>натрийуретических</w:t>
                              </w:r>
                              <w:r>
                                <w:rPr>
                                  <w:spacing w:val="-3"/>
                                  <w:w w:val="104"/>
                                </w:rPr>
                                <w:t xml:space="preserve"> </w:t>
                              </w:r>
                              <w:r>
                                <w:rPr>
                                  <w:w w:val="104"/>
                                </w:rPr>
                                <w:t>пептидов</w:t>
                              </w:r>
                            </w:p>
                          </w:txbxContent>
                        </wps:txbx>
                        <wps:bodyPr horzOverflow="overflow" vert="horz" lIns="0" tIns="0" rIns="0" bIns="0" rtlCol="0">
                          <a:noAutofit/>
                        </wps:bodyPr>
                      </wps:wsp>
                      <wps:wsp>
                        <wps:cNvPr id="16113" name="Shape 16113"/>
                        <wps:cNvSpPr/>
                        <wps:spPr>
                          <a:xfrm>
                            <a:off x="727494" y="2969381"/>
                            <a:ext cx="1845005" cy="318491"/>
                          </a:xfrm>
                          <a:custGeom>
                            <a:avLst/>
                            <a:gdLst/>
                            <a:ahLst/>
                            <a:cxnLst/>
                            <a:rect l="0" t="0" r="0" b="0"/>
                            <a:pathLst>
                              <a:path w="1845005" h="318491">
                                <a:moveTo>
                                  <a:pt x="0" y="318491"/>
                                </a:moveTo>
                                <a:lnTo>
                                  <a:pt x="1845005" y="318491"/>
                                </a:lnTo>
                                <a:lnTo>
                                  <a:pt x="18450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14" name="Rectangle 16114"/>
                        <wps:cNvSpPr/>
                        <wps:spPr>
                          <a:xfrm>
                            <a:off x="4185481" y="3057632"/>
                            <a:ext cx="1387241" cy="203030"/>
                          </a:xfrm>
                          <a:prstGeom prst="rect">
                            <a:avLst/>
                          </a:prstGeom>
                          <a:ln>
                            <a:noFill/>
                          </a:ln>
                        </wps:spPr>
                        <wps:txbx>
                          <w:txbxContent>
                            <w:p w:rsidR="00D27BC6" w:rsidRDefault="004D5071">
                              <w:pPr>
                                <w:spacing w:after="160" w:line="259" w:lineRule="auto"/>
                                <w:ind w:left="0" w:right="0" w:firstLine="0"/>
                                <w:jc w:val="left"/>
                              </w:pPr>
                              <w:r>
                                <w:rPr>
                                  <w:w w:val="104"/>
                                </w:rPr>
                                <w:t>ХСН</w:t>
                              </w:r>
                              <w:r>
                                <w:rPr>
                                  <w:spacing w:val="-3"/>
                                  <w:w w:val="104"/>
                                </w:rPr>
                                <w:t xml:space="preserve"> </w:t>
                              </w:r>
                              <w:r>
                                <w:rPr>
                                  <w:w w:val="104"/>
                                </w:rPr>
                                <w:t>маловероятна</w:t>
                              </w:r>
                            </w:p>
                          </w:txbxContent>
                        </wps:txbx>
                        <wps:bodyPr horzOverflow="overflow" vert="horz" lIns="0" tIns="0" rIns="0" bIns="0" rtlCol="0">
                          <a:noAutofit/>
                        </wps:bodyPr>
                      </wps:wsp>
                      <wps:wsp>
                        <wps:cNvPr id="16115" name="Shape 16115"/>
                        <wps:cNvSpPr/>
                        <wps:spPr>
                          <a:xfrm>
                            <a:off x="3783000" y="2969381"/>
                            <a:ext cx="1845006" cy="318491"/>
                          </a:xfrm>
                          <a:custGeom>
                            <a:avLst/>
                            <a:gdLst/>
                            <a:ahLst/>
                            <a:cxnLst/>
                            <a:rect l="0" t="0" r="0" b="0"/>
                            <a:pathLst>
                              <a:path w="1845006" h="318491">
                                <a:moveTo>
                                  <a:pt x="0" y="318491"/>
                                </a:moveTo>
                                <a:lnTo>
                                  <a:pt x="1845006" y="318491"/>
                                </a:lnTo>
                                <a:lnTo>
                                  <a:pt x="1845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16" name="Shape 16116"/>
                        <wps:cNvSpPr/>
                        <wps:spPr>
                          <a:xfrm>
                            <a:off x="1712732" y="3486761"/>
                            <a:ext cx="1342962" cy="485724"/>
                          </a:xfrm>
                          <a:custGeom>
                            <a:avLst/>
                            <a:gdLst/>
                            <a:ahLst/>
                            <a:cxnLst/>
                            <a:rect l="0" t="0" r="0" b="0"/>
                            <a:pathLst>
                              <a:path w="1342962" h="485724">
                                <a:moveTo>
                                  <a:pt x="1342962" y="242837"/>
                                </a:moveTo>
                                <a:lnTo>
                                  <a:pt x="671474" y="0"/>
                                </a:lnTo>
                                <a:lnTo>
                                  <a:pt x="0" y="242837"/>
                                </a:lnTo>
                                <a:lnTo>
                                  <a:pt x="671474" y="485724"/>
                                </a:lnTo>
                                <a:lnTo>
                                  <a:pt x="1342962" y="242837"/>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17" name="Rectangle 16117"/>
                        <wps:cNvSpPr/>
                        <wps:spPr>
                          <a:xfrm>
                            <a:off x="2073704" y="3591831"/>
                            <a:ext cx="838591" cy="162424"/>
                          </a:xfrm>
                          <a:prstGeom prst="rect">
                            <a:avLst/>
                          </a:prstGeom>
                          <a:ln>
                            <a:noFill/>
                          </a:ln>
                        </wps:spPr>
                        <wps:txbx>
                          <w:txbxContent>
                            <w:p w:rsidR="00D27BC6" w:rsidRDefault="004D5071">
                              <w:pPr>
                                <w:spacing w:after="160" w:line="259" w:lineRule="auto"/>
                                <w:ind w:left="0" w:right="0" w:firstLine="0"/>
                                <w:jc w:val="left"/>
                              </w:pPr>
                              <w:r>
                                <w:rPr>
                                  <w:w w:val="103"/>
                                  <w:sz w:val="16"/>
                                </w:rPr>
                                <w:t>BNP</w:t>
                              </w:r>
                              <w:r>
                                <w:rPr>
                                  <w:spacing w:val="-2"/>
                                  <w:w w:val="103"/>
                                  <w:sz w:val="16"/>
                                </w:rPr>
                                <w:t xml:space="preserve"> </w:t>
                              </w:r>
                              <w:r>
                                <w:rPr>
                                  <w:w w:val="103"/>
                                  <w:sz w:val="16"/>
                                </w:rPr>
                                <w:t>&gt;35</w:t>
                              </w:r>
                              <w:r>
                                <w:rPr>
                                  <w:spacing w:val="-2"/>
                                  <w:w w:val="103"/>
                                  <w:sz w:val="16"/>
                                </w:rPr>
                                <w:t xml:space="preserve"> </w:t>
                              </w:r>
                              <w:r>
                                <w:rPr>
                                  <w:w w:val="103"/>
                                  <w:sz w:val="16"/>
                                </w:rPr>
                                <w:t>пг/мл</w:t>
                              </w:r>
                            </w:p>
                          </w:txbxContent>
                        </wps:txbx>
                        <wps:bodyPr horzOverflow="overflow" vert="horz" lIns="0" tIns="0" rIns="0" bIns="0" rtlCol="0">
                          <a:noAutofit/>
                        </wps:bodyPr>
                      </wps:wsp>
                      <wps:wsp>
                        <wps:cNvPr id="16118" name="Rectangle 16118"/>
                        <wps:cNvSpPr/>
                        <wps:spPr>
                          <a:xfrm>
                            <a:off x="1878937" y="3693431"/>
                            <a:ext cx="1356658" cy="162424"/>
                          </a:xfrm>
                          <a:prstGeom prst="rect">
                            <a:avLst/>
                          </a:prstGeom>
                          <a:ln>
                            <a:noFill/>
                          </a:ln>
                        </wps:spPr>
                        <wps:txbx>
                          <w:txbxContent>
                            <w:p w:rsidR="00D27BC6" w:rsidRDefault="004D5071">
                              <w:pPr>
                                <w:spacing w:after="160" w:line="259" w:lineRule="auto"/>
                                <w:ind w:left="0" w:right="0" w:firstLine="0"/>
                                <w:jc w:val="left"/>
                              </w:pPr>
                              <w:r>
                                <w:rPr>
                                  <w:w w:val="103"/>
                                  <w:sz w:val="16"/>
                                </w:rPr>
                                <w:t>NT</w:t>
                              </w:r>
                              <w:r>
                                <w:rPr>
                                  <w:spacing w:val="-2"/>
                                  <w:w w:val="103"/>
                                  <w:sz w:val="16"/>
                                </w:rPr>
                                <w:t xml:space="preserve"> </w:t>
                              </w:r>
                              <w:r>
                                <w:rPr>
                                  <w:w w:val="103"/>
                                  <w:sz w:val="16"/>
                                </w:rPr>
                                <w:t>-</w:t>
                              </w:r>
                              <w:r>
                                <w:rPr>
                                  <w:spacing w:val="-2"/>
                                  <w:w w:val="103"/>
                                  <w:sz w:val="16"/>
                                </w:rPr>
                                <w:t xml:space="preserve"> </w:t>
                              </w:r>
                              <w:r>
                                <w:rPr>
                                  <w:w w:val="103"/>
                                  <w:sz w:val="16"/>
                                </w:rPr>
                                <w:t>proBNP</w:t>
                              </w:r>
                              <w:r>
                                <w:rPr>
                                  <w:spacing w:val="-2"/>
                                  <w:w w:val="103"/>
                                  <w:sz w:val="16"/>
                                </w:rPr>
                                <w:t xml:space="preserve"> </w:t>
                              </w:r>
                              <w:r>
                                <w:rPr>
                                  <w:w w:val="103"/>
                                  <w:sz w:val="16"/>
                                </w:rPr>
                                <w:t>&gt;125</w:t>
                              </w:r>
                              <w:r>
                                <w:rPr>
                                  <w:spacing w:val="-2"/>
                                  <w:w w:val="103"/>
                                  <w:sz w:val="16"/>
                                </w:rPr>
                                <w:t xml:space="preserve"> </w:t>
                              </w:r>
                              <w:r>
                                <w:rPr>
                                  <w:w w:val="103"/>
                                  <w:sz w:val="16"/>
                                </w:rPr>
                                <w:t>пг/мл</w:t>
                              </w:r>
                            </w:p>
                          </w:txbxContent>
                        </wps:txbx>
                        <wps:bodyPr horzOverflow="overflow" vert="horz" lIns="0" tIns="0" rIns="0" bIns="0" rtlCol="0">
                          <a:noAutofit/>
                        </wps:bodyPr>
                      </wps:wsp>
                      <wps:wsp>
                        <wps:cNvPr id="16119" name="Shape 16119"/>
                        <wps:cNvSpPr/>
                        <wps:spPr>
                          <a:xfrm>
                            <a:off x="2385263" y="3290915"/>
                            <a:ext cx="0" cy="129108"/>
                          </a:xfrm>
                          <a:custGeom>
                            <a:avLst/>
                            <a:gdLst/>
                            <a:ahLst/>
                            <a:cxnLst/>
                            <a:rect l="0" t="0" r="0" b="0"/>
                            <a:pathLst>
                              <a:path h="129108">
                                <a:moveTo>
                                  <a:pt x="0" y="0"/>
                                </a:moveTo>
                                <a:lnTo>
                                  <a:pt x="0" y="129108"/>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20" name="Shape 16120"/>
                        <wps:cNvSpPr/>
                        <wps:spPr>
                          <a:xfrm>
                            <a:off x="2354707" y="3400007"/>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121" name="Rectangle 16121"/>
                        <wps:cNvSpPr/>
                        <wps:spPr>
                          <a:xfrm>
                            <a:off x="1482969" y="3943633"/>
                            <a:ext cx="480211" cy="203030"/>
                          </a:xfrm>
                          <a:prstGeom prst="rect">
                            <a:avLst/>
                          </a:prstGeom>
                          <a:ln>
                            <a:noFill/>
                          </a:ln>
                        </wps:spPr>
                        <wps:txbx>
                          <w:txbxContent>
                            <w:p w:rsidR="00D27BC6" w:rsidRDefault="004D5071">
                              <w:pPr>
                                <w:spacing w:after="160" w:line="259" w:lineRule="auto"/>
                                <w:ind w:left="0" w:right="0" w:firstLine="0"/>
                                <w:jc w:val="left"/>
                              </w:pPr>
                              <w:r>
                                <w:rPr>
                                  <w:w w:val="103"/>
                                </w:rPr>
                                <w:t>Эхо-КГ</w:t>
                              </w:r>
                            </w:p>
                          </w:txbxContent>
                        </wps:txbx>
                        <wps:bodyPr horzOverflow="overflow" vert="horz" lIns="0" tIns="0" rIns="0" bIns="0" rtlCol="0">
                          <a:noAutofit/>
                        </wps:bodyPr>
                      </wps:wsp>
                      <wps:wsp>
                        <wps:cNvPr id="16122" name="Shape 16122"/>
                        <wps:cNvSpPr/>
                        <wps:spPr>
                          <a:xfrm>
                            <a:off x="1398003" y="3918859"/>
                            <a:ext cx="531000" cy="213271"/>
                          </a:xfrm>
                          <a:custGeom>
                            <a:avLst/>
                            <a:gdLst/>
                            <a:ahLst/>
                            <a:cxnLst/>
                            <a:rect l="0" t="0" r="0" b="0"/>
                            <a:pathLst>
                              <a:path w="531000" h="213271">
                                <a:moveTo>
                                  <a:pt x="0" y="213271"/>
                                </a:moveTo>
                                <a:lnTo>
                                  <a:pt x="531000" y="213271"/>
                                </a:lnTo>
                                <a:lnTo>
                                  <a:pt x="531000"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23" name="Rectangle 16123"/>
                        <wps:cNvSpPr/>
                        <wps:spPr>
                          <a:xfrm>
                            <a:off x="3013679" y="3943633"/>
                            <a:ext cx="1387241" cy="203030"/>
                          </a:xfrm>
                          <a:prstGeom prst="rect">
                            <a:avLst/>
                          </a:prstGeom>
                          <a:ln>
                            <a:noFill/>
                          </a:ln>
                        </wps:spPr>
                        <wps:txbx>
                          <w:txbxContent>
                            <w:p w:rsidR="00D27BC6" w:rsidRDefault="004D5071">
                              <w:pPr>
                                <w:spacing w:after="160" w:line="259" w:lineRule="auto"/>
                                <w:ind w:left="0" w:right="0" w:firstLine="0"/>
                                <w:jc w:val="left"/>
                              </w:pPr>
                              <w:r>
                                <w:rPr>
                                  <w:w w:val="104"/>
                                </w:rPr>
                                <w:t>ХСН</w:t>
                              </w:r>
                              <w:r>
                                <w:rPr>
                                  <w:spacing w:val="-3"/>
                                  <w:w w:val="104"/>
                                </w:rPr>
                                <w:t xml:space="preserve"> </w:t>
                              </w:r>
                              <w:r>
                                <w:rPr>
                                  <w:w w:val="104"/>
                                </w:rPr>
                                <w:t>маловероятна</w:t>
                              </w:r>
                            </w:p>
                          </w:txbxContent>
                        </wps:txbx>
                        <wps:bodyPr horzOverflow="overflow" vert="horz" lIns="0" tIns="0" rIns="0" bIns="0" rtlCol="0">
                          <a:noAutofit/>
                        </wps:bodyPr>
                      </wps:wsp>
                      <wps:wsp>
                        <wps:cNvPr id="16124" name="Shape 16124"/>
                        <wps:cNvSpPr/>
                        <wps:spPr>
                          <a:xfrm>
                            <a:off x="2795994" y="3918859"/>
                            <a:ext cx="1455001" cy="213271"/>
                          </a:xfrm>
                          <a:custGeom>
                            <a:avLst/>
                            <a:gdLst/>
                            <a:ahLst/>
                            <a:cxnLst/>
                            <a:rect l="0" t="0" r="0" b="0"/>
                            <a:pathLst>
                              <a:path w="1455001" h="213271">
                                <a:moveTo>
                                  <a:pt x="0" y="213271"/>
                                </a:moveTo>
                                <a:lnTo>
                                  <a:pt x="1455001" y="213271"/>
                                </a:lnTo>
                                <a:lnTo>
                                  <a:pt x="1455001"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25" name="Shape 16125"/>
                        <wps:cNvSpPr/>
                        <wps:spPr>
                          <a:xfrm>
                            <a:off x="1090730" y="4314639"/>
                            <a:ext cx="1338961" cy="413995"/>
                          </a:xfrm>
                          <a:custGeom>
                            <a:avLst/>
                            <a:gdLst/>
                            <a:ahLst/>
                            <a:cxnLst/>
                            <a:rect l="0" t="0" r="0" b="0"/>
                            <a:pathLst>
                              <a:path w="1338961" h="413995">
                                <a:moveTo>
                                  <a:pt x="1338961" y="207023"/>
                                </a:moveTo>
                                <a:lnTo>
                                  <a:pt x="669480" y="0"/>
                                </a:lnTo>
                                <a:lnTo>
                                  <a:pt x="0" y="207023"/>
                                </a:lnTo>
                                <a:lnTo>
                                  <a:pt x="669480" y="413995"/>
                                </a:lnTo>
                                <a:lnTo>
                                  <a:pt x="1338961" y="207023"/>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26" name="Rectangle 16126"/>
                        <wps:cNvSpPr/>
                        <wps:spPr>
                          <a:xfrm>
                            <a:off x="1529277" y="4422342"/>
                            <a:ext cx="671586" cy="162424"/>
                          </a:xfrm>
                          <a:prstGeom prst="rect">
                            <a:avLst/>
                          </a:prstGeom>
                          <a:ln>
                            <a:noFill/>
                          </a:ln>
                        </wps:spPr>
                        <wps:txbx>
                          <w:txbxContent>
                            <w:p w:rsidR="00D27BC6" w:rsidRDefault="004D5071">
                              <w:pPr>
                                <w:spacing w:after="160" w:line="259" w:lineRule="auto"/>
                                <w:ind w:left="0" w:right="0" w:firstLine="0"/>
                                <w:jc w:val="left"/>
                              </w:pPr>
                              <w:r>
                                <w:rPr>
                                  <w:w w:val="104"/>
                                  <w:sz w:val="16"/>
                                </w:rPr>
                                <w:t>Патология</w:t>
                              </w:r>
                              <w:r>
                                <w:rPr>
                                  <w:spacing w:val="-2"/>
                                  <w:w w:val="104"/>
                                  <w:sz w:val="16"/>
                                </w:rPr>
                                <w:t xml:space="preserve">  </w:t>
                              </w:r>
                            </w:p>
                          </w:txbxContent>
                        </wps:txbx>
                        <wps:bodyPr horzOverflow="overflow" vert="horz" lIns="0" tIns="0" rIns="0" bIns="0" rtlCol="0">
                          <a:noAutofit/>
                        </wps:bodyPr>
                      </wps:wsp>
                      <wps:wsp>
                        <wps:cNvPr id="16127" name="Rectangle 16127"/>
                        <wps:cNvSpPr/>
                        <wps:spPr>
                          <a:xfrm>
                            <a:off x="1546447" y="4523942"/>
                            <a:ext cx="568619" cy="162424"/>
                          </a:xfrm>
                          <a:prstGeom prst="rect">
                            <a:avLst/>
                          </a:prstGeom>
                          <a:ln>
                            <a:noFill/>
                          </a:ln>
                        </wps:spPr>
                        <wps:txbx>
                          <w:txbxContent>
                            <w:p w:rsidR="00D27BC6" w:rsidRDefault="004D5071">
                              <w:pPr>
                                <w:spacing w:after="160" w:line="259" w:lineRule="auto"/>
                                <w:ind w:left="0" w:right="0" w:firstLine="0"/>
                                <w:jc w:val="left"/>
                              </w:pPr>
                              <w:r>
                                <w:rPr>
                                  <w:w w:val="103"/>
                                  <w:sz w:val="16"/>
                                </w:rPr>
                                <w:t>выявлена</w:t>
                              </w:r>
                            </w:p>
                          </w:txbxContent>
                        </wps:txbx>
                        <wps:bodyPr horzOverflow="overflow" vert="horz" lIns="0" tIns="0" rIns="0" bIns="0" rtlCol="0">
                          <a:noAutofit/>
                        </wps:bodyPr>
                      </wps:wsp>
                      <wps:wsp>
                        <wps:cNvPr id="16128" name="Shape 16128"/>
                        <wps:cNvSpPr/>
                        <wps:spPr>
                          <a:xfrm>
                            <a:off x="1761264" y="4129965"/>
                            <a:ext cx="0" cy="118059"/>
                          </a:xfrm>
                          <a:custGeom>
                            <a:avLst/>
                            <a:gdLst/>
                            <a:ahLst/>
                            <a:cxnLst/>
                            <a:rect l="0" t="0" r="0" b="0"/>
                            <a:pathLst>
                              <a:path h="118059">
                                <a:moveTo>
                                  <a:pt x="0" y="0"/>
                                </a:moveTo>
                                <a:lnTo>
                                  <a:pt x="0" y="11805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29" name="Shape 16129"/>
                        <wps:cNvSpPr/>
                        <wps:spPr>
                          <a:xfrm>
                            <a:off x="1730708" y="4228006"/>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130" name="Rectangle 16130"/>
                        <wps:cNvSpPr/>
                        <wps:spPr>
                          <a:xfrm>
                            <a:off x="197043" y="4809611"/>
                            <a:ext cx="1387241" cy="203030"/>
                          </a:xfrm>
                          <a:prstGeom prst="rect">
                            <a:avLst/>
                          </a:prstGeom>
                          <a:ln>
                            <a:noFill/>
                          </a:ln>
                        </wps:spPr>
                        <wps:txbx>
                          <w:txbxContent>
                            <w:p w:rsidR="00D27BC6" w:rsidRDefault="004D5071">
                              <w:pPr>
                                <w:spacing w:after="160" w:line="259" w:lineRule="auto"/>
                                <w:ind w:left="0" w:right="0" w:firstLine="0"/>
                                <w:jc w:val="left"/>
                              </w:pPr>
                              <w:r>
                                <w:rPr>
                                  <w:w w:val="104"/>
                                </w:rPr>
                                <w:t>ХСН</w:t>
                              </w:r>
                              <w:r>
                                <w:rPr>
                                  <w:spacing w:val="-3"/>
                                  <w:w w:val="104"/>
                                </w:rPr>
                                <w:t xml:space="preserve"> </w:t>
                              </w:r>
                              <w:r>
                                <w:rPr>
                                  <w:w w:val="104"/>
                                </w:rPr>
                                <w:t>маловероятна</w:t>
                              </w:r>
                            </w:p>
                          </w:txbxContent>
                        </wps:txbx>
                        <wps:bodyPr horzOverflow="overflow" vert="horz" lIns="0" tIns="0" rIns="0" bIns="0" rtlCol="0">
                          <a:noAutofit/>
                        </wps:bodyPr>
                      </wps:wsp>
                      <wps:wsp>
                        <wps:cNvPr id="16131" name="Shape 16131"/>
                        <wps:cNvSpPr/>
                        <wps:spPr>
                          <a:xfrm>
                            <a:off x="0" y="4708938"/>
                            <a:ext cx="1455001" cy="309512"/>
                          </a:xfrm>
                          <a:custGeom>
                            <a:avLst/>
                            <a:gdLst/>
                            <a:ahLst/>
                            <a:cxnLst/>
                            <a:rect l="0" t="0" r="0" b="0"/>
                            <a:pathLst>
                              <a:path w="1455001" h="309512">
                                <a:moveTo>
                                  <a:pt x="0" y="309512"/>
                                </a:moveTo>
                                <a:lnTo>
                                  <a:pt x="1455001" y="309512"/>
                                </a:lnTo>
                                <a:lnTo>
                                  <a:pt x="1455001"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32" name="Rectangle 16132"/>
                        <wps:cNvSpPr/>
                        <wps:spPr>
                          <a:xfrm>
                            <a:off x="2080840" y="857152"/>
                            <a:ext cx="1970150" cy="209280"/>
                          </a:xfrm>
                          <a:prstGeom prst="rect">
                            <a:avLst/>
                          </a:prstGeom>
                          <a:ln>
                            <a:noFill/>
                          </a:ln>
                        </wps:spPr>
                        <wps:txbx>
                          <w:txbxContent>
                            <w:p w:rsidR="00D27BC6" w:rsidRDefault="004D5071">
                              <w:pPr>
                                <w:spacing w:after="160" w:line="259" w:lineRule="auto"/>
                                <w:ind w:left="0" w:right="0" w:firstLine="0"/>
                                <w:jc w:val="left"/>
                              </w:pPr>
                              <w:r>
                                <w:rPr>
                                  <w:b/>
                                  <w:w w:val="112"/>
                                </w:rPr>
                                <w:t>Оценка</w:t>
                              </w:r>
                              <w:r>
                                <w:rPr>
                                  <w:b/>
                                  <w:spacing w:val="-5"/>
                                  <w:w w:val="112"/>
                                </w:rPr>
                                <w:t xml:space="preserve"> </w:t>
                              </w:r>
                              <w:r>
                                <w:rPr>
                                  <w:b/>
                                  <w:w w:val="112"/>
                                </w:rPr>
                                <w:t>вероятности</w:t>
                              </w:r>
                              <w:r>
                                <w:rPr>
                                  <w:b/>
                                  <w:spacing w:val="-5"/>
                                  <w:w w:val="112"/>
                                </w:rPr>
                                <w:t xml:space="preserve"> </w:t>
                              </w:r>
                              <w:r>
                                <w:rPr>
                                  <w:b/>
                                  <w:w w:val="112"/>
                                </w:rPr>
                                <w:t>ХСН</w:t>
                              </w:r>
                            </w:p>
                          </w:txbxContent>
                        </wps:txbx>
                        <wps:bodyPr horzOverflow="overflow" vert="horz" lIns="0" tIns="0" rIns="0" bIns="0" rtlCol="0">
                          <a:noAutofit/>
                        </wps:bodyPr>
                      </wps:wsp>
                      <wps:wsp>
                        <wps:cNvPr id="276376" name="Rectangle 276376"/>
                        <wps:cNvSpPr/>
                        <wps:spPr>
                          <a:xfrm>
                            <a:off x="991562" y="984152"/>
                            <a:ext cx="93745" cy="209280"/>
                          </a:xfrm>
                          <a:prstGeom prst="rect">
                            <a:avLst/>
                          </a:prstGeom>
                          <a:ln>
                            <a:noFill/>
                          </a:ln>
                        </wps:spPr>
                        <wps:txbx>
                          <w:txbxContent>
                            <w:p w:rsidR="00D27BC6" w:rsidRDefault="004D5071">
                              <w:pPr>
                                <w:spacing w:after="160" w:line="259" w:lineRule="auto"/>
                                <w:ind w:left="0" w:right="0" w:firstLine="0"/>
                                <w:jc w:val="left"/>
                              </w:pPr>
                              <w:r>
                                <w:rPr>
                                  <w:b/>
                                  <w:w w:val="109"/>
                                </w:rPr>
                                <w:t>1</w:t>
                              </w:r>
                            </w:p>
                          </w:txbxContent>
                        </wps:txbx>
                        <wps:bodyPr horzOverflow="overflow" vert="horz" lIns="0" tIns="0" rIns="0" bIns="0" rtlCol="0">
                          <a:noAutofit/>
                        </wps:bodyPr>
                      </wps:wsp>
                      <wps:wsp>
                        <wps:cNvPr id="276379" name="Rectangle 276379"/>
                        <wps:cNvSpPr/>
                        <wps:spPr>
                          <a:xfrm>
                            <a:off x="1062047" y="984152"/>
                            <a:ext cx="767172" cy="209280"/>
                          </a:xfrm>
                          <a:prstGeom prst="rect">
                            <a:avLst/>
                          </a:prstGeom>
                          <a:ln>
                            <a:noFill/>
                          </a:ln>
                        </wps:spPr>
                        <wps:txbx>
                          <w:txbxContent>
                            <w:p w:rsidR="00D27BC6" w:rsidRDefault="004D5071">
                              <w:pPr>
                                <w:spacing w:after="160" w:line="259" w:lineRule="auto"/>
                                <w:ind w:left="0" w:right="0" w:firstLine="0"/>
                                <w:jc w:val="left"/>
                              </w:pPr>
                              <w:r>
                                <w:rPr>
                                  <w:b/>
                                  <w:w w:val="110"/>
                                </w:rPr>
                                <w:t>.</w:t>
                              </w:r>
                              <w:r>
                                <w:rPr>
                                  <w:b/>
                                  <w:spacing w:val="-5"/>
                                  <w:w w:val="110"/>
                                </w:rPr>
                                <w:t xml:space="preserve"> </w:t>
                              </w:r>
                              <w:r>
                                <w:rPr>
                                  <w:b/>
                                  <w:w w:val="110"/>
                                </w:rPr>
                                <w:t>Анамнез</w:t>
                              </w:r>
                            </w:p>
                          </w:txbxContent>
                        </wps:txbx>
                        <wps:bodyPr horzOverflow="overflow" vert="horz" lIns="0" tIns="0" rIns="0" bIns="0" rtlCol="0">
                          <a:noAutofit/>
                        </wps:bodyPr>
                      </wps:wsp>
                      <wps:wsp>
                        <wps:cNvPr id="16134" name="Rectangle 16134"/>
                        <wps:cNvSpPr/>
                        <wps:spPr>
                          <a:xfrm>
                            <a:off x="1171521" y="1115851"/>
                            <a:ext cx="3254659" cy="203030"/>
                          </a:xfrm>
                          <a:prstGeom prst="rect">
                            <a:avLst/>
                          </a:prstGeom>
                          <a:ln>
                            <a:noFill/>
                          </a:ln>
                        </wps:spPr>
                        <wps:txbx>
                          <w:txbxContent>
                            <w:p w:rsidR="00D27BC6" w:rsidRDefault="004D5071">
                              <w:pPr>
                                <w:spacing w:after="160" w:line="259" w:lineRule="auto"/>
                                <w:ind w:left="0" w:right="0" w:firstLine="0"/>
                                <w:jc w:val="left"/>
                              </w:pPr>
                              <w:r>
                                <w:rPr>
                                  <w:w w:val="103"/>
                                </w:rPr>
                                <w:t>ИБС</w:t>
                              </w:r>
                              <w:r>
                                <w:rPr>
                                  <w:spacing w:val="-3"/>
                                  <w:w w:val="103"/>
                                </w:rPr>
                                <w:t xml:space="preserve"> </w:t>
                              </w:r>
                              <w:r>
                                <w:rPr>
                                  <w:w w:val="103"/>
                                </w:rPr>
                                <w:t>(инфаркт</w:t>
                              </w:r>
                              <w:r>
                                <w:rPr>
                                  <w:spacing w:val="-3"/>
                                  <w:w w:val="103"/>
                                </w:rPr>
                                <w:t xml:space="preserve"> </w:t>
                              </w:r>
                              <w:r>
                                <w:rPr>
                                  <w:w w:val="103"/>
                                </w:rPr>
                                <w:t>миокарда,</w:t>
                              </w:r>
                              <w:r>
                                <w:rPr>
                                  <w:spacing w:val="-3"/>
                                  <w:w w:val="103"/>
                                </w:rPr>
                                <w:t xml:space="preserve"> </w:t>
                              </w:r>
                              <w:r>
                                <w:rPr>
                                  <w:w w:val="103"/>
                                </w:rPr>
                                <w:t>реваскуляризация)</w:t>
                              </w:r>
                            </w:p>
                          </w:txbxContent>
                        </wps:txbx>
                        <wps:bodyPr horzOverflow="overflow" vert="horz" lIns="0" tIns="0" rIns="0" bIns="0" rtlCol="0">
                          <a:noAutofit/>
                        </wps:bodyPr>
                      </wps:wsp>
                      <wps:wsp>
                        <wps:cNvPr id="16135" name="Rectangle 16135"/>
                        <wps:cNvSpPr/>
                        <wps:spPr>
                          <a:xfrm>
                            <a:off x="1171521" y="1242851"/>
                            <a:ext cx="1942262" cy="203030"/>
                          </a:xfrm>
                          <a:prstGeom prst="rect">
                            <a:avLst/>
                          </a:prstGeom>
                          <a:ln>
                            <a:noFill/>
                          </a:ln>
                        </wps:spPr>
                        <wps:txbx>
                          <w:txbxContent>
                            <w:p w:rsidR="00D27BC6" w:rsidRDefault="004D5071">
                              <w:pPr>
                                <w:spacing w:after="160" w:line="259" w:lineRule="auto"/>
                                <w:ind w:left="0" w:right="0" w:firstLine="0"/>
                                <w:jc w:val="left"/>
                              </w:pPr>
                              <w:r>
                                <w:rPr>
                                  <w:w w:val="105"/>
                                </w:rPr>
                                <w:t>Артериальная</w:t>
                              </w:r>
                              <w:r>
                                <w:rPr>
                                  <w:spacing w:val="-3"/>
                                  <w:w w:val="105"/>
                                </w:rPr>
                                <w:t xml:space="preserve"> </w:t>
                              </w:r>
                              <w:r>
                                <w:rPr>
                                  <w:w w:val="105"/>
                                </w:rPr>
                                <w:t>гипертония</w:t>
                              </w:r>
                            </w:p>
                          </w:txbxContent>
                        </wps:txbx>
                        <wps:bodyPr horzOverflow="overflow" vert="horz" lIns="0" tIns="0" rIns="0" bIns="0" rtlCol="0">
                          <a:noAutofit/>
                        </wps:bodyPr>
                      </wps:wsp>
                      <wps:wsp>
                        <wps:cNvPr id="16136" name="Rectangle 16136"/>
                        <wps:cNvSpPr/>
                        <wps:spPr>
                          <a:xfrm>
                            <a:off x="1171521" y="1369851"/>
                            <a:ext cx="4102283" cy="203030"/>
                          </a:xfrm>
                          <a:prstGeom prst="rect">
                            <a:avLst/>
                          </a:prstGeom>
                          <a:ln>
                            <a:noFill/>
                          </a:ln>
                        </wps:spPr>
                        <wps:txbx>
                          <w:txbxContent>
                            <w:p w:rsidR="00D27BC6" w:rsidRDefault="004D5071">
                              <w:pPr>
                                <w:spacing w:after="160" w:line="259" w:lineRule="auto"/>
                                <w:ind w:left="0" w:right="0" w:firstLine="0"/>
                                <w:jc w:val="left"/>
                              </w:pPr>
                              <w:r>
                                <w:rPr>
                                  <w:w w:val="103"/>
                                </w:rPr>
                                <w:t>Воздействие</w:t>
                              </w:r>
                              <w:r>
                                <w:rPr>
                                  <w:spacing w:val="-3"/>
                                  <w:w w:val="103"/>
                                </w:rPr>
                                <w:t xml:space="preserve"> </w:t>
                              </w:r>
                              <w:r>
                                <w:rPr>
                                  <w:w w:val="103"/>
                                </w:rPr>
                                <w:t>кардиотоксических</w:t>
                              </w:r>
                              <w:r>
                                <w:rPr>
                                  <w:spacing w:val="-3"/>
                                  <w:w w:val="103"/>
                                </w:rPr>
                                <w:t xml:space="preserve"> </w:t>
                              </w:r>
                              <w:r>
                                <w:rPr>
                                  <w:w w:val="103"/>
                                </w:rPr>
                                <w:t>препаратов,</w:t>
                              </w:r>
                              <w:r>
                                <w:rPr>
                                  <w:spacing w:val="-3"/>
                                  <w:w w:val="103"/>
                                </w:rPr>
                                <w:t xml:space="preserve"> </w:t>
                              </w:r>
                              <w:r>
                                <w:rPr>
                                  <w:w w:val="103"/>
                                </w:rPr>
                                <w:t>радиации</w:t>
                              </w:r>
                            </w:p>
                          </w:txbxContent>
                        </wps:txbx>
                        <wps:bodyPr horzOverflow="overflow" vert="horz" lIns="0" tIns="0" rIns="0" bIns="0" rtlCol="0">
                          <a:noAutofit/>
                        </wps:bodyPr>
                      </wps:wsp>
                      <wps:wsp>
                        <wps:cNvPr id="16137" name="Rectangle 16137"/>
                        <wps:cNvSpPr/>
                        <wps:spPr>
                          <a:xfrm>
                            <a:off x="1171521" y="1496851"/>
                            <a:ext cx="1386903" cy="203030"/>
                          </a:xfrm>
                          <a:prstGeom prst="rect">
                            <a:avLst/>
                          </a:prstGeom>
                          <a:ln>
                            <a:noFill/>
                          </a:ln>
                        </wps:spPr>
                        <wps:txbx>
                          <w:txbxContent>
                            <w:p w:rsidR="00D27BC6" w:rsidRDefault="004D5071">
                              <w:pPr>
                                <w:spacing w:after="160" w:line="259" w:lineRule="auto"/>
                                <w:ind w:left="0" w:right="0" w:firstLine="0"/>
                                <w:jc w:val="left"/>
                              </w:pPr>
                              <w:r>
                                <w:rPr>
                                  <w:w w:val="103"/>
                                </w:rPr>
                                <w:t>Прием</w:t>
                              </w:r>
                              <w:r>
                                <w:rPr>
                                  <w:spacing w:val="-3"/>
                                  <w:w w:val="103"/>
                                </w:rPr>
                                <w:t xml:space="preserve"> </w:t>
                              </w:r>
                              <w:r>
                                <w:rPr>
                                  <w:w w:val="103"/>
                                </w:rPr>
                                <w:t>диуретиков</w:t>
                              </w:r>
                            </w:p>
                          </w:txbxContent>
                        </wps:txbx>
                        <wps:bodyPr horzOverflow="overflow" vert="horz" lIns="0" tIns="0" rIns="0" bIns="0" rtlCol="0">
                          <a:noAutofit/>
                        </wps:bodyPr>
                      </wps:wsp>
                      <wps:wsp>
                        <wps:cNvPr id="16138" name="Rectangle 16138"/>
                        <wps:cNvSpPr/>
                        <wps:spPr>
                          <a:xfrm>
                            <a:off x="1171521" y="1623851"/>
                            <a:ext cx="3417337" cy="203030"/>
                          </a:xfrm>
                          <a:prstGeom prst="rect">
                            <a:avLst/>
                          </a:prstGeom>
                          <a:ln>
                            <a:noFill/>
                          </a:ln>
                        </wps:spPr>
                        <wps:txbx>
                          <w:txbxContent>
                            <w:p w:rsidR="00D27BC6" w:rsidRDefault="004D5071">
                              <w:pPr>
                                <w:spacing w:after="160" w:line="259" w:lineRule="auto"/>
                                <w:ind w:left="0" w:right="0" w:firstLine="0"/>
                                <w:jc w:val="left"/>
                              </w:pPr>
                              <w:r>
                                <w:rPr>
                                  <w:w w:val="104"/>
                                </w:rPr>
                                <w:t>Ортопноэ,</w:t>
                              </w:r>
                              <w:r>
                                <w:rPr>
                                  <w:spacing w:val="-3"/>
                                  <w:w w:val="104"/>
                                </w:rPr>
                                <w:t xml:space="preserve"> </w:t>
                              </w:r>
                              <w:r>
                                <w:rPr>
                                  <w:w w:val="104"/>
                                </w:rPr>
                                <w:t>ночные</w:t>
                              </w:r>
                              <w:r>
                                <w:rPr>
                                  <w:spacing w:val="-3"/>
                                  <w:w w:val="104"/>
                                </w:rPr>
                                <w:t xml:space="preserve"> </w:t>
                              </w:r>
                              <w:r>
                                <w:rPr>
                                  <w:w w:val="104"/>
                                </w:rPr>
                                <w:t>приступы</w:t>
                              </w:r>
                              <w:r>
                                <w:rPr>
                                  <w:spacing w:val="-3"/>
                                  <w:w w:val="104"/>
                                </w:rPr>
                                <w:t xml:space="preserve"> </w:t>
                              </w:r>
                              <w:r>
                                <w:rPr>
                                  <w:w w:val="104"/>
                                </w:rPr>
                                <w:t>сердечной</w:t>
                              </w:r>
                              <w:r>
                                <w:rPr>
                                  <w:spacing w:val="-3"/>
                                  <w:w w:val="104"/>
                                </w:rPr>
                                <w:t xml:space="preserve"> </w:t>
                              </w:r>
                              <w:r>
                                <w:rPr>
                                  <w:w w:val="104"/>
                                </w:rPr>
                                <w:t>астмы</w:t>
                              </w:r>
                            </w:p>
                          </w:txbxContent>
                        </wps:txbx>
                        <wps:bodyPr horzOverflow="overflow" vert="horz" lIns="0" tIns="0" rIns="0" bIns="0" rtlCol="0">
                          <a:noAutofit/>
                        </wps:bodyPr>
                      </wps:wsp>
                      <wps:wsp>
                        <wps:cNvPr id="276381" name="Rectangle 276381"/>
                        <wps:cNvSpPr/>
                        <wps:spPr>
                          <a:xfrm>
                            <a:off x="991562" y="1782093"/>
                            <a:ext cx="93745" cy="209280"/>
                          </a:xfrm>
                          <a:prstGeom prst="rect">
                            <a:avLst/>
                          </a:prstGeom>
                          <a:ln>
                            <a:noFill/>
                          </a:ln>
                        </wps:spPr>
                        <wps:txbx>
                          <w:txbxContent>
                            <w:p w:rsidR="00D27BC6" w:rsidRDefault="004D5071">
                              <w:pPr>
                                <w:spacing w:after="160" w:line="259" w:lineRule="auto"/>
                                <w:ind w:left="0" w:right="0" w:firstLine="0"/>
                                <w:jc w:val="left"/>
                              </w:pPr>
                              <w:r>
                                <w:rPr>
                                  <w:b/>
                                  <w:w w:val="109"/>
                                </w:rPr>
                                <w:t>2</w:t>
                              </w:r>
                            </w:p>
                          </w:txbxContent>
                        </wps:txbx>
                        <wps:bodyPr horzOverflow="overflow" vert="horz" lIns="0" tIns="0" rIns="0" bIns="0" rtlCol="0">
                          <a:noAutofit/>
                        </wps:bodyPr>
                      </wps:wsp>
                      <wps:wsp>
                        <wps:cNvPr id="276383" name="Rectangle 276383"/>
                        <wps:cNvSpPr/>
                        <wps:spPr>
                          <a:xfrm>
                            <a:off x="1062047" y="1782093"/>
                            <a:ext cx="2304405" cy="209280"/>
                          </a:xfrm>
                          <a:prstGeom prst="rect">
                            <a:avLst/>
                          </a:prstGeom>
                          <a:ln>
                            <a:noFill/>
                          </a:ln>
                        </wps:spPr>
                        <wps:txbx>
                          <w:txbxContent>
                            <w:p w:rsidR="00D27BC6" w:rsidRDefault="004D5071">
                              <w:pPr>
                                <w:spacing w:after="160" w:line="259" w:lineRule="auto"/>
                                <w:ind w:left="0" w:right="0" w:firstLine="0"/>
                                <w:jc w:val="left"/>
                              </w:pPr>
                              <w:r>
                                <w:rPr>
                                  <w:b/>
                                  <w:w w:val="111"/>
                                </w:rPr>
                                <w:t>.</w:t>
                              </w:r>
                              <w:r>
                                <w:rPr>
                                  <w:b/>
                                  <w:spacing w:val="-5"/>
                                  <w:w w:val="111"/>
                                </w:rPr>
                                <w:t xml:space="preserve"> </w:t>
                              </w:r>
                              <w:r>
                                <w:rPr>
                                  <w:b/>
                                  <w:w w:val="111"/>
                                </w:rPr>
                                <w:t>Физикальное</w:t>
                              </w:r>
                              <w:r>
                                <w:rPr>
                                  <w:b/>
                                  <w:spacing w:val="-5"/>
                                  <w:w w:val="111"/>
                                </w:rPr>
                                <w:t xml:space="preserve"> </w:t>
                              </w:r>
                              <w:r>
                                <w:rPr>
                                  <w:b/>
                                  <w:w w:val="111"/>
                                </w:rPr>
                                <w:t>обследование</w:t>
                              </w:r>
                            </w:p>
                          </w:txbxContent>
                        </wps:txbx>
                        <wps:bodyPr horzOverflow="overflow" vert="horz" lIns="0" tIns="0" rIns="0" bIns="0" rtlCol="0">
                          <a:noAutofit/>
                        </wps:bodyPr>
                      </wps:wsp>
                      <wps:wsp>
                        <wps:cNvPr id="16140" name="Rectangle 16140"/>
                        <wps:cNvSpPr/>
                        <wps:spPr>
                          <a:xfrm>
                            <a:off x="1171521" y="1913792"/>
                            <a:ext cx="4869946" cy="203030"/>
                          </a:xfrm>
                          <a:prstGeom prst="rect">
                            <a:avLst/>
                          </a:prstGeom>
                          <a:ln>
                            <a:noFill/>
                          </a:ln>
                        </wps:spPr>
                        <wps:txbx>
                          <w:txbxContent>
                            <w:p w:rsidR="00D27BC6" w:rsidRDefault="004D5071">
                              <w:pPr>
                                <w:spacing w:after="160" w:line="259" w:lineRule="auto"/>
                                <w:ind w:left="0" w:right="0" w:firstLine="0"/>
                                <w:jc w:val="left"/>
                              </w:pPr>
                              <w:r>
                                <w:rPr>
                                  <w:w w:val="103"/>
                                </w:rPr>
                                <w:t>Хрипы,</w:t>
                              </w:r>
                              <w:r>
                                <w:rPr>
                                  <w:spacing w:val="-3"/>
                                  <w:w w:val="103"/>
                                </w:rPr>
                                <w:t xml:space="preserve"> </w:t>
                              </w:r>
                              <w:r>
                                <w:rPr>
                                  <w:w w:val="103"/>
                                </w:rPr>
                                <w:t>двусторонние</w:t>
                              </w:r>
                              <w:r>
                                <w:rPr>
                                  <w:spacing w:val="-3"/>
                                  <w:w w:val="103"/>
                                </w:rPr>
                                <w:t xml:space="preserve"> </w:t>
                              </w:r>
                              <w:r>
                                <w:rPr>
                                  <w:w w:val="103"/>
                                </w:rPr>
                                <w:t>отеки</w:t>
                              </w:r>
                              <w:r>
                                <w:rPr>
                                  <w:spacing w:val="-3"/>
                                  <w:w w:val="103"/>
                                </w:rPr>
                                <w:t xml:space="preserve"> </w:t>
                              </w:r>
                              <w:r>
                                <w:rPr>
                                  <w:w w:val="103"/>
                                </w:rPr>
                                <w:t>нижних</w:t>
                              </w:r>
                              <w:r>
                                <w:rPr>
                                  <w:spacing w:val="-3"/>
                                  <w:w w:val="103"/>
                                </w:rPr>
                                <w:t xml:space="preserve"> </w:t>
                              </w:r>
                              <w:r>
                                <w:rPr>
                                  <w:w w:val="103"/>
                                </w:rPr>
                                <w:t>конечностей,</w:t>
                              </w:r>
                              <w:r>
                                <w:rPr>
                                  <w:spacing w:val="-3"/>
                                  <w:w w:val="103"/>
                                </w:rPr>
                                <w:t xml:space="preserve"> </w:t>
                              </w:r>
                              <w:r>
                                <w:rPr>
                                  <w:w w:val="103"/>
                                </w:rPr>
                                <w:t>шумы</w:t>
                              </w:r>
                              <w:r>
                                <w:rPr>
                                  <w:spacing w:val="-3"/>
                                  <w:w w:val="103"/>
                                </w:rPr>
                                <w:t xml:space="preserve"> </w:t>
                              </w:r>
                              <w:r>
                                <w:rPr>
                                  <w:w w:val="103"/>
                                </w:rPr>
                                <w:t>в</w:t>
                              </w:r>
                              <w:r>
                                <w:rPr>
                                  <w:spacing w:val="-3"/>
                                  <w:w w:val="103"/>
                                </w:rPr>
                                <w:t xml:space="preserve"> </w:t>
                              </w:r>
                              <w:r>
                                <w:rPr>
                                  <w:w w:val="103"/>
                                </w:rPr>
                                <w:t>сердце,</w:t>
                              </w:r>
                              <w:r>
                                <w:rPr>
                                  <w:spacing w:val="-3"/>
                                  <w:w w:val="103"/>
                                </w:rPr>
                                <w:t xml:space="preserve"> </w:t>
                              </w:r>
                            </w:p>
                          </w:txbxContent>
                        </wps:txbx>
                        <wps:bodyPr horzOverflow="overflow" vert="horz" lIns="0" tIns="0" rIns="0" bIns="0" rtlCol="0">
                          <a:noAutofit/>
                        </wps:bodyPr>
                      </wps:wsp>
                      <wps:wsp>
                        <wps:cNvPr id="16141" name="Rectangle 16141"/>
                        <wps:cNvSpPr/>
                        <wps:spPr>
                          <a:xfrm>
                            <a:off x="1171521" y="2040792"/>
                            <a:ext cx="4272697" cy="203030"/>
                          </a:xfrm>
                          <a:prstGeom prst="rect">
                            <a:avLst/>
                          </a:prstGeom>
                          <a:ln>
                            <a:noFill/>
                          </a:ln>
                        </wps:spPr>
                        <wps:txbx>
                          <w:txbxContent>
                            <w:p w:rsidR="00D27BC6" w:rsidRDefault="004D5071">
                              <w:pPr>
                                <w:spacing w:after="160" w:line="259" w:lineRule="auto"/>
                                <w:ind w:left="0" w:right="0" w:firstLine="0"/>
                                <w:jc w:val="left"/>
                              </w:pPr>
                              <w:r>
                                <w:rPr>
                                  <w:w w:val="103"/>
                                </w:rPr>
                                <w:t>набухание</w:t>
                              </w:r>
                              <w:r>
                                <w:rPr>
                                  <w:spacing w:val="-3"/>
                                  <w:w w:val="103"/>
                                </w:rPr>
                                <w:t xml:space="preserve"> </w:t>
                              </w:r>
                              <w:r>
                                <w:rPr>
                                  <w:w w:val="103"/>
                                </w:rPr>
                                <w:t>яремных</w:t>
                              </w:r>
                              <w:r>
                                <w:rPr>
                                  <w:spacing w:val="-3"/>
                                  <w:w w:val="103"/>
                                </w:rPr>
                                <w:t xml:space="preserve"> </w:t>
                              </w:r>
                              <w:r>
                                <w:rPr>
                                  <w:w w:val="103"/>
                                </w:rPr>
                                <w:t>вен,</w:t>
                              </w:r>
                              <w:r>
                                <w:rPr>
                                  <w:spacing w:val="-3"/>
                                  <w:w w:val="103"/>
                                </w:rPr>
                                <w:t xml:space="preserve"> </w:t>
                              </w:r>
                              <w:r>
                                <w:rPr>
                                  <w:w w:val="103"/>
                                </w:rPr>
                                <w:t>смещение</w:t>
                              </w:r>
                              <w:r>
                                <w:rPr>
                                  <w:spacing w:val="-3"/>
                                  <w:w w:val="103"/>
                                </w:rPr>
                                <w:t xml:space="preserve"> </w:t>
                              </w:r>
                              <w:r>
                                <w:rPr>
                                  <w:w w:val="103"/>
                                </w:rPr>
                                <w:t>верхушечного</w:t>
                              </w:r>
                              <w:r>
                                <w:rPr>
                                  <w:spacing w:val="-3"/>
                                  <w:w w:val="103"/>
                                </w:rPr>
                                <w:t xml:space="preserve"> </w:t>
                              </w:r>
                              <w:r>
                                <w:rPr>
                                  <w:w w:val="103"/>
                                </w:rPr>
                                <w:t>толчка.</w:t>
                              </w:r>
                              <w:r>
                                <w:rPr>
                                  <w:spacing w:val="-3"/>
                                  <w:w w:val="103"/>
                                </w:rPr>
                                <w:t xml:space="preserve"> </w:t>
                              </w:r>
                            </w:p>
                          </w:txbxContent>
                        </wps:txbx>
                        <wps:bodyPr horzOverflow="overflow" vert="horz" lIns="0" tIns="0" rIns="0" bIns="0" rtlCol="0">
                          <a:noAutofit/>
                        </wps:bodyPr>
                      </wps:wsp>
                      <wps:wsp>
                        <wps:cNvPr id="276384" name="Rectangle 276384"/>
                        <wps:cNvSpPr/>
                        <wps:spPr>
                          <a:xfrm>
                            <a:off x="991562" y="2199034"/>
                            <a:ext cx="93745" cy="209280"/>
                          </a:xfrm>
                          <a:prstGeom prst="rect">
                            <a:avLst/>
                          </a:prstGeom>
                          <a:ln>
                            <a:noFill/>
                          </a:ln>
                        </wps:spPr>
                        <wps:txbx>
                          <w:txbxContent>
                            <w:p w:rsidR="00D27BC6" w:rsidRDefault="004D5071">
                              <w:pPr>
                                <w:spacing w:after="160" w:line="259" w:lineRule="auto"/>
                                <w:ind w:left="0" w:right="0" w:firstLine="0"/>
                                <w:jc w:val="left"/>
                              </w:pPr>
                              <w:r>
                                <w:rPr>
                                  <w:b/>
                                  <w:w w:val="109"/>
                                </w:rPr>
                                <w:t>3</w:t>
                              </w:r>
                            </w:p>
                          </w:txbxContent>
                        </wps:txbx>
                        <wps:bodyPr horzOverflow="overflow" vert="horz" lIns="0" tIns="0" rIns="0" bIns="0" rtlCol="0">
                          <a:noAutofit/>
                        </wps:bodyPr>
                      </wps:wsp>
                      <wps:wsp>
                        <wps:cNvPr id="276385" name="Rectangle 276385"/>
                        <wps:cNvSpPr/>
                        <wps:spPr>
                          <a:xfrm>
                            <a:off x="1062047" y="2199034"/>
                            <a:ext cx="429707" cy="209280"/>
                          </a:xfrm>
                          <a:prstGeom prst="rect">
                            <a:avLst/>
                          </a:prstGeom>
                          <a:ln>
                            <a:noFill/>
                          </a:ln>
                        </wps:spPr>
                        <wps:txbx>
                          <w:txbxContent>
                            <w:p w:rsidR="00D27BC6" w:rsidRDefault="004D5071">
                              <w:pPr>
                                <w:spacing w:after="160" w:line="259" w:lineRule="auto"/>
                                <w:ind w:left="0" w:right="0" w:firstLine="0"/>
                                <w:jc w:val="left"/>
                              </w:pPr>
                              <w:r>
                                <w:rPr>
                                  <w:b/>
                                  <w:w w:val="105"/>
                                </w:rPr>
                                <w:t>.</w:t>
                              </w:r>
                              <w:r>
                                <w:rPr>
                                  <w:b/>
                                  <w:spacing w:val="-5"/>
                                  <w:w w:val="105"/>
                                </w:rPr>
                                <w:t xml:space="preserve"> </w:t>
                              </w:r>
                              <w:r>
                                <w:rPr>
                                  <w:b/>
                                  <w:w w:val="105"/>
                                </w:rPr>
                                <w:t>ЭКГ:</w:t>
                              </w:r>
                              <w:r>
                                <w:rPr>
                                  <w:b/>
                                  <w:spacing w:val="-5"/>
                                  <w:w w:val="105"/>
                                </w:rPr>
                                <w:t xml:space="preserve"> </w:t>
                              </w:r>
                            </w:p>
                          </w:txbxContent>
                        </wps:txbx>
                        <wps:bodyPr horzOverflow="overflow" vert="horz" lIns="0" tIns="0" rIns="0" bIns="0" rtlCol="0">
                          <a:noAutofit/>
                        </wps:bodyPr>
                      </wps:wsp>
                      <wps:wsp>
                        <wps:cNvPr id="16143" name="Rectangle 16143"/>
                        <wps:cNvSpPr/>
                        <wps:spPr>
                          <a:xfrm>
                            <a:off x="1385135" y="2203733"/>
                            <a:ext cx="1666618" cy="203030"/>
                          </a:xfrm>
                          <a:prstGeom prst="rect">
                            <a:avLst/>
                          </a:prstGeom>
                          <a:ln>
                            <a:noFill/>
                          </a:ln>
                        </wps:spPr>
                        <wps:txbx>
                          <w:txbxContent>
                            <w:p w:rsidR="00D27BC6" w:rsidRDefault="004D5071">
                              <w:pPr>
                                <w:spacing w:after="160" w:line="259" w:lineRule="auto"/>
                                <w:ind w:left="0" w:right="0" w:firstLine="0"/>
                                <w:jc w:val="left"/>
                              </w:pPr>
                              <w:r>
                                <w:rPr>
                                  <w:w w:val="103"/>
                                </w:rPr>
                                <w:t>Отклонение</w:t>
                              </w:r>
                              <w:r>
                                <w:rPr>
                                  <w:spacing w:val="-3"/>
                                  <w:w w:val="103"/>
                                </w:rPr>
                                <w:t xml:space="preserve"> </w:t>
                              </w:r>
                              <w:r>
                                <w:rPr>
                                  <w:w w:val="103"/>
                                </w:rPr>
                                <w:t>от</w:t>
                              </w:r>
                              <w:r>
                                <w:rPr>
                                  <w:spacing w:val="-3"/>
                                  <w:w w:val="103"/>
                                </w:rPr>
                                <w:t xml:space="preserve"> </w:t>
                              </w:r>
                              <w:r>
                                <w:rPr>
                                  <w:w w:val="103"/>
                                </w:rPr>
                                <w:t>нормы.</w:t>
                              </w:r>
                            </w:p>
                          </w:txbxContent>
                        </wps:txbx>
                        <wps:bodyPr horzOverflow="overflow" vert="horz" lIns="0" tIns="0" rIns="0" bIns="0" rtlCol="0">
                          <a:noAutofit/>
                        </wps:bodyPr>
                      </wps:wsp>
                      <wps:wsp>
                        <wps:cNvPr id="16144" name="Rectangle 16144"/>
                        <wps:cNvSpPr/>
                        <wps:spPr>
                          <a:xfrm>
                            <a:off x="2200221" y="4726462"/>
                            <a:ext cx="2756071" cy="203030"/>
                          </a:xfrm>
                          <a:prstGeom prst="rect">
                            <a:avLst/>
                          </a:prstGeom>
                          <a:ln>
                            <a:noFill/>
                          </a:ln>
                        </wps:spPr>
                        <wps:txbx>
                          <w:txbxContent>
                            <w:p w:rsidR="00D27BC6" w:rsidRDefault="004D5071">
                              <w:pPr>
                                <w:spacing w:after="160" w:line="259" w:lineRule="auto"/>
                                <w:ind w:left="0" w:right="0" w:firstLine="0"/>
                                <w:jc w:val="left"/>
                              </w:pPr>
                              <w:r>
                                <w:rPr>
                                  <w:w w:val="103"/>
                                </w:rPr>
                                <w:t>Если</w:t>
                              </w:r>
                              <w:r>
                                <w:rPr>
                                  <w:spacing w:val="-3"/>
                                  <w:w w:val="103"/>
                                </w:rPr>
                                <w:t xml:space="preserve"> </w:t>
                              </w:r>
                              <w:r>
                                <w:rPr>
                                  <w:w w:val="103"/>
                                </w:rPr>
                                <w:t>ХСН</w:t>
                              </w:r>
                              <w:r>
                                <w:rPr>
                                  <w:spacing w:val="-3"/>
                                  <w:w w:val="103"/>
                                </w:rPr>
                                <w:t xml:space="preserve"> </w:t>
                              </w:r>
                              <w:r>
                                <w:rPr>
                                  <w:w w:val="103"/>
                                </w:rPr>
                                <w:t>подтверждена,</w:t>
                              </w:r>
                              <w:r>
                                <w:rPr>
                                  <w:spacing w:val="-3"/>
                                  <w:w w:val="103"/>
                                </w:rPr>
                                <w:t xml:space="preserve"> </w:t>
                              </w:r>
                              <w:r>
                                <w:rPr>
                                  <w:w w:val="103"/>
                                </w:rPr>
                                <w:t>определить</w:t>
                              </w:r>
                              <w:r>
                                <w:rPr>
                                  <w:spacing w:val="-3"/>
                                  <w:w w:val="103"/>
                                </w:rPr>
                                <w:t xml:space="preserve"> </w:t>
                              </w:r>
                            </w:p>
                          </w:txbxContent>
                        </wps:txbx>
                        <wps:bodyPr horzOverflow="overflow" vert="horz" lIns="0" tIns="0" rIns="0" bIns="0" rtlCol="0">
                          <a:noAutofit/>
                        </wps:bodyPr>
                      </wps:wsp>
                      <wps:wsp>
                        <wps:cNvPr id="16145" name="Rectangle 16145"/>
                        <wps:cNvSpPr/>
                        <wps:spPr>
                          <a:xfrm>
                            <a:off x="2429201" y="4853462"/>
                            <a:ext cx="2111190" cy="203030"/>
                          </a:xfrm>
                          <a:prstGeom prst="rect">
                            <a:avLst/>
                          </a:prstGeom>
                          <a:ln>
                            <a:noFill/>
                          </a:ln>
                        </wps:spPr>
                        <wps:txbx>
                          <w:txbxContent>
                            <w:p w:rsidR="00D27BC6" w:rsidRDefault="004D5071">
                              <w:pPr>
                                <w:spacing w:after="160" w:line="259" w:lineRule="auto"/>
                                <w:ind w:left="0" w:right="0" w:firstLine="0"/>
                                <w:jc w:val="left"/>
                              </w:pPr>
                              <w:r>
                                <w:rPr>
                                  <w:w w:val="103"/>
                                </w:rPr>
                                <w:t>этиологию</w:t>
                              </w:r>
                              <w:r>
                                <w:rPr>
                                  <w:spacing w:val="-3"/>
                                  <w:w w:val="103"/>
                                </w:rPr>
                                <w:t xml:space="preserve"> </w:t>
                              </w:r>
                              <w:r>
                                <w:rPr>
                                  <w:w w:val="103"/>
                                </w:rPr>
                                <w:t>и</w:t>
                              </w:r>
                              <w:r>
                                <w:rPr>
                                  <w:spacing w:val="-3"/>
                                  <w:w w:val="103"/>
                                </w:rPr>
                                <w:t xml:space="preserve"> </w:t>
                              </w:r>
                              <w:r>
                                <w:rPr>
                                  <w:w w:val="103"/>
                                </w:rPr>
                                <w:t>начать</w:t>
                              </w:r>
                              <w:r>
                                <w:rPr>
                                  <w:spacing w:val="-3"/>
                                  <w:w w:val="103"/>
                                </w:rPr>
                                <w:t xml:space="preserve"> </w:t>
                              </w:r>
                              <w:r>
                                <w:rPr>
                                  <w:w w:val="103"/>
                                </w:rPr>
                                <w:t>терапию</w:t>
                              </w:r>
                            </w:p>
                          </w:txbxContent>
                        </wps:txbx>
                        <wps:bodyPr horzOverflow="overflow" vert="horz" lIns="0" tIns="0" rIns="0" bIns="0" rtlCol="0">
                          <a:noAutofit/>
                        </wps:bodyPr>
                      </wps:wsp>
                      <wps:wsp>
                        <wps:cNvPr id="16146" name="Shape 16146"/>
                        <wps:cNvSpPr/>
                        <wps:spPr>
                          <a:xfrm>
                            <a:off x="2136000" y="4701839"/>
                            <a:ext cx="2187003" cy="318491"/>
                          </a:xfrm>
                          <a:custGeom>
                            <a:avLst/>
                            <a:gdLst/>
                            <a:ahLst/>
                            <a:cxnLst/>
                            <a:rect l="0" t="0" r="0" b="0"/>
                            <a:pathLst>
                              <a:path w="2187003" h="318491">
                                <a:moveTo>
                                  <a:pt x="0" y="318491"/>
                                </a:moveTo>
                                <a:lnTo>
                                  <a:pt x="2187003" y="318491"/>
                                </a:lnTo>
                                <a:lnTo>
                                  <a:pt x="218700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47" name="Shape 16147"/>
                        <wps:cNvSpPr/>
                        <wps:spPr>
                          <a:xfrm>
                            <a:off x="2500458" y="2789386"/>
                            <a:ext cx="0" cy="118059"/>
                          </a:xfrm>
                          <a:custGeom>
                            <a:avLst/>
                            <a:gdLst/>
                            <a:ahLst/>
                            <a:cxnLst/>
                            <a:rect l="0" t="0" r="0" b="0"/>
                            <a:pathLst>
                              <a:path h="118059">
                                <a:moveTo>
                                  <a:pt x="0" y="0"/>
                                </a:moveTo>
                                <a:lnTo>
                                  <a:pt x="0" y="11805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48" name="Shape 16148"/>
                        <wps:cNvSpPr/>
                        <wps:spPr>
                          <a:xfrm>
                            <a:off x="2469901" y="2887427"/>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149" name="Shape 16149"/>
                        <wps:cNvSpPr/>
                        <wps:spPr>
                          <a:xfrm>
                            <a:off x="3846856" y="2789386"/>
                            <a:ext cx="0" cy="118059"/>
                          </a:xfrm>
                          <a:custGeom>
                            <a:avLst/>
                            <a:gdLst/>
                            <a:ahLst/>
                            <a:cxnLst/>
                            <a:rect l="0" t="0" r="0" b="0"/>
                            <a:pathLst>
                              <a:path h="118059">
                                <a:moveTo>
                                  <a:pt x="0" y="0"/>
                                </a:moveTo>
                                <a:lnTo>
                                  <a:pt x="0" y="11805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50" name="Shape 16150"/>
                        <wps:cNvSpPr/>
                        <wps:spPr>
                          <a:xfrm>
                            <a:off x="3816299" y="2887427"/>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151" name="Shape 16151"/>
                        <wps:cNvSpPr/>
                        <wps:spPr>
                          <a:xfrm>
                            <a:off x="1708542" y="3728877"/>
                            <a:ext cx="0" cy="118059"/>
                          </a:xfrm>
                          <a:custGeom>
                            <a:avLst/>
                            <a:gdLst/>
                            <a:ahLst/>
                            <a:cxnLst/>
                            <a:rect l="0" t="0" r="0" b="0"/>
                            <a:pathLst>
                              <a:path h="118059">
                                <a:moveTo>
                                  <a:pt x="0" y="0"/>
                                </a:moveTo>
                                <a:lnTo>
                                  <a:pt x="0" y="11805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52" name="Shape 16152"/>
                        <wps:cNvSpPr/>
                        <wps:spPr>
                          <a:xfrm>
                            <a:off x="1677986" y="3826917"/>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153" name="Shape 16153"/>
                        <wps:cNvSpPr/>
                        <wps:spPr>
                          <a:xfrm>
                            <a:off x="3054941" y="3728877"/>
                            <a:ext cx="0" cy="118059"/>
                          </a:xfrm>
                          <a:custGeom>
                            <a:avLst/>
                            <a:gdLst/>
                            <a:ahLst/>
                            <a:cxnLst/>
                            <a:rect l="0" t="0" r="0" b="0"/>
                            <a:pathLst>
                              <a:path h="118059">
                                <a:moveTo>
                                  <a:pt x="0" y="0"/>
                                </a:moveTo>
                                <a:lnTo>
                                  <a:pt x="0" y="11805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54" name="Shape 16154"/>
                        <wps:cNvSpPr/>
                        <wps:spPr>
                          <a:xfrm>
                            <a:off x="3024385" y="3826917"/>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155" name="Shape 16155"/>
                        <wps:cNvSpPr/>
                        <wps:spPr>
                          <a:xfrm>
                            <a:off x="1083861" y="4522678"/>
                            <a:ext cx="0" cy="118059"/>
                          </a:xfrm>
                          <a:custGeom>
                            <a:avLst/>
                            <a:gdLst/>
                            <a:ahLst/>
                            <a:cxnLst/>
                            <a:rect l="0" t="0" r="0" b="0"/>
                            <a:pathLst>
                              <a:path h="118059">
                                <a:moveTo>
                                  <a:pt x="0" y="0"/>
                                </a:moveTo>
                                <a:lnTo>
                                  <a:pt x="0" y="11805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56" name="Shape 16156"/>
                        <wps:cNvSpPr/>
                        <wps:spPr>
                          <a:xfrm>
                            <a:off x="1053305" y="4620718"/>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157" name="Shape 16157"/>
                        <wps:cNvSpPr/>
                        <wps:spPr>
                          <a:xfrm>
                            <a:off x="2430260" y="4522678"/>
                            <a:ext cx="0" cy="118059"/>
                          </a:xfrm>
                          <a:custGeom>
                            <a:avLst/>
                            <a:gdLst/>
                            <a:ahLst/>
                            <a:cxnLst/>
                            <a:rect l="0" t="0" r="0" b="0"/>
                            <a:pathLst>
                              <a:path h="118059">
                                <a:moveTo>
                                  <a:pt x="0" y="0"/>
                                </a:moveTo>
                                <a:lnTo>
                                  <a:pt x="0" y="11805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158" name="Shape 16158"/>
                        <wps:cNvSpPr/>
                        <wps:spPr>
                          <a:xfrm>
                            <a:off x="2399703" y="4620718"/>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159" name="Rectangle 16159"/>
                        <wps:cNvSpPr/>
                        <wps:spPr>
                          <a:xfrm>
                            <a:off x="2292000" y="2793661"/>
                            <a:ext cx="188672" cy="203030"/>
                          </a:xfrm>
                          <a:prstGeom prst="rect">
                            <a:avLst/>
                          </a:prstGeom>
                          <a:ln>
                            <a:noFill/>
                          </a:ln>
                        </wps:spPr>
                        <wps:txbx>
                          <w:txbxContent>
                            <w:p w:rsidR="00D27BC6" w:rsidRDefault="004D5071">
                              <w:pPr>
                                <w:spacing w:after="160" w:line="259" w:lineRule="auto"/>
                                <w:ind w:left="0" w:right="0" w:firstLine="0"/>
                                <w:jc w:val="left"/>
                              </w:pPr>
                              <w:r>
                                <w:rPr>
                                  <w:spacing w:val="1"/>
                                  <w:w w:val="101"/>
                                </w:rPr>
                                <w:t>Да</w:t>
                              </w:r>
                            </w:p>
                          </w:txbxContent>
                        </wps:txbx>
                        <wps:bodyPr horzOverflow="overflow" vert="horz" lIns="0" tIns="0" rIns="0" bIns="0" rtlCol="0">
                          <a:noAutofit/>
                        </wps:bodyPr>
                      </wps:wsp>
                      <wps:wsp>
                        <wps:cNvPr id="16160" name="Rectangle 16160"/>
                        <wps:cNvSpPr/>
                        <wps:spPr>
                          <a:xfrm>
                            <a:off x="1489232" y="3742352"/>
                            <a:ext cx="188672" cy="203030"/>
                          </a:xfrm>
                          <a:prstGeom prst="rect">
                            <a:avLst/>
                          </a:prstGeom>
                          <a:ln>
                            <a:noFill/>
                          </a:ln>
                        </wps:spPr>
                        <wps:txbx>
                          <w:txbxContent>
                            <w:p w:rsidR="00D27BC6" w:rsidRDefault="004D5071">
                              <w:pPr>
                                <w:spacing w:after="160" w:line="259" w:lineRule="auto"/>
                                <w:ind w:left="0" w:right="0" w:firstLine="0"/>
                                <w:jc w:val="left"/>
                              </w:pPr>
                              <w:r>
                                <w:rPr>
                                  <w:spacing w:val="1"/>
                                  <w:w w:val="101"/>
                                </w:rPr>
                                <w:t>Да</w:t>
                              </w:r>
                            </w:p>
                          </w:txbxContent>
                        </wps:txbx>
                        <wps:bodyPr horzOverflow="overflow" vert="horz" lIns="0" tIns="0" rIns="0" bIns="0" rtlCol="0">
                          <a:noAutofit/>
                        </wps:bodyPr>
                      </wps:wsp>
                      <wps:wsp>
                        <wps:cNvPr id="16161" name="Rectangle 16161"/>
                        <wps:cNvSpPr/>
                        <wps:spPr>
                          <a:xfrm>
                            <a:off x="2504471" y="4535975"/>
                            <a:ext cx="188673" cy="203030"/>
                          </a:xfrm>
                          <a:prstGeom prst="rect">
                            <a:avLst/>
                          </a:prstGeom>
                          <a:ln>
                            <a:noFill/>
                          </a:ln>
                        </wps:spPr>
                        <wps:txbx>
                          <w:txbxContent>
                            <w:p w:rsidR="00D27BC6" w:rsidRDefault="004D5071">
                              <w:pPr>
                                <w:spacing w:after="160" w:line="259" w:lineRule="auto"/>
                                <w:ind w:left="0" w:right="0" w:firstLine="0"/>
                                <w:jc w:val="left"/>
                              </w:pPr>
                              <w:r>
                                <w:rPr>
                                  <w:spacing w:val="1"/>
                                  <w:w w:val="101"/>
                                </w:rPr>
                                <w:t>Да</w:t>
                              </w:r>
                            </w:p>
                          </w:txbxContent>
                        </wps:txbx>
                        <wps:bodyPr horzOverflow="overflow" vert="horz" lIns="0" tIns="0" rIns="0" bIns="0" rtlCol="0">
                          <a:noAutofit/>
                        </wps:bodyPr>
                      </wps:wsp>
                      <wps:wsp>
                        <wps:cNvPr id="16162" name="Rectangle 16162"/>
                        <wps:cNvSpPr/>
                        <wps:spPr>
                          <a:xfrm>
                            <a:off x="3942111" y="2793534"/>
                            <a:ext cx="263500" cy="203030"/>
                          </a:xfrm>
                          <a:prstGeom prst="rect">
                            <a:avLst/>
                          </a:prstGeom>
                          <a:ln>
                            <a:noFill/>
                          </a:ln>
                        </wps:spPr>
                        <wps:txbx>
                          <w:txbxContent>
                            <w:p w:rsidR="00D27BC6" w:rsidRDefault="004D5071">
                              <w:pPr>
                                <w:spacing w:after="160" w:line="259" w:lineRule="auto"/>
                                <w:ind w:left="0" w:right="0" w:firstLine="0"/>
                                <w:jc w:val="left"/>
                              </w:pPr>
                              <w:r>
                                <w:rPr>
                                  <w:w w:val="104"/>
                                </w:rPr>
                                <w:t>Нет</w:t>
                              </w:r>
                            </w:p>
                          </w:txbxContent>
                        </wps:txbx>
                        <wps:bodyPr horzOverflow="overflow" vert="horz" lIns="0" tIns="0" rIns="0" bIns="0" rtlCol="0">
                          <a:noAutofit/>
                        </wps:bodyPr>
                      </wps:wsp>
                      <wps:wsp>
                        <wps:cNvPr id="16163" name="Rectangle 16163"/>
                        <wps:cNvSpPr/>
                        <wps:spPr>
                          <a:xfrm>
                            <a:off x="3128549" y="3742225"/>
                            <a:ext cx="263500" cy="203030"/>
                          </a:xfrm>
                          <a:prstGeom prst="rect">
                            <a:avLst/>
                          </a:prstGeom>
                          <a:ln>
                            <a:noFill/>
                          </a:ln>
                        </wps:spPr>
                        <wps:txbx>
                          <w:txbxContent>
                            <w:p w:rsidR="00D27BC6" w:rsidRDefault="004D5071">
                              <w:pPr>
                                <w:spacing w:after="160" w:line="259" w:lineRule="auto"/>
                                <w:ind w:left="0" w:right="0" w:firstLine="0"/>
                                <w:jc w:val="left"/>
                              </w:pPr>
                              <w:r>
                                <w:rPr>
                                  <w:w w:val="104"/>
                                </w:rPr>
                                <w:t>Нет</w:t>
                              </w:r>
                            </w:p>
                          </w:txbxContent>
                        </wps:txbx>
                        <wps:bodyPr horzOverflow="overflow" vert="horz" lIns="0" tIns="0" rIns="0" bIns="0" rtlCol="0">
                          <a:noAutofit/>
                        </wps:bodyPr>
                      </wps:wsp>
                      <wps:wsp>
                        <wps:cNvPr id="16164" name="Rectangle 16164"/>
                        <wps:cNvSpPr/>
                        <wps:spPr>
                          <a:xfrm>
                            <a:off x="802925" y="4532292"/>
                            <a:ext cx="263500" cy="203030"/>
                          </a:xfrm>
                          <a:prstGeom prst="rect">
                            <a:avLst/>
                          </a:prstGeom>
                          <a:ln>
                            <a:noFill/>
                          </a:ln>
                        </wps:spPr>
                        <wps:txbx>
                          <w:txbxContent>
                            <w:p w:rsidR="00D27BC6" w:rsidRDefault="004D5071">
                              <w:pPr>
                                <w:spacing w:after="160" w:line="259" w:lineRule="auto"/>
                                <w:ind w:left="0" w:right="0" w:firstLine="0"/>
                                <w:jc w:val="left"/>
                              </w:pPr>
                              <w:r>
                                <w:rPr>
                                  <w:w w:val="104"/>
                                </w:rPr>
                                <w:t>Нет</w:t>
                              </w:r>
                            </w:p>
                          </w:txbxContent>
                        </wps:txbx>
                        <wps:bodyPr horzOverflow="overflow" vert="horz" lIns="0" tIns="0" rIns="0" bIns="0" rtlCol="0">
                          <a:noAutofit/>
                        </wps:bodyPr>
                      </wps:wsp>
                    </wpg:wgp>
                  </a:graphicData>
                </a:graphic>
              </wp:inline>
            </w:drawing>
          </mc:Choice>
          <mc:Fallback xmlns:a="http://schemas.openxmlformats.org/drawingml/2006/main">
            <w:pict>
              <v:group id="Group 276567" style="width:443.15pt;height:395.302pt;mso-position-horizontal-relative:char;mso-position-vertical-relative:line" coordsize="56280,50203">
                <v:rect id="Rectangle 16097" style="position:absolute;width:21524;height:2092;left:20662;top:0;" filled="f" stroked="f">
                  <v:textbox inset="0,0,0,0">
                    <w:txbxContent>
                      <w:p>
                        <w:pPr>
                          <w:spacing w:before="0" w:after="160" w:line="259" w:lineRule="auto"/>
                          <w:ind w:left="0" w:right="0" w:firstLine="0"/>
                          <w:jc w:val="left"/>
                        </w:pPr>
                        <w:r>
                          <w:rPr>
                            <w:rFonts w:cs="Calibri" w:hAnsi="Calibri" w:eastAsia="Calibri" w:ascii="Calibri"/>
                            <w:b w:val="1"/>
                            <w:color w:val="1e5d99"/>
                            <w:w w:val="112"/>
                          </w:rPr>
                          <w:t xml:space="preserve">Алгоритм</w:t>
                        </w:r>
                        <w:r>
                          <w:rPr>
                            <w:rFonts w:cs="Calibri" w:hAnsi="Calibri" w:eastAsia="Calibri" w:ascii="Calibri"/>
                            <w:b w:val="1"/>
                            <w:color w:val="1e5d99"/>
                            <w:spacing w:val="-5"/>
                            <w:w w:val="112"/>
                          </w:rPr>
                          <w:t xml:space="preserve"> </w:t>
                        </w:r>
                        <w:r>
                          <w:rPr>
                            <w:rFonts w:cs="Calibri" w:hAnsi="Calibri" w:eastAsia="Calibri" w:ascii="Calibri"/>
                            <w:b w:val="1"/>
                            <w:color w:val="1e5d99"/>
                            <w:w w:val="112"/>
                          </w:rPr>
                          <w:t xml:space="preserve">диагностики</w:t>
                        </w:r>
                        <w:r>
                          <w:rPr>
                            <w:rFonts w:cs="Calibri" w:hAnsi="Calibri" w:eastAsia="Calibri" w:ascii="Calibri"/>
                            <w:b w:val="1"/>
                            <w:color w:val="1e5d99"/>
                            <w:spacing w:val="-5"/>
                            <w:w w:val="112"/>
                          </w:rPr>
                          <w:t xml:space="preserve"> </w:t>
                        </w:r>
                        <w:r>
                          <w:rPr>
                            <w:rFonts w:cs="Calibri" w:hAnsi="Calibri" w:eastAsia="Calibri" w:ascii="Calibri"/>
                            <w:b w:val="1"/>
                            <w:color w:val="1e5d99"/>
                            <w:w w:val="112"/>
                          </w:rPr>
                          <w:t xml:space="preserve">ХСН</w:t>
                        </w:r>
                      </w:p>
                    </w:txbxContent>
                  </v:textbox>
                </v:rect>
                <v:shape id="Shape 16099" style="position:absolute;width:41368;height:15715;left:7470;top:8270;" coordsize="4136822,1571536" path="m0,1571536l4136822,1571536l4136822,0l0,0x">
                  <v:stroke weight="0.709pt" endcap="flat" joinstyle="miter" miterlimit="4" on="true" color="#000000"/>
                  <v:fill on="false" color="#000000" opacity="0"/>
                </v:shape>
                <v:shape id="Shape 16100" style="position:absolute;width:0;height:1180;left:28155;top:6344;" coordsize="0,118059" path="m0,0l0,118059">
                  <v:stroke weight="0.709pt" endcap="flat" joinstyle="miter" miterlimit="4" on="true" color="#000000"/>
                  <v:fill on="false" color="#000000" opacity="0"/>
                </v:shape>
                <v:shape id="Shape 16101" style="position:absolute;width:611;height:839;left:27849;top:7325;" coordsize="61113,83972" path="m0,0l30556,20015l61113,0l30556,83972l0,0x">
                  <v:stroke weight="0pt" endcap="flat" joinstyle="miter" miterlimit="4" on="false" color="#000000" opacity="0"/>
                  <v:fill on="true" color="#000000"/>
                </v:shape>
                <v:rect id="Rectangle 16103" style="position:absolute;width:16034;height:2092;left:22383;top:2937;" filled="f" stroked="f">
                  <v:textbox inset="0,0,0,0">
                    <w:txbxContent>
                      <w:p>
                        <w:pPr>
                          <w:spacing w:before="0" w:after="160" w:line="259" w:lineRule="auto"/>
                          <w:ind w:left="0" w:right="0" w:firstLine="0"/>
                          <w:jc w:val="left"/>
                        </w:pPr>
                        <w:r>
                          <w:rPr>
                            <w:rFonts w:cs="Calibri" w:hAnsi="Calibri" w:eastAsia="Calibri" w:ascii="Calibri"/>
                            <w:b w:val="1"/>
                            <w:w w:val="110"/>
                          </w:rPr>
                          <w:t xml:space="preserve">Подозрение</w:t>
                        </w:r>
                        <w:r>
                          <w:rPr>
                            <w:rFonts w:cs="Calibri" w:hAnsi="Calibri" w:eastAsia="Calibri" w:ascii="Calibri"/>
                            <w:b w:val="1"/>
                            <w:spacing w:val="-5"/>
                            <w:w w:val="110"/>
                          </w:rPr>
                          <w:t xml:space="preserve"> </w:t>
                        </w:r>
                        <w:r>
                          <w:rPr>
                            <w:rFonts w:cs="Calibri" w:hAnsi="Calibri" w:eastAsia="Calibri" w:ascii="Calibri"/>
                            <w:b w:val="1"/>
                            <w:w w:val="110"/>
                          </w:rPr>
                          <w:t xml:space="preserve">на</w:t>
                        </w:r>
                        <w:r>
                          <w:rPr>
                            <w:rFonts w:cs="Calibri" w:hAnsi="Calibri" w:eastAsia="Calibri" w:ascii="Calibri"/>
                            <w:b w:val="1"/>
                            <w:spacing w:val="-5"/>
                            <w:w w:val="110"/>
                          </w:rPr>
                          <w:t xml:space="preserve"> </w:t>
                        </w:r>
                        <w:r>
                          <w:rPr>
                            <w:rFonts w:cs="Calibri" w:hAnsi="Calibri" w:eastAsia="Calibri" w:ascii="Calibri"/>
                            <w:b w:val="1"/>
                            <w:w w:val="110"/>
                          </w:rPr>
                          <w:t xml:space="preserve">ХСН</w:t>
                        </w:r>
                        <w:r>
                          <w:rPr>
                            <w:rFonts w:cs="Calibri" w:hAnsi="Calibri" w:eastAsia="Calibri" w:ascii="Calibri"/>
                            <w:b w:val="1"/>
                            <w:spacing w:val="-5"/>
                            <w:w w:val="110"/>
                          </w:rPr>
                          <w:t xml:space="preserve"> </w:t>
                        </w:r>
                        <w:r>
                          <w:rPr>
                            <w:rFonts w:cs="Calibri" w:hAnsi="Calibri" w:eastAsia="Calibri" w:ascii="Calibri"/>
                            <w:b w:val="1"/>
                            <w:spacing w:val="-5"/>
                            <w:w w:val="110"/>
                          </w:rPr>
                          <w:t xml:space="preserve"> </w:t>
                        </w:r>
                      </w:p>
                    </w:txbxContent>
                  </v:textbox>
                </v:rect>
                <v:rect id="Rectangle 276375" style="position:absolute;width:13203;height:2092;left:23191;top:4461;" filled="f" stroked="f">
                  <v:textbox inset="0,0,0,0">
                    <w:txbxContent>
                      <w:p>
                        <w:pPr>
                          <w:spacing w:before="0" w:after="160" w:line="259" w:lineRule="auto"/>
                          <w:ind w:left="0" w:right="0" w:firstLine="0"/>
                          <w:jc w:val="left"/>
                        </w:pPr>
                        <w:r>
                          <w:rPr>
                            <w:rFonts w:cs="Calibri" w:hAnsi="Calibri" w:eastAsia="Calibri" w:ascii="Calibri"/>
                            <w:b w:val="1"/>
                            <w:w w:val="111"/>
                          </w:rPr>
                          <w:t xml:space="preserve">неострое</w:t>
                        </w:r>
                        <w:r>
                          <w:rPr>
                            <w:rFonts w:cs="Calibri" w:hAnsi="Calibri" w:eastAsia="Calibri" w:ascii="Calibri"/>
                            <w:b w:val="1"/>
                            <w:spacing w:val="-5"/>
                            <w:w w:val="111"/>
                          </w:rPr>
                          <w:t xml:space="preserve"> </w:t>
                        </w:r>
                        <w:r>
                          <w:rPr>
                            <w:rFonts w:cs="Calibri" w:hAnsi="Calibri" w:eastAsia="Calibri" w:ascii="Calibri"/>
                            <w:b w:val="1"/>
                            <w:w w:val="111"/>
                          </w:rPr>
                          <w:t xml:space="preserve">начало</w:t>
                        </w:r>
                      </w:p>
                    </w:txbxContent>
                  </v:textbox>
                </v:rect>
                <v:rect id="Rectangle 276373" style="position:absolute;width:530;height:2092;left:33118;top:4461;" filled="f" stroked="f">
                  <v:textbox inset="0,0,0,0">
                    <w:txbxContent>
                      <w:p>
                        <w:pPr>
                          <w:spacing w:before="0" w:after="160" w:line="259" w:lineRule="auto"/>
                          <w:ind w:left="0" w:right="0" w:firstLine="0"/>
                          <w:jc w:val="left"/>
                        </w:pPr>
                        <w:r>
                          <w:rPr>
                            <w:rFonts w:cs="Calibri" w:hAnsi="Calibri" w:eastAsia="Calibri" w:ascii="Calibri"/>
                            <w:b w:val="1"/>
                            <w:w w:val="105"/>
                          </w:rPr>
                          <w:t xml:space="preserve">)</w:t>
                        </w:r>
                      </w:p>
                    </w:txbxContent>
                  </v:textbox>
                </v:rect>
                <v:rect id="Rectangle 276371" style="position:absolute;width:530;height:2092;left:22792;top:4461;" filled="f" stroked="f">
                  <v:textbox inset="0,0,0,0">
                    <w:txbxContent>
                      <w:p>
                        <w:pPr>
                          <w:spacing w:before="0" w:after="160" w:line="259" w:lineRule="auto"/>
                          <w:ind w:left="0" w:right="0" w:firstLine="0"/>
                          <w:jc w:val="left"/>
                        </w:pPr>
                        <w:r>
                          <w:rPr>
                            <w:rFonts w:cs="Calibri" w:hAnsi="Calibri" w:eastAsia="Calibri" w:ascii="Calibri"/>
                            <w:b w:val="1"/>
                            <w:w w:val="105"/>
                          </w:rPr>
                          <w:t xml:space="preserve">(</w:t>
                        </w:r>
                      </w:p>
                    </w:txbxContent>
                  </v:textbox>
                </v:rect>
                <v:shape id="Shape 16105" style="position:absolute;width:27898;height:3646;left:14205;top:2656;" coordsize="2789822,364655" path="m0,364655l2789822,364655l2789822,0l0,0x">
                  <v:stroke weight="0.709pt" endcap="flat" joinstyle="miter" miterlimit="4" on="true" color="#000000"/>
                  <v:fill on="false" color="#000000" opacity="0"/>
                </v:shape>
                <v:shape id="Shape 16106" style="position:absolute;width:13389;height:4139;left:25067;top:25866;" coordsize="1338961,413995" path="m1338961,207023l669480,0l0,207023l669480,413995l1338961,207023x">
                  <v:stroke weight="0.709pt" endcap="flat" joinstyle="miter" miterlimit="4" on="true" color="#000000"/>
                  <v:fill on="false" color="#000000" opacity="0"/>
                </v:shape>
                <v:rect id="Rectangle 276392" style="position:absolute;width:6833;height:1624;left:29669;top:26799;" filled="f" stroked="f">
                  <v:textbox inset="0,0,0,0">
                    <w:txbxContent>
                      <w:p>
                        <w:pPr>
                          <w:spacing w:before="0" w:after="160" w:line="259" w:lineRule="auto"/>
                          <w:ind w:left="0" w:right="0" w:firstLine="0"/>
                          <w:jc w:val="left"/>
                        </w:pPr>
                        <w:r>
                          <w:rPr>
                            <w:spacing w:val="-2"/>
                            <w:w w:val="102"/>
                            <w:sz w:val="16"/>
                          </w:rPr>
                          <w:t xml:space="preserve"> </w:t>
                        </w:r>
                        <w:r>
                          <w:rPr>
                            <w:w w:val="102"/>
                            <w:sz w:val="16"/>
                          </w:rPr>
                          <w:t xml:space="preserve">или</w:t>
                        </w:r>
                        <w:r>
                          <w:rPr>
                            <w:spacing w:val="-2"/>
                            <w:w w:val="102"/>
                            <w:sz w:val="16"/>
                          </w:rPr>
                          <w:t xml:space="preserve"> </w:t>
                        </w:r>
                        <w:r>
                          <w:rPr>
                            <w:w w:val="102"/>
                            <w:sz w:val="16"/>
                          </w:rPr>
                          <w:t xml:space="preserve">более</w:t>
                        </w:r>
                        <w:r>
                          <w:rPr>
                            <w:spacing w:val="-2"/>
                            <w:w w:val="102"/>
                            <w:sz w:val="16"/>
                          </w:rPr>
                          <w:t xml:space="preserve"> </w:t>
                        </w:r>
                        <w:r>
                          <w:rPr>
                            <w:spacing w:val="-2"/>
                            <w:w w:val="102"/>
                            <w:sz w:val="16"/>
                          </w:rPr>
                          <w:t xml:space="preserve"> </w:t>
                        </w:r>
                      </w:p>
                    </w:txbxContent>
                  </v:textbox>
                </v:rect>
                <v:rect id="Rectangle 276391" style="position:absolute;width:693;height:1624;left:29148;top:26799;" filled="f" stroked="f">
                  <v:textbox inset="0,0,0,0">
                    <w:txbxContent>
                      <w:p>
                        <w:pPr>
                          <w:spacing w:before="0" w:after="160" w:line="259" w:lineRule="auto"/>
                          <w:ind w:left="0" w:right="0" w:firstLine="0"/>
                          <w:jc w:val="left"/>
                        </w:pPr>
                        <w:r>
                          <w:rPr>
                            <w:w w:val="101"/>
                            <w:sz w:val="16"/>
                          </w:rPr>
                          <w:t xml:space="preserve">1</w:t>
                        </w:r>
                      </w:p>
                    </w:txbxContent>
                  </v:textbox>
                </v:rect>
                <v:rect id="Rectangle 16108" style="position:absolute;width:4715;height:1624;left:29989;top:27815;" filled="f" stroked="f">
                  <v:textbox inset="0,0,0,0">
                    <w:txbxContent>
                      <w:p>
                        <w:pPr>
                          <w:spacing w:before="0" w:after="160" w:line="259" w:lineRule="auto"/>
                          <w:ind w:left="0" w:right="0" w:firstLine="0"/>
                          <w:jc w:val="left"/>
                        </w:pPr>
                        <w:r>
                          <w:rPr>
                            <w:w w:val="104"/>
                            <w:sz w:val="16"/>
                          </w:rPr>
                          <w:t xml:space="preserve">пунктов</w:t>
                        </w:r>
                      </w:p>
                    </w:txbxContent>
                  </v:textbox>
                </v:rect>
                <v:shape id="Shape 16109" style="position:absolute;width:0;height:1180;left:31772;top:24019;" coordsize="0,118059" path="m0,0l0,118059">
                  <v:stroke weight="0.709pt" endcap="flat" joinstyle="miter" miterlimit="4" on="true" color="#000000"/>
                  <v:fill on="false" color="#000000" opacity="0"/>
                </v:shape>
                <v:shape id="Shape 16110" style="position:absolute;width:611;height:839;left:31467;top:25000;" coordsize="61113,83972" path="m0,0l30556,20015l61113,0l30556,83972l0,0x">
                  <v:stroke weight="0pt" endcap="flat" joinstyle="miter" miterlimit="4" on="false" color="#000000" opacity="0"/>
                  <v:fill on="true" color="#000000"/>
                </v:shape>
                <v:rect id="Rectangle 16111" style="position:absolute;width:11505;height:2030;left:12324;top:29941;" filled="f" stroked="f">
                  <v:textbox inset="0,0,0,0">
                    <w:txbxContent>
                      <w:p>
                        <w:pPr>
                          <w:spacing w:before="0" w:after="160" w:line="259" w:lineRule="auto"/>
                          <w:ind w:left="0" w:right="0" w:firstLine="0"/>
                          <w:jc w:val="left"/>
                        </w:pPr>
                        <w:r>
                          <w:rPr>
                            <w:w w:val="105"/>
                          </w:rPr>
                          <w:t xml:space="preserve">Оценка</w:t>
                        </w:r>
                        <w:r>
                          <w:rPr>
                            <w:spacing w:val="-3"/>
                            <w:w w:val="105"/>
                          </w:rPr>
                          <w:t xml:space="preserve"> </w:t>
                        </w:r>
                        <w:r>
                          <w:rPr>
                            <w:w w:val="105"/>
                          </w:rPr>
                          <w:t xml:space="preserve">уровня</w:t>
                        </w:r>
                        <w:r>
                          <w:rPr>
                            <w:spacing w:val="-3"/>
                            <w:w w:val="105"/>
                          </w:rPr>
                          <w:t xml:space="preserve"> </w:t>
                        </w:r>
                      </w:p>
                    </w:txbxContent>
                  </v:textbox>
                </v:rect>
                <v:rect id="Rectangle 16112" style="position:absolute;width:21733;height:2030;left:8345;top:31211;" filled="f" stroked="f">
                  <v:textbox inset="0,0,0,0">
                    <w:txbxContent>
                      <w:p>
                        <w:pPr>
                          <w:spacing w:before="0" w:after="160" w:line="259" w:lineRule="auto"/>
                          <w:ind w:left="0" w:right="0" w:firstLine="0"/>
                          <w:jc w:val="left"/>
                        </w:pPr>
                        <w:r>
                          <w:rPr>
                            <w:w w:val="104"/>
                          </w:rPr>
                          <w:t xml:space="preserve">натрийуретических</w:t>
                        </w:r>
                        <w:r>
                          <w:rPr>
                            <w:spacing w:val="-3"/>
                            <w:w w:val="104"/>
                          </w:rPr>
                          <w:t xml:space="preserve"> </w:t>
                        </w:r>
                        <w:r>
                          <w:rPr>
                            <w:w w:val="104"/>
                          </w:rPr>
                          <w:t xml:space="preserve">пептидов</w:t>
                        </w:r>
                      </w:p>
                    </w:txbxContent>
                  </v:textbox>
                </v:rect>
                <v:shape id="Shape 16113" style="position:absolute;width:18450;height:3184;left:7274;top:29693;" coordsize="1845005,318491" path="m0,318491l1845005,318491l1845005,0l0,0x">
                  <v:stroke weight="0.709pt" endcap="flat" joinstyle="miter" miterlimit="4" on="true" color="#000000"/>
                  <v:fill on="false" color="#000000" opacity="0"/>
                </v:shape>
                <v:rect id="Rectangle 16114" style="position:absolute;width:13872;height:2030;left:41854;top:30576;" filled="f" stroked="f">
                  <v:textbox inset="0,0,0,0">
                    <w:txbxContent>
                      <w:p>
                        <w:pPr>
                          <w:spacing w:before="0" w:after="160" w:line="259" w:lineRule="auto"/>
                          <w:ind w:left="0" w:right="0" w:firstLine="0"/>
                          <w:jc w:val="left"/>
                        </w:pPr>
                        <w:r>
                          <w:rPr>
                            <w:w w:val="104"/>
                          </w:rPr>
                          <w:t xml:space="preserve">ХСН</w:t>
                        </w:r>
                        <w:r>
                          <w:rPr>
                            <w:spacing w:val="-3"/>
                            <w:w w:val="104"/>
                          </w:rPr>
                          <w:t xml:space="preserve"> </w:t>
                        </w:r>
                        <w:r>
                          <w:rPr>
                            <w:w w:val="104"/>
                          </w:rPr>
                          <w:t xml:space="preserve">маловероятна</w:t>
                        </w:r>
                      </w:p>
                    </w:txbxContent>
                  </v:textbox>
                </v:rect>
                <v:shape id="Shape 16115" style="position:absolute;width:18450;height:3184;left:37830;top:29693;" coordsize="1845006,318491" path="m0,318491l1845006,318491l1845006,0l0,0x">
                  <v:stroke weight="0.709pt" endcap="flat" joinstyle="miter" miterlimit="4" on="true" color="#000000"/>
                  <v:fill on="false" color="#000000" opacity="0"/>
                </v:shape>
                <v:shape id="Shape 16116" style="position:absolute;width:13429;height:4857;left:17127;top:34867;" coordsize="1342962,485724" path="m1342962,242837l671474,0l0,242837l671474,485724l1342962,242837x">
                  <v:stroke weight="0.709pt" endcap="flat" joinstyle="miter" miterlimit="4" on="true" color="#000000"/>
                  <v:fill on="false" color="#000000" opacity="0"/>
                </v:shape>
                <v:rect id="Rectangle 16117" style="position:absolute;width:8385;height:1624;left:20737;top:35918;" filled="f" stroked="f">
                  <v:textbox inset="0,0,0,0">
                    <w:txbxContent>
                      <w:p>
                        <w:pPr>
                          <w:spacing w:before="0" w:after="160" w:line="259" w:lineRule="auto"/>
                          <w:ind w:left="0" w:right="0" w:firstLine="0"/>
                          <w:jc w:val="left"/>
                        </w:pPr>
                        <w:r>
                          <w:rPr>
                            <w:w w:val="103"/>
                            <w:sz w:val="16"/>
                          </w:rPr>
                          <w:t xml:space="preserve">BNP</w:t>
                        </w:r>
                        <w:r>
                          <w:rPr>
                            <w:spacing w:val="-2"/>
                            <w:w w:val="103"/>
                            <w:sz w:val="16"/>
                          </w:rPr>
                          <w:t xml:space="preserve"> </w:t>
                        </w:r>
                        <w:r>
                          <w:rPr>
                            <w:w w:val="103"/>
                            <w:sz w:val="16"/>
                          </w:rPr>
                          <w:t xml:space="preserve">&gt;35</w:t>
                        </w:r>
                        <w:r>
                          <w:rPr>
                            <w:spacing w:val="-2"/>
                            <w:w w:val="103"/>
                            <w:sz w:val="16"/>
                          </w:rPr>
                          <w:t xml:space="preserve"> </w:t>
                        </w:r>
                        <w:r>
                          <w:rPr>
                            <w:w w:val="103"/>
                            <w:sz w:val="16"/>
                          </w:rPr>
                          <w:t xml:space="preserve">пг/мл</w:t>
                        </w:r>
                      </w:p>
                    </w:txbxContent>
                  </v:textbox>
                </v:rect>
                <v:rect id="Rectangle 16118" style="position:absolute;width:13566;height:1624;left:18789;top:36934;" filled="f" stroked="f">
                  <v:textbox inset="0,0,0,0">
                    <w:txbxContent>
                      <w:p>
                        <w:pPr>
                          <w:spacing w:before="0" w:after="160" w:line="259" w:lineRule="auto"/>
                          <w:ind w:left="0" w:right="0" w:firstLine="0"/>
                          <w:jc w:val="left"/>
                        </w:pPr>
                        <w:r>
                          <w:rPr>
                            <w:w w:val="103"/>
                            <w:sz w:val="16"/>
                          </w:rPr>
                          <w:t xml:space="preserve">NT</w:t>
                        </w:r>
                        <w:r>
                          <w:rPr>
                            <w:spacing w:val="-2"/>
                            <w:w w:val="103"/>
                            <w:sz w:val="16"/>
                          </w:rPr>
                          <w:t xml:space="preserve"> </w:t>
                        </w:r>
                        <w:r>
                          <w:rPr>
                            <w:w w:val="103"/>
                            <w:sz w:val="16"/>
                          </w:rPr>
                          <w:t xml:space="preserve">-</w:t>
                        </w:r>
                        <w:r>
                          <w:rPr>
                            <w:spacing w:val="-2"/>
                            <w:w w:val="103"/>
                            <w:sz w:val="16"/>
                          </w:rPr>
                          <w:t xml:space="preserve"> </w:t>
                        </w:r>
                        <w:r>
                          <w:rPr>
                            <w:w w:val="103"/>
                            <w:sz w:val="16"/>
                          </w:rPr>
                          <w:t xml:space="preserve">proBNP</w:t>
                        </w:r>
                        <w:r>
                          <w:rPr>
                            <w:spacing w:val="-2"/>
                            <w:w w:val="103"/>
                            <w:sz w:val="16"/>
                          </w:rPr>
                          <w:t xml:space="preserve"> </w:t>
                        </w:r>
                        <w:r>
                          <w:rPr>
                            <w:w w:val="103"/>
                            <w:sz w:val="16"/>
                          </w:rPr>
                          <w:t xml:space="preserve">&gt;125</w:t>
                        </w:r>
                        <w:r>
                          <w:rPr>
                            <w:spacing w:val="-2"/>
                            <w:w w:val="103"/>
                            <w:sz w:val="16"/>
                          </w:rPr>
                          <w:t xml:space="preserve"> </w:t>
                        </w:r>
                        <w:r>
                          <w:rPr>
                            <w:w w:val="103"/>
                            <w:sz w:val="16"/>
                          </w:rPr>
                          <w:t xml:space="preserve">пг/мл</w:t>
                        </w:r>
                      </w:p>
                    </w:txbxContent>
                  </v:textbox>
                </v:rect>
                <v:shape id="Shape 16119" style="position:absolute;width:0;height:1291;left:23852;top:32909;" coordsize="0,129108" path="m0,0l0,129108">
                  <v:stroke weight="0.709pt" endcap="flat" joinstyle="miter" miterlimit="4" on="true" color="#000000"/>
                  <v:fill on="false" color="#000000" opacity="0"/>
                </v:shape>
                <v:shape id="Shape 16120" style="position:absolute;width:611;height:839;left:23547;top:34000;" coordsize="61113,83972" path="m0,0l30556,20015l61113,0l30556,83972l0,0x">
                  <v:stroke weight="0pt" endcap="flat" joinstyle="miter" miterlimit="4" on="false" color="#000000" opacity="0"/>
                  <v:fill on="true" color="#000000"/>
                </v:shape>
                <v:rect id="Rectangle 16121" style="position:absolute;width:4802;height:2030;left:14829;top:39436;" filled="f" stroked="f">
                  <v:textbox inset="0,0,0,0">
                    <w:txbxContent>
                      <w:p>
                        <w:pPr>
                          <w:spacing w:before="0" w:after="160" w:line="259" w:lineRule="auto"/>
                          <w:ind w:left="0" w:right="0" w:firstLine="0"/>
                          <w:jc w:val="left"/>
                        </w:pPr>
                        <w:r>
                          <w:rPr>
                            <w:w w:val="103"/>
                          </w:rPr>
                          <w:t xml:space="preserve">Эхо-КГ</w:t>
                        </w:r>
                      </w:p>
                    </w:txbxContent>
                  </v:textbox>
                </v:rect>
                <v:shape id="Shape 16122" style="position:absolute;width:5310;height:2132;left:13980;top:39188;" coordsize="531000,213271" path="m0,213271l531000,213271l531000,0l0,0x">
                  <v:stroke weight="0.709pt" endcap="flat" joinstyle="miter" miterlimit="4" on="true" color="#000000"/>
                  <v:fill on="false" color="#000000" opacity="0"/>
                </v:shape>
                <v:rect id="Rectangle 16123" style="position:absolute;width:13872;height:2030;left:30136;top:39436;" filled="f" stroked="f">
                  <v:textbox inset="0,0,0,0">
                    <w:txbxContent>
                      <w:p>
                        <w:pPr>
                          <w:spacing w:before="0" w:after="160" w:line="259" w:lineRule="auto"/>
                          <w:ind w:left="0" w:right="0" w:firstLine="0"/>
                          <w:jc w:val="left"/>
                        </w:pPr>
                        <w:r>
                          <w:rPr>
                            <w:w w:val="104"/>
                          </w:rPr>
                          <w:t xml:space="preserve">ХСН</w:t>
                        </w:r>
                        <w:r>
                          <w:rPr>
                            <w:spacing w:val="-3"/>
                            <w:w w:val="104"/>
                          </w:rPr>
                          <w:t xml:space="preserve"> </w:t>
                        </w:r>
                        <w:r>
                          <w:rPr>
                            <w:w w:val="104"/>
                          </w:rPr>
                          <w:t xml:space="preserve">маловероятна</w:t>
                        </w:r>
                      </w:p>
                    </w:txbxContent>
                  </v:textbox>
                </v:rect>
                <v:shape id="Shape 16124" style="position:absolute;width:14550;height:2132;left:27959;top:39188;" coordsize="1455001,213271" path="m0,213271l1455001,213271l1455001,0l0,0x">
                  <v:stroke weight="0.709pt" endcap="flat" joinstyle="miter" miterlimit="4" on="true" color="#000000"/>
                  <v:fill on="false" color="#000000" opacity="0"/>
                </v:shape>
                <v:shape id="Shape 16125" style="position:absolute;width:13389;height:4139;left:10907;top:43146;" coordsize="1338961,413995" path="m1338961,207023l669480,0l0,207023l669480,413995l1338961,207023x">
                  <v:stroke weight="0.709pt" endcap="flat" joinstyle="miter" miterlimit="4" on="true" color="#000000"/>
                  <v:fill on="false" color="#000000" opacity="0"/>
                </v:shape>
                <v:rect id="Rectangle 16126" style="position:absolute;width:6715;height:1624;left:15292;top:44223;" filled="f" stroked="f">
                  <v:textbox inset="0,0,0,0">
                    <w:txbxContent>
                      <w:p>
                        <w:pPr>
                          <w:spacing w:before="0" w:after="160" w:line="259" w:lineRule="auto"/>
                          <w:ind w:left="0" w:right="0" w:firstLine="0"/>
                          <w:jc w:val="left"/>
                        </w:pPr>
                        <w:r>
                          <w:rPr>
                            <w:w w:val="104"/>
                            <w:sz w:val="16"/>
                          </w:rPr>
                          <w:t xml:space="preserve">Патология</w:t>
                        </w:r>
                        <w:r>
                          <w:rPr>
                            <w:spacing w:val="-2"/>
                            <w:w w:val="104"/>
                            <w:sz w:val="16"/>
                          </w:rPr>
                          <w:t xml:space="preserve"> </w:t>
                        </w:r>
                        <w:r>
                          <w:rPr>
                            <w:spacing w:val="-2"/>
                            <w:w w:val="104"/>
                            <w:sz w:val="16"/>
                          </w:rPr>
                          <w:t xml:space="preserve"> </w:t>
                        </w:r>
                      </w:p>
                    </w:txbxContent>
                  </v:textbox>
                </v:rect>
                <v:rect id="Rectangle 16127" style="position:absolute;width:5686;height:1624;left:15464;top:45239;" filled="f" stroked="f">
                  <v:textbox inset="0,0,0,0">
                    <w:txbxContent>
                      <w:p>
                        <w:pPr>
                          <w:spacing w:before="0" w:after="160" w:line="259" w:lineRule="auto"/>
                          <w:ind w:left="0" w:right="0" w:firstLine="0"/>
                          <w:jc w:val="left"/>
                        </w:pPr>
                        <w:r>
                          <w:rPr>
                            <w:w w:val="103"/>
                            <w:sz w:val="16"/>
                          </w:rPr>
                          <w:t xml:space="preserve">выявлена</w:t>
                        </w:r>
                      </w:p>
                    </w:txbxContent>
                  </v:textbox>
                </v:rect>
                <v:shape id="Shape 16128" style="position:absolute;width:0;height:1180;left:17612;top:41299;" coordsize="0,118059" path="m0,0l0,118059">
                  <v:stroke weight="0.709pt" endcap="flat" joinstyle="miter" miterlimit="4" on="true" color="#000000"/>
                  <v:fill on="false" color="#000000" opacity="0"/>
                </v:shape>
                <v:shape id="Shape 16129" style="position:absolute;width:611;height:839;left:17307;top:42280;" coordsize="61113,83972" path="m0,0l30556,20015l61113,0l30556,83972l0,0x">
                  <v:stroke weight="0pt" endcap="flat" joinstyle="miter" miterlimit="4" on="false" color="#000000" opacity="0"/>
                  <v:fill on="true" color="#000000"/>
                </v:shape>
                <v:rect id="Rectangle 16130" style="position:absolute;width:13872;height:2030;left:1970;top:48096;" filled="f" stroked="f">
                  <v:textbox inset="0,0,0,0">
                    <w:txbxContent>
                      <w:p>
                        <w:pPr>
                          <w:spacing w:before="0" w:after="160" w:line="259" w:lineRule="auto"/>
                          <w:ind w:left="0" w:right="0" w:firstLine="0"/>
                          <w:jc w:val="left"/>
                        </w:pPr>
                        <w:r>
                          <w:rPr>
                            <w:w w:val="104"/>
                          </w:rPr>
                          <w:t xml:space="preserve">ХСН</w:t>
                        </w:r>
                        <w:r>
                          <w:rPr>
                            <w:spacing w:val="-3"/>
                            <w:w w:val="104"/>
                          </w:rPr>
                          <w:t xml:space="preserve"> </w:t>
                        </w:r>
                        <w:r>
                          <w:rPr>
                            <w:w w:val="104"/>
                          </w:rPr>
                          <w:t xml:space="preserve">маловероятна</w:t>
                        </w:r>
                      </w:p>
                    </w:txbxContent>
                  </v:textbox>
                </v:rect>
                <v:shape id="Shape 16131" style="position:absolute;width:14550;height:3095;left:0;top:47089;" coordsize="1455001,309512" path="m0,309512l1455001,309512l1455001,0l0,0x">
                  <v:stroke weight="0.709pt" endcap="flat" joinstyle="miter" miterlimit="4" on="true" color="#000000"/>
                  <v:fill on="false" color="#000000" opacity="0"/>
                </v:shape>
                <v:rect id="Rectangle 16132" style="position:absolute;width:19701;height:2092;left:20808;top:8571;" filled="f" stroked="f">
                  <v:textbox inset="0,0,0,0">
                    <w:txbxContent>
                      <w:p>
                        <w:pPr>
                          <w:spacing w:before="0" w:after="160" w:line="259" w:lineRule="auto"/>
                          <w:ind w:left="0" w:right="0" w:firstLine="0"/>
                          <w:jc w:val="left"/>
                        </w:pPr>
                        <w:r>
                          <w:rPr>
                            <w:rFonts w:cs="Calibri" w:hAnsi="Calibri" w:eastAsia="Calibri" w:ascii="Calibri"/>
                            <w:b w:val="1"/>
                            <w:w w:val="112"/>
                          </w:rPr>
                          <w:t xml:space="preserve">Оценка</w:t>
                        </w:r>
                        <w:r>
                          <w:rPr>
                            <w:rFonts w:cs="Calibri" w:hAnsi="Calibri" w:eastAsia="Calibri" w:ascii="Calibri"/>
                            <w:b w:val="1"/>
                            <w:spacing w:val="-5"/>
                            <w:w w:val="112"/>
                          </w:rPr>
                          <w:t xml:space="preserve"> </w:t>
                        </w:r>
                        <w:r>
                          <w:rPr>
                            <w:rFonts w:cs="Calibri" w:hAnsi="Calibri" w:eastAsia="Calibri" w:ascii="Calibri"/>
                            <w:b w:val="1"/>
                            <w:w w:val="112"/>
                          </w:rPr>
                          <w:t xml:space="preserve">вероятности</w:t>
                        </w:r>
                        <w:r>
                          <w:rPr>
                            <w:rFonts w:cs="Calibri" w:hAnsi="Calibri" w:eastAsia="Calibri" w:ascii="Calibri"/>
                            <w:b w:val="1"/>
                            <w:spacing w:val="-5"/>
                            <w:w w:val="112"/>
                          </w:rPr>
                          <w:t xml:space="preserve"> </w:t>
                        </w:r>
                        <w:r>
                          <w:rPr>
                            <w:rFonts w:cs="Calibri" w:hAnsi="Calibri" w:eastAsia="Calibri" w:ascii="Calibri"/>
                            <w:b w:val="1"/>
                            <w:w w:val="112"/>
                          </w:rPr>
                          <w:t xml:space="preserve">ХСН</w:t>
                        </w:r>
                      </w:p>
                    </w:txbxContent>
                  </v:textbox>
                </v:rect>
                <v:rect id="Rectangle 276376" style="position:absolute;width:937;height:2092;left:9915;top:9841;" filled="f" stroked="f">
                  <v:textbox inset="0,0,0,0">
                    <w:txbxContent>
                      <w:p>
                        <w:pPr>
                          <w:spacing w:before="0" w:after="160" w:line="259" w:lineRule="auto"/>
                          <w:ind w:left="0" w:right="0" w:firstLine="0"/>
                          <w:jc w:val="left"/>
                        </w:pPr>
                        <w:r>
                          <w:rPr>
                            <w:rFonts w:cs="Calibri" w:hAnsi="Calibri" w:eastAsia="Calibri" w:ascii="Calibri"/>
                            <w:b w:val="1"/>
                            <w:w w:val="109"/>
                          </w:rPr>
                          <w:t xml:space="preserve">1</w:t>
                        </w:r>
                      </w:p>
                    </w:txbxContent>
                  </v:textbox>
                </v:rect>
                <v:rect id="Rectangle 276379" style="position:absolute;width:7671;height:2092;left:10620;top:9841;" filled="f" stroked="f">
                  <v:textbox inset="0,0,0,0">
                    <w:txbxContent>
                      <w:p>
                        <w:pPr>
                          <w:spacing w:before="0" w:after="160" w:line="259" w:lineRule="auto"/>
                          <w:ind w:left="0" w:right="0" w:firstLine="0"/>
                          <w:jc w:val="left"/>
                        </w:pPr>
                        <w:r>
                          <w:rPr>
                            <w:rFonts w:cs="Calibri" w:hAnsi="Calibri" w:eastAsia="Calibri" w:ascii="Calibri"/>
                            <w:b w:val="1"/>
                            <w:w w:val="110"/>
                          </w:rPr>
                          <w:t xml:space="preserve">.</w:t>
                        </w:r>
                        <w:r>
                          <w:rPr>
                            <w:rFonts w:cs="Calibri" w:hAnsi="Calibri" w:eastAsia="Calibri" w:ascii="Calibri"/>
                            <w:b w:val="1"/>
                            <w:spacing w:val="-5"/>
                            <w:w w:val="110"/>
                          </w:rPr>
                          <w:t xml:space="preserve"> </w:t>
                        </w:r>
                        <w:r>
                          <w:rPr>
                            <w:rFonts w:cs="Calibri" w:hAnsi="Calibri" w:eastAsia="Calibri" w:ascii="Calibri"/>
                            <w:b w:val="1"/>
                            <w:w w:val="110"/>
                          </w:rPr>
                          <w:t xml:space="preserve">Анамнез</w:t>
                        </w:r>
                      </w:p>
                    </w:txbxContent>
                  </v:textbox>
                </v:rect>
                <v:rect id="Rectangle 16134" style="position:absolute;width:32546;height:2030;left:11715;top:11158;" filled="f" stroked="f">
                  <v:textbox inset="0,0,0,0">
                    <w:txbxContent>
                      <w:p>
                        <w:pPr>
                          <w:spacing w:before="0" w:after="160" w:line="259" w:lineRule="auto"/>
                          <w:ind w:left="0" w:right="0" w:firstLine="0"/>
                          <w:jc w:val="left"/>
                        </w:pPr>
                        <w:r>
                          <w:rPr>
                            <w:w w:val="103"/>
                          </w:rPr>
                          <w:t xml:space="preserve">ИБС</w:t>
                        </w:r>
                        <w:r>
                          <w:rPr>
                            <w:spacing w:val="-3"/>
                            <w:w w:val="103"/>
                          </w:rPr>
                          <w:t xml:space="preserve"> </w:t>
                        </w:r>
                        <w:r>
                          <w:rPr>
                            <w:w w:val="103"/>
                          </w:rPr>
                          <w:t xml:space="preserve">(инфаркт</w:t>
                        </w:r>
                        <w:r>
                          <w:rPr>
                            <w:spacing w:val="-3"/>
                            <w:w w:val="103"/>
                          </w:rPr>
                          <w:t xml:space="preserve"> </w:t>
                        </w:r>
                        <w:r>
                          <w:rPr>
                            <w:w w:val="103"/>
                          </w:rPr>
                          <w:t xml:space="preserve">миокарда,</w:t>
                        </w:r>
                        <w:r>
                          <w:rPr>
                            <w:spacing w:val="-3"/>
                            <w:w w:val="103"/>
                          </w:rPr>
                          <w:t xml:space="preserve"> </w:t>
                        </w:r>
                        <w:r>
                          <w:rPr>
                            <w:w w:val="103"/>
                          </w:rPr>
                          <w:t xml:space="preserve">реваскуляризация)</w:t>
                        </w:r>
                      </w:p>
                    </w:txbxContent>
                  </v:textbox>
                </v:rect>
                <v:rect id="Rectangle 16135" style="position:absolute;width:19422;height:2030;left:11715;top:12428;" filled="f" stroked="f">
                  <v:textbox inset="0,0,0,0">
                    <w:txbxContent>
                      <w:p>
                        <w:pPr>
                          <w:spacing w:before="0" w:after="160" w:line="259" w:lineRule="auto"/>
                          <w:ind w:left="0" w:right="0" w:firstLine="0"/>
                          <w:jc w:val="left"/>
                        </w:pPr>
                        <w:r>
                          <w:rPr>
                            <w:w w:val="105"/>
                          </w:rPr>
                          <w:t xml:space="preserve">Артериальная</w:t>
                        </w:r>
                        <w:r>
                          <w:rPr>
                            <w:spacing w:val="-3"/>
                            <w:w w:val="105"/>
                          </w:rPr>
                          <w:t xml:space="preserve"> </w:t>
                        </w:r>
                        <w:r>
                          <w:rPr>
                            <w:w w:val="105"/>
                          </w:rPr>
                          <w:t xml:space="preserve">гипертония</w:t>
                        </w:r>
                      </w:p>
                    </w:txbxContent>
                  </v:textbox>
                </v:rect>
                <v:rect id="Rectangle 16136" style="position:absolute;width:41022;height:2030;left:11715;top:13698;" filled="f" stroked="f">
                  <v:textbox inset="0,0,0,0">
                    <w:txbxContent>
                      <w:p>
                        <w:pPr>
                          <w:spacing w:before="0" w:after="160" w:line="259" w:lineRule="auto"/>
                          <w:ind w:left="0" w:right="0" w:firstLine="0"/>
                          <w:jc w:val="left"/>
                        </w:pPr>
                        <w:r>
                          <w:rPr>
                            <w:w w:val="103"/>
                          </w:rPr>
                          <w:t xml:space="preserve">Воздействие</w:t>
                        </w:r>
                        <w:r>
                          <w:rPr>
                            <w:spacing w:val="-3"/>
                            <w:w w:val="103"/>
                          </w:rPr>
                          <w:t xml:space="preserve"> </w:t>
                        </w:r>
                        <w:r>
                          <w:rPr>
                            <w:w w:val="103"/>
                          </w:rPr>
                          <w:t xml:space="preserve">кардиотоксических</w:t>
                        </w:r>
                        <w:r>
                          <w:rPr>
                            <w:spacing w:val="-3"/>
                            <w:w w:val="103"/>
                          </w:rPr>
                          <w:t xml:space="preserve"> </w:t>
                        </w:r>
                        <w:r>
                          <w:rPr>
                            <w:w w:val="103"/>
                          </w:rPr>
                          <w:t xml:space="preserve">препаратов,</w:t>
                        </w:r>
                        <w:r>
                          <w:rPr>
                            <w:spacing w:val="-3"/>
                            <w:w w:val="103"/>
                          </w:rPr>
                          <w:t xml:space="preserve"> </w:t>
                        </w:r>
                        <w:r>
                          <w:rPr>
                            <w:w w:val="103"/>
                          </w:rPr>
                          <w:t xml:space="preserve">радиации</w:t>
                        </w:r>
                      </w:p>
                    </w:txbxContent>
                  </v:textbox>
                </v:rect>
                <v:rect id="Rectangle 16137" style="position:absolute;width:13869;height:2030;left:11715;top:14968;" filled="f" stroked="f">
                  <v:textbox inset="0,0,0,0">
                    <w:txbxContent>
                      <w:p>
                        <w:pPr>
                          <w:spacing w:before="0" w:after="160" w:line="259" w:lineRule="auto"/>
                          <w:ind w:left="0" w:right="0" w:firstLine="0"/>
                          <w:jc w:val="left"/>
                        </w:pPr>
                        <w:r>
                          <w:rPr>
                            <w:w w:val="103"/>
                          </w:rPr>
                          <w:t xml:space="preserve">Прием</w:t>
                        </w:r>
                        <w:r>
                          <w:rPr>
                            <w:spacing w:val="-3"/>
                            <w:w w:val="103"/>
                          </w:rPr>
                          <w:t xml:space="preserve"> </w:t>
                        </w:r>
                        <w:r>
                          <w:rPr>
                            <w:w w:val="103"/>
                          </w:rPr>
                          <w:t xml:space="preserve">диуретиков</w:t>
                        </w:r>
                      </w:p>
                    </w:txbxContent>
                  </v:textbox>
                </v:rect>
                <v:rect id="Rectangle 16138" style="position:absolute;width:34173;height:2030;left:11715;top:16238;" filled="f" stroked="f">
                  <v:textbox inset="0,0,0,0">
                    <w:txbxContent>
                      <w:p>
                        <w:pPr>
                          <w:spacing w:before="0" w:after="160" w:line="259" w:lineRule="auto"/>
                          <w:ind w:left="0" w:right="0" w:firstLine="0"/>
                          <w:jc w:val="left"/>
                        </w:pPr>
                        <w:r>
                          <w:rPr>
                            <w:w w:val="104"/>
                          </w:rPr>
                          <w:t xml:space="preserve">Ортопноэ,</w:t>
                        </w:r>
                        <w:r>
                          <w:rPr>
                            <w:spacing w:val="-3"/>
                            <w:w w:val="104"/>
                          </w:rPr>
                          <w:t xml:space="preserve"> </w:t>
                        </w:r>
                        <w:r>
                          <w:rPr>
                            <w:w w:val="104"/>
                          </w:rPr>
                          <w:t xml:space="preserve">ночные</w:t>
                        </w:r>
                        <w:r>
                          <w:rPr>
                            <w:spacing w:val="-3"/>
                            <w:w w:val="104"/>
                          </w:rPr>
                          <w:t xml:space="preserve"> </w:t>
                        </w:r>
                        <w:r>
                          <w:rPr>
                            <w:w w:val="104"/>
                          </w:rPr>
                          <w:t xml:space="preserve">приступы</w:t>
                        </w:r>
                        <w:r>
                          <w:rPr>
                            <w:spacing w:val="-3"/>
                            <w:w w:val="104"/>
                          </w:rPr>
                          <w:t xml:space="preserve"> </w:t>
                        </w:r>
                        <w:r>
                          <w:rPr>
                            <w:w w:val="104"/>
                          </w:rPr>
                          <w:t xml:space="preserve">сердечной</w:t>
                        </w:r>
                        <w:r>
                          <w:rPr>
                            <w:spacing w:val="-3"/>
                            <w:w w:val="104"/>
                          </w:rPr>
                          <w:t xml:space="preserve"> </w:t>
                        </w:r>
                        <w:r>
                          <w:rPr>
                            <w:w w:val="104"/>
                          </w:rPr>
                          <w:t xml:space="preserve">астмы</w:t>
                        </w:r>
                      </w:p>
                    </w:txbxContent>
                  </v:textbox>
                </v:rect>
                <v:rect id="Rectangle 276381" style="position:absolute;width:937;height:2092;left:9915;top:17820;" filled="f" stroked="f">
                  <v:textbox inset="0,0,0,0">
                    <w:txbxContent>
                      <w:p>
                        <w:pPr>
                          <w:spacing w:before="0" w:after="160" w:line="259" w:lineRule="auto"/>
                          <w:ind w:left="0" w:right="0" w:firstLine="0"/>
                          <w:jc w:val="left"/>
                        </w:pPr>
                        <w:r>
                          <w:rPr>
                            <w:rFonts w:cs="Calibri" w:hAnsi="Calibri" w:eastAsia="Calibri" w:ascii="Calibri"/>
                            <w:b w:val="1"/>
                            <w:w w:val="109"/>
                          </w:rPr>
                          <w:t xml:space="preserve">2</w:t>
                        </w:r>
                      </w:p>
                    </w:txbxContent>
                  </v:textbox>
                </v:rect>
                <v:rect id="Rectangle 276383" style="position:absolute;width:23044;height:2092;left:10620;top:17820;" filled="f" stroked="f">
                  <v:textbox inset="0,0,0,0">
                    <w:txbxContent>
                      <w:p>
                        <w:pPr>
                          <w:spacing w:before="0" w:after="160" w:line="259" w:lineRule="auto"/>
                          <w:ind w:left="0" w:right="0" w:firstLine="0"/>
                          <w:jc w:val="left"/>
                        </w:pPr>
                        <w:r>
                          <w:rPr>
                            <w:rFonts w:cs="Calibri" w:hAnsi="Calibri" w:eastAsia="Calibri" w:ascii="Calibri"/>
                            <w:b w:val="1"/>
                            <w:w w:val="111"/>
                          </w:rPr>
                          <w:t xml:space="preserve">.</w:t>
                        </w:r>
                        <w:r>
                          <w:rPr>
                            <w:rFonts w:cs="Calibri" w:hAnsi="Calibri" w:eastAsia="Calibri" w:ascii="Calibri"/>
                            <w:b w:val="1"/>
                            <w:spacing w:val="-5"/>
                            <w:w w:val="111"/>
                          </w:rPr>
                          <w:t xml:space="preserve"> </w:t>
                        </w:r>
                        <w:r>
                          <w:rPr>
                            <w:rFonts w:cs="Calibri" w:hAnsi="Calibri" w:eastAsia="Calibri" w:ascii="Calibri"/>
                            <w:b w:val="1"/>
                            <w:w w:val="111"/>
                          </w:rPr>
                          <w:t xml:space="preserve">Физикальное</w:t>
                        </w:r>
                        <w:r>
                          <w:rPr>
                            <w:rFonts w:cs="Calibri" w:hAnsi="Calibri" w:eastAsia="Calibri" w:ascii="Calibri"/>
                            <w:b w:val="1"/>
                            <w:spacing w:val="-5"/>
                            <w:w w:val="111"/>
                          </w:rPr>
                          <w:t xml:space="preserve"> </w:t>
                        </w:r>
                        <w:r>
                          <w:rPr>
                            <w:rFonts w:cs="Calibri" w:hAnsi="Calibri" w:eastAsia="Calibri" w:ascii="Calibri"/>
                            <w:b w:val="1"/>
                            <w:w w:val="111"/>
                          </w:rPr>
                          <w:t xml:space="preserve">обследование</w:t>
                        </w:r>
                      </w:p>
                    </w:txbxContent>
                  </v:textbox>
                </v:rect>
                <v:rect id="Rectangle 16140" style="position:absolute;width:48699;height:2030;left:11715;top:19137;" filled="f" stroked="f">
                  <v:textbox inset="0,0,0,0">
                    <w:txbxContent>
                      <w:p>
                        <w:pPr>
                          <w:spacing w:before="0" w:after="160" w:line="259" w:lineRule="auto"/>
                          <w:ind w:left="0" w:right="0" w:firstLine="0"/>
                          <w:jc w:val="left"/>
                        </w:pPr>
                        <w:r>
                          <w:rPr>
                            <w:w w:val="103"/>
                          </w:rPr>
                          <w:t xml:space="preserve">Хрипы,</w:t>
                        </w:r>
                        <w:r>
                          <w:rPr>
                            <w:spacing w:val="-3"/>
                            <w:w w:val="103"/>
                          </w:rPr>
                          <w:t xml:space="preserve"> </w:t>
                        </w:r>
                        <w:r>
                          <w:rPr>
                            <w:w w:val="103"/>
                          </w:rPr>
                          <w:t xml:space="preserve">двусторонние</w:t>
                        </w:r>
                        <w:r>
                          <w:rPr>
                            <w:spacing w:val="-3"/>
                            <w:w w:val="103"/>
                          </w:rPr>
                          <w:t xml:space="preserve"> </w:t>
                        </w:r>
                        <w:r>
                          <w:rPr>
                            <w:w w:val="103"/>
                          </w:rPr>
                          <w:t xml:space="preserve">отеки</w:t>
                        </w:r>
                        <w:r>
                          <w:rPr>
                            <w:spacing w:val="-3"/>
                            <w:w w:val="103"/>
                          </w:rPr>
                          <w:t xml:space="preserve"> </w:t>
                        </w:r>
                        <w:r>
                          <w:rPr>
                            <w:w w:val="103"/>
                          </w:rPr>
                          <w:t xml:space="preserve">нижних</w:t>
                        </w:r>
                        <w:r>
                          <w:rPr>
                            <w:spacing w:val="-3"/>
                            <w:w w:val="103"/>
                          </w:rPr>
                          <w:t xml:space="preserve"> </w:t>
                        </w:r>
                        <w:r>
                          <w:rPr>
                            <w:w w:val="103"/>
                          </w:rPr>
                          <w:t xml:space="preserve">конечностей,</w:t>
                        </w:r>
                        <w:r>
                          <w:rPr>
                            <w:spacing w:val="-3"/>
                            <w:w w:val="103"/>
                          </w:rPr>
                          <w:t xml:space="preserve"> </w:t>
                        </w:r>
                        <w:r>
                          <w:rPr>
                            <w:w w:val="103"/>
                          </w:rPr>
                          <w:t xml:space="preserve">шумы</w:t>
                        </w:r>
                        <w:r>
                          <w:rPr>
                            <w:spacing w:val="-3"/>
                            <w:w w:val="103"/>
                          </w:rPr>
                          <w:t xml:space="preserve"> </w:t>
                        </w:r>
                        <w:r>
                          <w:rPr>
                            <w:w w:val="103"/>
                          </w:rPr>
                          <w:t xml:space="preserve">в</w:t>
                        </w:r>
                        <w:r>
                          <w:rPr>
                            <w:spacing w:val="-3"/>
                            <w:w w:val="103"/>
                          </w:rPr>
                          <w:t xml:space="preserve"> </w:t>
                        </w:r>
                        <w:r>
                          <w:rPr>
                            <w:w w:val="103"/>
                          </w:rPr>
                          <w:t xml:space="preserve">сердце,</w:t>
                        </w:r>
                        <w:r>
                          <w:rPr>
                            <w:spacing w:val="-3"/>
                            <w:w w:val="103"/>
                          </w:rPr>
                          <w:t xml:space="preserve"> </w:t>
                        </w:r>
                      </w:p>
                    </w:txbxContent>
                  </v:textbox>
                </v:rect>
                <v:rect id="Rectangle 16141" style="position:absolute;width:42726;height:2030;left:11715;top:20407;" filled="f" stroked="f">
                  <v:textbox inset="0,0,0,0">
                    <w:txbxContent>
                      <w:p>
                        <w:pPr>
                          <w:spacing w:before="0" w:after="160" w:line="259" w:lineRule="auto"/>
                          <w:ind w:left="0" w:right="0" w:firstLine="0"/>
                          <w:jc w:val="left"/>
                        </w:pPr>
                        <w:r>
                          <w:rPr>
                            <w:w w:val="103"/>
                          </w:rPr>
                          <w:t xml:space="preserve">набухание</w:t>
                        </w:r>
                        <w:r>
                          <w:rPr>
                            <w:spacing w:val="-3"/>
                            <w:w w:val="103"/>
                          </w:rPr>
                          <w:t xml:space="preserve"> </w:t>
                        </w:r>
                        <w:r>
                          <w:rPr>
                            <w:w w:val="103"/>
                          </w:rPr>
                          <w:t xml:space="preserve">яремных</w:t>
                        </w:r>
                        <w:r>
                          <w:rPr>
                            <w:spacing w:val="-3"/>
                            <w:w w:val="103"/>
                          </w:rPr>
                          <w:t xml:space="preserve"> </w:t>
                        </w:r>
                        <w:r>
                          <w:rPr>
                            <w:w w:val="103"/>
                          </w:rPr>
                          <w:t xml:space="preserve">вен,</w:t>
                        </w:r>
                        <w:r>
                          <w:rPr>
                            <w:spacing w:val="-3"/>
                            <w:w w:val="103"/>
                          </w:rPr>
                          <w:t xml:space="preserve"> </w:t>
                        </w:r>
                        <w:r>
                          <w:rPr>
                            <w:w w:val="103"/>
                          </w:rPr>
                          <w:t xml:space="preserve">смещение</w:t>
                        </w:r>
                        <w:r>
                          <w:rPr>
                            <w:spacing w:val="-3"/>
                            <w:w w:val="103"/>
                          </w:rPr>
                          <w:t xml:space="preserve"> </w:t>
                        </w:r>
                        <w:r>
                          <w:rPr>
                            <w:w w:val="103"/>
                          </w:rPr>
                          <w:t xml:space="preserve">верхушечного</w:t>
                        </w:r>
                        <w:r>
                          <w:rPr>
                            <w:spacing w:val="-3"/>
                            <w:w w:val="103"/>
                          </w:rPr>
                          <w:t xml:space="preserve"> </w:t>
                        </w:r>
                        <w:r>
                          <w:rPr>
                            <w:w w:val="103"/>
                          </w:rPr>
                          <w:t xml:space="preserve">толчка.</w:t>
                        </w:r>
                        <w:r>
                          <w:rPr>
                            <w:spacing w:val="-3"/>
                            <w:w w:val="103"/>
                          </w:rPr>
                          <w:t xml:space="preserve"> </w:t>
                        </w:r>
                      </w:p>
                    </w:txbxContent>
                  </v:textbox>
                </v:rect>
                <v:rect id="Rectangle 276384" style="position:absolute;width:937;height:2092;left:9915;top:21990;" filled="f" stroked="f">
                  <v:textbox inset="0,0,0,0">
                    <w:txbxContent>
                      <w:p>
                        <w:pPr>
                          <w:spacing w:before="0" w:after="160" w:line="259" w:lineRule="auto"/>
                          <w:ind w:left="0" w:right="0" w:firstLine="0"/>
                          <w:jc w:val="left"/>
                        </w:pPr>
                        <w:r>
                          <w:rPr>
                            <w:rFonts w:cs="Calibri" w:hAnsi="Calibri" w:eastAsia="Calibri" w:ascii="Calibri"/>
                            <w:b w:val="1"/>
                            <w:w w:val="109"/>
                          </w:rPr>
                          <w:t xml:space="preserve">3</w:t>
                        </w:r>
                      </w:p>
                    </w:txbxContent>
                  </v:textbox>
                </v:rect>
                <v:rect id="Rectangle 276385" style="position:absolute;width:4297;height:2092;left:10620;top:21990;" filled="f" stroked="f">
                  <v:textbox inset="0,0,0,0">
                    <w:txbxContent>
                      <w:p>
                        <w:pPr>
                          <w:spacing w:before="0" w:after="160" w:line="259" w:lineRule="auto"/>
                          <w:ind w:left="0" w:right="0" w:firstLine="0"/>
                          <w:jc w:val="left"/>
                        </w:pPr>
                        <w:r>
                          <w:rPr>
                            <w:rFonts w:cs="Calibri" w:hAnsi="Calibri" w:eastAsia="Calibri" w:ascii="Calibri"/>
                            <w:b w:val="1"/>
                            <w:w w:val="105"/>
                          </w:rPr>
                          <w:t xml:space="preserve">.</w:t>
                        </w:r>
                        <w:r>
                          <w:rPr>
                            <w:rFonts w:cs="Calibri" w:hAnsi="Calibri" w:eastAsia="Calibri" w:ascii="Calibri"/>
                            <w:b w:val="1"/>
                            <w:spacing w:val="-5"/>
                            <w:w w:val="105"/>
                          </w:rPr>
                          <w:t xml:space="preserve"> </w:t>
                        </w:r>
                        <w:r>
                          <w:rPr>
                            <w:rFonts w:cs="Calibri" w:hAnsi="Calibri" w:eastAsia="Calibri" w:ascii="Calibri"/>
                            <w:b w:val="1"/>
                            <w:w w:val="105"/>
                          </w:rPr>
                          <w:t xml:space="preserve">ЭКГ:</w:t>
                        </w:r>
                        <w:r>
                          <w:rPr>
                            <w:rFonts w:cs="Calibri" w:hAnsi="Calibri" w:eastAsia="Calibri" w:ascii="Calibri"/>
                            <w:b w:val="1"/>
                            <w:spacing w:val="-5"/>
                            <w:w w:val="105"/>
                          </w:rPr>
                          <w:t xml:space="preserve"> </w:t>
                        </w:r>
                      </w:p>
                    </w:txbxContent>
                  </v:textbox>
                </v:rect>
                <v:rect id="Rectangle 16143" style="position:absolute;width:16666;height:2030;left:13851;top:22037;" filled="f" stroked="f">
                  <v:textbox inset="0,0,0,0">
                    <w:txbxContent>
                      <w:p>
                        <w:pPr>
                          <w:spacing w:before="0" w:after="160" w:line="259" w:lineRule="auto"/>
                          <w:ind w:left="0" w:right="0" w:firstLine="0"/>
                          <w:jc w:val="left"/>
                        </w:pPr>
                        <w:r>
                          <w:rPr>
                            <w:w w:val="103"/>
                          </w:rPr>
                          <w:t xml:space="preserve">Отклонение</w:t>
                        </w:r>
                        <w:r>
                          <w:rPr>
                            <w:spacing w:val="-3"/>
                            <w:w w:val="103"/>
                          </w:rPr>
                          <w:t xml:space="preserve"> </w:t>
                        </w:r>
                        <w:r>
                          <w:rPr>
                            <w:w w:val="103"/>
                          </w:rPr>
                          <w:t xml:space="preserve">от</w:t>
                        </w:r>
                        <w:r>
                          <w:rPr>
                            <w:spacing w:val="-3"/>
                            <w:w w:val="103"/>
                          </w:rPr>
                          <w:t xml:space="preserve"> </w:t>
                        </w:r>
                        <w:r>
                          <w:rPr>
                            <w:w w:val="103"/>
                          </w:rPr>
                          <w:t xml:space="preserve">нормы.</w:t>
                        </w:r>
                      </w:p>
                    </w:txbxContent>
                  </v:textbox>
                </v:rect>
                <v:rect id="Rectangle 16144" style="position:absolute;width:27560;height:2030;left:22002;top:47264;" filled="f" stroked="f">
                  <v:textbox inset="0,0,0,0">
                    <w:txbxContent>
                      <w:p>
                        <w:pPr>
                          <w:spacing w:before="0" w:after="160" w:line="259" w:lineRule="auto"/>
                          <w:ind w:left="0" w:right="0" w:firstLine="0"/>
                          <w:jc w:val="left"/>
                        </w:pPr>
                        <w:r>
                          <w:rPr>
                            <w:w w:val="103"/>
                          </w:rPr>
                          <w:t xml:space="preserve">Если</w:t>
                        </w:r>
                        <w:r>
                          <w:rPr>
                            <w:spacing w:val="-3"/>
                            <w:w w:val="103"/>
                          </w:rPr>
                          <w:t xml:space="preserve"> </w:t>
                        </w:r>
                        <w:r>
                          <w:rPr>
                            <w:w w:val="103"/>
                          </w:rPr>
                          <w:t xml:space="preserve">ХСН</w:t>
                        </w:r>
                        <w:r>
                          <w:rPr>
                            <w:spacing w:val="-3"/>
                            <w:w w:val="103"/>
                          </w:rPr>
                          <w:t xml:space="preserve"> </w:t>
                        </w:r>
                        <w:r>
                          <w:rPr>
                            <w:w w:val="103"/>
                          </w:rPr>
                          <w:t xml:space="preserve">подтверждена,</w:t>
                        </w:r>
                        <w:r>
                          <w:rPr>
                            <w:spacing w:val="-3"/>
                            <w:w w:val="103"/>
                          </w:rPr>
                          <w:t xml:space="preserve"> </w:t>
                        </w:r>
                        <w:r>
                          <w:rPr>
                            <w:w w:val="103"/>
                          </w:rPr>
                          <w:t xml:space="preserve">определить</w:t>
                        </w:r>
                        <w:r>
                          <w:rPr>
                            <w:spacing w:val="-3"/>
                            <w:w w:val="103"/>
                          </w:rPr>
                          <w:t xml:space="preserve"> </w:t>
                        </w:r>
                      </w:p>
                    </w:txbxContent>
                  </v:textbox>
                </v:rect>
                <v:rect id="Rectangle 16145" style="position:absolute;width:21111;height:2030;left:24292;top:48534;" filled="f" stroked="f">
                  <v:textbox inset="0,0,0,0">
                    <w:txbxContent>
                      <w:p>
                        <w:pPr>
                          <w:spacing w:before="0" w:after="160" w:line="259" w:lineRule="auto"/>
                          <w:ind w:left="0" w:right="0" w:firstLine="0"/>
                          <w:jc w:val="left"/>
                        </w:pPr>
                        <w:r>
                          <w:rPr>
                            <w:w w:val="103"/>
                          </w:rPr>
                          <w:t xml:space="preserve">этиологию</w:t>
                        </w:r>
                        <w:r>
                          <w:rPr>
                            <w:spacing w:val="-3"/>
                            <w:w w:val="103"/>
                          </w:rPr>
                          <w:t xml:space="preserve"> </w:t>
                        </w:r>
                        <w:r>
                          <w:rPr>
                            <w:w w:val="103"/>
                          </w:rPr>
                          <w:t xml:space="preserve">и</w:t>
                        </w:r>
                        <w:r>
                          <w:rPr>
                            <w:spacing w:val="-3"/>
                            <w:w w:val="103"/>
                          </w:rPr>
                          <w:t xml:space="preserve"> </w:t>
                        </w:r>
                        <w:r>
                          <w:rPr>
                            <w:w w:val="103"/>
                          </w:rPr>
                          <w:t xml:space="preserve">начать</w:t>
                        </w:r>
                        <w:r>
                          <w:rPr>
                            <w:spacing w:val="-3"/>
                            <w:w w:val="103"/>
                          </w:rPr>
                          <w:t xml:space="preserve"> </w:t>
                        </w:r>
                        <w:r>
                          <w:rPr>
                            <w:w w:val="103"/>
                          </w:rPr>
                          <w:t xml:space="preserve">терапию</w:t>
                        </w:r>
                      </w:p>
                    </w:txbxContent>
                  </v:textbox>
                </v:rect>
                <v:shape id="Shape 16146" style="position:absolute;width:21870;height:3184;left:21360;top:47018;" coordsize="2187003,318491" path="m0,318491l2187003,318491l2187003,0l0,0x">
                  <v:stroke weight="0.709pt" endcap="flat" joinstyle="miter" miterlimit="4" on="true" color="#000000"/>
                  <v:fill on="false" color="#000000" opacity="0"/>
                </v:shape>
                <v:shape id="Shape 16147" style="position:absolute;width:0;height:1180;left:25004;top:27893;" coordsize="0,118059" path="m0,0l0,118059">
                  <v:stroke weight="0.709pt" endcap="flat" joinstyle="miter" miterlimit="4" on="true" color="#000000"/>
                  <v:fill on="false" color="#000000" opacity="0"/>
                </v:shape>
                <v:shape id="Shape 16148" style="position:absolute;width:611;height:839;left:24699;top:28874;" coordsize="61113,83972" path="m0,0l30556,20015l61113,0l30556,83972l0,0x">
                  <v:stroke weight="0pt" endcap="flat" joinstyle="miter" miterlimit="4" on="false" color="#000000" opacity="0"/>
                  <v:fill on="true" color="#000000"/>
                </v:shape>
                <v:shape id="Shape 16149" style="position:absolute;width:0;height:1180;left:38468;top:27893;" coordsize="0,118059" path="m0,0l0,118059">
                  <v:stroke weight="0.709pt" endcap="flat" joinstyle="miter" miterlimit="4" on="true" color="#000000"/>
                  <v:fill on="false" color="#000000" opacity="0"/>
                </v:shape>
                <v:shape id="Shape 16150" style="position:absolute;width:611;height:839;left:38162;top:28874;" coordsize="61113,83972" path="m0,0l30556,20015l61113,0l30556,83972l0,0x">
                  <v:stroke weight="0pt" endcap="flat" joinstyle="miter" miterlimit="4" on="false" color="#000000" opacity="0"/>
                  <v:fill on="true" color="#000000"/>
                </v:shape>
                <v:shape id="Shape 16151" style="position:absolute;width:0;height:1180;left:17085;top:37288;" coordsize="0,118059" path="m0,0l0,118059">
                  <v:stroke weight="0.709pt" endcap="flat" joinstyle="miter" miterlimit="4" on="true" color="#000000"/>
                  <v:fill on="false" color="#000000" opacity="0"/>
                </v:shape>
                <v:shape id="Shape 16152" style="position:absolute;width:611;height:839;left:16779;top:38269;" coordsize="61113,83972" path="m0,0l30556,20015l61113,0l30556,83972l0,0x">
                  <v:stroke weight="0pt" endcap="flat" joinstyle="miter" miterlimit="4" on="false" color="#000000" opacity="0"/>
                  <v:fill on="true" color="#000000"/>
                </v:shape>
                <v:shape id="Shape 16153" style="position:absolute;width:0;height:1180;left:30549;top:37288;" coordsize="0,118059" path="m0,0l0,118059">
                  <v:stroke weight="0.709pt" endcap="flat" joinstyle="miter" miterlimit="4" on="true" color="#000000"/>
                  <v:fill on="false" color="#000000" opacity="0"/>
                </v:shape>
                <v:shape id="Shape 16154" style="position:absolute;width:611;height:839;left:30243;top:38269;" coordsize="61113,83972" path="m0,0l30556,20015l61113,0l30556,83972l0,0x">
                  <v:stroke weight="0pt" endcap="flat" joinstyle="miter" miterlimit="4" on="false" color="#000000" opacity="0"/>
                  <v:fill on="true" color="#000000"/>
                </v:shape>
                <v:shape id="Shape 16155" style="position:absolute;width:0;height:1180;left:10838;top:45226;" coordsize="0,118059" path="m0,0l0,118059">
                  <v:stroke weight="0.709pt" endcap="flat" joinstyle="miter" miterlimit="4" on="true" color="#000000"/>
                  <v:fill on="false" color="#000000" opacity="0"/>
                </v:shape>
                <v:shape id="Shape 16156" style="position:absolute;width:611;height:839;left:10533;top:46207;" coordsize="61113,83972" path="m0,0l30556,20015l61113,0l30556,83972l0,0x">
                  <v:stroke weight="0pt" endcap="flat" joinstyle="miter" miterlimit="4" on="false" color="#000000" opacity="0"/>
                  <v:fill on="true" color="#000000"/>
                </v:shape>
                <v:shape id="Shape 16157" style="position:absolute;width:0;height:1180;left:24302;top:45226;" coordsize="0,118059" path="m0,0l0,118059">
                  <v:stroke weight="0.709pt" endcap="flat" joinstyle="miter" miterlimit="4" on="true" color="#000000"/>
                  <v:fill on="false" color="#000000" opacity="0"/>
                </v:shape>
                <v:shape id="Shape 16158" style="position:absolute;width:611;height:839;left:23997;top:46207;" coordsize="61113,83972" path="m0,0l30556,20015l61113,0l30556,83972l0,0x">
                  <v:stroke weight="0pt" endcap="flat" joinstyle="miter" miterlimit="4" on="false" color="#000000" opacity="0"/>
                  <v:fill on="true" color="#000000"/>
                </v:shape>
                <v:rect id="Rectangle 16159" style="position:absolute;width:1886;height:2030;left:22920;top:27936;" filled="f" stroked="f">
                  <v:textbox inset="0,0,0,0">
                    <w:txbxContent>
                      <w:p>
                        <w:pPr>
                          <w:spacing w:before="0" w:after="160" w:line="259" w:lineRule="auto"/>
                          <w:ind w:left="0" w:right="0" w:firstLine="0"/>
                          <w:jc w:val="left"/>
                        </w:pPr>
                        <w:r>
                          <w:rPr>
                            <w:spacing w:val="1"/>
                            <w:w w:val="101"/>
                          </w:rPr>
                          <w:t xml:space="preserve">Да</w:t>
                        </w:r>
                      </w:p>
                    </w:txbxContent>
                  </v:textbox>
                </v:rect>
                <v:rect id="Rectangle 16160" style="position:absolute;width:1886;height:2030;left:14892;top:37423;" filled="f" stroked="f">
                  <v:textbox inset="0,0,0,0">
                    <w:txbxContent>
                      <w:p>
                        <w:pPr>
                          <w:spacing w:before="0" w:after="160" w:line="259" w:lineRule="auto"/>
                          <w:ind w:left="0" w:right="0" w:firstLine="0"/>
                          <w:jc w:val="left"/>
                        </w:pPr>
                        <w:r>
                          <w:rPr>
                            <w:spacing w:val="1"/>
                            <w:w w:val="101"/>
                          </w:rPr>
                          <w:t xml:space="preserve">Да</w:t>
                        </w:r>
                      </w:p>
                    </w:txbxContent>
                  </v:textbox>
                </v:rect>
                <v:rect id="Rectangle 16161" style="position:absolute;width:1886;height:2030;left:25044;top:45359;" filled="f" stroked="f">
                  <v:textbox inset="0,0,0,0">
                    <w:txbxContent>
                      <w:p>
                        <w:pPr>
                          <w:spacing w:before="0" w:after="160" w:line="259" w:lineRule="auto"/>
                          <w:ind w:left="0" w:right="0" w:firstLine="0"/>
                          <w:jc w:val="left"/>
                        </w:pPr>
                        <w:r>
                          <w:rPr>
                            <w:spacing w:val="1"/>
                            <w:w w:val="101"/>
                          </w:rPr>
                          <w:t xml:space="preserve">Да</w:t>
                        </w:r>
                      </w:p>
                    </w:txbxContent>
                  </v:textbox>
                </v:rect>
                <v:rect id="Rectangle 16162" style="position:absolute;width:2635;height:2030;left:39421;top:27935;" filled="f" stroked="f">
                  <v:textbox inset="0,0,0,0">
                    <w:txbxContent>
                      <w:p>
                        <w:pPr>
                          <w:spacing w:before="0" w:after="160" w:line="259" w:lineRule="auto"/>
                          <w:ind w:left="0" w:right="0" w:firstLine="0"/>
                          <w:jc w:val="left"/>
                        </w:pPr>
                        <w:r>
                          <w:rPr>
                            <w:w w:val="104"/>
                          </w:rPr>
                          <w:t xml:space="preserve">Нет</w:t>
                        </w:r>
                      </w:p>
                    </w:txbxContent>
                  </v:textbox>
                </v:rect>
                <v:rect id="Rectangle 16163" style="position:absolute;width:2635;height:2030;left:31285;top:37422;" filled="f" stroked="f">
                  <v:textbox inset="0,0,0,0">
                    <w:txbxContent>
                      <w:p>
                        <w:pPr>
                          <w:spacing w:before="0" w:after="160" w:line="259" w:lineRule="auto"/>
                          <w:ind w:left="0" w:right="0" w:firstLine="0"/>
                          <w:jc w:val="left"/>
                        </w:pPr>
                        <w:r>
                          <w:rPr>
                            <w:w w:val="104"/>
                          </w:rPr>
                          <w:t xml:space="preserve">Нет</w:t>
                        </w:r>
                      </w:p>
                    </w:txbxContent>
                  </v:textbox>
                </v:rect>
                <v:rect id="Rectangle 16164" style="position:absolute;width:2635;height:2030;left:8029;top:45322;" filled="f" stroked="f">
                  <v:textbox inset="0,0,0,0">
                    <w:txbxContent>
                      <w:p>
                        <w:pPr>
                          <w:spacing w:before="0" w:after="160" w:line="259" w:lineRule="auto"/>
                          <w:ind w:left="0" w:right="0" w:firstLine="0"/>
                          <w:jc w:val="left"/>
                        </w:pPr>
                        <w:r>
                          <w:rPr>
                            <w:w w:val="104"/>
                          </w:rPr>
                          <w:t xml:space="preserve">Нет</w:t>
                        </w:r>
                      </w:p>
                    </w:txbxContent>
                  </v:textbox>
                </v:rect>
              </v:group>
            </w:pict>
          </mc:Fallback>
        </mc:AlternateContent>
      </w:r>
    </w:p>
    <w:p w:rsidR="00D27BC6" w:rsidRDefault="004D5071">
      <w:pPr>
        <w:spacing w:after="587"/>
        <w:ind w:left="-3" w:right="0"/>
      </w:pPr>
      <w:r>
        <w:rPr>
          <w:b/>
          <w:sz w:val="16"/>
        </w:rPr>
        <w:t>Примечания:</w:t>
      </w:r>
      <w:r>
        <w:rPr>
          <w:sz w:val="16"/>
        </w:rPr>
        <w:t xml:space="preserve"> ИБС – ишемическая болезнь сердца; ХСН – хроническая сердечная недостаточность; ЭКГ – электрокардиография; ЭХО-КГ – эхокардиография; BNP — натрийуретический пептид В-типа, NT-proBNP — N-концевой натрийуретический пропептид.</w:t>
      </w:r>
    </w:p>
    <w:p w:rsidR="00D27BC6" w:rsidRDefault="004D5071">
      <w:pPr>
        <w:ind w:left="-11" w:right="0" w:firstLine="283"/>
      </w:pPr>
      <w:r>
        <w:t>Все пациенты с СД относятся к ст</w:t>
      </w:r>
      <w:r>
        <w:t>адии с высоким риском развития ХСН (стадии А). Пациентам с СД рекомендовано определение натрийуретических пептидов (натрийуретический пептид В-типа и/или N-терминальный фрагмент натрийуретического пропептида В мозгового (NT-proBNP) в крови не реже 1 раза в</w:t>
      </w:r>
      <w:r>
        <w:t xml:space="preserve"> год. Данный показатель позволяет уточнить стадию ХСН, а также является чувствительным маркером ухудшения ХСН. Исследование уровня натрийуретических пептидов у пациентов с СД во многих случаях позволит определить генез одышки, особенно у пациентов с нефроп</w:t>
      </w:r>
      <w:r>
        <w:t>атией. Оценка уровня пептида в динамике способствует персонализации терапии.</w:t>
      </w:r>
    </w:p>
    <w:p w:rsidR="00D27BC6" w:rsidRDefault="004D5071">
      <w:pPr>
        <w:ind w:left="-11" w:right="0" w:firstLine="283"/>
      </w:pPr>
      <w:r>
        <w:t>Другим важным методом диагностики ХСН является эхокардиография (ЭХО-КГ). Данное исследование позволяет оценить структуры и функции миокарда в целях уточнения диагноза ХСН (с сохра</w:t>
      </w:r>
      <w:r>
        <w:t>ненной, промежуточной или сниженной ФВ) и определить тактику лечения. Качество ЭХО-КГ исследования зависит от квалификации специалиста, что особенно важно при диагностике ХСНсФВ. В связи с этим, в практическом плане более важно определение натрийуретически</w:t>
      </w:r>
      <w:r>
        <w:t>х пептидов.</w:t>
      </w:r>
    </w:p>
    <w:p w:rsidR="00D27BC6" w:rsidRDefault="004D5071">
      <w:pPr>
        <w:ind w:left="-11" w:right="0" w:firstLine="283"/>
      </w:pPr>
      <w:r>
        <w:t>У больных СД и предиабетом часто встречается ХСНсФВ. В клинической практике для постановки диагноза ХСНсФВ достаточно выполнение трех условий, это наличие: симптомов или признаков ХСН, каких-либо структурных изменений по данным ЭХОКГ, значимого</w:t>
      </w:r>
      <w:r>
        <w:t xml:space="preserve"> повышения натрийуретических пептидов. При наличии возможности для постановки диагноза ХСНсФВ целесообразно проведение ЭХО-КГ на УЗИ аппаратах экспертного класса с оценкой таких параметров как скорость движения фиброзного кольца митрального клапана, продол</w:t>
      </w:r>
      <w:r>
        <w:t xml:space="preserve">ьное систолическое укорочение ЛЖ, скорость раннего диастолического наполнения ЛЖ и др., а в сомнительных случаях проведение стресс теста. </w:t>
      </w:r>
    </w:p>
    <w:p w:rsidR="00D27BC6" w:rsidRDefault="004D5071">
      <w:pPr>
        <w:pStyle w:val="Heading3"/>
        <w:ind w:left="162" w:right="156"/>
      </w:pPr>
      <w:r>
        <w:t>Ведение ХСН при СД</w:t>
      </w:r>
    </w:p>
    <w:p w:rsidR="00D27BC6" w:rsidRDefault="004D5071">
      <w:pPr>
        <w:spacing w:after="230"/>
        <w:ind w:left="-11" w:right="0" w:firstLine="283"/>
      </w:pPr>
      <w:r>
        <w:t>Лечение ХСН у пациентов с СД в основном такое же, как и лечение ХСН у пациентов без СД. Общие подх</w:t>
      </w:r>
      <w:r>
        <w:t>оды включают в себя</w:t>
      </w:r>
      <w:r>
        <w:rPr>
          <w:b/>
        </w:rPr>
        <w:t xml:space="preserve"> </w:t>
      </w:r>
      <w:r>
        <w:t>изменение образа жизни, отказ от вредных привычек, правильное питание, контроль артериального давления, соблюдение питьевого режима и контроль веса, ограничение потребления соли, дозированные физические нагрузки. Стратегия назначения те</w:t>
      </w:r>
      <w:r>
        <w:t>рапии зависит от ФВ ЛЖ.</w:t>
      </w:r>
    </w:p>
    <w:p w:rsidR="00D27BC6" w:rsidRDefault="004D5071">
      <w:pPr>
        <w:pStyle w:val="Heading3"/>
        <w:ind w:left="162" w:right="156"/>
      </w:pPr>
      <w:r>
        <w:t>Лечение пациентов с ХСНнФВ</w:t>
      </w:r>
    </w:p>
    <w:p w:rsidR="00D27BC6" w:rsidRDefault="004D5071">
      <w:pPr>
        <w:ind w:left="281" w:right="51"/>
        <w:jc w:val="left"/>
      </w:pPr>
      <w:r>
        <w:rPr>
          <w:b/>
        </w:rPr>
        <w:t>Основные группы препаратов для лечения ХСНнФВ II-IV функциональны классов:</w:t>
      </w:r>
    </w:p>
    <w:p w:rsidR="00D27BC6" w:rsidRDefault="004D5071">
      <w:pPr>
        <w:numPr>
          <w:ilvl w:val="0"/>
          <w:numId w:val="102"/>
        </w:numPr>
        <w:ind w:right="0" w:hanging="283"/>
      </w:pPr>
      <w:r>
        <w:t>Ингибиторы ангиотензинпревращающего фермента /  Ингибитор ангиотензиновых рецепторов и неприлизина</w:t>
      </w:r>
    </w:p>
    <w:p w:rsidR="00D27BC6" w:rsidRDefault="004D5071">
      <w:pPr>
        <w:numPr>
          <w:ilvl w:val="0"/>
          <w:numId w:val="102"/>
        </w:numPr>
        <w:ind w:right="0" w:hanging="283"/>
      </w:pPr>
      <w:r>
        <w:t>Бета-адреноблокаторы</w:t>
      </w:r>
    </w:p>
    <w:p w:rsidR="00D27BC6" w:rsidRDefault="004D5071">
      <w:pPr>
        <w:numPr>
          <w:ilvl w:val="0"/>
          <w:numId w:val="102"/>
        </w:numPr>
        <w:ind w:right="0" w:hanging="283"/>
      </w:pPr>
      <w:r>
        <w:t>Антагонист</w:t>
      </w:r>
      <w:r>
        <w:t>ы минералкортикоидных рецепторов</w:t>
      </w:r>
    </w:p>
    <w:p w:rsidR="00D27BC6" w:rsidRDefault="004D5071">
      <w:pPr>
        <w:numPr>
          <w:ilvl w:val="0"/>
          <w:numId w:val="102"/>
        </w:numPr>
        <w:ind w:right="0" w:hanging="283"/>
      </w:pPr>
      <w:r>
        <w:t xml:space="preserve">Препараты группы ингибиторов натрий-глюкозного котранспортера 2-го типа (иНГЛТ-2):  </w:t>
      </w:r>
    </w:p>
    <w:p w:rsidR="00D27BC6" w:rsidRDefault="004D5071">
      <w:pPr>
        <w:ind w:left="295" w:right="0"/>
      </w:pPr>
      <w:r>
        <w:t>дапаглифлозин, эмпаглифлозин.</w:t>
      </w:r>
    </w:p>
    <w:p w:rsidR="00D27BC6" w:rsidRDefault="004D5071">
      <w:pPr>
        <w:spacing w:after="226"/>
        <w:ind w:left="295" w:right="0"/>
      </w:pPr>
      <w:r>
        <w:t>Данные группы препаратов имеют высокий класс рекомендаций и уровень доказательности.</w:t>
      </w:r>
    </w:p>
    <w:p w:rsidR="00D27BC6" w:rsidRDefault="004D5071">
      <w:pPr>
        <w:ind w:left="281" w:right="51"/>
        <w:jc w:val="left"/>
      </w:pPr>
      <w:r>
        <w:rPr>
          <w:b/>
        </w:rPr>
        <w:t>Ингибиторы ангиотензин-превращающего фермента (иАПФ)</w:t>
      </w:r>
    </w:p>
    <w:p w:rsidR="00D27BC6" w:rsidRDefault="004D5071">
      <w:pPr>
        <w:ind w:left="-11" w:right="0" w:firstLine="283"/>
      </w:pPr>
      <w:r>
        <w:t>Назначение данных препаратов начинают с малых доз и титруют до целевых или максимально переносимых. При титрации доз ингибиторов ренин-ангиотензин-альдостероновой системы необходим тщательный контроль би</w:t>
      </w:r>
      <w:r>
        <w:t xml:space="preserve">охимического анализа крови (креатинин, мочевина, калий) и при необходимости своевременная коррекция терапии. </w:t>
      </w:r>
    </w:p>
    <w:p w:rsidR="00D27BC6" w:rsidRDefault="004D5071">
      <w:pPr>
        <w:ind w:left="-11" w:right="0" w:firstLine="283"/>
      </w:pPr>
      <w:r>
        <w:rPr>
          <w:b/>
          <w:i/>
        </w:rPr>
        <w:t>Ингибитор ангиотензиновых рецепторов и неприлизина (АРНИ)</w:t>
      </w:r>
      <w:r>
        <w:t xml:space="preserve"> сакубитрил/валсартан рекомендуется в качестве замены иАПФ для снижения риска госпитализа</w:t>
      </w:r>
      <w:r>
        <w:t>ции и смерти по поводу ХСН.</w:t>
      </w:r>
    </w:p>
    <w:p w:rsidR="00D27BC6" w:rsidRDefault="004D5071">
      <w:pPr>
        <w:ind w:left="-11" w:right="0" w:firstLine="283"/>
      </w:pPr>
      <w:r>
        <w:rPr>
          <w:b/>
          <w:i/>
        </w:rPr>
        <w:t>Бета-адреноблокаторы</w:t>
      </w:r>
      <w:r>
        <w:t xml:space="preserve"> имеют сходные преимущества в отношении снижения риска госпитализации из-за ХСН и смертности как при СД, так и без него. Основные рекомендованные препараты: бисопролол, карведилол, метопролола сукцинат, небиволол. Бета-адреноблокаторы не ухудшают контроль </w:t>
      </w:r>
      <w:r>
        <w:t xml:space="preserve">гликемии. </w:t>
      </w:r>
    </w:p>
    <w:p w:rsidR="00D27BC6" w:rsidRDefault="004D5071">
      <w:pPr>
        <w:ind w:left="-11" w:right="0" w:firstLine="283"/>
      </w:pPr>
      <w:r>
        <w:rPr>
          <w:b/>
          <w:i/>
        </w:rPr>
        <w:t>Антагонисты минералкортикоидных рецепторов.</w:t>
      </w:r>
      <w:r>
        <w:t xml:space="preserve"> Спиронолактон или эплеренон также снижают риск смерти и госпитализаций по поводу ХСН при ХСНнФВ. Назначение данной группы препаратов проводить с осторожностью при нарушенной функции почек и гиперкалием</w:t>
      </w:r>
      <w:r>
        <w:t>ии (более 5 ммоль/л)</w:t>
      </w:r>
    </w:p>
    <w:p w:rsidR="00D27BC6" w:rsidRDefault="004D5071">
      <w:pPr>
        <w:spacing w:after="233"/>
        <w:ind w:left="-11" w:right="0" w:firstLine="283"/>
      </w:pPr>
      <w:r>
        <w:rPr>
          <w:b/>
          <w:i/>
        </w:rPr>
        <w:t>Ингибиторы натрий-глюкозного котранспортера 2-го типа (иНГЛТ-2)</w:t>
      </w:r>
      <w:r>
        <w:t xml:space="preserve"> рекомендуются пациентам для снижения риска госпитализации по поводу СН и смерти, вне зависимости от наличия нарушений углеводного обмена. Рекомендованные препараты: дапагл</w:t>
      </w:r>
      <w:r>
        <w:t>ифлозин, эмпаглифлозин.</w:t>
      </w:r>
    </w:p>
    <w:p w:rsidR="00D27BC6" w:rsidRDefault="004D5071">
      <w:pPr>
        <w:ind w:left="2" w:right="51" w:firstLine="283"/>
        <w:jc w:val="left"/>
      </w:pPr>
      <w:r>
        <w:rPr>
          <w:b/>
        </w:rPr>
        <w:t>Другие группы препаратов, которые могут быть использованы для лечения ХСНнФВ II-IV функциональных классов</w:t>
      </w:r>
    </w:p>
    <w:p w:rsidR="00D27BC6" w:rsidRDefault="004D5071">
      <w:pPr>
        <w:ind w:left="-11" w:right="0" w:firstLine="283"/>
      </w:pPr>
      <w:r>
        <w:rPr>
          <w:b/>
          <w:i/>
        </w:rPr>
        <w:t>Блокаторы рецепторов ангиотензина II (БРА).</w:t>
      </w:r>
      <w:r>
        <w:t xml:space="preserve"> БРА рекомендуются для снижения риска госпитализации по поводу ХСН и сердечно-сосуд</w:t>
      </w:r>
      <w:r>
        <w:t>истой смерти у симптомных пациентов, которые не переносят иАПФ или АРНИ.</w:t>
      </w:r>
    </w:p>
    <w:p w:rsidR="00D27BC6" w:rsidRDefault="004D5071">
      <w:pPr>
        <w:ind w:left="-11" w:right="0" w:firstLine="283"/>
      </w:pPr>
      <w:r>
        <w:rPr>
          <w:b/>
          <w:i/>
        </w:rPr>
        <w:t>Ингибиторы If – каналов (ивабрадин)</w:t>
      </w:r>
      <w:r>
        <w:t xml:space="preserve"> рекомендованы пациентам только с синусовым ритмом, ФВ менее 35%, симптомами ХСН и уровнем ЧСС ≥ 70 ударов в минуту, несмотря на проводимую терапию </w:t>
      </w:r>
      <w:r>
        <w:t xml:space="preserve">бета-адреноблокаторами в рекомендованной дозе. </w:t>
      </w:r>
    </w:p>
    <w:p w:rsidR="00D27BC6" w:rsidRDefault="004D5071">
      <w:pPr>
        <w:ind w:left="-11" w:right="0" w:firstLine="283"/>
      </w:pPr>
      <w:r>
        <w:rPr>
          <w:b/>
          <w:i/>
        </w:rPr>
        <w:t>Дигоксин</w:t>
      </w:r>
      <w:r>
        <w:t xml:space="preserve"> не улучшает прогноз пациентов с ХСН, однако снижает количество госпитализаций, улучшает симптомы ХСН и улучшает качество жизни. </w:t>
      </w:r>
    </w:p>
    <w:p w:rsidR="00D27BC6" w:rsidRDefault="004D5071">
      <w:pPr>
        <w:spacing w:after="470"/>
        <w:ind w:left="-11" w:right="0" w:firstLine="283"/>
      </w:pPr>
      <w:r>
        <w:rPr>
          <w:b/>
          <w:i/>
        </w:rPr>
        <w:t>Диуретики</w:t>
      </w:r>
      <w:r>
        <w:t xml:space="preserve"> рекомендованы для улучшения симптомов ХСН, повышения физичес</w:t>
      </w:r>
      <w:r>
        <w:t xml:space="preserve">кой активности у пациентов с симптомами задержки жидкости. </w:t>
      </w:r>
    </w:p>
    <w:p w:rsidR="00D27BC6" w:rsidRDefault="004D5071">
      <w:pPr>
        <w:pStyle w:val="Heading3"/>
        <w:ind w:left="162" w:right="156"/>
      </w:pPr>
      <w:r>
        <w:t>Хирургические методы лечения ХСНнФВ</w:t>
      </w:r>
    </w:p>
    <w:p w:rsidR="00D27BC6" w:rsidRDefault="004D5071">
      <w:pPr>
        <w:ind w:left="-11" w:right="0" w:firstLine="283"/>
      </w:pPr>
      <w:r>
        <w:t>Имплантация кардиовертера-дефибриллятора, сердечная ресинхронизирующая терапия, реваскуляризация миокарда (стентирование коронарных артерий / коронарное шунтиро</w:t>
      </w:r>
      <w:r>
        <w:t>вание), операции на клапанах сердца проводятся по показаниям независимо от наличия СД. При терминальной ХСН может рассматриваться трансплантация сердца. Однако, наличие СД с множественными осложнениями, поражением органов-мишеней (кроме непролиферативной д</w:t>
      </w:r>
      <w:r>
        <w:t>иабетической ретинопатии), стойким неудовлетворительным контролем гликемии (HbA1c &gt; 7,5%) является относительным противопоказанием для успешной трансплантации сердца. В то же время тщательно отобранным пациентам с СД без осложнений и значимого нарушения фу</w:t>
      </w:r>
      <w:r>
        <w:t>нкции почек возможно проведение успешной трансплантации сердца со сходной посттрансплантационной выживаемостью.</w:t>
      </w:r>
    </w:p>
    <w:p w:rsidR="00D27BC6" w:rsidRDefault="004D5071">
      <w:pPr>
        <w:pStyle w:val="Heading3"/>
        <w:ind w:left="162" w:right="115"/>
      </w:pPr>
      <w:r>
        <w:t>Лечение хронической сердечной недостаточности с умеренно сниженной и сохраненной фракцией выброса левого желудочка</w:t>
      </w:r>
    </w:p>
    <w:p w:rsidR="00D27BC6" w:rsidRDefault="004D5071">
      <w:pPr>
        <w:spacing w:after="230"/>
        <w:ind w:left="-11" w:right="0" w:firstLine="283"/>
      </w:pPr>
      <w:r>
        <w:t xml:space="preserve">При лечении ХСНунФВ и ХСНсФВ </w:t>
      </w:r>
      <w:r>
        <w:t>используют те же классы препаратов. За исключением иНГЛТ-2 (дапаглифлозин, эмпаглифлозин), другие основные классы препаратов не показали убедительных преимуществ в улучшении прогноза у пациентов с ХСНунФВ и ХСНсФВ как при лечении ХСНнФВ. Вероятно, это обус</w:t>
      </w:r>
      <w:r>
        <w:t>ловлено другими патофизиологическими механизмами, сопутствующими заболеваниями, приводящим к развитию ХСН.</w:t>
      </w:r>
    </w:p>
    <w:p w:rsidR="00D27BC6" w:rsidRDefault="004D5071">
      <w:pPr>
        <w:pStyle w:val="Heading3"/>
        <w:ind w:left="162" w:right="156"/>
      </w:pPr>
      <w:r>
        <w:t>Сахароснижающая терапия при ХСН</w:t>
      </w:r>
    </w:p>
    <w:p w:rsidR="00D27BC6" w:rsidRDefault="004D5071">
      <w:pPr>
        <w:spacing w:after="3" w:line="259" w:lineRule="auto"/>
        <w:ind w:left="280" w:right="0"/>
        <w:jc w:val="left"/>
      </w:pPr>
      <w:r>
        <w:rPr>
          <w:b/>
          <w:i/>
        </w:rPr>
        <w:t>Ингибиторы натрий-глюкозного котранспортера 2-го типа</w:t>
      </w:r>
    </w:p>
    <w:p w:rsidR="00D27BC6" w:rsidRDefault="004D5071">
      <w:pPr>
        <w:ind w:left="-11" w:right="0" w:firstLine="283"/>
      </w:pPr>
      <w:r>
        <w:t>Пациентам с ХСН и СД 2 типа в качестве терапии первой линии должны быть назначены препараты группы иНГЛТ-2 с доказанной эффективностью в этой популяции пациентов (преимущественно дапаглифлозин, эмпаглифлозин, канаглифлозин) для снижения риска ухудшения теч</w:t>
      </w:r>
      <w:r>
        <w:t>ения ХСН и смерти от ССЗ. Назначение иНГЛТ-2 также рекомендовано пациентам с СД с высоким риском АССЗ или наличии АССЗ в качестве первичной профилактики ХСН.</w:t>
      </w:r>
    </w:p>
    <w:p w:rsidR="00D27BC6" w:rsidRDefault="004D5071">
      <w:pPr>
        <w:spacing w:after="3" w:line="259" w:lineRule="auto"/>
        <w:ind w:left="280" w:right="0"/>
        <w:jc w:val="left"/>
      </w:pPr>
      <w:r>
        <w:rPr>
          <w:b/>
          <w:i/>
        </w:rPr>
        <w:t>Метформин</w:t>
      </w:r>
      <w:r>
        <w:t xml:space="preserve"> </w:t>
      </w:r>
    </w:p>
    <w:p w:rsidR="00D27BC6" w:rsidRDefault="004D5071">
      <w:pPr>
        <w:ind w:left="-11" w:right="0" w:firstLine="283"/>
      </w:pPr>
      <w:r>
        <w:t>Метформин ассоциируется с более низким риском смертности и госпитализаций вследствие ХС</w:t>
      </w:r>
      <w:r>
        <w:t>Н по сравнению с инсулинотерапией и препаратами сульфонилмочевины. Назначение метформина безопасно у пациентов с СД и ХСН при стабильном уровне рСКФ &gt; 30 мл/мин/1,73 м</w:t>
      </w:r>
      <w:r>
        <w:rPr>
          <w:sz w:val="18"/>
          <w:vertAlign w:val="superscript"/>
        </w:rPr>
        <w:t>2</w:t>
      </w:r>
      <w:r>
        <w:t xml:space="preserve">. </w:t>
      </w:r>
    </w:p>
    <w:p w:rsidR="00D27BC6" w:rsidRDefault="004D5071">
      <w:pPr>
        <w:ind w:left="295" w:right="1679"/>
      </w:pPr>
      <w:r>
        <w:rPr>
          <w:b/>
          <w:i/>
        </w:rPr>
        <w:t xml:space="preserve">Агонисты рецепторов глюкагоноподобного пептида-1 </w:t>
      </w:r>
      <w:r>
        <w:t>арГПП-1 являются безопасными при ХСН</w:t>
      </w:r>
      <w:r>
        <w:t xml:space="preserve"> и не влияют на риск госпитализации вследствие ХСН. </w:t>
      </w:r>
    </w:p>
    <w:p w:rsidR="00D27BC6" w:rsidRDefault="004D5071">
      <w:pPr>
        <w:spacing w:after="3" w:line="259" w:lineRule="auto"/>
        <w:ind w:left="280" w:right="0"/>
        <w:jc w:val="left"/>
      </w:pPr>
      <w:r>
        <w:rPr>
          <w:b/>
          <w:i/>
        </w:rPr>
        <w:t>Препараты сульфонилмочевины</w:t>
      </w:r>
    </w:p>
    <w:p w:rsidR="00D27BC6" w:rsidRDefault="004D5071">
      <w:pPr>
        <w:ind w:left="-11" w:right="0" w:firstLine="283"/>
      </w:pPr>
      <w:r>
        <w:t>Безопасность данных препаратов для сердечно-сосудистой системы остается неопределенной. Они могут усугублять ХСН и при наличии ХСН (стадии В, С и D) терапию препаратами сульфо</w:t>
      </w:r>
      <w:r>
        <w:t xml:space="preserve">нилмочевины должны использоваться с осторожностью, их следует применять в добавление к другим сахароснижающим препаратам, доказавшим снижение риска сердечно-сосудистых событий или при наличии противопоказаний к их применению. </w:t>
      </w:r>
    </w:p>
    <w:p w:rsidR="00D27BC6" w:rsidRDefault="004D5071">
      <w:pPr>
        <w:spacing w:after="3" w:line="259" w:lineRule="auto"/>
        <w:ind w:left="280" w:right="0"/>
        <w:jc w:val="left"/>
      </w:pPr>
      <w:r>
        <w:rPr>
          <w:b/>
          <w:i/>
        </w:rPr>
        <w:t>Ингибиторы дипептидилпептидаз</w:t>
      </w:r>
      <w:r>
        <w:rPr>
          <w:b/>
          <w:i/>
        </w:rPr>
        <w:t>ы-4</w:t>
      </w:r>
    </w:p>
    <w:p w:rsidR="00D27BC6" w:rsidRDefault="004D5071">
      <w:pPr>
        <w:ind w:left="-11" w:right="0" w:firstLine="283"/>
      </w:pPr>
      <w:r>
        <w:t>Терапия саксаглиптином ассоциируется с повышением частоты госпитализаций по поводу ХСН, в связи с чем она не рекомендуется для лечения СД у пациентов с ХСН или высоким риском развития ХСН. Терапия алоглиптином связана с незначительным повышением частот</w:t>
      </w:r>
      <w:r>
        <w:t xml:space="preserve">ы госпитализации. Ситаглиптин и линаглиптин не ассоциируются с риском развития ХСН и частотой госпитализации вследствие ХСН. Вилдаглиптин не оказывает значимого влияния на ФВ ЛЖ. Таким образом, препараты этой группы в целом нейтральны по отношению к риску </w:t>
      </w:r>
      <w:r>
        <w:t xml:space="preserve">развития сердечно-сосудистых осложнений и не ухудшают прогноз. </w:t>
      </w:r>
      <w:r>
        <w:rPr>
          <w:b/>
          <w:i/>
        </w:rPr>
        <w:t>Тиазолидиндионы</w:t>
      </w:r>
    </w:p>
    <w:p w:rsidR="00D27BC6" w:rsidRDefault="004D5071">
      <w:pPr>
        <w:ind w:left="-11" w:right="0" w:firstLine="283"/>
      </w:pPr>
      <w:r>
        <w:t>Тиазолидиндионы не рекомендованы при СД и симптомах ХСН, так как эти препараты приводят к задержке натрия и воды и повышают риск декомпенсации ХСН.</w:t>
      </w:r>
    </w:p>
    <w:p w:rsidR="00D27BC6" w:rsidRDefault="004D5071">
      <w:pPr>
        <w:spacing w:after="3" w:line="259" w:lineRule="auto"/>
        <w:ind w:left="280" w:right="0"/>
        <w:jc w:val="left"/>
      </w:pPr>
      <w:r>
        <w:rPr>
          <w:b/>
          <w:i/>
        </w:rPr>
        <w:t xml:space="preserve">Инсулины </w:t>
      </w:r>
    </w:p>
    <w:p w:rsidR="00D27BC6" w:rsidRDefault="004D5071">
      <w:pPr>
        <w:spacing w:after="330"/>
        <w:ind w:left="-11" w:right="0" w:firstLine="283"/>
      </w:pPr>
      <w:r>
        <w:t>У пациентов с тяжел</w:t>
      </w:r>
      <w:r>
        <w:t>ой ХСН использование инсулина независимо ассоциировано с более плохим прогнозом. Однако в РКИ у пациентов с СД 2 типа или НГН или НТГ инсулин не увеличивал риск развития ХСН. Если пациенту с ХСН необходимо назначение инсулина после инициации следует монито</w:t>
      </w:r>
      <w:r>
        <w:t>рировать признаки ухудшения ХСН.</w:t>
      </w:r>
    </w:p>
    <w:p w:rsidR="00D27BC6" w:rsidRDefault="004D5071">
      <w:pPr>
        <w:pBdr>
          <w:top w:val="single" w:sz="8" w:space="0" w:color="000000"/>
          <w:left w:val="single" w:sz="8" w:space="0" w:color="000000"/>
          <w:bottom w:val="single" w:sz="8" w:space="0" w:color="000000"/>
          <w:right w:val="single" w:sz="8" w:space="0" w:color="000000"/>
        </w:pBdr>
        <w:spacing w:after="531"/>
        <w:ind w:left="159" w:right="144"/>
        <w:jc w:val="center"/>
      </w:pPr>
      <w:r>
        <w:rPr>
          <w:b/>
        </w:rPr>
        <w:t>Лечение больных СД с ХСН должно осуществляться совместно эндокринологом и кардиологом</w:t>
      </w:r>
    </w:p>
    <w:p w:rsidR="00D27BC6" w:rsidRDefault="004D5071">
      <w:pPr>
        <w:pStyle w:val="Heading1"/>
        <w:spacing w:after="280"/>
        <w:ind w:left="313" w:right="309"/>
      </w:pPr>
      <w:r>
        <w:t>12. ДИАБЕТИЧЕСКАЯ НЕЙРОПАТИЯ</w:t>
      </w:r>
    </w:p>
    <w:p w:rsidR="00D27BC6" w:rsidRDefault="004D5071">
      <w:pPr>
        <w:pBdr>
          <w:top w:val="single" w:sz="8" w:space="0" w:color="000000"/>
          <w:left w:val="single" w:sz="8" w:space="0" w:color="000000"/>
          <w:bottom w:val="single" w:sz="8" w:space="0" w:color="000000"/>
          <w:right w:val="single" w:sz="8" w:space="0" w:color="000000"/>
        </w:pBdr>
        <w:spacing w:after="445"/>
        <w:ind w:left="120" w:right="114"/>
      </w:pPr>
      <w:r>
        <w:rPr>
          <w:b/>
        </w:rPr>
        <w:t>Диабетическая нейропатия</w:t>
      </w:r>
      <w:r>
        <w:t xml:space="preserve"> – комплекс клинических и субклинических синдромов, каждый из которых характеризуется диффузным или очаговым поражением периферических и/или автономных нервных волокон в результате СД.</w:t>
      </w:r>
    </w:p>
    <w:p w:rsidR="00D27BC6" w:rsidRDefault="004D5071">
      <w:pPr>
        <w:pStyle w:val="Heading2"/>
        <w:spacing w:after="229" w:line="248" w:lineRule="auto"/>
        <w:ind w:left="162" w:right="156"/>
        <w:jc w:val="center"/>
      </w:pPr>
      <w:r>
        <w:rPr>
          <w:color w:val="1E5D99"/>
        </w:rPr>
        <w:t>Классификация</w:t>
      </w:r>
    </w:p>
    <w:p w:rsidR="00D27BC6" w:rsidRDefault="004D5071">
      <w:pPr>
        <w:ind w:left="-1" w:right="0"/>
      </w:pPr>
      <w:r>
        <w:t>А. Диффузная нейропатия</w:t>
      </w:r>
    </w:p>
    <w:p w:rsidR="00D27BC6" w:rsidRDefault="004D5071">
      <w:pPr>
        <w:numPr>
          <w:ilvl w:val="0"/>
          <w:numId w:val="103"/>
        </w:numPr>
        <w:ind w:left="568" w:right="0" w:hanging="283"/>
      </w:pPr>
      <w:r>
        <w:t>Дистальная нейропатия</w:t>
      </w:r>
    </w:p>
    <w:p w:rsidR="00D27BC6" w:rsidRDefault="004D5071">
      <w:pPr>
        <w:numPr>
          <w:ilvl w:val="1"/>
          <w:numId w:val="103"/>
        </w:numPr>
        <w:ind w:right="0" w:hanging="283"/>
      </w:pPr>
      <w:r>
        <w:t>С преимущес</w:t>
      </w:r>
      <w:r>
        <w:t>твенным поражением тонких нервных волокон (сенсорная)</w:t>
      </w:r>
    </w:p>
    <w:p w:rsidR="00D27BC6" w:rsidRDefault="004D5071">
      <w:pPr>
        <w:numPr>
          <w:ilvl w:val="1"/>
          <w:numId w:val="103"/>
        </w:numPr>
        <w:ind w:right="0" w:hanging="283"/>
      </w:pPr>
      <w:r>
        <w:t>С преимущественным поражением толстых нервных волокон (моторная)</w:t>
      </w:r>
    </w:p>
    <w:p w:rsidR="00D27BC6" w:rsidRDefault="004D5071">
      <w:pPr>
        <w:numPr>
          <w:ilvl w:val="1"/>
          <w:numId w:val="103"/>
        </w:numPr>
        <w:ind w:right="0" w:hanging="283"/>
      </w:pPr>
      <w:r>
        <w:t>Смешанная (сенсо-моторная – наиболее распространенная)</w:t>
      </w:r>
    </w:p>
    <w:p w:rsidR="00D27BC6" w:rsidRDefault="004D5071">
      <w:pPr>
        <w:numPr>
          <w:ilvl w:val="0"/>
          <w:numId w:val="103"/>
        </w:numPr>
        <w:ind w:left="568" w:right="0" w:hanging="283"/>
      </w:pPr>
      <w:r>
        <w:t>Автономная нейропатия</w:t>
      </w:r>
    </w:p>
    <w:p w:rsidR="00D27BC6" w:rsidRDefault="004D5071">
      <w:pPr>
        <w:numPr>
          <w:ilvl w:val="1"/>
          <w:numId w:val="103"/>
        </w:numPr>
        <w:ind w:right="0" w:hanging="283"/>
      </w:pPr>
      <w:r>
        <w:t>Кардиоваскулярная</w:t>
      </w:r>
    </w:p>
    <w:p w:rsidR="00D27BC6" w:rsidRDefault="004D5071">
      <w:pPr>
        <w:numPr>
          <w:ilvl w:val="2"/>
          <w:numId w:val="103"/>
        </w:numPr>
        <w:ind w:right="0" w:hanging="283"/>
      </w:pPr>
      <w:r>
        <w:t>Снижение вариабельности сердечного ритма</w:t>
      </w:r>
    </w:p>
    <w:p w:rsidR="00D27BC6" w:rsidRDefault="004D5071">
      <w:pPr>
        <w:numPr>
          <w:ilvl w:val="2"/>
          <w:numId w:val="103"/>
        </w:numPr>
        <w:ind w:right="0" w:hanging="283"/>
      </w:pPr>
      <w:r>
        <w:t>Тахикардия покоя</w:t>
      </w:r>
    </w:p>
    <w:p w:rsidR="00D27BC6" w:rsidRDefault="004D5071">
      <w:pPr>
        <w:numPr>
          <w:ilvl w:val="2"/>
          <w:numId w:val="103"/>
        </w:numPr>
        <w:ind w:right="0" w:hanging="283"/>
      </w:pPr>
      <w:r>
        <w:t>Ортостатическая гипотензия</w:t>
      </w:r>
    </w:p>
    <w:p w:rsidR="00D27BC6" w:rsidRDefault="004D5071">
      <w:pPr>
        <w:numPr>
          <w:ilvl w:val="2"/>
          <w:numId w:val="103"/>
        </w:numPr>
        <w:ind w:right="0" w:hanging="283"/>
      </w:pPr>
      <w:r>
        <w:t>Внезапная смерть (злокачественная аритмия)</w:t>
      </w:r>
    </w:p>
    <w:p w:rsidR="00D27BC6" w:rsidRDefault="004D5071">
      <w:pPr>
        <w:numPr>
          <w:ilvl w:val="1"/>
          <w:numId w:val="103"/>
        </w:numPr>
        <w:ind w:right="0" w:hanging="283"/>
      </w:pPr>
      <w:r>
        <w:t>Гастроинтестинальная</w:t>
      </w:r>
    </w:p>
    <w:p w:rsidR="00D27BC6" w:rsidRDefault="004D5071">
      <w:pPr>
        <w:numPr>
          <w:ilvl w:val="2"/>
          <w:numId w:val="103"/>
        </w:numPr>
        <w:ind w:right="0" w:hanging="283"/>
      </w:pPr>
      <w:r>
        <w:t>Диабетический гастропарез (гастропатия)</w:t>
      </w:r>
    </w:p>
    <w:p w:rsidR="00D27BC6" w:rsidRDefault="004D5071">
      <w:pPr>
        <w:numPr>
          <w:ilvl w:val="2"/>
          <w:numId w:val="103"/>
        </w:numPr>
        <w:ind w:right="0" w:hanging="283"/>
      </w:pPr>
      <w:r>
        <w:t>Диабетическая энтеропатия (диарея)</w:t>
      </w:r>
    </w:p>
    <w:p w:rsidR="00D27BC6" w:rsidRDefault="004D5071">
      <w:pPr>
        <w:numPr>
          <w:ilvl w:val="2"/>
          <w:numId w:val="103"/>
        </w:numPr>
        <w:ind w:right="0" w:hanging="283"/>
      </w:pPr>
      <w:r>
        <w:t>Снижение моторики толстого кишечника (констипация)</w:t>
      </w:r>
    </w:p>
    <w:p w:rsidR="00D27BC6" w:rsidRDefault="004D5071">
      <w:pPr>
        <w:numPr>
          <w:ilvl w:val="1"/>
          <w:numId w:val="103"/>
        </w:numPr>
        <w:ind w:right="0" w:hanging="283"/>
      </w:pPr>
      <w:r>
        <w:t>Урогенитальная</w:t>
      </w:r>
    </w:p>
    <w:p w:rsidR="00D27BC6" w:rsidRDefault="004D5071">
      <w:pPr>
        <w:numPr>
          <w:ilvl w:val="2"/>
          <w:numId w:val="103"/>
        </w:numPr>
        <w:ind w:right="0" w:hanging="283"/>
      </w:pPr>
      <w:r>
        <w:t>Диабетическая цистопатия (нейрогенный мочевой пузырь)</w:t>
      </w:r>
    </w:p>
    <w:p w:rsidR="00D27BC6" w:rsidRDefault="004D5071">
      <w:pPr>
        <w:numPr>
          <w:ilvl w:val="2"/>
          <w:numId w:val="103"/>
        </w:numPr>
        <w:ind w:right="0" w:hanging="283"/>
      </w:pPr>
      <w:r>
        <w:t>Эректильная дисфункция</w:t>
      </w:r>
    </w:p>
    <w:p w:rsidR="00D27BC6" w:rsidRDefault="004D5071">
      <w:pPr>
        <w:numPr>
          <w:ilvl w:val="2"/>
          <w:numId w:val="103"/>
        </w:numPr>
        <w:ind w:right="0" w:hanging="283"/>
      </w:pPr>
      <w:r>
        <w:t>Женская сексуальная дисфункция</w:t>
      </w:r>
    </w:p>
    <w:p w:rsidR="00D27BC6" w:rsidRDefault="004D5071">
      <w:pPr>
        <w:numPr>
          <w:ilvl w:val="1"/>
          <w:numId w:val="103"/>
        </w:numPr>
        <w:ind w:right="0" w:hanging="283"/>
      </w:pPr>
      <w:r>
        <w:t>Судомоторная дисфункция</w:t>
      </w:r>
    </w:p>
    <w:p w:rsidR="00D27BC6" w:rsidRDefault="004D5071">
      <w:pPr>
        <w:numPr>
          <w:ilvl w:val="2"/>
          <w:numId w:val="103"/>
        </w:numPr>
        <w:ind w:right="0" w:hanging="283"/>
      </w:pPr>
      <w:r>
        <w:t>Дистальный гипогидроз, ангидроз</w:t>
      </w:r>
    </w:p>
    <w:p w:rsidR="00D27BC6" w:rsidRDefault="004D5071">
      <w:pPr>
        <w:numPr>
          <w:ilvl w:val="1"/>
          <w:numId w:val="103"/>
        </w:numPr>
        <w:ind w:right="0" w:hanging="283"/>
      </w:pPr>
      <w:r>
        <w:t>Нарушение распознавания гипогликемий</w:t>
      </w:r>
    </w:p>
    <w:p w:rsidR="00D27BC6" w:rsidRDefault="004D5071">
      <w:pPr>
        <w:ind w:left="-1" w:right="0"/>
      </w:pPr>
      <w:r>
        <w:t>Б. Мононейропатия (мононевриты различной локализации) (</w:t>
      </w:r>
      <w:r>
        <w:t>атипичные формы)</w:t>
      </w:r>
    </w:p>
    <w:p w:rsidR="00D27BC6" w:rsidRDefault="004D5071">
      <w:pPr>
        <w:numPr>
          <w:ilvl w:val="0"/>
          <w:numId w:val="104"/>
        </w:numPr>
        <w:ind w:left="567" w:right="0" w:hanging="283"/>
      </w:pPr>
      <w:r>
        <w:t>Изолированные поражения черепно-мозговых или периферических нервов</w:t>
      </w:r>
    </w:p>
    <w:p w:rsidR="00D27BC6" w:rsidRDefault="004D5071">
      <w:pPr>
        <w:numPr>
          <w:ilvl w:val="0"/>
          <w:numId w:val="104"/>
        </w:numPr>
        <w:ind w:left="567" w:right="0" w:hanging="283"/>
      </w:pPr>
      <w:r>
        <w:t>Мононевриты различной локализации (в том случае, если полинейропатия исключена)</w:t>
      </w:r>
    </w:p>
    <w:p w:rsidR="00D27BC6" w:rsidRDefault="004D5071">
      <w:pPr>
        <w:ind w:left="-1" w:right="0"/>
      </w:pPr>
      <w:r>
        <w:t>В. Радикулопатия или полирадикулопатия (атипичные формы)</w:t>
      </w:r>
    </w:p>
    <w:p w:rsidR="00D27BC6" w:rsidRDefault="004D5071">
      <w:pPr>
        <w:numPr>
          <w:ilvl w:val="0"/>
          <w:numId w:val="105"/>
        </w:numPr>
        <w:ind w:left="567" w:right="0" w:hanging="283"/>
      </w:pPr>
      <w:r>
        <w:t>Радикулоплексопатия (пояснично-крес</w:t>
      </w:r>
      <w:r>
        <w:t>тцовая полирадикулопатия, проксимальная моторная амиелотрофия)</w:t>
      </w:r>
    </w:p>
    <w:p w:rsidR="00D27BC6" w:rsidRDefault="004D5071">
      <w:pPr>
        <w:numPr>
          <w:ilvl w:val="0"/>
          <w:numId w:val="105"/>
        </w:numPr>
        <w:ind w:left="567" w:right="0" w:hanging="283"/>
      </w:pPr>
      <w:r>
        <w:t>Грудная радикулопатия</w:t>
      </w:r>
    </w:p>
    <w:p w:rsidR="00D27BC6" w:rsidRDefault="004D5071">
      <w:pPr>
        <w:ind w:left="-1" w:right="0"/>
      </w:pPr>
      <w:r>
        <w:t>Г. Недиабетические нейропатии, сопутствующие СД</w:t>
      </w:r>
    </w:p>
    <w:p w:rsidR="00D27BC6" w:rsidRDefault="004D5071">
      <w:pPr>
        <w:numPr>
          <w:ilvl w:val="0"/>
          <w:numId w:val="106"/>
        </w:numPr>
        <w:ind w:right="0" w:hanging="283"/>
      </w:pPr>
      <w:r>
        <w:t>Туннельные синдромы</w:t>
      </w:r>
    </w:p>
    <w:p w:rsidR="00D27BC6" w:rsidRDefault="004D5071">
      <w:pPr>
        <w:numPr>
          <w:ilvl w:val="0"/>
          <w:numId w:val="106"/>
        </w:numPr>
        <w:ind w:right="0" w:hanging="283"/>
      </w:pPr>
      <w:r>
        <w:t>Хроническая воспалительная демиелинизирующая полинейропатия</w:t>
      </w:r>
    </w:p>
    <w:p w:rsidR="00D27BC6" w:rsidRDefault="004D5071">
      <w:pPr>
        <w:numPr>
          <w:ilvl w:val="0"/>
          <w:numId w:val="106"/>
        </w:numPr>
        <w:ind w:right="0" w:hanging="283"/>
      </w:pPr>
      <w:r>
        <w:t>Радикулоплексопатия</w:t>
      </w:r>
    </w:p>
    <w:p w:rsidR="00D27BC6" w:rsidRDefault="004D5071">
      <w:pPr>
        <w:numPr>
          <w:ilvl w:val="0"/>
          <w:numId w:val="106"/>
        </w:numPr>
        <w:spacing w:after="226"/>
        <w:ind w:right="0" w:hanging="283"/>
      </w:pPr>
      <w:r>
        <w:t>Острая болевая нейропатия с поражением тонких нервных волокон</w:t>
      </w:r>
    </w:p>
    <w:p w:rsidR="00D27BC6" w:rsidRDefault="004D5071">
      <w:pPr>
        <w:pStyle w:val="Heading2"/>
        <w:spacing w:after="229" w:line="248" w:lineRule="auto"/>
        <w:ind w:left="162" w:right="159"/>
        <w:jc w:val="center"/>
      </w:pPr>
      <w:r>
        <w:rPr>
          <w:color w:val="1E5D99"/>
        </w:rPr>
        <w:t>Стадии</w:t>
      </w:r>
    </w:p>
    <w:p w:rsidR="00D27BC6" w:rsidRDefault="004D5071">
      <w:pPr>
        <w:numPr>
          <w:ilvl w:val="0"/>
          <w:numId w:val="107"/>
        </w:numPr>
        <w:ind w:right="0" w:hanging="283"/>
      </w:pPr>
      <w:r>
        <w:t>Доклиническая.</w:t>
      </w:r>
    </w:p>
    <w:p w:rsidR="00D27BC6" w:rsidRDefault="004D5071">
      <w:pPr>
        <w:numPr>
          <w:ilvl w:val="0"/>
          <w:numId w:val="107"/>
        </w:numPr>
        <w:ind w:right="0" w:hanging="283"/>
      </w:pPr>
      <w:r>
        <w:t xml:space="preserve">Клинических проявлений. </w:t>
      </w:r>
    </w:p>
    <w:p w:rsidR="00D27BC6" w:rsidRDefault="004D5071">
      <w:pPr>
        <w:numPr>
          <w:ilvl w:val="0"/>
          <w:numId w:val="107"/>
        </w:numPr>
        <w:spacing w:after="226"/>
        <w:ind w:right="0" w:hanging="283"/>
      </w:pPr>
      <w:r>
        <w:t>Осложнений.</w:t>
      </w:r>
    </w:p>
    <w:p w:rsidR="00D27BC6" w:rsidRDefault="004D5071">
      <w:pPr>
        <w:pStyle w:val="Heading2"/>
        <w:spacing w:after="229" w:line="248" w:lineRule="auto"/>
        <w:ind w:left="162" w:right="159"/>
        <w:jc w:val="center"/>
      </w:pPr>
      <w:r>
        <w:rPr>
          <w:color w:val="1E5D99"/>
        </w:rPr>
        <w:t>Группы риска</w:t>
      </w:r>
    </w:p>
    <w:p w:rsidR="00D27BC6" w:rsidRDefault="004D5071">
      <w:pPr>
        <w:numPr>
          <w:ilvl w:val="0"/>
          <w:numId w:val="108"/>
        </w:numPr>
        <w:ind w:right="0" w:hanging="283"/>
      </w:pPr>
      <w:r>
        <w:t>Больные СД 1 типа с недостижением целевых уровней гликемического контроля спустя 5 лет от дебюта заболевания.</w:t>
      </w:r>
    </w:p>
    <w:p w:rsidR="00D27BC6" w:rsidRDefault="004D5071">
      <w:pPr>
        <w:numPr>
          <w:ilvl w:val="0"/>
          <w:numId w:val="108"/>
        </w:numPr>
        <w:spacing w:after="226"/>
        <w:ind w:right="0" w:hanging="283"/>
      </w:pPr>
      <w:r>
        <w:t>Больные СД 2</w:t>
      </w:r>
      <w:r>
        <w:t xml:space="preserve"> типа с момента диагностики заболевания.</w:t>
      </w:r>
    </w:p>
    <w:p w:rsidR="00D27BC6" w:rsidRDefault="004D5071">
      <w:pPr>
        <w:pStyle w:val="Heading2"/>
        <w:spacing w:after="229" w:line="248" w:lineRule="auto"/>
        <w:ind w:left="162" w:right="159"/>
        <w:jc w:val="center"/>
      </w:pPr>
      <w:r>
        <w:rPr>
          <w:color w:val="1E5D99"/>
        </w:rPr>
        <w:t>Скрининг диабетической периферической нейропатии</w:t>
      </w:r>
    </w:p>
    <w:p w:rsidR="00D27BC6" w:rsidRDefault="004D5071">
      <w:pPr>
        <w:spacing w:after="230"/>
        <w:ind w:left="-11" w:right="0" w:firstLine="283"/>
      </w:pPr>
      <w:r>
        <w:t>Проводится у всех пациентов с СД 1 типа спустя 5 лет от дебюта заболевания, а при СД 2 типа – с момента установления диагноза. Скрининговое обследование должно провод</w:t>
      </w:r>
      <w:r>
        <w:t>иться ежегодно.</w:t>
      </w:r>
    </w:p>
    <w:p w:rsidR="00D27BC6" w:rsidRDefault="004D5071">
      <w:pPr>
        <w:pStyle w:val="Heading2"/>
        <w:ind w:left="-3"/>
      </w:pPr>
      <w:r>
        <w:t>Этапность диагностики и лечения</w:t>
      </w:r>
    </w:p>
    <w:tbl>
      <w:tblPr>
        <w:tblStyle w:val="TableGrid"/>
        <w:tblW w:w="10195" w:type="dxa"/>
        <w:tblInd w:w="9" w:type="dxa"/>
        <w:tblCellMar>
          <w:top w:w="9" w:type="dxa"/>
          <w:left w:w="56" w:type="dxa"/>
          <w:bottom w:w="0" w:type="dxa"/>
          <w:right w:w="115" w:type="dxa"/>
        </w:tblCellMar>
        <w:tblLook w:val="04A0" w:firstRow="1" w:lastRow="0" w:firstColumn="1" w:lastColumn="0" w:noHBand="0" w:noVBand="1"/>
      </w:tblPr>
      <w:tblGrid>
        <w:gridCol w:w="5097"/>
        <w:gridCol w:w="5097"/>
      </w:tblGrid>
      <w:tr w:rsidR="00D27BC6">
        <w:trPr>
          <w:trHeight w:val="32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Мероприятия</w:t>
            </w:r>
          </w:p>
        </w:tc>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Кто выполняет</w:t>
            </w:r>
          </w:p>
        </w:tc>
      </w:tr>
      <w:tr w:rsidR="00D27BC6">
        <w:trPr>
          <w:trHeight w:val="359"/>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Выявление групп риска (скрининг)</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Эндокринолог</w:t>
            </w:r>
          </w:p>
        </w:tc>
      </w:tr>
      <w:tr w:rsidR="00D27BC6">
        <w:trPr>
          <w:trHeight w:val="359"/>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Обязательные методы исследования</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Эндокринолог или невролог</w:t>
            </w:r>
          </w:p>
        </w:tc>
      </w:tr>
      <w:tr w:rsidR="00D27BC6">
        <w:trPr>
          <w:trHeight w:val="359"/>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Определение клинической формы нейропатии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Эндокринолог или невролог</w:t>
            </w:r>
          </w:p>
        </w:tc>
      </w:tr>
      <w:tr w:rsidR="00D27BC6">
        <w:trPr>
          <w:trHeight w:val="359"/>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Выбор специфического метода лечения:</w:t>
            </w:r>
          </w:p>
        </w:tc>
        <w:tc>
          <w:tcPr>
            <w:tcW w:w="5097"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359"/>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firstLine="0"/>
              <w:jc w:val="left"/>
            </w:pPr>
            <w:r>
              <w:t>– периферической нейропатии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Невролог или эндокринолог</w:t>
            </w:r>
          </w:p>
        </w:tc>
      </w:tr>
      <w:tr w:rsidR="00D27BC6">
        <w:trPr>
          <w:trHeight w:val="56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70" w:right="0" w:firstLine="0"/>
              <w:jc w:val="left"/>
            </w:pPr>
            <w:r>
              <w:t>– автономной нейропатии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hanging="170"/>
              <w:jc w:val="left"/>
            </w:pPr>
            <w:r>
              <w:t>– Эндокринолог и врачи других специальностей (кардиолог, гастроэнтеролог, уролог и др.)</w:t>
            </w:r>
          </w:p>
        </w:tc>
      </w:tr>
    </w:tbl>
    <w:p w:rsidR="00D27BC6" w:rsidRDefault="004D5071">
      <w:pPr>
        <w:spacing w:after="230"/>
        <w:ind w:left="-11" w:right="0" w:firstLine="283"/>
      </w:pPr>
      <w:r>
        <w:t>Электронейромиография или направление к неврологу крайне редко необходимы на этапе скрининга, за исключением атипичных клинических случаев (нехарактерные клинические признаки, быстрое начало и асимметричность симптомов, подозрение на иную этиологию поражен</w:t>
      </w:r>
      <w:r>
        <w:t>ия нервной системы и т.п.).</w:t>
      </w:r>
    </w:p>
    <w:p w:rsidR="00D27BC6" w:rsidRDefault="004D5071">
      <w:pPr>
        <w:spacing w:after="243" w:line="259" w:lineRule="auto"/>
        <w:ind w:left="10" w:right="4"/>
        <w:jc w:val="center"/>
      </w:pPr>
      <w:r>
        <w:rPr>
          <w:b/>
          <w:color w:val="6F6F6E"/>
          <w:sz w:val="18"/>
          <w:u w:val="single" w:color="6F6F6E"/>
        </w:rPr>
        <w:t>ДИАГНОСТИКА</w:t>
      </w:r>
    </w:p>
    <w:p w:rsidR="00D27BC6" w:rsidRDefault="004D5071">
      <w:pPr>
        <w:ind w:left="295" w:right="0"/>
      </w:pPr>
      <w:r>
        <w:t>Для диагностики диабетической нейропатии применяются следующие методы:</w:t>
      </w:r>
    </w:p>
    <w:p w:rsidR="00D27BC6" w:rsidRDefault="004D5071">
      <w:pPr>
        <w:numPr>
          <w:ilvl w:val="0"/>
          <w:numId w:val="109"/>
        </w:numPr>
        <w:ind w:right="0" w:hanging="283"/>
      </w:pPr>
      <w:r>
        <w:t>Оценка клинических симптомов (жалоб). Характерными считают жалобы на боли в стопах различной интенсивности в покое, чаще в ночные и вечерние часы</w:t>
      </w:r>
      <w:r>
        <w:t xml:space="preserve">, онемение, парестезии, зябкость стоп, судороги в мышцах голеней и стоп. </w:t>
      </w:r>
    </w:p>
    <w:p w:rsidR="00D27BC6" w:rsidRDefault="004D5071">
      <w:pPr>
        <w:numPr>
          <w:ilvl w:val="0"/>
          <w:numId w:val="109"/>
        </w:numPr>
        <w:spacing w:after="230"/>
        <w:ind w:right="0" w:hanging="283"/>
      </w:pPr>
      <w:r>
        <w:t>Определение клинических признаков поражения периферических нервов (осмотр, оценка состояния периферической чувствительности). Осмотр позволяет выявить сухость кожи, атрофию мышц, хар</w:t>
      </w:r>
      <w:r>
        <w:t>актерную деформацию пальцев (молоткообразная деформация). Для оценки периферической чувствительности используют методики, указанные далее в таблице.</w:t>
      </w:r>
    </w:p>
    <w:p w:rsidR="00D27BC6" w:rsidRDefault="004D5071">
      <w:pPr>
        <w:pStyle w:val="Heading2"/>
        <w:ind w:left="-3"/>
      </w:pPr>
      <w:r>
        <w:t>Оцениваемые показатели</w:t>
      </w:r>
    </w:p>
    <w:tbl>
      <w:tblPr>
        <w:tblStyle w:val="TableGrid"/>
        <w:tblW w:w="10191" w:type="dxa"/>
        <w:tblInd w:w="9" w:type="dxa"/>
        <w:tblCellMar>
          <w:top w:w="9" w:type="dxa"/>
          <w:left w:w="56" w:type="dxa"/>
          <w:bottom w:w="0" w:type="dxa"/>
          <w:right w:w="75" w:type="dxa"/>
        </w:tblCellMar>
        <w:tblLook w:val="04A0" w:firstRow="1" w:lastRow="0" w:firstColumn="1" w:lastColumn="0" w:noHBand="0" w:noVBand="1"/>
      </w:tblPr>
      <w:tblGrid>
        <w:gridCol w:w="1467"/>
        <w:gridCol w:w="2908"/>
        <w:gridCol w:w="2908"/>
        <w:gridCol w:w="2908"/>
      </w:tblGrid>
      <w:tr w:rsidR="00D27BC6">
        <w:trPr>
          <w:trHeight w:val="320"/>
        </w:trPr>
        <w:tc>
          <w:tcPr>
            <w:tcW w:w="1467" w:type="dxa"/>
            <w:vMerge w:val="restart"/>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87" w:right="0" w:firstLine="241"/>
              <w:jc w:val="left"/>
            </w:pPr>
            <w:r>
              <w:rPr>
                <w:b/>
              </w:rPr>
              <w:t>Форма нейропатии</w:t>
            </w:r>
          </w:p>
        </w:tc>
        <w:tc>
          <w:tcPr>
            <w:tcW w:w="2908"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38" w:firstLine="0"/>
              <w:jc w:val="center"/>
            </w:pPr>
            <w:r>
              <w:rPr>
                <w:b/>
              </w:rPr>
              <w:t>Клинические проявления</w:t>
            </w:r>
          </w:p>
        </w:tc>
        <w:tc>
          <w:tcPr>
            <w:tcW w:w="5816"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38" w:firstLine="0"/>
              <w:jc w:val="center"/>
            </w:pPr>
            <w:r>
              <w:rPr>
                <w:b/>
              </w:rPr>
              <w:t>Методы</w:t>
            </w:r>
          </w:p>
        </w:tc>
      </w:tr>
      <w:tr w:rsidR="00D27BC6">
        <w:trPr>
          <w:trHeight w:val="32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90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38" w:firstLine="0"/>
              <w:jc w:val="center"/>
            </w:pPr>
            <w:r>
              <w:rPr>
                <w:b/>
              </w:rPr>
              <w:t>Обязательные</w:t>
            </w:r>
          </w:p>
        </w:tc>
        <w:tc>
          <w:tcPr>
            <w:tcW w:w="290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38" w:firstLine="0"/>
              <w:jc w:val="center"/>
            </w:pPr>
            <w:r>
              <w:rPr>
                <w:b/>
              </w:rPr>
              <w:t>Дополнительные</w:t>
            </w:r>
          </w:p>
        </w:tc>
      </w:tr>
      <w:tr w:rsidR="00D27BC6">
        <w:trPr>
          <w:trHeight w:val="320"/>
        </w:trPr>
        <w:tc>
          <w:tcPr>
            <w:tcW w:w="1467"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Сенсорная</w:t>
            </w:r>
          </w:p>
        </w:tc>
        <w:tc>
          <w:tcPr>
            <w:tcW w:w="8724"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Нарушение чувствительности</w:t>
            </w:r>
          </w:p>
        </w:tc>
      </w:tr>
      <w:tr w:rsidR="00D27BC6">
        <w:trPr>
          <w:trHeight w:val="98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90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 Вибрационной</w:t>
            </w:r>
          </w:p>
        </w:tc>
        <w:tc>
          <w:tcPr>
            <w:tcW w:w="290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426" w:firstLine="0"/>
              <w:jc w:val="left"/>
            </w:pPr>
            <w:r>
              <w:t>Градуированный камертон (128 Гц) на медиальной поверхности головки 1-й плюсневой кости</w:t>
            </w:r>
          </w:p>
        </w:tc>
        <w:tc>
          <w:tcPr>
            <w:tcW w:w="290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Биотезиометр</w:t>
            </w:r>
          </w:p>
        </w:tc>
      </w:tr>
      <w:tr w:rsidR="00D27BC6">
        <w:trPr>
          <w:trHeight w:val="54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90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Температурной</w:t>
            </w:r>
          </w:p>
        </w:tc>
        <w:tc>
          <w:tcPr>
            <w:tcW w:w="290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Касание теплым / холодным предметом (ТипТерм)</w:t>
            </w:r>
          </w:p>
        </w:tc>
        <w:tc>
          <w:tcPr>
            <w:tcW w:w="2908"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54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90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Болевой</w:t>
            </w:r>
          </w:p>
        </w:tc>
        <w:tc>
          <w:tcPr>
            <w:tcW w:w="290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3" w:firstLine="0"/>
              <w:jc w:val="left"/>
            </w:pPr>
            <w:r>
              <w:t>Покалывание неврологической иглой</w:t>
            </w:r>
          </w:p>
        </w:tc>
        <w:tc>
          <w:tcPr>
            <w:tcW w:w="2908"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120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90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Тактильной</w:t>
            </w:r>
          </w:p>
        </w:tc>
        <w:tc>
          <w:tcPr>
            <w:tcW w:w="290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Касание монофиламентом (массой 10 г) подошвенной поверхности стопы в проекции головок плюсневых костей и дистальной фаланги 1 пальца</w:t>
            </w:r>
          </w:p>
        </w:tc>
        <w:tc>
          <w:tcPr>
            <w:tcW w:w="2908"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98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90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Проприоцептивной</w:t>
            </w:r>
          </w:p>
        </w:tc>
        <w:tc>
          <w:tcPr>
            <w:tcW w:w="290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Пассивное сгибание в суставах пальцев стопы в положении больного лежа с закрытыми глазами</w:t>
            </w:r>
          </w:p>
        </w:tc>
        <w:tc>
          <w:tcPr>
            <w:tcW w:w="2908"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980"/>
        </w:trPr>
        <w:tc>
          <w:tcPr>
            <w:tcW w:w="146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Моторная</w:t>
            </w:r>
          </w:p>
        </w:tc>
        <w:tc>
          <w:tcPr>
            <w:tcW w:w="2908"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289"/>
              </w:numPr>
              <w:spacing w:after="13" w:line="259" w:lineRule="auto"/>
              <w:ind w:right="0" w:hanging="170"/>
              <w:jc w:val="left"/>
            </w:pPr>
            <w:r>
              <w:t>Мышечная слабость</w:t>
            </w:r>
          </w:p>
          <w:p w:rsidR="00D27BC6" w:rsidRDefault="004D5071">
            <w:pPr>
              <w:numPr>
                <w:ilvl w:val="0"/>
                <w:numId w:val="289"/>
              </w:numPr>
              <w:spacing w:after="0" w:line="259" w:lineRule="auto"/>
              <w:ind w:right="0" w:hanging="170"/>
              <w:jc w:val="left"/>
            </w:pPr>
            <w:r>
              <w:t>Мышечная атрофия</w:t>
            </w:r>
          </w:p>
        </w:tc>
        <w:tc>
          <w:tcPr>
            <w:tcW w:w="290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Определение сухожильных рефлексов (ахиллова, коленного) с помощью неврологического молоточка</w:t>
            </w:r>
          </w:p>
        </w:tc>
        <w:tc>
          <w:tcPr>
            <w:tcW w:w="290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Электронейромиография*</w:t>
            </w:r>
          </w:p>
        </w:tc>
      </w:tr>
      <w:tr w:rsidR="00D27BC6">
        <w:trPr>
          <w:trHeight w:val="540"/>
        </w:trPr>
        <w:tc>
          <w:tcPr>
            <w:tcW w:w="1467"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Автономная (вегетативная)</w:t>
            </w:r>
          </w:p>
        </w:tc>
        <w:tc>
          <w:tcPr>
            <w:tcW w:w="290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Кардиоваскулярная форма</w:t>
            </w:r>
          </w:p>
        </w:tc>
        <w:tc>
          <w:tcPr>
            <w:tcW w:w="5816"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См. раздел 12.1</w:t>
            </w:r>
          </w:p>
          <w:p w:rsidR="00D27BC6" w:rsidRDefault="004D5071">
            <w:pPr>
              <w:spacing w:after="0" w:line="259" w:lineRule="auto"/>
              <w:ind w:left="0" w:right="0" w:firstLine="0"/>
              <w:jc w:val="left"/>
            </w:pPr>
            <w:r>
              <w:t>КАРДИОВАСКУЛЯРНАЯ АВТОНОМНАЯ НЕЙРОПАТИЯ</w:t>
            </w:r>
          </w:p>
        </w:tc>
      </w:tr>
      <w:tr w:rsidR="00D27BC6">
        <w:trPr>
          <w:trHeight w:val="164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90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70" w:right="28" w:hanging="170"/>
              <w:jc w:val="left"/>
            </w:pPr>
            <w:r>
              <w:t>• Гастроинтестинальная форма</w:t>
            </w:r>
          </w:p>
        </w:tc>
        <w:tc>
          <w:tcPr>
            <w:tcW w:w="290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55" w:hanging="170"/>
              <w:jc w:val="left"/>
            </w:pPr>
            <w:r>
              <w:t xml:space="preserve">• </w:t>
            </w:r>
            <w:r>
              <w:t>Опрос и осмотр (дисфагия, боли в животе, чередование диареи и запоров; ночная диарея; ощущение переполнения желудка; боли и тяжесть в правом подреберье, тошнота)</w:t>
            </w:r>
          </w:p>
        </w:tc>
        <w:tc>
          <w:tcPr>
            <w:tcW w:w="2908"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290"/>
              </w:numPr>
              <w:spacing w:after="57" w:line="216" w:lineRule="auto"/>
              <w:ind w:right="0" w:hanging="170"/>
              <w:jc w:val="left"/>
            </w:pPr>
            <w:r>
              <w:t>Рентгенография желудочно- кишечного тракта</w:t>
            </w:r>
          </w:p>
          <w:p w:rsidR="00D27BC6" w:rsidRDefault="004D5071">
            <w:pPr>
              <w:numPr>
                <w:ilvl w:val="0"/>
                <w:numId w:val="290"/>
              </w:numPr>
              <w:spacing w:after="13" w:line="259" w:lineRule="auto"/>
              <w:ind w:right="0" w:hanging="170"/>
              <w:jc w:val="left"/>
            </w:pPr>
            <w:r>
              <w:t>Эзофагогастродуоденоскопия</w:t>
            </w:r>
          </w:p>
          <w:p w:rsidR="00D27BC6" w:rsidRDefault="004D5071">
            <w:pPr>
              <w:numPr>
                <w:ilvl w:val="0"/>
                <w:numId w:val="290"/>
              </w:numPr>
              <w:spacing w:after="13" w:line="259" w:lineRule="auto"/>
              <w:ind w:right="0" w:hanging="170"/>
              <w:jc w:val="left"/>
            </w:pPr>
            <w:r>
              <w:t>Сцинтиграфия желудка</w:t>
            </w:r>
          </w:p>
          <w:p w:rsidR="00D27BC6" w:rsidRDefault="004D5071">
            <w:pPr>
              <w:numPr>
                <w:ilvl w:val="0"/>
                <w:numId w:val="290"/>
              </w:numPr>
              <w:spacing w:after="0" w:line="259" w:lineRule="auto"/>
              <w:ind w:right="0" w:hanging="170"/>
              <w:jc w:val="left"/>
            </w:pPr>
            <w:r>
              <w:t>Эле</w:t>
            </w:r>
            <w:r>
              <w:t>ктрогастро-графия</w:t>
            </w:r>
          </w:p>
        </w:tc>
      </w:tr>
      <w:tr w:rsidR="00D27BC6">
        <w:trPr>
          <w:trHeight w:val="1752"/>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90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Урогенитальная форма</w:t>
            </w:r>
          </w:p>
        </w:tc>
        <w:tc>
          <w:tcPr>
            <w:tcW w:w="290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70" w:right="0" w:hanging="170"/>
              <w:jc w:val="left"/>
            </w:pPr>
            <w:r>
              <w:t>• Опрос и осмотр (отсутствие позывов к мочеиспусканию, проявления эректильной дисфункции; ретроградная эякуляция)</w:t>
            </w:r>
          </w:p>
        </w:tc>
        <w:tc>
          <w:tcPr>
            <w:tcW w:w="2908"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291"/>
              </w:numPr>
              <w:spacing w:after="13" w:line="259" w:lineRule="auto"/>
              <w:ind w:right="0" w:hanging="170"/>
              <w:jc w:val="left"/>
            </w:pPr>
            <w:r>
              <w:t>Урофлоуметрия</w:t>
            </w:r>
          </w:p>
          <w:p w:rsidR="00D27BC6" w:rsidRDefault="004D5071">
            <w:pPr>
              <w:numPr>
                <w:ilvl w:val="0"/>
                <w:numId w:val="291"/>
              </w:numPr>
              <w:spacing w:after="0" w:line="259" w:lineRule="auto"/>
              <w:ind w:right="0" w:hanging="170"/>
              <w:jc w:val="left"/>
            </w:pPr>
            <w:r>
              <w:t xml:space="preserve">УЗИ мочевого пузыря </w:t>
            </w:r>
          </w:p>
          <w:p w:rsidR="00D27BC6" w:rsidRDefault="004D5071">
            <w:pPr>
              <w:spacing w:after="13" w:line="259" w:lineRule="auto"/>
              <w:ind w:left="170" w:right="0" w:firstLine="0"/>
              <w:jc w:val="left"/>
            </w:pPr>
            <w:r>
              <w:t>(объем остаточной мочи)</w:t>
            </w:r>
          </w:p>
          <w:p w:rsidR="00D27BC6" w:rsidRDefault="004D5071">
            <w:pPr>
              <w:numPr>
                <w:ilvl w:val="0"/>
                <w:numId w:val="291"/>
              </w:numPr>
              <w:spacing w:after="0" w:line="259" w:lineRule="auto"/>
              <w:ind w:right="0" w:hanging="170"/>
              <w:jc w:val="left"/>
            </w:pPr>
            <w:r>
              <w:t>УЗДГ и дуплексное сканирование сосудов полового члена</w:t>
            </w:r>
          </w:p>
        </w:tc>
      </w:tr>
    </w:tbl>
    <w:p w:rsidR="00D27BC6" w:rsidRDefault="004D5071">
      <w:pPr>
        <w:spacing w:after="4"/>
        <w:ind w:left="-3" w:right="0"/>
      </w:pPr>
      <w:r>
        <w:rPr>
          <w:sz w:val="18"/>
        </w:rPr>
        <w:t>*</w:t>
      </w:r>
      <w:r>
        <w:rPr>
          <w:sz w:val="16"/>
        </w:rPr>
        <w:t xml:space="preserve"> Электронейромиография абсолютно показана при неэффективности стандартной терапии диабетической нейропатии в течение 6 мес. для выявления редко встречающихся форм поражения периферических нервов при СД или сопутствующей неврологической патологии.</w:t>
      </w:r>
    </w:p>
    <w:p w:rsidR="00D27BC6" w:rsidRDefault="004D5071">
      <w:pPr>
        <w:pStyle w:val="Heading2"/>
        <w:ind w:left="-3"/>
      </w:pPr>
      <w:r>
        <w:t>Показател</w:t>
      </w:r>
      <w:r>
        <w:t>и периферической чувствительности</w:t>
      </w:r>
    </w:p>
    <w:tbl>
      <w:tblPr>
        <w:tblStyle w:val="TableGrid"/>
        <w:tblW w:w="10195" w:type="dxa"/>
        <w:tblInd w:w="9" w:type="dxa"/>
        <w:tblCellMar>
          <w:top w:w="9" w:type="dxa"/>
          <w:left w:w="56" w:type="dxa"/>
          <w:bottom w:w="41" w:type="dxa"/>
          <w:right w:w="68" w:type="dxa"/>
        </w:tblCellMar>
        <w:tblLook w:val="04A0" w:firstRow="1" w:lastRow="0" w:firstColumn="1" w:lastColumn="0" w:noHBand="0" w:noVBand="1"/>
      </w:tblPr>
      <w:tblGrid>
        <w:gridCol w:w="5097"/>
        <w:gridCol w:w="5097"/>
      </w:tblGrid>
      <w:tr w:rsidR="00D27BC6">
        <w:trPr>
          <w:trHeight w:val="56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Методы диагностики состояния периферической чувствительности</w:t>
            </w:r>
          </w:p>
        </w:tc>
        <w:tc>
          <w:tcPr>
            <w:tcW w:w="5097"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12" w:right="0" w:firstLine="0"/>
              <w:jc w:val="center"/>
            </w:pPr>
            <w:r>
              <w:rPr>
                <w:b/>
              </w:rPr>
              <w:t>Показатели периферической чувствительности</w:t>
            </w:r>
          </w:p>
        </w:tc>
      </w:tr>
      <w:tr w:rsidR="00D27BC6">
        <w:trPr>
          <w:trHeight w:val="1931"/>
        </w:trPr>
        <w:tc>
          <w:tcPr>
            <w:tcW w:w="5097" w:type="dxa"/>
            <w:tcBorders>
              <w:top w:val="single" w:sz="6" w:space="0" w:color="000000"/>
              <w:left w:val="single" w:sz="6" w:space="0" w:color="000000"/>
              <w:bottom w:val="nil"/>
              <w:right w:val="single" w:sz="6" w:space="0" w:color="000000"/>
            </w:tcBorders>
          </w:tcPr>
          <w:p w:rsidR="00D27BC6" w:rsidRDefault="004D5071">
            <w:pPr>
              <w:spacing w:after="90" w:line="259" w:lineRule="auto"/>
              <w:ind w:left="0" w:right="0" w:firstLine="0"/>
              <w:jc w:val="left"/>
            </w:pPr>
            <w:r>
              <w:t>Оценка вибрационной чувствительности</w:t>
            </w:r>
          </w:p>
          <w:p w:rsidR="00D27BC6" w:rsidRDefault="004D5071">
            <w:pPr>
              <w:spacing w:after="80" w:line="236" w:lineRule="auto"/>
              <w:ind w:left="170" w:right="0" w:hanging="170"/>
              <w:jc w:val="left"/>
            </w:pPr>
            <w:r>
              <w:t>• по градуированному камертону 128 Гц в разных возрастных группах:</w:t>
            </w:r>
          </w:p>
          <w:p w:rsidR="00D27BC6" w:rsidRDefault="004D5071">
            <w:pPr>
              <w:spacing w:after="0" w:line="259" w:lineRule="auto"/>
              <w:ind w:left="170" w:right="0" w:firstLine="0"/>
              <w:jc w:val="left"/>
            </w:pPr>
            <w:r>
              <w:t>18–40 лет</w:t>
            </w:r>
          </w:p>
          <w:p w:rsidR="00D27BC6" w:rsidRDefault="004D5071">
            <w:pPr>
              <w:spacing w:after="0" w:line="236" w:lineRule="auto"/>
              <w:ind w:left="170" w:right="3456" w:firstLine="0"/>
              <w:jc w:val="left"/>
            </w:pPr>
            <w:r>
              <w:t>41–60 лет 61–71 год</w:t>
            </w:r>
          </w:p>
          <w:p w:rsidR="00D27BC6" w:rsidRDefault="004D5071">
            <w:pPr>
              <w:spacing w:after="0" w:line="259" w:lineRule="auto"/>
              <w:ind w:left="170" w:right="0" w:firstLine="0"/>
              <w:jc w:val="left"/>
            </w:pPr>
            <w:r>
              <w:t>72 года и старше</w:t>
            </w:r>
          </w:p>
        </w:tc>
        <w:tc>
          <w:tcPr>
            <w:tcW w:w="5097" w:type="dxa"/>
            <w:tcBorders>
              <w:top w:val="single" w:sz="6" w:space="0" w:color="000000"/>
              <w:left w:val="single" w:sz="6" w:space="0" w:color="000000"/>
              <w:bottom w:val="nil"/>
              <w:right w:val="single" w:sz="6" w:space="0" w:color="000000"/>
            </w:tcBorders>
            <w:vAlign w:val="bottom"/>
          </w:tcPr>
          <w:p w:rsidR="00D27BC6" w:rsidRDefault="004D5071">
            <w:pPr>
              <w:spacing w:after="0" w:line="259" w:lineRule="auto"/>
              <w:ind w:left="0" w:right="0" w:firstLine="0"/>
              <w:jc w:val="left"/>
            </w:pPr>
            <w:r>
              <w:t>5–8 ед.</w:t>
            </w:r>
          </w:p>
          <w:p w:rsidR="00D27BC6" w:rsidRDefault="004D5071">
            <w:pPr>
              <w:spacing w:after="0" w:line="259" w:lineRule="auto"/>
              <w:ind w:left="0" w:right="0" w:firstLine="0"/>
              <w:jc w:val="left"/>
            </w:pPr>
            <w:r>
              <w:t>4–8 ед.</w:t>
            </w:r>
          </w:p>
          <w:p w:rsidR="00D27BC6" w:rsidRDefault="004D5071">
            <w:pPr>
              <w:spacing w:after="0" w:line="259" w:lineRule="auto"/>
              <w:ind w:left="0" w:right="0" w:firstLine="0"/>
              <w:jc w:val="left"/>
            </w:pPr>
            <w:r>
              <w:t>3–8 ед.</w:t>
            </w:r>
          </w:p>
          <w:p w:rsidR="00D27BC6" w:rsidRDefault="004D5071">
            <w:pPr>
              <w:spacing w:after="0" w:line="259" w:lineRule="auto"/>
              <w:ind w:left="0" w:right="0" w:firstLine="0"/>
              <w:jc w:val="left"/>
            </w:pPr>
            <w:r>
              <w:t>2–8 ед.</w:t>
            </w:r>
          </w:p>
        </w:tc>
      </w:tr>
      <w:tr w:rsidR="00D27BC6">
        <w:trPr>
          <w:trHeight w:val="585"/>
        </w:trPr>
        <w:tc>
          <w:tcPr>
            <w:tcW w:w="5097" w:type="dxa"/>
            <w:tcBorders>
              <w:top w:val="nil"/>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по биотезиометру</w:t>
            </w:r>
          </w:p>
        </w:tc>
        <w:tc>
          <w:tcPr>
            <w:tcW w:w="5097" w:type="dxa"/>
            <w:tcBorders>
              <w:top w:val="nil"/>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10–25 В – умеренная нейропатия</w:t>
            </w:r>
          </w:p>
          <w:p w:rsidR="00D27BC6" w:rsidRDefault="004D5071">
            <w:pPr>
              <w:spacing w:after="0" w:line="259" w:lineRule="auto"/>
              <w:ind w:left="0" w:right="0" w:firstLine="0"/>
              <w:jc w:val="left"/>
            </w:pPr>
            <w:r>
              <w:t>&gt;25 В – выраженная нейропатия</w:t>
            </w:r>
          </w:p>
        </w:tc>
      </w:tr>
      <w:tr w:rsidR="00D27BC6">
        <w:trPr>
          <w:trHeight w:val="1153"/>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59" w:firstLine="0"/>
              <w:jc w:val="left"/>
            </w:pPr>
            <w:r>
              <w:t>Оценка температурной чувствительности (ТипТерм, касание теплым/холодным предметом с разницей t не более 2С</w:t>
            </w:r>
            <w:r>
              <w:rPr>
                <w:sz w:val="18"/>
                <w:vertAlign w:val="superscript"/>
              </w:rPr>
              <w:t>о</w:t>
            </w:r>
            <w:r>
              <w:t>)</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pPr>
            <w:r>
              <w:t>Не чувствует разницы температур – признак нейропатии</w:t>
            </w:r>
          </w:p>
        </w:tc>
      </w:tr>
      <w:tr w:rsidR="00D27BC6">
        <w:trPr>
          <w:trHeight w:val="1153"/>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Оценка тактильной чувствительности с помощью монофиламента 10 г.</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113" w:line="236" w:lineRule="auto"/>
              <w:ind w:left="0" w:right="0" w:firstLine="0"/>
              <w:jc w:val="left"/>
            </w:pPr>
            <w:r>
              <w:t>Чувствительность не нарушена, если пациент ощущает более 2-х прикосновений из 3-х</w:t>
            </w:r>
          </w:p>
          <w:p w:rsidR="00D27BC6" w:rsidRDefault="004D5071">
            <w:pPr>
              <w:spacing w:after="0" w:line="259" w:lineRule="auto"/>
              <w:ind w:left="0" w:right="0" w:firstLine="0"/>
              <w:jc w:val="left"/>
            </w:pPr>
            <w:r>
              <w:t>Чувствительность нарушена, если пациент чувствует менее 2-х прикосновений из 3-х</w:t>
            </w:r>
          </w:p>
        </w:tc>
      </w:tr>
      <w:tr w:rsidR="00D27BC6">
        <w:trPr>
          <w:trHeight w:val="1153"/>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Оценка болевой чувствительности с помощью неврологической иглы</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119" w:firstLine="0"/>
              <w:jc w:val="left"/>
            </w:pPr>
            <w:r>
              <w:t>Чувствует более 2-х покалываний из 3-х – нет снижения чувствительности, чувствует менее 2-х покалываний из 3-х – чувствительность снижена</w:t>
            </w:r>
          </w:p>
        </w:tc>
      </w:tr>
    </w:tbl>
    <w:p w:rsidR="00D27BC6" w:rsidRDefault="004D5071">
      <w:pPr>
        <w:ind w:left="-11" w:right="0" w:firstLine="283"/>
      </w:pPr>
      <w:r>
        <w:t>Для диагностики симметричной полинейропатии достаточно тщательно собранного анамнеза, определения порога температурно</w:t>
      </w:r>
      <w:r>
        <w:t>й (или тактильной) чувствительности, а также вибрационной чувствительности с помощью градуированного камертона 128 Гц.</w:t>
      </w:r>
    </w:p>
    <w:p w:rsidR="00D27BC6" w:rsidRDefault="004D5071">
      <w:pPr>
        <w:ind w:left="-11" w:right="0" w:firstLine="283"/>
      </w:pPr>
      <w:r>
        <w:t>Всем пациентам необходимо проводить исследование с помощью монофиламента 10 г для определения риска формирования трофических язв стоп и а</w:t>
      </w:r>
      <w:r>
        <w:t>мпутации.</w:t>
      </w:r>
    </w:p>
    <w:p w:rsidR="00D27BC6" w:rsidRDefault="004D5071">
      <w:pPr>
        <w:spacing w:after="230"/>
        <w:ind w:left="-11" w:right="0" w:firstLine="283"/>
      </w:pPr>
      <w:r>
        <w:t>Необходимо выявлять возможные симптомы и признаки автономной нейропатии у пациентов с диабетическими микроангиопатиями.</w:t>
      </w:r>
    </w:p>
    <w:p w:rsidR="00D27BC6" w:rsidRDefault="004D5071">
      <w:pPr>
        <w:ind w:left="281" w:right="51"/>
        <w:jc w:val="left"/>
      </w:pPr>
      <w:r>
        <w:rPr>
          <w:b/>
        </w:rPr>
        <w:t>Для диагностики диабетической нейропатии можно использовать диагностические шкалы, например:</w:t>
      </w:r>
    </w:p>
    <w:p w:rsidR="00D27BC6" w:rsidRDefault="004D5071">
      <w:pPr>
        <w:numPr>
          <w:ilvl w:val="0"/>
          <w:numId w:val="110"/>
        </w:numPr>
        <w:ind w:right="0" w:hanging="283"/>
      </w:pPr>
      <w:r>
        <w:t>шкала симптомов нейропатии (Neuropathy Symptom Score, NSS). Сумма баллов &gt;5 говорит о наличии выраженной нейропатии (см. приложение 12);</w:t>
      </w:r>
    </w:p>
    <w:p w:rsidR="00D27BC6" w:rsidRDefault="004D5071">
      <w:pPr>
        <w:numPr>
          <w:ilvl w:val="0"/>
          <w:numId w:val="110"/>
        </w:numPr>
        <w:ind w:right="0" w:hanging="283"/>
      </w:pPr>
      <w:r>
        <w:t>визуально-аналоговая шкала (для оценки болевого синдрома);</w:t>
      </w:r>
    </w:p>
    <w:p w:rsidR="00D27BC6" w:rsidRDefault="004D5071">
      <w:pPr>
        <w:numPr>
          <w:ilvl w:val="0"/>
          <w:numId w:val="110"/>
        </w:numPr>
        <w:ind w:right="0" w:hanging="283"/>
      </w:pPr>
      <w:r>
        <w:t xml:space="preserve">Мичиганский опросник для скрининга нейропатии (The Michigan </w:t>
      </w:r>
      <w:r>
        <w:t>Neuropath Screening Instrument, MNSI). При суммарном индексе вопросов 7 и более высока вероятность нейропатии и рекомендовано физикальное обследование; общий балл по шкале физикального осмотра более 2,5 подтверждает наличие нейропатии (см. приложение 13);</w:t>
      </w:r>
    </w:p>
    <w:p w:rsidR="00D27BC6" w:rsidRDefault="004D5071">
      <w:pPr>
        <w:numPr>
          <w:ilvl w:val="0"/>
          <w:numId w:val="110"/>
        </w:numPr>
        <w:spacing w:after="230"/>
        <w:ind w:right="0" w:hanging="283"/>
      </w:pPr>
      <w:r>
        <w:t>Опросник DN4 для диагностики болевой нейропатии. Сумма баллов &gt; 4 свидетельствует о нейропатическом характере боли (приложение 14).</w:t>
      </w:r>
    </w:p>
    <w:p w:rsidR="00D27BC6" w:rsidRDefault="004D5071">
      <w:pPr>
        <w:pStyle w:val="Heading3"/>
        <w:spacing w:after="426"/>
        <w:ind w:left="162" w:right="156"/>
      </w:pPr>
      <w:r>
        <w:t>Лечение болевой формы диабетической нейропатии</w:t>
      </w:r>
    </w:p>
    <w:p w:rsidR="00D27BC6" w:rsidRDefault="004D5071">
      <w:pPr>
        <w:pBdr>
          <w:top w:val="single" w:sz="8" w:space="0" w:color="000000"/>
          <w:left w:val="single" w:sz="8" w:space="0" w:color="000000"/>
          <w:bottom w:val="single" w:sz="8" w:space="0" w:color="000000"/>
          <w:right w:val="single" w:sz="8" w:space="0" w:color="000000"/>
        </w:pBdr>
        <w:spacing w:after="522" w:line="236" w:lineRule="auto"/>
        <w:ind w:left="120" w:right="104"/>
      </w:pPr>
      <w:r>
        <w:rPr>
          <w:b/>
        </w:rPr>
        <w:t>Основой успешного лечения диабетической нейропатии является достижение и подд</w:t>
      </w:r>
      <w:r>
        <w:rPr>
          <w:b/>
        </w:rPr>
        <w:t>ержание индивидуальных целевых показателей гликемического контроля.</w:t>
      </w:r>
    </w:p>
    <w:p w:rsidR="00D27BC6" w:rsidRDefault="004D5071">
      <w:pPr>
        <w:ind w:left="-11" w:right="0" w:firstLine="283"/>
      </w:pPr>
      <w:r>
        <w:t>Оптимизация гликемического контроля позволяет предотвратить или отсрочить развитие полинейропатии у пациентов с СД 1 типа и замедлить ее прогрессирование у больных СД 2 типа.</w:t>
      </w:r>
    </w:p>
    <w:p w:rsidR="00D27BC6" w:rsidRDefault="004D5071">
      <w:pPr>
        <w:spacing w:after="343" w:line="259" w:lineRule="auto"/>
        <w:ind w:left="500" w:right="0" w:firstLine="0"/>
        <w:jc w:val="left"/>
      </w:pPr>
      <w:r>
        <w:rPr>
          <w:noProof/>
          <w:sz w:val="22"/>
        </w:rPr>
        <mc:AlternateContent>
          <mc:Choice Requires="wpg">
            <w:drawing>
              <wp:inline distT="0" distB="0" distL="0" distR="0">
                <wp:extent cx="5910443" cy="3273286"/>
                <wp:effectExtent l="0" t="0" r="0" b="0"/>
                <wp:docPr id="299546" name="Group 299546"/>
                <wp:cNvGraphicFramePr/>
                <a:graphic xmlns:a="http://schemas.openxmlformats.org/drawingml/2006/main">
                  <a:graphicData uri="http://schemas.microsoft.com/office/word/2010/wordprocessingGroup">
                    <wpg:wgp>
                      <wpg:cNvGrpSpPr/>
                      <wpg:grpSpPr>
                        <a:xfrm>
                          <a:off x="0" y="0"/>
                          <a:ext cx="5910443" cy="3273286"/>
                          <a:chOff x="0" y="0"/>
                          <a:chExt cx="5910443" cy="3273286"/>
                        </a:xfrm>
                      </wpg:grpSpPr>
                      <wps:wsp>
                        <wps:cNvPr id="16886" name="Rectangle 16886"/>
                        <wps:cNvSpPr/>
                        <wps:spPr>
                          <a:xfrm>
                            <a:off x="784255" y="51139"/>
                            <a:ext cx="1765430" cy="203030"/>
                          </a:xfrm>
                          <a:prstGeom prst="rect">
                            <a:avLst/>
                          </a:prstGeom>
                          <a:ln>
                            <a:noFill/>
                          </a:ln>
                        </wps:spPr>
                        <wps:txbx>
                          <w:txbxContent>
                            <w:p w:rsidR="00D27BC6" w:rsidRDefault="004D5071">
                              <w:pPr>
                                <w:spacing w:after="160" w:line="259" w:lineRule="auto"/>
                                <w:ind w:left="0" w:right="0" w:firstLine="0"/>
                                <w:jc w:val="left"/>
                              </w:pPr>
                              <w:r>
                                <w:rPr>
                                  <w:w w:val="102"/>
                                </w:rPr>
                                <w:t>Боль</w:t>
                              </w:r>
                              <w:r>
                                <w:rPr>
                                  <w:spacing w:val="-3"/>
                                  <w:w w:val="102"/>
                                </w:rPr>
                                <w:t xml:space="preserve"> </w:t>
                              </w:r>
                              <w:r>
                                <w:rPr>
                                  <w:w w:val="102"/>
                                </w:rPr>
                                <w:t>обусловлена</w:t>
                              </w:r>
                              <w:r>
                                <w:rPr>
                                  <w:spacing w:val="-3"/>
                                  <w:w w:val="102"/>
                                </w:rPr>
                                <w:t xml:space="preserve"> </w:t>
                              </w:r>
                              <w:r>
                                <w:rPr>
                                  <w:w w:val="102"/>
                                </w:rPr>
                                <w:t>ДНП?</w:t>
                              </w:r>
                            </w:p>
                          </w:txbxContent>
                        </wps:txbx>
                        <wps:bodyPr horzOverflow="overflow" vert="horz" lIns="0" tIns="0" rIns="0" bIns="0" rtlCol="0">
                          <a:noAutofit/>
                        </wps:bodyPr>
                      </wps:wsp>
                      <wps:wsp>
                        <wps:cNvPr id="16887" name="Shape 16887"/>
                        <wps:cNvSpPr/>
                        <wps:spPr>
                          <a:xfrm>
                            <a:off x="544246" y="0"/>
                            <a:ext cx="1807413" cy="248831"/>
                          </a:xfrm>
                          <a:custGeom>
                            <a:avLst/>
                            <a:gdLst/>
                            <a:ahLst/>
                            <a:cxnLst/>
                            <a:rect l="0" t="0" r="0" b="0"/>
                            <a:pathLst>
                              <a:path w="1807413" h="248831">
                                <a:moveTo>
                                  <a:pt x="0" y="248831"/>
                                </a:moveTo>
                                <a:lnTo>
                                  <a:pt x="1807413" y="248831"/>
                                </a:lnTo>
                                <a:lnTo>
                                  <a:pt x="180741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888" name="Shape 16888"/>
                        <wps:cNvSpPr/>
                        <wps:spPr>
                          <a:xfrm>
                            <a:off x="1447950" y="249520"/>
                            <a:ext cx="0" cy="162890"/>
                          </a:xfrm>
                          <a:custGeom>
                            <a:avLst/>
                            <a:gdLst/>
                            <a:ahLst/>
                            <a:cxnLst/>
                            <a:rect l="0" t="0" r="0" b="0"/>
                            <a:pathLst>
                              <a:path h="162890">
                                <a:moveTo>
                                  <a:pt x="0" y="0"/>
                                </a:moveTo>
                                <a:lnTo>
                                  <a:pt x="0" y="16289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889" name="Shape 16889"/>
                        <wps:cNvSpPr/>
                        <wps:spPr>
                          <a:xfrm>
                            <a:off x="1417394" y="392393"/>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890" name="Rectangle 16890"/>
                        <wps:cNvSpPr/>
                        <wps:spPr>
                          <a:xfrm>
                            <a:off x="2866243" y="48364"/>
                            <a:ext cx="263500" cy="203030"/>
                          </a:xfrm>
                          <a:prstGeom prst="rect">
                            <a:avLst/>
                          </a:prstGeom>
                          <a:ln>
                            <a:noFill/>
                          </a:ln>
                        </wps:spPr>
                        <wps:txbx>
                          <w:txbxContent>
                            <w:p w:rsidR="00D27BC6" w:rsidRDefault="004D5071">
                              <w:pPr>
                                <w:spacing w:after="160" w:line="259" w:lineRule="auto"/>
                                <w:ind w:left="0" w:right="0" w:firstLine="0"/>
                                <w:jc w:val="left"/>
                              </w:pPr>
                              <w:r>
                                <w:rPr>
                                  <w:w w:val="104"/>
                                </w:rPr>
                                <w:t>Нет</w:t>
                              </w:r>
                            </w:p>
                          </w:txbxContent>
                        </wps:txbx>
                        <wps:bodyPr horzOverflow="overflow" vert="horz" lIns="0" tIns="0" rIns="0" bIns="0" rtlCol="0">
                          <a:noAutofit/>
                        </wps:bodyPr>
                      </wps:wsp>
                      <wps:wsp>
                        <wps:cNvPr id="16891" name="Rectangle 16891"/>
                        <wps:cNvSpPr/>
                        <wps:spPr>
                          <a:xfrm>
                            <a:off x="3729970" y="51412"/>
                            <a:ext cx="2152538" cy="203030"/>
                          </a:xfrm>
                          <a:prstGeom prst="rect">
                            <a:avLst/>
                          </a:prstGeom>
                          <a:ln>
                            <a:noFill/>
                          </a:ln>
                        </wps:spPr>
                        <wps:txbx>
                          <w:txbxContent>
                            <w:p w:rsidR="00D27BC6" w:rsidRDefault="004D5071">
                              <w:pPr>
                                <w:spacing w:after="160" w:line="259" w:lineRule="auto"/>
                                <w:ind w:left="0" w:right="0" w:firstLine="0"/>
                                <w:jc w:val="left"/>
                              </w:pPr>
                              <w:r>
                                <w:rPr>
                                  <w:w w:val="103"/>
                                </w:rPr>
                                <w:t>Направление</w:t>
                              </w:r>
                              <w:r>
                                <w:rPr>
                                  <w:spacing w:val="-3"/>
                                  <w:w w:val="103"/>
                                </w:rPr>
                                <w:t xml:space="preserve"> </w:t>
                              </w:r>
                              <w:r>
                                <w:rPr>
                                  <w:w w:val="103"/>
                                </w:rPr>
                                <w:t>в</w:t>
                              </w:r>
                              <w:r>
                                <w:rPr>
                                  <w:spacing w:val="-3"/>
                                  <w:w w:val="103"/>
                                </w:rPr>
                                <w:t xml:space="preserve"> </w:t>
                              </w:r>
                              <w:r>
                                <w:rPr>
                                  <w:w w:val="103"/>
                                </w:rPr>
                                <w:t>клинику</w:t>
                              </w:r>
                              <w:r>
                                <w:rPr>
                                  <w:spacing w:val="-3"/>
                                  <w:w w:val="103"/>
                                </w:rPr>
                                <w:t xml:space="preserve"> </w:t>
                              </w:r>
                              <w:r>
                                <w:rPr>
                                  <w:w w:val="103"/>
                                </w:rPr>
                                <w:t>боли</w:t>
                              </w:r>
                            </w:p>
                          </w:txbxContent>
                        </wps:txbx>
                        <wps:bodyPr horzOverflow="overflow" vert="horz" lIns="0" tIns="0" rIns="0" bIns="0" rtlCol="0">
                          <a:noAutofit/>
                        </wps:bodyPr>
                      </wps:wsp>
                      <wps:wsp>
                        <wps:cNvPr id="16892" name="Shape 16892"/>
                        <wps:cNvSpPr/>
                        <wps:spPr>
                          <a:xfrm>
                            <a:off x="3574123" y="559"/>
                            <a:ext cx="1930146" cy="248272"/>
                          </a:xfrm>
                          <a:custGeom>
                            <a:avLst/>
                            <a:gdLst/>
                            <a:ahLst/>
                            <a:cxnLst/>
                            <a:rect l="0" t="0" r="0" b="0"/>
                            <a:pathLst>
                              <a:path w="1930146" h="248272">
                                <a:moveTo>
                                  <a:pt x="0" y="248272"/>
                                </a:moveTo>
                                <a:lnTo>
                                  <a:pt x="1930146" y="248272"/>
                                </a:lnTo>
                                <a:lnTo>
                                  <a:pt x="193014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893" name="Rectangle 16893"/>
                        <wps:cNvSpPr/>
                        <wps:spPr>
                          <a:xfrm>
                            <a:off x="1672038" y="1586817"/>
                            <a:ext cx="2833770" cy="209280"/>
                          </a:xfrm>
                          <a:prstGeom prst="rect">
                            <a:avLst/>
                          </a:prstGeom>
                          <a:ln>
                            <a:noFill/>
                          </a:ln>
                        </wps:spPr>
                        <wps:txbx>
                          <w:txbxContent>
                            <w:p w:rsidR="00D27BC6" w:rsidRDefault="004D5071">
                              <w:pPr>
                                <w:spacing w:after="160" w:line="259" w:lineRule="auto"/>
                                <w:ind w:left="0" w:right="0" w:firstLine="0"/>
                                <w:jc w:val="left"/>
                              </w:pPr>
                              <w:r>
                                <w:rPr>
                                  <w:b/>
                                  <w:w w:val="113"/>
                                </w:rPr>
                                <w:t>Нет</w:t>
                              </w:r>
                              <w:r>
                                <w:rPr>
                                  <w:b/>
                                  <w:spacing w:val="-5"/>
                                  <w:w w:val="113"/>
                                </w:rPr>
                                <w:t xml:space="preserve"> </w:t>
                              </w:r>
                              <w:r>
                                <w:rPr>
                                  <w:b/>
                                  <w:w w:val="113"/>
                                </w:rPr>
                                <w:t>клинически</w:t>
                              </w:r>
                              <w:r>
                                <w:rPr>
                                  <w:b/>
                                  <w:spacing w:val="-5"/>
                                  <w:w w:val="113"/>
                                </w:rPr>
                                <w:t xml:space="preserve"> </w:t>
                              </w:r>
                              <w:r>
                                <w:rPr>
                                  <w:b/>
                                  <w:w w:val="113"/>
                                </w:rPr>
                                <w:t>значимого</w:t>
                              </w:r>
                              <w:r>
                                <w:rPr>
                                  <w:b/>
                                  <w:spacing w:val="-5"/>
                                  <w:w w:val="113"/>
                                </w:rPr>
                                <w:t xml:space="preserve"> </w:t>
                              </w:r>
                              <w:r>
                                <w:rPr>
                                  <w:b/>
                                  <w:w w:val="113"/>
                                </w:rPr>
                                <w:t>эффекта</w:t>
                              </w:r>
                            </w:p>
                          </w:txbxContent>
                        </wps:txbx>
                        <wps:bodyPr horzOverflow="overflow" vert="horz" lIns="0" tIns="0" rIns="0" bIns="0" rtlCol="0">
                          <a:noAutofit/>
                        </wps:bodyPr>
                      </wps:wsp>
                      <wps:wsp>
                        <wps:cNvPr id="16894" name="Shape 16894"/>
                        <wps:cNvSpPr/>
                        <wps:spPr>
                          <a:xfrm>
                            <a:off x="3175" y="1562888"/>
                            <a:ext cx="5468379" cy="203822"/>
                          </a:xfrm>
                          <a:custGeom>
                            <a:avLst/>
                            <a:gdLst/>
                            <a:ahLst/>
                            <a:cxnLst/>
                            <a:rect l="0" t="0" r="0" b="0"/>
                            <a:pathLst>
                              <a:path w="5468379" h="203822">
                                <a:moveTo>
                                  <a:pt x="0" y="203822"/>
                                </a:moveTo>
                                <a:lnTo>
                                  <a:pt x="5468379" y="203822"/>
                                </a:lnTo>
                                <a:lnTo>
                                  <a:pt x="5468379"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895" name="Rectangle 16895"/>
                        <wps:cNvSpPr/>
                        <wps:spPr>
                          <a:xfrm>
                            <a:off x="40505" y="2174638"/>
                            <a:ext cx="152188" cy="203030"/>
                          </a:xfrm>
                          <a:prstGeom prst="rect">
                            <a:avLst/>
                          </a:prstGeom>
                          <a:ln>
                            <a:noFill/>
                          </a:ln>
                        </wps:spPr>
                        <wps:txbx>
                          <w:txbxContent>
                            <w:p w:rsidR="00D27BC6" w:rsidRDefault="004D5071">
                              <w:pPr>
                                <w:spacing w:after="160" w:line="259" w:lineRule="auto"/>
                                <w:ind w:left="0" w:right="0" w:firstLine="0"/>
                                <w:jc w:val="left"/>
                              </w:pPr>
                              <w:r>
                                <w:rPr>
                                  <w:w w:val="96"/>
                                </w:rPr>
                                <w:t>a.</w:t>
                              </w:r>
                              <w:r>
                                <w:rPr>
                                  <w:spacing w:val="-3"/>
                                  <w:w w:val="96"/>
                                </w:rPr>
                                <w:t xml:space="preserve"> </w:t>
                              </w:r>
                            </w:p>
                          </w:txbxContent>
                        </wps:txbx>
                        <wps:bodyPr horzOverflow="overflow" vert="horz" lIns="0" tIns="0" rIns="0" bIns="0" rtlCol="0">
                          <a:noAutofit/>
                        </wps:bodyPr>
                      </wps:wsp>
                      <wps:wsp>
                        <wps:cNvPr id="16896" name="Rectangle 16896"/>
                        <wps:cNvSpPr/>
                        <wps:spPr>
                          <a:xfrm>
                            <a:off x="269105" y="2174638"/>
                            <a:ext cx="1247383" cy="203030"/>
                          </a:xfrm>
                          <a:prstGeom prst="rect">
                            <a:avLst/>
                          </a:prstGeom>
                          <a:ln>
                            <a:noFill/>
                          </a:ln>
                        </wps:spPr>
                        <wps:txbx>
                          <w:txbxContent>
                            <w:p w:rsidR="00D27BC6" w:rsidRDefault="004D5071">
                              <w:pPr>
                                <w:spacing w:after="160" w:line="259" w:lineRule="auto"/>
                                <w:ind w:left="0" w:right="0" w:firstLine="0"/>
                                <w:jc w:val="left"/>
                              </w:pPr>
                              <w:r>
                                <w:rPr>
                                  <w:w w:val="103"/>
                                </w:rPr>
                                <w:t>смена</w:t>
                              </w:r>
                              <w:r>
                                <w:rPr>
                                  <w:spacing w:val="-3"/>
                                  <w:w w:val="103"/>
                                </w:rPr>
                                <w:t xml:space="preserve"> </w:t>
                              </w:r>
                              <w:r>
                                <w:rPr>
                                  <w:w w:val="103"/>
                                </w:rPr>
                                <w:t>препарата</w:t>
                              </w:r>
                            </w:p>
                          </w:txbxContent>
                        </wps:txbx>
                        <wps:bodyPr horzOverflow="overflow" vert="horz" lIns="0" tIns="0" rIns="0" bIns="0" rtlCol="0">
                          <a:noAutofit/>
                        </wps:bodyPr>
                      </wps:wsp>
                      <wps:wsp>
                        <wps:cNvPr id="16897" name="Rectangle 16897"/>
                        <wps:cNvSpPr/>
                        <wps:spPr>
                          <a:xfrm>
                            <a:off x="40505" y="2327038"/>
                            <a:ext cx="162829" cy="203030"/>
                          </a:xfrm>
                          <a:prstGeom prst="rect">
                            <a:avLst/>
                          </a:prstGeom>
                          <a:ln>
                            <a:noFill/>
                          </a:ln>
                        </wps:spPr>
                        <wps:txbx>
                          <w:txbxContent>
                            <w:p w:rsidR="00D27BC6" w:rsidRDefault="004D5071">
                              <w:pPr>
                                <w:spacing w:after="160" w:line="259" w:lineRule="auto"/>
                                <w:ind w:left="0" w:right="0" w:firstLine="0"/>
                                <w:jc w:val="left"/>
                              </w:pPr>
                              <w:r>
                                <w:rPr>
                                  <w:w w:val="98"/>
                                </w:rPr>
                                <w:t>b.</w:t>
                              </w:r>
                              <w:r>
                                <w:rPr>
                                  <w:spacing w:val="-3"/>
                                  <w:w w:val="98"/>
                                </w:rPr>
                                <w:t xml:space="preserve"> </w:t>
                              </w:r>
                            </w:p>
                          </w:txbxContent>
                        </wps:txbx>
                        <wps:bodyPr horzOverflow="overflow" vert="horz" lIns="0" tIns="0" rIns="0" bIns="0" rtlCol="0">
                          <a:noAutofit/>
                        </wps:bodyPr>
                      </wps:wsp>
                      <wps:wsp>
                        <wps:cNvPr id="16898" name="Rectangle 16898"/>
                        <wps:cNvSpPr/>
                        <wps:spPr>
                          <a:xfrm>
                            <a:off x="269105" y="2327038"/>
                            <a:ext cx="2712830" cy="203030"/>
                          </a:xfrm>
                          <a:prstGeom prst="rect">
                            <a:avLst/>
                          </a:prstGeom>
                          <a:ln>
                            <a:noFill/>
                          </a:ln>
                        </wps:spPr>
                        <wps:txbx>
                          <w:txbxContent>
                            <w:p w:rsidR="00D27BC6" w:rsidRDefault="004D5071">
                              <w:pPr>
                                <w:spacing w:after="160" w:line="259" w:lineRule="auto"/>
                                <w:ind w:left="0" w:right="0" w:firstLine="0"/>
                                <w:jc w:val="left"/>
                              </w:pPr>
                              <w:r>
                                <w:rPr>
                                  <w:w w:val="103"/>
                                </w:rPr>
                                <w:t>назначение</w:t>
                              </w:r>
                              <w:r>
                                <w:rPr>
                                  <w:spacing w:val="-3"/>
                                  <w:w w:val="103"/>
                                </w:rPr>
                                <w:t xml:space="preserve"> </w:t>
                              </w:r>
                              <w:r>
                                <w:rPr>
                                  <w:w w:val="103"/>
                                </w:rPr>
                                <w:t>комбинации</w:t>
                              </w:r>
                              <w:r>
                                <w:rPr>
                                  <w:spacing w:val="-3"/>
                                  <w:w w:val="103"/>
                                </w:rPr>
                                <w:t xml:space="preserve"> </w:t>
                              </w:r>
                              <w:r>
                                <w:rPr>
                                  <w:w w:val="103"/>
                                </w:rPr>
                                <w:t>препаратов</w:t>
                              </w:r>
                            </w:p>
                          </w:txbxContent>
                        </wps:txbx>
                        <wps:bodyPr horzOverflow="overflow" vert="horz" lIns="0" tIns="0" rIns="0" bIns="0" rtlCol="0">
                          <a:noAutofit/>
                        </wps:bodyPr>
                      </wps:wsp>
                      <wps:wsp>
                        <wps:cNvPr id="16899" name="Rectangle 16899"/>
                        <wps:cNvSpPr/>
                        <wps:spPr>
                          <a:xfrm>
                            <a:off x="40505" y="2479438"/>
                            <a:ext cx="144756" cy="203030"/>
                          </a:xfrm>
                          <a:prstGeom prst="rect">
                            <a:avLst/>
                          </a:prstGeom>
                          <a:ln>
                            <a:noFill/>
                          </a:ln>
                        </wps:spPr>
                        <wps:txbx>
                          <w:txbxContent>
                            <w:p w:rsidR="00D27BC6" w:rsidRDefault="004D5071">
                              <w:pPr>
                                <w:spacing w:after="160" w:line="259" w:lineRule="auto"/>
                                <w:ind w:left="0" w:right="0" w:firstLine="0"/>
                                <w:jc w:val="left"/>
                              </w:pPr>
                              <w:r>
                                <w:rPr>
                                  <w:w w:val="96"/>
                                </w:rPr>
                                <w:t>c.</w:t>
                              </w:r>
                              <w:r>
                                <w:rPr>
                                  <w:spacing w:val="-3"/>
                                  <w:w w:val="96"/>
                                </w:rPr>
                                <w:t xml:space="preserve"> </w:t>
                              </w:r>
                            </w:p>
                          </w:txbxContent>
                        </wps:txbx>
                        <wps:bodyPr horzOverflow="overflow" vert="horz" lIns="0" tIns="0" rIns="0" bIns="0" rtlCol="0">
                          <a:noAutofit/>
                        </wps:bodyPr>
                      </wps:wsp>
                      <wps:wsp>
                        <wps:cNvPr id="16900" name="Rectangle 16900"/>
                        <wps:cNvSpPr/>
                        <wps:spPr>
                          <a:xfrm>
                            <a:off x="269105" y="2479438"/>
                            <a:ext cx="4857785" cy="203030"/>
                          </a:xfrm>
                          <a:prstGeom prst="rect">
                            <a:avLst/>
                          </a:prstGeom>
                          <a:ln>
                            <a:noFill/>
                          </a:ln>
                        </wps:spPr>
                        <wps:txbx>
                          <w:txbxContent>
                            <w:p w:rsidR="00D27BC6" w:rsidRDefault="004D5071">
                              <w:pPr>
                                <w:spacing w:after="160" w:line="259" w:lineRule="auto"/>
                                <w:ind w:left="0" w:right="0" w:firstLine="0"/>
                                <w:jc w:val="left"/>
                              </w:pPr>
                              <w:r>
                                <w:rPr>
                                  <w:w w:val="102"/>
                                </w:rPr>
                                <w:t>добавление</w:t>
                              </w:r>
                              <w:r>
                                <w:rPr>
                                  <w:spacing w:val="-3"/>
                                  <w:w w:val="102"/>
                                </w:rPr>
                                <w:t xml:space="preserve"> </w:t>
                              </w:r>
                              <w:r>
                                <w:rPr>
                                  <w:w w:val="102"/>
                                </w:rPr>
                                <w:t>трамадола</w:t>
                              </w:r>
                              <w:r>
                                <w:rPr>
                                  <w:spacing w:val="-3"/>
                                  <w:w w:val="102"/>
                                </w:rPr>
                                <w:t xml:space="preserve"> </w:t>
                              </w:r>
                              <w:r>
                                <w:rPr>
                                  <w:w w:val="102"/>
                                </w:rPr>
                                <w:t>или</w:t>
                              </w:r>
                              <w:r>
                                <w:rPr>
                                  <w:spacing w:val="-3"/>
                                  <w:w w:val="102"/>
                                </w:rPr>
                                <w:t xml:space="preserve"> </w:t>
                              </w:r>
                              <w:r>
                                <w:rPr>
                                  <w:w w:val="102"/>
                                </w:rPr>
                                <w:t>тапентадола,</w:t>
                              </w:r>
                              <w:r>
                                <w:rPr>
                                  <w:spacing w:val="-3"/>
                                  <w:w w:val="102"/>
                                </w:rPr>
                                <w:t xml:space="preserve"> </w:t>
                              </w:r>
                              <w:r>
                                <w:rPr>
                                  <w:w w:val="102"/>
                                </w:rPr>
                                <w:t>если</w:t>
                              </w:r>
                              <w:r>
                                <w:rPr>
                                  <w:spacing w:val="-3"/>
                                  <w:w w:val="102"/>
                                </w:rPr>
                                <w:t xml:space="preserve"> </w:t>
                              </w:r>
                              <w:r>
                                <w:rPr>
                                  <w:w w:val="102"/>
                                </w:rPr>
                                <w:t>a</w:t>
                              </w:r>
                              <w:r>
                                <w:rPr>
                                  <w:spacing w:val="-3"/>
                                  <w:w w:val="102"/>
                                </w:rPr>
                                <w:t xml:space="preserve"> </w:t>
                              </w:r>
                              <w:r>
                                <w:rPr>
                                  <w:w w:val="102"/>
                                </w:rPr>
                                <w:t>и</w:t>
                              </w:r>
                              <w:r>
                                <w:rPr>
                                  <w:spacing w:val="-3"/>
                                  <w:w w:val="102"/>
                                </w:rPr>
                                <w:t xml:space="preserve"> </w:t>
                              </w:r>
                              <w:r>
                                <w:rPr>
                                  <w:w w:val="102"/>
                                </w:rPr>
                                <w:t>b</w:t>
                              </w:r>
                              <w:r>
                                <w:rPr>
                                  <w:spacing w:val="-3"/>
                                  <w:w w:val="102"/>
                                </w:rPr>
                                <w:t xml:space="preserve"> </w:t>
                              </w:r>
                              <w:r>
                                <w:rPr>
                                  <w:w w:val="102"/>
                                </w:rPr>
                                <w:t>неэффективно</w:t>
                              </w:r>
                            </w:p>
                          </w:txbxContent>
                        </wps:txbx>
                        <wps:bodyPr horzOverflow="overflow" vert="horz" lIns="0" tIns="0" rIns="0" bIns="0" rtlCol="0">
                          <a:noAutofit/>
                        </wps:bodyPr>
                      </wps:wsp>
                      <wps:wsp>
                        <wps:cNvPr id="16901" name="Shape 16901"/>
                        <wps:cNvSpPr/>
                        <wps:spPr>
                          <a:xfrm>
                            <a:off x="0" y="2136369"/>
                            <a:ext cx="5459552" cy="527901"/>
                          </a:xfrm>
                          <a:custGeom>
                            <a:avLst/>
                            <a:gdLst/>
                            <a:ahLst/>
                            <a:cxnLst/>
                            <a:rect l="0" t="0" r="0" b="0"/>
                            <a:pathLst>
                              <a:path w="5459552" h="527901">
                                <a:moveTo>
                                  <a:pt x="0" y="527901"/>
                                </a:moveTo>
                                <a:lnTo>
                                  <a:pt x="5459552" y="527901"/>
                                </a:lnTo>
                                <a:lnTo>
                                  <a:pt x="5459552"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902" name="Rectangle 16902"/>
                        <wps:cNvSpPr/>
                        <wps:spPr>
                          <a:xfrm>
                            <a:off x="3110414" y="3093389"/>
                            <a:ext cx="2833770" cy="209280"/>
                          </a:xfrm>
                          <a:prstGeom prst="rect">
                            <a:avLst/>
                          </a:prstGeom>
                          <a:ln>
                            <a:noFill/>
                          </a:ln>
                        </wps:spPr>
                        <wps:txbx>
                          <w:txbxContent>
                            <w:p w:rsidR="00D27BC6" w:rsidRDefault="004D5071">
                              <w:pPr>
                                <w:spacing w:after="160" w:line="259" w:lineRule="auto"/>
                                <w:ind w:left="0" w:right="0" w:firstLine="0"/>
                                <w:jc w:val="left"/>
                              </w:pPr>
                              <w:r>
                                <w:rPr>
                                  <w:b/>
                                  <w:w w:val="113"/>
                                </w:rPr>
                                <w:t>Нет</w:t>
                              </w:r>
                              <w:r>
                                <w:rPr>
                                  <w:b/>
                                  <w:spacing w:val="-5"/>
                                  <w:w w:val="113"/>
                                </w:rPr>
                                <w:t xml:space="preserve"> </w:t>
                              </w:r>
                              <w:r>
                                <w:rPr>
                                  <w:b/>
                                  <w:w w:val="113"/>
                                </w:rPr>
                                <w:t>клинически</w:t>
                              </w:r>
                              <w:r>
                                <w:rPr>
                                  <w:b/>
                                  <w:spacing w:val="-5"/>
                                  <w:w w:val="113"/>
                                </w:rPr>
                                <w:t xml:space="preserve"> </w:t>
                              </w:r>
                              <w:r>
                                <w:rPr>
                                  <w:b/>
                                  <w:w w:val="113"/>
                                </w:rPr>
                                <w:t>значимого</w:t>
                              </w:r>
                              <w:r>
                                <w:rPr>
                                  <w:b/>
                                  <w:spacing w:val="-5"/>
                                  <w:w w:val="113"/>
                                </w:rPr>
                                <w:t xml:space="preserve"> </w:t>
                              </w:r>
                              <w:r>
                                <w:rPr>
                                  <w:b/>
                                  <w:w w:val="113"/>
                                </w:rPr>
                                <w:t>эффекта</w:t>
                              </w:r>
                            </w:p>
                          </w:txbxContent>
                        </wps:txbx>
                        <wps:bodyPr horzOverflow="overflow" vert="horz" lIns="0" tIns="0" rIns="0" bIns="0" rtlCol="0">
                          <a:noAutofit/>
                        </wps:bodyPr>
                      </wps:wsp>
                      <wps:wsp>
                        <wps:cNvPr id="16903" name="Shape 16903"/>
                        <wps:cNvSpPr/>
                        <wps:spPr>
                          <a:xfrm>
                            <a:off x="2903830" y="3069463"/>
                            <a:ext cx="2543823" cy="203822"/>
                          </a:xfrm>
                          <a:custGeom>
                            <a:avLst/>
                            <a:gdLst/>
                            <a:ahLst/>
                            <a:cxnLst/>
                            <a:rect l="0" t="0" r="0" b="0"/>
                            <a:pathLst>
                              <a:path w="2543823" h="203822">
                                <a:moveTo>
                                  <a:pt x="0" y="203822"/>
                                </a:moveTo>
                                <a:lnTo>
                                  <a:pt x="2543823" y="203822"/>
                                </a:lnTo>
                                <a:lnTo>
                                  <a:pt x="254382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904" name="Rectangle 16904"/>
                        <wps:cNvSpPr/>
                        <wps:spPr>
                          <a:xfrm>
                            <a:off x="1365927" y="524040"/>
                            <a:ext cx="188672" cy="203030"/>
                          </a:xfrm>
                          <a:prstGeom prst="rect">
                            <a:avLst/>
                          </a:prstGeom>
                          <a:ln>
                            <a:noFill/>
                          </a:ln>
                        </wps:spPr>
                        <wps:txbx>
                          <w:txbxContent>
                            <w:p w:rsidR="00D27BC6" w:rsidRDefault="004D5071">
                              <w:pPr>
                                <w:spacing w:after="160" w:line="259" w:lineRule="auto"/>
                                <w:ind w:left="0" w:right="0" w:firstLine="0"/>
                                <w:jc w:val="left"/>
                              </w:pPr>
                              <w:r>
                                <w:rPr>
                                  <w:spacing w:val="1"/>
                                  <w:w w:val="101"/>
                                </w:rPr>
                                <w:t>Да</w:t>
                              </w:r>
                            </w:p>
                          </w:txbxContent>
                        </wps:txbx>
                        <wps:bodyPr horzOverflow="overflow" vert="horz" lIns="0" tIns="0" rIns="0" bIns="0" rtlCol="0">
                          <a:noAutofit/>
                        </wps:bodyPr>
                      </wps:wsp>
                      <wps:wsp>
                        <wps:cNvPr id="16905" name="Rectangle 16905"/>
                        <wps:cNvSpPr/>
                        <wps:spPr>
                          <a:xfrm>
                            <a:off x="73575" y="1139610"/>
                            <a:ext cx="1382866" cy="203030"/>
                          </a:xfrm>
                          <a:prstGeom prst="rect">
                            <a:avLst/>
                          </a:prstGeom>
                          <a:ln>
                            <a:noFill/>
                          </a:ln>
                        </wps:spPr>
                        <wps:txbx>
                          <w:txbxContent>
                            <w:p w:rsidR="00D27BC6" w:rsidRDefault="004D5071">
                              <w:pPr>
                                <w:spacing w:after="160" w:line="259" w:lineRule="auto"/>
                                <w:ind w:left="0" w:right="0" w:firstLine="0"/>
                                <w:jc w:val="left"/>
                              </w:pPr>
                              <w:r>
                                <w:rPr>
                                  <w:w w:val="104"/>
                                </w:rPr>
                                <w:t>Антиконвульсанты</w:t>
                              </w:r>
                            </w:p>
                          </w:txbxContent>
                        </wps:txbx>
                        <wps:bodyPr horzOverflow="overflow" vert="horz" lIns="0" tIns="0" rIns="0" bIns="0" rtlCol="0">
                          <a:noAutofit/>
                        </wps:bodyPr>
                      </wps:wsp>
                      <wps:wsp>
                        <wps:cNvPr id="16906" name="Rectangle 16906"/>
                        <wps:cNvSpPr/>
                        <wps:spPr>
                          <a:xfrm>
                            <a:off x="1745911" y="1063410"/>
                            <a:ext cx="2736139" cy="203030"/>
                          </a:xfrm>
                          <a:prstGeom prst="rect">
                            <a:avLst/>
                          </a:prstGeom>
                          <a:ln>
                            <a:noFill/>
                          </a:ln>
                        </wps:spPr>
                        <wps:txbx>
                          <w:txbxContent>
                            <w:p w:rsidR="00D27BC6" w:rsidRDefault="004D5071">
                              <w:pPr>
                                <w:spacing w:after="160" w:line="259" w:lineRule="auto"/>
                                <w:ind w:left="0" w:right="0" w:firstLine="0"/>
                                <w:jc w:val="left"/>
                              </w:pPr>
                              <w:r>
                                <w:rPr>
                                  <w:w w:val="104"/>
                                </w:rPr>
                                <w:t>Селективные</w:t>
                              </w:r>
                              <w:r>
                                <w:rPr>
                                  <w:spacing w:val="-3"/>
                                  <w:w w:val="104"/>
                                </w:rPr>
                                <w:t xml:space="preserve"> </w:t>
                              </w:r>
                              <w:r>
                                <w:rPr>
                                  <w:w w:val="104"/>
                                </w:rPr>
                                <w:t>ингибиторы</w:t>
                              </w:r>
                              <w:r>
                                <w:rPr>
                                  <w:spacing w:val="-3"/>
                                  <w:w w:val="104"/>
                                </w:rPr>
                                <w:t xml:space="preserve"> </w:t>
                              </w:r>
                              <w:r>
                                <w:rPr>
                                  <w:w w:val="104"/>
                                </w:rPr>
                                <w:t>обратного</w:t>
                              </w:r>
                              <w:r>
                                <w:rPr>
                                  <w:spacing w:val="-3"/>
                                  <w:w w:val="104"/>
                                </w:rPr>
                                <w:t xml:space="preserve"> </w:t>
                              </w:r>
                            </w:p>
                          </w:txbxContent>
                        </wps:txbx>
                        <wps:bodyPr horzOverflow="overflow" vert="horz" lIns="0" tIns="0" rIns="0" bIns="0" rtlCol="0">
                          <a:noAutofit/>
                        </wps:bodyPr>
                      </wps:wsp>
                      <wps:wsp>
                        <wps:cNvPr id="16907" name="Rectangle 16907"/>
                        <wps:cNvSpPr/>
                        <wps:spPr>
                          <a:xfrm>
                            <a:off x="1719114" y="1215810"/>
                            <a:ext cx="2771779" cy="203030"/>
                          </a:xfrm>
                          <a:prstGeom prst="rect">
                            <a:avLst/>
                          </a:prstGeom>
                          <a:ln>
                            <a:noFill/>
                          </a:ln>
                        </wps:spPr>
                        <wps:txbx>
                          <w:txbxContent>
                            <w:p w:rsidR="00D27BC6" w:rsidRDefault="004D5071">
                              <w:pPr>
                                <w:spacing w:after="160" w:line="259" w:lineRule="auto"/>
                                <w:ind w:left="0" w:right="0" w:firstLine="0"/>
                                <w:jc w:val="left"/>
                              </w:pPr>
                              <w:r>
                                <w:rPr>
                                  <w:w w:val="103"/>
                                </w:rPr>
                                <w:t>захвата</w:t>
                              </w:r>
                              <w:r>
                                <w:rPr>
                                  <w:spacing w:val="-3"/>
                                  <w:w w:val="103"/>
                                </w:rPr>
                                <w:t xml:space="preserve"> </w:t>
                              </w:r>
                              <w:r>
                                <w:rPr>
                                  <w:w w:val="103"/>
                                </w:rPr>
                                <w:t>серотонина</w:t>
                              </w:r>
                              <w:r>
                                <w:rPr>
                                  <w:spacing w:val="-3"/>
                                  <w:w w:val="103"/>
                                </w:rPr>
                                <w:t xml:space="preserve"> </w:t>
                              </w:r>
                              <w:r>
                                <w:rPr>
                                  <w:w w:val="103"/>
                                </w:rPr>
                                <w:t>и</w:t>
                              </w:r>
                              <w:r>
                                <w:rPr>
                                  <w:spacing w:val="-3"/>
                                  <w:w w:val="103"/>
                                </w:rPr>
                                <w:t xml:space="preserve"> </w:t>
                              </w:r>
                              <w:r>
                                <w:rPr>
                                  <w:w w:val="103"/>
                                </w:rPr>
                                <w:t>норадреналина</w:t>
                              </w:r>
                            </w:p>
                          </w:txbxContent>
                        </wps:txbx>
                        <wps:bodyPr horzOverflow="overflow" vert="horz" lIns="0" tIns="0" rIns="0" bIns="0" rtlCol="0">
                          <a:noAutofit/>
                        </wps:bodyPr>
                      </wps:wsp>
                      <wps:wsp>
                        <wps:cNvPr id="16908" name="Rectangle 16908"/>
                        <wps:cNvSpPr/>
                        <wps:spPr>
                          <a:xfrm>
                            <a:off x="4400846" y="1063410"/>
                            <a:ext cx="1253802" cy="203030"/>
                          </a:xfrm>
                          <a:prstGeom prst="rect">
                            <a:avLst/>
                          </a:prstGeom>
                          <a:ln>
                            <a:noFill/>
                          </a:ln>
                        </wps:spPr>
                        <wps:txbx>
                          <w:txbxContent>
                            <w:p w:rsidR="00D27BC6" w:rsidRDefault="004D5071">
                              <w:pPr>
                                <w:spacing w:after="160" w:line="259" w:lineRule="auto"/>
                                <w:ind w:left="0" w:right="0" w:firstLine="0"/>
                                <w:jc w:val="left"/>
                              </w:pPr>
                              <w:r>
                                <w:rPr>
                                  <w:w w:val="103"/>
                                </w:rPr>
                                <w:t>Трициклические</w:t>
                              </w:r>
                              <w:r>
                                <w:rPr>
                                  <w:spacing w:val="-3"/>
                                  <w:w w:val="103"/>
                                </w:rPr>
                                <w:t xml:space="preserve"> </w:t>
                              </w:r>
                            </w:p>
                          </w:txbxContent>
                        </wps:txbx>
                        <wps:bodyPr horzOverflow="overflow" vert="horz" lIns="0" tIns="0" rIns="0" bIns="0" rtlCol="0">
                          <a:noAutofit/>
                        </wps:bodyPr>
                      </wps:wsp>
                      <wps:wsp>
                        <wps:cNvPr id="16909" name="Rectangle 16909"/>
                        <wps:cNvSpPr/>
                        <wps:spPr>
                          <a:xfrm>
                            <a:off x="4375573" y="1215810"/>
                            <a:ext cx="1285051" cy="203030"/>
                          </a:xfrm>
                          <a:prstGeom prst="rect">
                            <a:avLst/>
                          </a:prstGeom>
                          <a:ln>
                            <a:noFill/>
                          </a:ln>
                        </wps:spPr>
                        <wps:txbx>
                          <w:txbxContent>
                            <w:p w:rsidR="00D27BC6" w:rsidRDefault="004D5071">
                              <w:pPr>
                                <w:spacing w:after="160" w:line="259" w:lineRule="auto"/>
                                <w:ind w:left="0" w:right="0" w:firstLine="0"/>
                                <w:jc w:val="left"/>
                              </w:pPr>
                              <w:r>
                                <w:rPr>
                                  <w:w w:val="103"/>
                                </w:rPr>
                                <w:t>антидепрессанты</w:t>
                              </w:r>
                            </w:p>
                          </w:txbxContent>
                        </wps:txbx>
                        <wps:bodyPr horzOverflow="overflow" vert="horz" lIns="0" tIns="0" rIns="0" bIns="0" rtlCol="0">
                          <a:noAutofit/>
                        </wps:bodyPr>
                      </wps:wsp>
                      <wps:wsp>
                        <wps:cNvPr id="16910" name="Shape 16910"/>
                        <wps:cNvSpPr/>
                        <wps:spPr>
                          <a:xfrm>
                            <a:off x="605800" y="726302"/>
                            <a:ext cx="842150" cy="312052"/>
                          </a:xfrm>
                          <a:custGeom>
                            <a:avLst/>
                            <a:gdLst/>
                            <a:ahLst/>
                            <a:cxnLst/>
                            <a:rect l="0" t="0" r="0" b="0"/>
                            <a:pathLst>
                              <a:path w="842150" h="312052">
                                <a:moveTo>
                                  <a:pt x="842150" y="0"/>
                                </a:moveTo>
                                <a:lnTo>
                                  <a:pt x="0" y="312052"/>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911" name="Shape 16911"/>
                        <wps:cNvSpPr/>
                        <wps:spPr>
                          <a:xfrm>
                            <a:off x="545828" y="1002737"/>
                            <a:ext cx="89357" cy="57836"/>
                          </a:xfrm>
                          <a:custGeom>
                            <a:avLst/>
                            <a:gdLst/>
                            <a:ahLst/>
                            <a:cxnLst/>
                            <a:rect l="0" t="0" r="0" b="0"/>
                            <a:pathLst>
                              <a:path w="89357" h="57836">
                                <a:moveTo>
                                  <a:pt x="68123" y="0"/>
                                </a:moveTo>
                                <a:lnTo>
                                  <a:pt x="59982" y="35611"/>
                                </a:lnTo>
                                <a:lnTo>
                                  <a:pt x="89357" y="57315"/>
                                </a:lnTo>
                                <a:lnTo>
                                  <a:pt x="0" y="57836"/>
                                </a:lnTo>
                                <a:lnTo>
                                  <a:pt x="68123"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912" name="Shape 16912"/>
                        <wps:cNvSpPr/>
                        <wps:spPr>
                          <a:xfrm>
                            <a:off x="1447950" y="726302"/>
                            <a:ext cx="1004468" cy="315125"/>
                          </a:xfrm>
                          <a:custGeom>
                            <a:avLst/>
                            <a:gdLst/>
                            <a:ahLst/>
                            <a:cxnLst/>
                            <a:rect l="0" t="0" r="0" b="0"/>
                            <a:pathLst>
                              <a:path w="1004468" h="315125">
                                <a:moveTo>
                                  <a:pt x="0" y="0"/>
                                </a:moveTo>
                                <a:lnTo>
                                  <a:pt x="1004468" y="315125"/>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913" name="Shape 16913"/>
                        <wps:cNvSpPr/>
                        <wps:spPr>
                          <a:xfrm>
                            <a:off x="2424180" y="1006281"/>
                            <a:ext cx="89255" cy="58318"/>
                          </a:xfrm>
                          <a:custGeom>
                            <a:avLst/>
                            <a:gdLst/>
                            <a:ahLst/>
                            <a:cxnLst/>
                            <a:rect l="0" t="0" r="0" b="0"/>
                            <a:pathLst>
                              <a:path w="89255" h="58318">
                                <a:moveTo>
                                  <a:pt x="18288" y="0"/>
                                </a:moveTo>
                                <a:lnTo>
                                  <a:pt x="89255" y="54292"/>
                                </a:lnTo>
                                <a:lnTo>
                                  <a:pt x="0" y="58318"/>
                                </a:lnTo>
                                <a:lnTo>
                                  <a:pt x="28232" y="35141"/>
                                </a:lnTo>
                                <a:lnTo>
                                  <a:pt x="18288"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914" name="Shape 16914"/>
                        <wps:cNvSpPr/>
                        <wps:spPr>
                          <a:xfrm>
                            <a:off x="1447875" y="726309"/>
                            <a:ext cx="3373603" cy="326098"/>
                          </a:xfrm>
                          <a:custGeom>
                            <a:avLst/>
                            <a:gdLst/>
                            <a:ahLst/>
                            <a:cxnLst/>
                            <a:rect l="0" t="0" r="0" b="0"/>
                            <a:pathLst>
                              <a:path w="3373603" h="326098">
                                <a:moveTo>
                                  <a:pt x="0" y="0"/>
                                </a:moveTo>
                                <a:lnTo>
                                  <a:pt x="3373603" y="326098"/>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915" name="Shape 16915"/>
                        <wps:cNvSpPr/>
                        <wps:spPr>
                          <a:xfrm>
                            <a:off x="4798623" y="1020070"/>
                            <a:ext cx="86513" cy="60833"/>
                          </a:xfrm>
                          <a:custGeom>
                            <a:avLst/>
                            <a:gdLst/>
                            <a:ahLst/>
                            <a:cxnLst/>
                            <a:rect l="0" t="0" r="0" b="0"/>
                            <a:pathLst>
                              <a:path w="86513" h="60833">
                                <a:moveTo>
                                  <a:pt x="5867" y="0"/>
                                </a:moveTo>
                                <a:lnTo>
                                  <a:pt x="86513" y="38494"/>
                                </a:lnTo>
                                <a:lnTo>
                                  <a:pt x="0" y="60833"/>
                                </a:lnTo>
                                <a:lnTo>
                                  <a:pt x="22847" y="32347"/>
                                </a:lnTo>
                                <a:lnTo>
                                  <a:pt x="5867"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916" name="Shape 16916"/>
                        <wps:cNvSpPr/>
                        <wps:spPr>
                          <a:xfrm>
                            <a:off x="593490" y="1374332"/>
                            <a:ext cx="0" cy="125768"/>
                          </a:xfrm>
                          <a:custGeom>
                            <a:avLst/>
                            <a:gdLst/>
                            <a:ahLst/>
                            <a:cxnLst/>
                            <a:rect l="0" t="0" r="0" b="0"/>
                            <a:pathLst>
                              <a:path h="125768">
                                <a:moveTo>
                                  <a:pt x="0" y="0"/>
                                </a:moveTo>
                                <a:lnTo>
                                  <a:pt x="0" y="125768"/>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917" name="Shape 16917"/>
                        <wps:cNvSpPr/>
                        <wps:spPr>
                          <a:xfrm>
                            <a:off x="562934" y="1480089"/>
                            <a:ext cx="61112" cy="83972"/>
                          </a:xfrm>
                          <a:custGeom>
                            <a:avLst/>
                            <a:gdLst/>
                            <a:ahLst/>
                            <a:cxnLst/>
                            <a:rect l="0" t="0" r="0" b="0"/>
                            <a:pathLst>
                              <a:path w="61112" h="83972">
                                <a:moveTo>
                                  <a:pt x="0" y="0"/>
                                </a:moveTo>
                                <a:lnTo>
                                  <a:pt x="30556" y="20015"/>
                                </a:lnTo>
                                <a:lnTo>
                                  <a:pt x="61112"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918" name="Shape 16918"/>
                        <wps:cNvSpPr/>
                        <wps:spPr>
                          <a:xfrm>
                            <a:off x="2518967" y="1374332"/>
                            <a:ext cx="0" cy="125768"/>
                          </a:xfrm>
                          <a:custGeom>
                            <a:avLst/>
                            <a:gdLst/>
                            <a:ahLst/>
                            <a:cxnLst/>
                            <a:rect l="0" t="0" r="0" b="0"/>
                            <a:pathLst>
                              <a:path h="125768">
                                <a:moveTo>
                                  <a:pt x="0" y="0"/>
                                </a:moveTo>
                                <a:lnTo>
                                  <a:pt x="0" y="125768"/>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919" name="Shape 16919"/>
                        <wps:cNvSpPr/>
                        <wps:spPr>
                          <a:xfrm>
                            <a:off x="2488410" y="1480089"/>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920" name="Shape 16920"/>
                        <wps:cNvSpPr/>
                        <wps:spPr>
                          <a:xfrm>
                            <a:off x="4854377" y="1374332"/>
                            <a:ext cx="0" cy="125768"/>
                          </a:xfrm>
                          <a:custGeom>
                            <a:avLst/>
                            <a:gdLst/>
                            <a:ahLst/>
                            <a:cxnLst/>
                            <a:rect l="0" t="0" r="0" b="0"/>
                            <a:pathLst>
                              <a:path h="125768">
                                <a:moveTo>
                                  <a:pt x="0" y="0"/>
                                </a:moveTo>
                                <a:lnTo>
                                  <a:pt x="0" y="125768"/>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921" name="Shape 16921"/>
                        <wps:cNvSpPr/>
                        <wps:spPr>
                          <a:xfrm>
                            <a:off x="4823821" y="1480089"/>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922" name="Shape 16922"/>
                        <wps:cNvSpPr/>
                        <wps:spPr>
                          <a:xfrm>
                            <a:off x="2350068" y="139244"/>
                            <a:ext cx="340627" cy="0"/>
                          </a:xfrm>
                          <a:custGeom>
                            <a:avLst/>
                            <a:gdLst/>
                            <a:ahLst/>
                            <a:cxnLst/>
                            <a:rect l="0" t="0" r="0" b="0"/>
                            <a:pathLst>
                              <a:path w="340627">
                                <a:moveTo>
                                  <a:pt x="0" y="0"/>
                                </a:moveTo>
                                <a:lnTo>
                                  <a:pt x="340627"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923" name="Shape 16923"/>
                        <wps:cNvSpPr/>
                        <wps:spPr>
                          <a:xfrm>
                            <a:off x="2670679" y="108688"/>
                            <a:ext cx="83972" cy="61112"/>
                          </a:xfrm>
                          <a:custGeom>
                            <a:avLst/>
                            <a:gdLst/>
                            <a:ahLst/>
                            <a:cxnLst/>
                            <a:rect l="0" t="0" r="0" b="0"/>
                            <a:pathLst>
                              <a:path w="83972" h="61112">
                                <a:moveTo>
                                  <a:pt x="0" y="0"/>
                                </a:moveTo>
                                <a:lnTo>
                                  <a:pt x="83972" y="30556"/>
                                </a:lnTo>
                                <a:lnTo>
                                  <a:pt x="0" y="61112"/>
                                </a:lnTo>
                                <a:lnTo>
                                  <a:pt x="20015" y="3055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924" name="Shape 16924"/>
                        <wps:cNvSpPr/>
                        <wps:spPr>
                          <a:xfrm>
                            <a:off x="3167728" y="139369"/>
                            <a:ext cx="340627" cy="0"/>
                          </a:xfrm>
                          <a:custGeom>
                            <a:avLst/>
                            <a:gdLst/>
                            <a:ahLst/>
                            <a:cxnLst/>
                            <a:rect l="0" t="0" r="0" b="0"/>
                            <a:pathLst>
                              <a:path w="340627">
                                <a:moveTo>
                                  <a:pt x="0" y="0"/>
                                </a:moveTo>
                                <a:lnTo>
                                  <a:pt x="340627"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925" name="Shape 16925"/>
                        <wps:cNvSpPr/>
                        <wps:spPr>
                          <a:xfrm>
                            <a:off x="3488340" y="108813"/>
                            <a:ext cx="83972" cy="61112"/>
                          </a:xfrm>
                          <a:custGeom>
                            <a:avLst/>
                            <a:gdLst/>
                            <a:ahLst/>
                            <a:cxnLst/>
                            <a:rect l="0" t="0" r="0" b="0"/>
                            <a:pathLst>
                              <a:path w="83972" h="61112">
                                <a:moveTo>
                                  <a:pt x="0" y="0"/>
                                </a:moveTo>
                                <a:lnTo>
                                  <a:pt x="83972" y="30556"/>
                                </a:lnTo>
                                <a:lnTo>
                                  <a:pt x="0" y="61112"/>
                                </a:lnTo>
                                <a:lnTo>
                                  <a:pt x="20015" y="3055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926" name="Shape 16926"/>
                        <wps:cNvSpPr/>
                        <wps:spPr>
                          <a:xfrm>
                            <a:off x="2518967" y="1766494"/>
                            <a:ext cx="0" cy="307086"/>
                          </a:xfrm>
                          <a:custGeom>
                            <a:avLst/>
                            <a:gdLst/>
                            <a:ahLst/>
                            <a:cxnLst/>
                            <a:rect l="0" t="0" r="0" b="0"/>
                            <a:pathLst>
                              <a:path h="307086">
                                <a:moveTo>
                                  <a:pt x="0" y="0"/>
                                </a:moveTo>
                                <a:lnTo>
                                  <a:pt x="0" y="307086"/>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6927" name="Shape 16927"/>
                        <wps:cNvSpPr/>
                        <wps:spPr>
                          <a:xfrm>
                            <a:off x="2489731" y="2053338"/>
                            <a:ext cx="58471" cy="80327"/>
                          </a:xfrm>
                          <a:custGeom>
                            <a:avLst/>
                            <a:gdLst/>
                            <a:ahLst/>
                            <a:cxnLst/>
                            <a:rect l="0" t="0" r="0" b="0"/>
                            <a:pathLst>
                              <a:path w="58471" h="80327">
                                <a:moveTo>
                                  <a:pt x="0" y="0"/>
                                </a:moveTo>
                                <a:lnTo>
                                  <a:pt x="29235" y="20244"/>
                                </a:lnTo>
                                <a:lnTo>
                                  <a:pt x="58471" y="0"/>
                                </a:lnTo>
                                <a:lnTo>
                                  <a:pt x="29235" y="80327"/>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928" name="Shape 16928"/>
                        <wps:cNvSpPr/>
                        <wps:spPr>
                          <a:xfrm>
                            <a:off x="2497658" y="2662862"/>
                            <a:ext cx="340627" cy="491439"/>
                          </a:xfrm>
                          <a:custGeom>
                            <a:avLst/>
                            <a:gdLst/>
                            <a:ahLst/>
                            <a:cxnLst/>
                            <a:rect l="0" t="0" r="0" b="0"/>
                            <a:pathLst>
                              <a:path w="340627" h="491439">
                                <a:moveTo>
                                  <a:pt x="0" y="0"/>
                                </a:moveTo>
                                <a:lnTo>
                                  <a:pt x="0" y="491439"/>
                                </a:lnTo>
                                <a:lnTo>
                                  <a:pt x="340627" y="49143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929" name="Shape 16929"/>
                        <wps:cNvSpPr/>
                        <wps:spPr>
                          <a:xfrm>
                            <a:off x="2818270" y="3123747"/>
                            <a:ext cx="83972" cy="61113"/>
                          </a:xfrm>
                          <a:custGeom>
                            <a:avLst/>
                            <a:gdLst/>
                            <a:ahLst/>
                            <a:cxnLst/>
                            <a:rect l="0" t="0" r="0" b="0"/>
                            <a:pathLst>
                              <a:path w="83972" h="61113">
                                <a:moveTo>
                                  <a:pt x="0" y="0"/>
                                </a:moveTo>
                                <a:lnTo>
                                  <a:pt x="83972" y="30556"/>
                                </a:lnTo>
                                <a:lnTo>
                                  <a:pt x="0" y="61113"/>
                                </a:lnTo>
                                <a:lnTo>
                                  <a:pt x="20015" y="3055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6930" name="Shape 16930"/>
                        <wps:cNvSpPr/>
                        <wps:spPr>
                          <a:xfrm>
                            <a:off x="5446067" y="107325"/>
                            <a:ext cx="464375" cy="3077959"/>
                          </a:xfrm>
                          <a:custGeom>
                            <a:avLst/>
                            <a:gdLst/>
                            <a:ahLst/>
                            <a:cxnLst/>
                            <a:rect l="0" t="0" r="0" b="0"/>
                            <a:pathLst>
                              <a:path w="464375" h="3077959">
                                <a:moveTo>
                                  <a:pt x="0" y="3077959"/>
                                </a:moveTo>
                                <a:lnTo>
                                  <a:pt x="464375" y="3077959"/>
                                </a:lnTo>
                                <a:lnTo>
                                  <a:pt x="464375" y="0"/>
                                </a:lnTo>
                                <a:lnTo>
                                  <a:pt x="123749"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6931" name="Shape 16931"/>
                        <wps:cNvSpPr/>
                        <wps:spPr>
                          <a:xfrm>
                            <a:off x="5505853" y="76777"/>
                            <a:ext cx="83972" cy="61100"/>
                          </a:xfrm>
                          <a:custGeom>
                            <a:avLst/>
                            <a:gdLst/>
                            <a:ahLst/>
                            <a:cxnLst/>
                            <a:rect l="0" t="0" r="0" b="0"/>
                            <a:pathLst>
                              <a:path w="83972" h="61100">
                                <a:moveTo>
                                  <a:pt x="83972" y="0"/>
                                </a:moveTo>
                                <a:lnTo>
                                  <a:pt x="63957" y="30543"/>
                                </a:lnTo>
                                <a:lnTo>
                                  <a:pt x="83972" y="61100"/>
                                </a:lnTo>
                                <a:lnTo>
                                  <a:pt x="0" y="30543"/>
                                </a:lnTo>
                                <a:lnTo>
                                  <a:pt x="83972"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99546" style="width:465.389pt;height:257.739pt;mso-position-horizontal-relative:char;mso-position-vertical-relative:line" coordsize="59104,32732">
                <v:rect id="Rectangle 16886" style="position:absolute;width:17654;height:2030;left:7842;top:511;" filled="f" stroked="f">
                  <v:textbox inset="0,0,0,0">
                    <w:txbxContent>
                      <w:p>
                        <w:pPr>
                          <w:spacing w:before="0" w:after="160" w:line="259" w:lineRule="auto"/>
                          <w:ind w:left="0" w:right="0" w:firstLine="0"/>
                          <w:jc w:val="left"/>
                        </w:pPr>
                        <w:r>
                          <w:rPr>
                            <w:w w:val="102"/>
                          </w:rPr>
                          <w:t xml:space="preserve">Боль</w:t>
                        </w:r>
                        <w:r>
                          <w:rPr>
                            <w:spacing w:val="-3"/>
                            <w:w w:val="102"/>
                          </w:rPr>
                          <w:t xml:space="preserve"> </w:t>
                        </w:r>
                        <w:r>
                          <w:rPr>
                            <w:w w:val="102"/>
                          </w:rPr>
                          <w:t xml:space="preserve">обусловлена</w:t>
                        </w:r>
                        <w:r>
                          <w:rPr>
                            <w:spacing w:val="-3"/>
                            <w:w w:val="102"/>
                          </w:rPr>
                          <w:t xml:space="preserve"> </w:t>
                        </w:r>
                        <w:r>
                          <w:rPr>
                            <w:w w:val="102"/>
                          </w:rPr>
                          <w:t xml:space="preserve">ДНП?</w:t>
                        </w:r>
                      </w:p>
                    </w:txbxContent>
                  </v:textbox>
                </v:rect>
                <v:shape id="Shape 16887" style="position:absolute;width:18074;height:2488;left:5442;top:0;" coordsize="1807413,248831" path="m0,248831l1807413,248831l1807413,0l0,0x">
                  <v:stroke weight="0.709pt" endcap="flat" joinstyle="miter" miterlimit="4" on="true" color="#000000"/>
                  <v:fill on="false" color="#000000" opacity="0"/>
                </v:shape>
                <v:shape id="Shape 16888" style="position:absolute;width:0;height:1628;left:14479;top:2495;" coordsize="0,162890" path="m0,0l0,162890">
                  <v:stroke weight="0.709pt" endcap="flat" joinstyle="miter" miterlimit="4" on="true" color="#000000"/>
                  <v:fill on="false" color="#000000" opacity="0"/>
                </v:shape>
                <v:shape id="Shape 16889" style="position:absolute;width:611;height:839;left:14173;top:3923;" coordsize="61113,83972" path="m0,0l30556,20015l61113,0l30556,83972l0,0x">
                  <v:stroke weight="0pt" endcap="flat" joinstyle="miter" miterlimit="4" on="false" color="#000000" opacity="0"/>
                  <v:fill on="true" color="#000000"/>
                </v:shape>
                <v:rect id="Rectangle 16890" style="position:absolute;width:2635;height:2030;left:28662;top:483;" filled="f" stroked="f">
                  <v:textbox inset="0,0,0,0">
                    <w:txbxContent>
                      <w:p>
                        <w:pPr>
                          <w:spacing w:before="0" w:after="160" w:line="259" w:lineRule="auto"/>
                          <w:ind w:left="0" w:right="0" w:firstLine="0"/>
                          <w:jc w:val="left"/>
                        </w:pPr>
                        <w:r>
                          <w:rPr>
                            <w:w w:val="104"/>
                          </w:rPr>
                          <w:t xml:space="preserve">Нет</w:t>
                        </w:r>
                      </w:p>
                    </w:txbxContent>
                  </v:textbox>
                </v:rect>
                <v:rect id="Rectangle 16891" style="position:absolute;width:21525;height:2030;left:37299;top:514;" filled="f" stroked="f">
                  <v:textbox inset="0,0,0,0">
                    <w:txbxContent>
                      <w:p>
                        <w:pPr>
                          <w:spacing w:before="0" w:after="160" w:line="259" w:lineRule="auto"/>
                          <w:ind w:left="0" w:right="0" w:firstLine="0"/>
                          <w:jc w:val="left"/>
                        </w:pPr>
                        <w:r>
                          <w:rPr>
                            <w:w w:val="103"/>
                          </w:rPr>
                          <w:t xml:space="preserve">Направление</w:t>
                        </w:r>
                        <w:r>
                          <w:rPr>
                            <w:spacing w:val="-3"/>
                            <w:w w:val="103"/>
                          </w:rPr>
                          <w:t xml:space="preserve"> </w:t>
                        </w:r>
                        <w:r>
                          <w:rPr>
                            <w:w w:val="103"/>
                          </w:rPr>
                          <w:t xml:space="preserve">в</w:t>
                        </w:r>
                        <w:r>
                          <w:rPr>
                            <w:spacing w:val="-3"/>
                            <w:w w:val="103"/>
                          </w:rPr>
                          <w:t xml:space="preserve"> </w:t>
                        </w:r>
                        <w:r>
                          <w:rPr>
                            <w:w w:val="103"/>
                          </w:rPr>
                          <w:t xml:space="preserve">клинику</w:t>
                        </w:r>
                        <w:r>
                          <w:rPr>
                            <w:spacing w:val="-3"/>
                            <w:w w:val="103"/>
                          </w:rPr>
                          <w:t xml:space="preserve"> </w:t>
                        </w:r>
                        <w:r>
                          <w:rPr>
                            <w:w w:val="103"/>
                          </w:rPr>
                          <w:t xml:space="preserve">боли</w:t>
                        </w:r>
                      </w:p>
                    </w:txbxContent>
                  </v:textbox>
                </v:rect>
                <v:shape id="Shape 16892" style="position:absolute;width:19301;height:2482;left:35741;top:5;" coordsize="1930146,248272" path="m0,248272l1930146,248272l1930146,0l0,0x">
                  <v:stroke weight="0.709pt" endcap="flat" joinstyle="miter" miterlimit="4" on="true" color="#000000"/>
                  <v:fill on="false" color="#000000" opacity="0"/>
                </v:shape>
                <v:rect id="Rectangle 16893" style="position:absolute;width:28337;height:2092;left:16720;top:15868;" filled="f" stroked="f">
                  <v:textbox inset="0,0,0,0">
                    <w:txbxContent>
                      <w:p>
                        <w:pPr>
                          <w:spacing w:before="0" w:after="160" w:line="259" w:lineRule="auto"/>
                          <w:ind w:left="0" w:right="0" w:firstLine="0"/>
                          <w:jc w:val="left"/>
                        </w:pPr>
                        <w:r>
                          <w:rPr>
                            <w:rFonts w:cs="Calibri" w:hAnsi="Calibri" w:eastAsia="Calibri" w:ascii="Calibri"/>
                            <w:b w:val="1"/>
                            <w:w w:val="113"/>
                          </w:rPr>
                          <w:t xml:space="preserve">Нет</w:t>
                        </w:r>
                        <w:r>
                          <w:rPr>
                            <w:rFonts w:cs="Calibri" w:hAnsi="Calibri" w:eastAsia="Calibri" w:ascii="Calibri"/>
                            <w:b w:val="1"/>
                            <w:spacing w:val="-5"/>
                            <w:w w:val="113"/>
                          </w:rPr>
                          <w:t xml:space="preserve"> </w:t>
                        </w:r>
                        <w:r>
                          <w:rPr>
                            <w:rFonts w:cs="Calibri" w:hAnsi="Calibri" w:eastAsia="Calibri" w:ascii="Calibri"/>
                            <w:b w:val="1"/>
                            <w:w w:val="113"/>
                          </w:rPr>
                          <w:t xml:space="preserve">клинически</w:t>
                        </w:r>
                        <w:r>
                          <w:rPr>
                            <w:rFonts w:cs="Calibri" w:hAnsi="Calibri" w:eastAsia="Calibri" w:ascii="Calibri"/>
                            <w:b w:val="1"/>
                            <w:spacing w:val="-5"/>
                            <w:w w:val="113"/>
                          </w:rPr>
                          <w:t xml:space="preserve"> </w:t>
                        </w:r>
                        <w:r>
                          <w:rPr>
                            <w:rFonts w:cs="Calibri" w:hAnsi="Calibri" w:eastAsia="Calibri" w:ascii="Calibri"/>
                            <w:b w:val="1"/>
                            <w:w w:val="113"/>
                          </w:rPr>
                          <w:t xml:space="preserve">значимого</w:t>
                        </w:r>
                        <w:r>
                          <w:rPr>
                            <w:rFonts w:cs="Calibri" w:hAnsi="Calibri" w:eastAsia="Calibri" w:ascii="Calibri"/>
                            <w:b w:val="1"/>
                            <w:spacing w:val="-5"/>
                            <w:w w:val="113"/>
                          </w:rPr>
                          <w:t xml:space="preserve"> </w:t>
                        </w:r>
                        <w:r>
                          <w:rPr>
                            <w:rFonts w:cs="Calibri" w:hAnsi="Calibri" w:eastAsia="Calibri" w:ascii="Calibri"/>
                            <w:b w:val="1"/>
                            <w:w w:val="113"/>
                          </w:rPr>
                          <w:t xml:space="preserve">эффекта</w:t>
                        </w:r>
                      </w:p>
                    </w:txbxContent>
                  </v:textbox>
                </v:rect>
                <v:shape id="Shape 16894" style="position:absolute;width:54683;height:2038;left:31;top:15628;" coordsize="5468379,203822" path="m0,203822l5468379,203822l5468379,0l0,0x">
                  <v:stroke weight="0.709pt" endcap="flat" joinstyle="miter" miterlimit="4" on="true" color="#000000"/>
                  <v:fill on="false" color="#000000" opacity="0"/>
                </v:shape>
                <v:rect id="Rectangle 16895" style="position:absolute;width:1521;height:2030;left:405;top:21746;" filled="f" stroked="f">
                  <v:textbox inset="0,0,0,0">
                    <w:txbxContent>
                      <w:p>
                        <w:pPr>
                          <w:spacing w:before="0" w:after="160" w:line="259" w:lineRule="auto"/>
                          <w:ind w:left="0" w:right="0" w:firstLine="0"/>
                          <w:jc w:val="left"/>
                        </w:pPr>
                        <w:r>
                          <w:rPr>
                            <w:w w:val="96"/>
                          </w:rPr>
                          <w:t xml:space="preserve">a.</w:t>
                        </w:r>
                        <w:r>
                          <w:rPr>
                            <w:spacing w:val="-3"/>
                            <w:w w:val="96"/>
                          </w:rPr>
                          <w:t xml:space="preserve"> </w:t>
                        </w:r>
                      </w:p>
                    </w:txbxContent>
                  </v:textbox>
                </v:rect>
                <v:rect id="Rectangle 16896" style="position:absolute;width:12473;height:2030;left:2691;top:21746;" filled="f" stroked="f">
                  <v:textbox inset="0,0,0,0">
                    <w:txbxContent>
                      <w:p>
                        <w:pPr>
                          <w:spacing w:before="0" w:after="160" w:line="259" w:lineRule="auto"/>
                          <w:ind w:left="0" w:right="0" w:firstLine="0"/>
                          <w:jc w:val="left"/>
                        </w:pPr>
                        <w:r>
                          <w:rPr>
                            <w:w w:val="103"/>
                          </w:rPr>
                          <w:t xml:space="preserve">смена</w:t>
                        </w:r>
                        <w:r>
                          <w:rPr>
                            <w:spacing w:val="-3"/>
                            <w:w w:val="103"/>
                          </w:rPr>
                          <w:t xml:space="preserve"> </w:t>
                        </w:r>
                        <w:r>
                          <w:rPr>
                            <w:w w:val="103"/>
                          </w:rPr>
                          <w:t xml:space="preserve">препарата</w:t>
                        </w:r>
                      </w:p>
                    </w:txbxContent>
                  </v:textbox>
                </v:rect>
                <v:rect id="Rectangle 16897" style="position:absolute;width:1628;height:2030;left:405;top:23270;" filled="f" stroked="f">
                  <v:textbox inset="0,0,0,0">
                    <w:txbxContent>
                      <w:p>
                        <w:pPr>
                          <w:spacing w:before="0" w:after="160" w:line="259" w:lineRule="auto"/>
                          <w:ind w:left="0" w:right="0" w:firstLine="0"/>
                          <w:jc w:val="left"/>
                        </w:pPr>
                        <w:r>
                          <w:rPr>
                            <w:w w:val="98"/>
                          </w:rPr>
                          <w:t xml:space="preserve">b.</w:t>
                        </w:r>
                        <w:r>
                          <w:rPr>
                            <w:spacing w:val="-3"/>
                            <w:w w:val="98"/>
                          </w:rPr>
                          <w:t xml:space="preserve"> </w:t>
                        </w:r>
                      </w:p>
                    </w:txbxContent>
                  </v:textbox>
                </v:rect>
                <v:rect id="Rectangle 16898" style="position:absolute;width:27128;height:2030;left:2691;top:23270;" filled="f" stroked="f">
                  <v:textbox inset="0,0,0,0">
                    <w:txbxContent>
                      <w:p>
                        <w:pPr>
                          <w:spacing w:before="0" w:after="160" w:line="259" w:lineRule="auto"/>
                          <w:ind w:left="0" w:right="0" w:firstLine="0"/>
                          <w:jc w:val="left"/>
                        </w:pPr>
                        <w:r>
                          <w:rPr>
                            <w:w w:val="103"/>
                          </w:rPr>
                          <w:t xml:space="preserve">назначение</w:t>
                        </w:r>
                        <w:r>
                          <w:rPr>
                            <w:spacing w:val="-3"/>
                            <w:w w:val="103"/>
                          </w:rPr>
                          <w:t xml:space="preserve"> </w:t>
                        </w:r>
                        <w:r>
                          <w:rPr>
                            <w:w w:val="103"/>
                          </w:rPr>
                          <w:t xml:space="preserve">комбинации</w:t>
                        </w:r>
                        <w:r>
                          <w:rPr>
                            <w:spacing w:val="-3"/>
                            <w:w w:val="103"/>
                          </w:rPr>
                          <w:t xml:space="preserve"> </w:t>
                        </w:r>
                        <w:r>
                          <w:rPr>
                            <w:w w:val="103"/>
                          </w:rPr>
                          <w:t xml:space="preserve">препаратов</w:t>
                        </w:r>
                      </w:p>
                    </w:txbxContent>
                  </v:textbox>
                </v:rect>
                <v:rect id="Rectangle 16899" style="position:absolute;width:1447;height:2030;left:405;top:24794;" filled="f" stroked="f">
                  <v:textbox inset="0,0,0,0">
                    <w:txbxContent>
                      <w:p>
                        <w:pPr>
                          <w:spacing w:before="0" w:after="160" w:line="259" w:lineRule="auto"/>
                          <w:ind w:left="0" w:right="0" w:firstLine="0"/>
                          <w:jc w:val="left"/>
                        </w:pPr>
                        <w:r>
                          <w:rPr>
                            <w:w w:val="96"/>
                          </w:rPr>
                          <w:t xml:space="preserve">c.</w:t>
                        </w:r>
                        <w:r>
                          <w:rPr>
                            <w:spacing w:val="-3"/>
                            <w:w w:val="96"/>
                          </w:rPr>
                          <w:t xml:space="preserve"> </w:t>
                        </w:r>
                      </w:p>
                    </w:txbxContent>
                  </v:textbox>
                </v:rect>
                <v:rect id="Rectangle 16900" style="position:absolute;width:48577;height:2030;left:2691;top:24794;" filled="f" stroked="f">
                  <v:textbox inset="0,0,0,0">
                    <w:txbxContent>
                      <w:p>
                        <w:pPr>
                          <w:spacing w:before="0" w:after="160" w:line="259" w:lineRule="auto"/>
                          <w:ind w:left="0" w:right="0" w:firstLine="0"/>
                          <w:jc w:val="left"/>
                        </w:pPr>
                        <w:r>
                          <w:rPr>
                            <w:w w:val="102"/>
                          </w:rPr>
                          <w:t xml:space="preserve">добавление</w:t>
                        </w:r>
                        <w:r>
                          <w:rPr>
                            <w:spacing w:val="-3"/>
                            <w:w w:val="102"/>
                          </w:rPr>
                          <w:t xml:space="preserve"> </w:t>
                        </w:r>
                        <w:r>
                          <w:rPr>
                            <w:w w:val="102"/>
                          </w:rPr>
                          <w:t xml:space="preserve">трамадола</w:t>
                        </w:r>
                        <w:r>
                          <w:rPr>
                            <w:spacing w:val="-3"/>
                            <w:w w:val="102"/>
                          </w:rPr>
                          <w:t xml:space="preserve"> </w:t>
                        </w:r>
                        <w:r>
                          <w:rPr>
                            <w:w w:val="102"/>
                          </w:rPr>
                          <w:t xml:space="preserve">или</w:t>
                        </w:r>
                        <w:r>
                          <w:rPr>
                            <w:spacing w:val="-3"/>
                            <w:w w:val="102"/>
                          </w:rPr>
                          <w:t xml:space="preserve"> </w:t>
                        </w:r>
                        <w:r>
                          <w:rPr>
                            <w:w w:val="102"/>
                          </w:rPr>
                          <w:t xml:space="preserve">тапентадола,</w:t>
                        </w:r>
                        <w:r>
                          <w:rPr>
                            <w:spacing w:val="-3"/>
                            <w:w w:val="102"/>
                          </w:rPr>
                          <w:t xml:space="preserve"> </w:t>
                        </w:r>
                        <w:r>
                          <w:rPr>
                            <w:w w:val="102"/>
                          </w:rPr>
                          <w:t xml:space="preserve">если</w:t>
                        </w:r>
                        <w:r>
                          <w:rPr>
                            <w:spacing w:val="-3"/>
                            <w:w w:val="102"/>
                          </w:rPr>
                          <w:t xml:space="preserve"> </w:t>
                        </w:r>
                        <w:r>
                          <w:rPr>
                            <w:w w:val="102"/>
                          </w:rPr>
                          <w:t xml:space="preserve">a</w:t>
                        </w:r>
                        <w:r>
                          <w:rPr>
                            <w:spacing w:val="-3"/>
                            <w:w w:val="102"/>
                          </w:rPr>
                          <w:t xml:space="preserve"> </w:t>
                        </w:r>
                        <w:r>
                          <w:rPr>
                            <w:w w:val="102"/>
                          </w:rPr>
                          <w:t xml:space="preserve">и</w:t>
                        </w:r>
                        <w:r>
                          <w:rPr>
                            <w:spacing w:val="-3"/>
                            <w:w w:val="102"/>
                          </w:rPr>
                          <w:t xml:space="preserve"> </w:t>
                        </w:r>
                        <w:r>
                          <w:rPr>
                            <w:w w:val="102"/>
                          </w:rPr>
                          <w:t xml:space="preserve">b</w:t>
                        </w:r>
                        <w:r>
                          <w:rPr>
                            <w:spacing w:val="-3"/>
                            <w:w w:val="102"/>
                          </w:rPr>
                          <w:t xml:space="preserve"> </w:t>
                        </w:r>
                        <w:r>
                          <w:rPr>
                            <w:w w:val="102"/>
                          </w:rPr>
                          <w:t xml:space="preserve">неэффективно</w:t>
                        </w:r>
                      </w:p>
                    </w:txbxContent>
                  </v:textbox>
                </v:rect>
                <v:shape id="Shape 16901" style="position:absolute;width:54595;height:5279;left:0;top:21363;" coordsize="5459552,527901" path="m0,527901l5459552,527901l5459552,0l0,0x">
                  <v:stroke weight="0.709pt" endcap="flat" joinstyle="miter" miterlimit="4" on="true" color="#000000"/>
                  <v:fill on="false" color="#000000" opacity="0"/>
                </v:shape>
                <v:rect id="Rectangle 16902" style="position:absolute;width:28337;height:2092;left:31104;top:30933;" filled="f" stroked="f">
                  <v:textbox inset="0,0,0,0">
                    <w:txbxContent>
                      <w:p>
                        <w:pPr>
                          <w:spacing w:before="0" w:after="160" w:line="259" w:lineRule="auto"/>
                          <w:ind w:left="0" w:right="0" w:firstLine="0"/>
                          <w:jc w:val="left"/>
                        </w:pPr>
                        <w:r>
                          <w:rPr>
                            <w:rFonts w:cs="Calibri" w:hAnsi="Calibri" w:eastAsia="Calibri" w:ascii="Calibri"/>
                            <w:b w:val="1"/>
                            <w:w w:val="113"/>
                          </w:rPr>
                          <w:t xml:space="preserve">Нет</w:t>
                        </w:r>
                        <w:r>
                          <w:rPr>
                            <w:rFonts w:cs="Calibri" w:hAnsi="Calibri" w:eastAsia="Calibri" w:ascii="Calibri"/>
                            <w:b w:val="1"/>
                            <w:spacing w:val="-5"/>
                            <w:w w:val="113"/>
                          </w:rPr>
                          <w:t xml:space="preserve"> </w:t>
                        </w:r>
                        <w:r>
                          <w:rPr>
                            <w:rFonts w:cs="Calibri" w:hAnsi="Calibri" w:eastAsia="Calibri" w:ascii="Calibri"/>
                            <w:b w:val="1"/>
                            <w:w w:val="113"/>
                          </w:rPr>
                          <w:t xml:space="preserve">клинически</w:t>
                        </w:r>
                        <w:r>
                          <w:rPr>
                            <w:rFonts w:cs="Calibri" w:hAnsi="Calibri" w:eastAsia="Calibri" w:ascii="Calibri"/>
                            <w:b w:val="1"/>
                            <w:spacing w:val="-5"/>
                            <w:w w:val="113"/>
                          </w:rPr>
                          <w:t xml:space="preserve"> </w:t>
                        </w:r>
                        <w:r>
                          <w:rPr>
                            <w:rFonts w:cs="Calibri" w:hAnsi="Calibri" w:eastAsia="Calibri" w:ascii="Calibri"/>
                            <w:b w:val="1"/>
                            <w:w w:val="113"/>
                          </w:rPr>
                          <w:t xml:space="preserve">значимого</w:t>
                        </w:r>
                        <w:r>
                          <w:rPr>
                            <w:rFonts w:cs="Calibri" w:hAnsi="Calibri" w:eastAsia="Calibri" w:ascii="Calibri"/>
                            <w:b w:val="1"/>
                            <w:spacing w:val="-5"/>
                            <w:w w:val="113"/>
                          </w:rPr>
                          <w:t xml:space="preserve"> </w:t>
                        </w:r>
                        <w:r>
                          <w:rPr>
                            <w:rFonts w:cs="Calibri" w:hAnsi="Calibri" w:eastAsia="Calibri" w:ascii="Calibri"/>
                            <w:b w:val="1"/>
                            <w:w w:val="113"/>
                          </w:rPr>
                          <w:t xml:space="preserve">эффекта</w:t>
                        </w:r>
                      </w:p>
                    </w:txbxContent>
                  </v:textbox>
                </v:rect>
                <v:shape id="Shape 16903" style="position:absolute;width:25438;height:2038;left:29038;top:30694;" coordsize="2543823,203822" path="m0,203822l2543823,203822l2543823,0l0,0x">
                  <v:stroke weight="0.709pt" endcap="flat" joinstyle="miter" miterlimit="4" on="true" color="#000000"/>
                  <v:fill on="false" color="#000000" opacity="0"/>
                </v:shape>
                <v:rect id="Rectangle 16904" style="position:absolute;width:1886;height:2030;left:13659;top:5240;" filled="f" stroked="f">
                  <v:textbox inset="0,0,0,0">
                    <w:txbxContent>
                      <w:p>
                        <w:pPr>
                          <w:spacing w:before="0" w:after="160" w:line="259" w:lineRule="auto"/>
                          <w:ind w:left="0" w:right="0" w:firstLine="0"/>
                          <w:jc w:val="left"/>
                        </w:pPr>
                        <w:r>
                          <w:rPr>
                            <w:spacing w:val="1"/>
                            <w:w w:val="101"/>
                          </w:rPr>
                          <w:t xml:space="preserve">Да</w:t>
                        </w:r>
                      </w:p>
                    </w:txbxContent>
                  </v:textbox>
                </v:rect>
                <v:rect id="Rectangle 16905" style="position:absolute;width:13828;height:2030;left:735;top:11396;" filled="f" stroked="f">
                  <v:textbox inset="0,0,0,0">
                    <w:txbxContent>
                      <w:p>
                        <w:pPr>
                          <w:spacing w:before="0" w:after="160" w:line="259" w:lineRule="auto"/>
                          <w:ind w:left="0" w:right="0" w:firstLine="0"/>
                          <w:jc w:val="left"/>
                        </w:pPr>
                        <w:r>
                          <w:rPr>
                            <w:w w:val="104"/>
                          </w:rPr>
                          <w:t xml:space="preserve">Антиконвульсанты</w:t>
                        </w:r>
                      </w:p>
                    </w:txbxContent>
                  </v:textbox>
                </v:rect>
                <v:rect id="Rectangle 16906" style="position:absolute;width:27361;height:2030;left:17459;top:10634;" filled="f" stroked="f">
                  <v:textbox inset="0,0,0,0">
                    <w:txbxContent>
                      <w:p>
                        <w:pPr>
                          <w:spacing w:before="0" w:after="160" w:line="259" w:lineRule="auto"/>
                          <w:ind w:left="0" w:right="0" w:firstLine="0"/>
                          <w:jc w:val="left"/>
                        </w:pPr>
                        <w:r>
                          <w:rPr>
                            <w:w w:val="104"/>
                          </w:rPr>
                          <w:t xml:space="preserve">Селективные</w:t>
                        </w:r>
                        <w:r>
                          <w:rPr>
                            <w:spacing w:val="-3"/>
                            <w:w w:val="104"/>
                          </w:rPr>
                          <w:t xml:space="preserve"> </w:t>
                        </w:r>
                        <w:r>
                          <w:rPr>
                            <w:w w:val="104"/>
                          </w:rPr>
                          <w:t xml:space="preserve">ингибиторы</w:t>
                        </w:r>
                        <w:r>
                          <w:rPr>
                            <w:spacing w:val="-3"/>
                            <w:w w:val="104"/>
                          </w:rPr>
                          <w:t xml:space="preserve"> </w:t>
                        </w:r>
                        <w:r>
                          <w:rPr>
                            <w:w w:val="104"/>
                          </w:rPr>
                          <w:t xml:space="preserve">обратного</w:t>
                        </w:r>
                        <w:r>
                          <w:rPr>
                            <w:spacing w:val="-3"/>
                            <w:w w:val="104"/>
                          </w:rPr>
                          <w:t xml:space="preserve"> </w:t>
                        </w:r>
                      </w:p>
                    </w:txbxContent>
                  </v:textbox>
                </v:rect>
                <v:rect id="Rectangle 16907" style="position:absolute;width:27717;height:2030;left:17191;top:12158;" filled="f" stroked="f">
                  <v:textbox inset="0,0,0,0">
                    <w:txbxContent>
                      <w:p>
                        <w:pPr>
                          <w:spacing w:before="0" w:after="160" w:line="259" w:lineRule="auto"/>
                          <w:ind w:left="0" w:right="0" w:firstLine="0"/>
                          <w:jc w:val="left"/>
                        </w:pPr>
                        <w:r>
                          <w:rPr>
                            <w:w w:val="103"/>
                          </w:rPr>
                          <w:t xml:space="preserve">захвата</w:t>
                        </w:r>
                        <w:r>
                          <w:rPr>
                            <w:spacing w:val="-3"/>
                            <w:w w:val="103"/>
                          </w:rPr>
                          <w:t xml:space="preserve"> </w:t>
                        </w:r>
                        <w:r>
                          <w:rPr>
                            <w:w w:val="103"/>
                          </w:rPr>
                          <w:t xml:space="preserve">серотонина</w:t>
                        </w:r>
                        <w:r>
                          <w:rPr>
                            <w:spacing w:val="-3"/>
                            <w:w w:val="103"/>
                          </w:rPr>
                          <w:t xml:space="preserve"> </w:t>
                        </w:r>
                        <w:r>
                          <w:rPr>
                            <w:w w:val="103"/>
                          </w:rPr>
                          <w:t xml:space="preserve">и</w:t>
                        </w:r>
                        <w:r>
                          <w:rPr>
                            <w:spacing w:val="-3"/>
                            <w:w w:val="103"/>
                          </w:rPr>
                          <w:t xml:space="preserve"> </w:t>
                        </w:r>
                        <w:r>
                          <w:rPr>
                            <w:w w:val="103"/>
                          </w:rPr>
                          <w:t xml:space="preserve">норадреналина</w:t>
                        </w:r>
                      </w:p>
                    </w:txbxContent>
                  </v:textbox>
                </v:rect>
                <v:rect id="Rectangle 16908" style="position:absolute;width:12538;height:2030;left:44008;top:10634;" filled="f" stroked="f">
                  <v:textbox inset="0,0,0,0">
                    <w:txbxContent>
                      <w:p>
                        <w:pPr>
                          <w:spacing w:before="0" w:after="160" w:line="259" w:lineRule="auto"/>
                          <w:ind w:left="0" w:right="0" w:firstLine="0"/>
                          <w:jc w:val="left"/>
                        </w:pPr>
                        <w:r>
                          <w:rPr>
                            <w:w w:val="103"/>
                          </w:rPr>
                          <w:t xml:space="preserve">Трициклические</w:t>
                        </w:r>
                        <w:r>
                          <w:rPr>
                            <w:spacing w:val="-3"/>
                            <w:w w:val="103"/>
                          </w:rPr>
                          <w:t xml:space="preserve"> </w:t>
                        </w:r>
                      </w:p>
                    </w:txbxContent>
                  </v:textbox>
                </v:rect>
                <v:rect id="Rectangle 16909" style="position:absolute;width:12850;height:2030;left:43755;top:12158;" filled="f" stroked="f">
                  <v:textbox inset="0,0,0,0">
                    <w:txbxContent>
                      <w:p>
                        <w:pPr>
                          <w:spacing w:before="0" w:after="160" w:line="259" w:lineRule="auto"/>
                          <w:ind w:left="0" w:right="0" w:firstLine="0"/>
                          <w:jc w:val="left"/>
                        </w:pPr>
                        <w:r>
                          <w:rPr>
                            <w:w w:val="103"/>
                          </w:rPr>
                          <w:t xml:space="preserve">антидепрессанты</w:t>
                        </w:r>
                      </w:p>
                    </w:txbxContent>
                  </v:textbox>
                </v:rect>
                <v:shape id="Shape 16910" style="position:absolute;width:8421;height:3120;left:6058;top:7263;" coordsize="842150,312052" path="m842150,0l0,312052">
                  <v:stroke weight="0.709pt" endcap="flat" joinstyle="miter" miterlimit="4" on="true" color="#000000"/>
                  <v:fill on="false" color="#000000" opacity="0"/>
                </v:shape>
                <v:shape id="Shape 16911" style="position:absolute;width:893;height:578;left:5458;top:10027;" coordsize="89357,57836" path="m68123,0l59982,35611l89357,57315l0,57836l68123,0x">
                  <v:stroke weight="0pt" endcap="flat" joinstyle="miter" miterlimit="4" on="false" color="#000000" opacity="0"/>
                  <v:fill on="true" color="#000000"/>
                </v:shape>
                <v:shape id="Shape 16912" style="position:absolute;width:10044;height:3151;left:14479;top:7263;" coordsize="1004468,315125" path="m0,0l1004468,315125">
                  <v:stroke weight="0.709pt" endcap="flat" joinstyle="miter" miterlimit="4" on="true" color="#000000"/>
                  <v:fill on="false" color="#000000" opacity="0"/>
                </v:shape>
                <v:shape id="Shape 16913" style="position:absolute;width:892;height:583;left:24241;top:10062;" coordsize="89255,58318" path="m18288,0l89255,54292l0,58318l28232,35141l18288,0x">
                  <v:stroke weight="0pt" endcap="flat" joinstyle="miter" miterlimit="4" on="false" color="#000000" opacity="0"/>
                  <v:fill on="true" color="#000000"/>
                </v:shape>
                <v:shape id="Shape 16914" style="position:absolute;width:33736;height:3260;left:14478;top:7263;" coordsize="3373603,326098" path="m0,0l3373603,326098">
                  <v:stroke weight="0.709pt" endcap="flat" joinstyle="miter" miterlimit="4" on="true" color="#000000"/>
                  <v:fill on="false" color="#000000" opacity="0"/>
                </v:shape>
                <v:shape id="Shape 16915" style="position:absolute;width:865;height:608;left:47986;top:10200;" coordsize="86513,60833" path="m5867,0l86513,38494l0,60833l22847,32347l5867,0x">
                  <v:stroke weight="0pt" endcap="flat" joinstyle="miter" miterlimit="4" on="false" color="#000000" opacity="0"/>
                  <v:fill on="true" color="#000000"/>
                </v:shape>
                <v:shape id="Shape 16916" style="position:absolute;width:0;height:1257;left:5934;top:13743;" coordsize="0,125768" path="m0,0l0,125768">
                  <v:stroke weight="0.709pt" endcap="flat" joinstyle="miter" miterlimit="4" on="true" color="#000000"/>
                  <v:fill on="false" color="#000000" opacity="0"/>
                </v:shape>
                <v:shape id="Shape 16917" style="position:absolute;width:611;height:839;left:5629;top:14800;" coordsize="61112,83972" path="m0,0l30556,20015l61112,0l30556,83972l0,0x">
                  <v:stroke weight="0pt" endcap="flat" joinstyle="miter" miterlimit="4" on="false" color="#000000" opacity="0"/>
                  <v:fill on="true" color="#000000"/>
                </v:shape>
                <v:shape id="Shape 16918" style="position:absolute;width:0;height:1257;left:25189;top:13743;" coordsize="0,125768" path="m0,0l0,125768">
                  <v:stroke weight="0.709pt" endcap="flat" joinstyle="miter" miterlimit="4" on="true" color="#000000"/>
                  <v:fill on="false" color="#000000" opacity="0"/>
                </v:shape>
                <v:shape id="Shape 16919" style="position:absolute;width:611;height:839;left:24884;top:14800;" coordsize="61113,83972" path="m0,0l30556,20015l61113,0l30556,83972l0,0x">
                  <v:stroke weight="0pt" endcap="flat" joinstyle="miter" miterlimit="4" on="false" color="#000000" opacity="0"/>
                  <v:fill on="true" color="#000000"/>
                </v:shape>
                <v:shape id="Shape 16920" style="position:absolute;width:0;height:1257;left:48543;top:13743;" coordsize="0,125768" path="m0,0l0,125768">
                  <v:stroke weight="0.709pt" endcap="flat" joinstyle="miter" miterlimit="4" on="true" color="#000000"/>
                  <v:fill on="false" color="#000000" opacity="0"/>
                </v:shape>
                <v:shape id="Shape 16921" style="position:absolute;width:611;height:839;left:48238;top:14800;" coordsize="61113,83972" path="m0,0l30556,20015l61113,0l30556,83972l0,0x">
                  <v:stroke weight="0pt" endcap="flat" joinstyle="miter" miterlimit="4" on="false" color="#000000" opacity="0"/>
                  <v:fill on="true" color="#000000"/>
                </v:shape>
                <v:shape id="Shape 16922" style="position:absolute;width:3406;height:0;left:23500;top:1392;" coordsize="340627,0" path="m0,0l340627,0">
                  <v:stroke weight="0.709pt" endcap="flat" joinstyle="miter" miterlimit="4" on="true" color="#000000"/>
                  <v:fill on="false" color="#000000" opacity="0"/>
                </v:shape>
                <v:shape id="Shape 16923" style="position:absolute;width:839;height:611;left:26706;top:1086;" coordsize="83972,61112" path="m0,0l83972,30556l0,61112l20015,30556l0,0x">
                  <v:stroke weight="0pt" endcap="flat" joinstyle="miter" miterlimit="4" on="false" color="#000000" opacity="0"/>
                  <v:fill on="true" color="#000000"/>
                </v:shape>
                <v:shape id="Shape 16924" style="position:absolute;width:3406;height:0;left:31677;top:1393;" coordsize="340627,0" path="m0,0l340627,0">
                  <v:stroke weight="0.709pt" endcap="flat" joinstyle="miter" miterlimit="4" on="true" color="#000000"/>
                  <v:fill on="false" color="#000000" opacity="0"/>
                </v:shape>
                <v:shape id="Shape 16925" style="position:absolute;width:839;height:611;left:34883;top:1088;" coordsize="83972,61112" path="m0,0l83972,30556l0,61112l20015,30556l0,0x">
                  <v:stroke weight="0pt" endcap="flat" joinstyle="miter" miterlimit="4" on="false" color="#000000" opacity="0"/>
                  <v:fill on="true" color="#000000"/>
                </v:shape>
                <v:shape id="Shape 16926" style="position:absolute;width:0;height:3070;left:25189;top:17664;" coordsize="0,307086" path="m0,0l0,307086">
                  <v:stroke weight="0.5pt" endcap="flat" joinstyle="miter" miterlimit="4" on="true" color="#000000"/>
                  <v:fill on="false" color="#000000" opacity="0"/>
                </v:shape>
                <v:shape id="Shape 16927" style="position:absolute;width:584;height:803;left:24897;top:20533;" coordsize="58471,80327" path="m0,0l29235,20244l58471,0l29235,80327l0,0x">
                  <v:stroke weight="0pt" endcap="flat" joinstyle="miter" miterlimit="4" on="false" color="#000000" opacity="0"/>
                  <v:fill on="true" color="#000000"/>
                </v:shape>
                <v:shape id="Shape 16928" style="position:absolute;width:3406;height:4914;left:24976;top:26628;" coordsize="340627,491439" path="m0,0l0,491439l340627,491439">
                  <v:stroke weight="0.709pt" endcap="flat" joinstyle="miter" miterlimit="4" on="true" color="#000000"/>
                  <v:fill on="false" color="#000000" opacity="0"/>
                </v:shape>
                <v:shape id="Shape 16929" style="position:absolute;width:839;height:611;left:28182;top:31237;" coordsize="83972,61113" path="m0,0l83972,30556l0,61113l20015,30556l0,0x">
                  <v:stroke weight="0pt" endcap="flat" joinstyle="miter" miterlimit="4" on="false" color="#000000" opacity="0"/>
                  <v:fill on="true" color="#000000"/>
                </v:shape>
                <v:shape id="Shape 16930" style="position:absolute;width:4643;height:30779;left:54460;top:1073;" coordsize="464375,3077959" path="m0,3077959l464375,3077959l464375,0l123749,0">
                  <v:stroke weight="0.709pt" endcap="flat" joinstyle="miter" miterlimit="4" on="true" color="#000000"/>
                  <v:fill on="false" color="#000000" opacity="0"/>
                </v:shape>
                <v:shape id="Shape 16931" style="position:absolute;width:839;height:611;left:55058;top:767;" coordsize="83972,61100" path="m83972,0l63957,30543l83972,61100l0,30543l83972,0x">
                  <v:stroke weight="0pt" endcap="flat" joinstyle="miter" miterlimit="4" on="false" color="#000000" opacity="0"/>
                  <v:fill on="true" color="#000000"/>
                </v:shape>
              </v:group>
            </w:pict>
          </mc:Fallback>
        </mc:AlternateContent>
      </w:r>
    </w:p>
    <w:p w:rsidR="00D27BC6" w:rsidRDefault="004D5071">
      <w:pPr>
        <w:pStyle w:val="Heading2"/>
        <w:ind w:left="-3"/>
      </w:pPr>
      <w:r>
        <w:t>Медикаментозная терапия</w:t>
      </w:r>
    </w:p>
    <w:tbl>
      <w:tblPr>
        <w:tblStyle w:val="TableGrid"/>
        <w:tblW w:w="10185" w:type="dxa"/>
        <w:tblInd w:w="9" w:type="dxa"/>
        <w:tblCellMar>
          <w:top w:w="9" w:type="dxa"/>
          <w:left w:w="57" w:type="dxa"/>
          <w:bottom w:w="0" w:type="dxa"/>
          <w:right w:w="38" w:type="dxa"/>
        </w:tblCellMar>
        <w:tblLook w:val="04A0" w:firstRow="1" w:lastRow="0" w:firstColumn="1" w:lastColumn="0" w:noHBand="0" w:noVBand="1"/>
      </w:tblPr>
      <w:tblGrid>
        <w:gridCol w:w="3395"/>
        <w:gridCol w:w="3395"/>
        <w:gridCol w:w="3395"/>
      </w:tblGrid>
      <w:tr w:rsidR="00D27BC6">
        <w:trPr>
          <w:trHeight w:val="560"/>
        </w:trPr>
        <w:tc>
          <w:tcPr>
            <w:tcW w:w="3395"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19" w:firstLine="0"/>
              <w:jc w:val="center"/>
            </w:pPr>
            <w:r>
              <w:rPr>
                <w:b/>
              </w:rPr>
              <w:t>Класс препаратов</w:t>
            </w:r>
          </w:p>
        </w:tc>
        <w:tc>
          <w:tcPr>
            <w:tcW w:w="3395"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19" w:firstLine="0"/>
              <w:jc w:val="center"/>
            </w:pPr>
            <w:r>
              <w:rPr>
                <w:b/>
              </w:rPr>
              <w:t>Механизм действия</w:t>
            </w:r>
          </w:p>
        </w:tc>
        <w:tc>
          <w:tcPr>
            <w:tcW w:w="339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Препараты (средняя терапевтическая доза)</w:t>
            </w:r>
          </w:p>
        </w:tc>
      </w:tr>
      <w:tr w:rsidR="00D27BC6">
        <w:trPr>
          <w:trHeight w:val="560"/>
        </w:trPr>
        <w:tc>
          <w:tcPr>
            <w:tcW w:w="3395"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Антиконвульсанты</w:t>
            </w:r>
          </w:p>
        </w:tc>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Модулирование электрического потенциала кальциевых каналов </w:t>
            </w:r>
          </w:p>
        </w:tc>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Прегабалин (150–600 мг/сутки) Габапентин (300–3600 мг/сутки)</w:t>
            </w:r>
          </w:p>
        </w:tc>
      </w:tr>
      <w:tr w:rsidR="00D27BC6">
        <w:trPr>
          <w:trHeight w:val="80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33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Блокада электрического потенциала натриевых каналов</w:t>
            </w:r>
          </w:p>
        </w:tc>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Окскарбазепин (600–2400 мг/сутки) – только при острой сенсорной (атипичной) ДН</w:t>
            </w:r>
          </w:p>
        </w:tc>
      </w:tr>
      <w:tr w:rsidR="00D27BC6">
        <w:trPr>
          <w:trHeight w:val="800"/>
        </w:trPr>
        <w:tc>
          <w:tcPr>
            <w:tcW w:w="33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Трициклические антидепрессанты</w:t>
            </w:r>
          </w:p>
        </w:tc>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485" w:firstLine="0"/>
              <w:jc w:val="left"/>
            </w:pPr>
            <w:r>
              <w:t>Неспецифичное ингибирование обратного захвата серотонина и норадреналина</w:t>
            </w:r>
          </w:p>
        </w:tc>
        <w:tc>
          <w:tcPr>
            <w:tcW w:w="33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Амитриптилин (25–150 мг/сутки)</w:t>
            </w:r>
          </w:p>
        </w:tc>
      </w:tr>
      <w:tr w:rsidR="00D27BC6">
        <w:trPr>
          <w:trHeight w:val="800"/>
        </w:trPr>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Антидепрессанты – селективные ингибиторы обратного захвата серотонина и норадреналина</w:t>
            </w:r>
          </w:p>
        </w:tc>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72" w:firstLine="0"/>
              <w:jc w:val="left"/>
            </w:pPr>
            <w:r>
              <w:t>Высокоспецифичное ингибирование обратного захвата серотонина и норадреналина</w:t>
            </w:r>
          </w:p>
        </w:tc>
        <w:tc>
          <w:tcPr>
            <w:tcW w:w="339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Дулоксетин (60–120 мг/сутки)</w:t>
            </w:r>
          </w:p>
        </w:tc>
      </w:tr>
      <w:tr w:rsidR="00D27BC6">
        <w:trPr>
          <w:trHeight w:val="320"/>
        </w:trPr>
        <w:tc>
          <w:tcPr>
            <w:tcW w:w="3395"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Препараты местного действия</w:t>
            </w:r>
          </w:p>
        </w:tc>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Местно-раздражающее</w:t>
            </w:r>
          </w:p>
        </w:tc>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Капсаицин</w:t>
            </w:r>
          </w:p>
        </w:tc>
      </w:tr>
      <w:tr w:rsidR="00D27BC6">
        <w:trPr>
          <w:trHeight w:val="32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Местно-обезболивающее</w:t>
            </w:r>
          </w:p>
        </w:tc>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Лидокаин</w:t>
            </w:r>
          </w:p>
        </w:tc>
      </w:tr>
    </w:tbl>
    <w:p w:rsidR="00D27BC6" w:rsidRDefault="004D5071">
      <w:pPr>
        <w:spacing w:after="230"/>
        <w:ind w:left="-11" w:right="0" w:firstLine="283"/>
      </w:pPr>
      <w:r>
        <w:t>Имеются данные о необходимости максимально ограничивать применение малых опиатов в лечении нейропатической боли, т.к. это может привести к привыканию в короткий период времени</w:t>
      </w:r>
    </w:p>
    <w:p w:rsidR="00D27BC6" w:rsidRDefault="004D5071">
      <w:pPr>
        <w:spacing w:after="243" w:line="259" w:lineRule="auto"/>
        <w:ind w:left="10" w:right="4"/>
        <w:jc w:val="center"/>
      </w:pPr>
      <w:r>
        <w:rPr>
          <w:b/>
          <w:color w:val="6F6F6E"/>
          <w:sz w:val="18"/>
          <w:u w:val="single" w:color="6F6F6E"/>
        </w:rPr>
        <w:t>ПРОФИЛАКТИКА</w:t>
      </w:r>
    </w:p>
    <w:p w:rsidR="00D27BC6" w:rsidRDefault="004D5071">
      <w:pPr>
        <w:pBdr>
          <w:top w:val="single" w:sz="8" w:space="0" w:color="000000"/>
          <w:left w:val="single" w:sz="8" w:space="0" w:color="000000"/>
          <w:bottom w:val="single" w:sz="8" w:space="0" w:color="000000"/>
          <w:right w:val="single" w:sz="8" w:space="0" w:color="000000"/>
        </w:pBdr>
        <w:spacing w:after="244"/>
        <w:ind w:left="159" w:right="149"/>
        <w:jc w:val="center"/>
      </w:pPr>
      <w:r>
        <w:rPr>
          <w:b/>
        </w:rPr>
        <w:t>Достижение и поддержание индивидуальных целевых показателей гликеми</w:t>
      </w:r>
      <w:r>
        <w:rPr>
          <w:b/>
        </w:rPr>
        <w:t>ческого и липидемического контроля</w:t>
      </w:r>
    </w:p>
    <w:p w:rsidR="00D27BC6" w:rsidRDefault="004D5071">
      <w:pPr>
        <w:spacing w:after="317"/>
        <w:ind w:left="290" w:right="286"/>
        <w:jc w:val="center"/>
      </w:pPr>
      <w:r>
        <w:rPr>
          <w:b/>
        </w:rPr>
        <w:t>12.1. КАРДИОВАСКУЛЯРНАЯ АВТОНОМНАЯ НЕЙРОПАТИЯ</w:t>
      </w:r>
    </w:p>
    <w:p w:rsidR="00D27BC6" w:rsidRDefault="004D5071">
      <w:pPr>
        <w:pBdr>
          <w:top w:val="single" w:sz="8" w:space="0" w:color="000000"/>
          <w:left w:val="single" w:sz="8" w:space="0" w:color="000000"/>
          <w:bottom w:val="single" w:sz="8" w:space="0" w:color="000000"/>
          <w:right w:val="single" w:sz="8" w:space="0" w:color="000000"/>
        </w:pBdr>
        <w:spacing w:after="383"/>
        <w:ind w:left="120" w:right="114"/>
      </w:pPr>
      <w:r>
        <w:rPr>
          <w:b/>
        </w:rPr>
        <w:t>Кардиоваскулярная автономная нейропатия (КАН)</w:t>
      </w:r>
      <w:r>
        <w:t xml:space="preserve"> – одна из форм диабетической автономной нейропатии, при которой происходит нарушение регуляции сердечной деятельности и тонуса сосудов вследствие повреждения нервных волокон вегетативной нервной системы, иннервирующих сердце и кровеносные сосуды.</w:t>
      </w:r>
    </w:p>
    <w:p w:rsidR="00D27BC6" w:rsidRDefault="004D5071">
      <w:pPr>
        <w:ind w:left="-11" w:right="0" w:firstLine="283"/>
      </w:pPr>
      <w:r>
        <w:t>КАН явля</w:t>
      </w:r>
      <w:r>
        <w:t xml:space="preserve">ется независимым ФР сердечно-сосудистой смертности и сердечно-сосудистых событий. Распространенность КАН у больных СД составляет 25%. </w:t>
      </w:r>
    </w:p>
    <w:p w:rsidR="00D27BC6" w:rsidRDefault="004D5071">
      <w:pPr>
        <w:pStyle w:val="Heading2"/>
        <w:ind w:left="-3"/>
      </w:pPr>
      <w:r>
        <w:t>Факторы риска развития КАН</w:t>
      </w:r>
    </w:p>
    <w:tbl>
      <w:tblPr>
        <w:tblStyle w:val="TableGrid"/>
        <w:tblW w:w="10197" w:type="dxa"/>
        <w:tblInd w:w="9" w:type="dxa"/>
        <w:tblCellMar>
          <w:top w:w="9" w:type="dxa"/>
          <w:left w:w="0" w:type="dxa"/>
          <w:bottom w:w="0" w:type="dxa"/>
          <w:right w:w="115" w:type="dxa"/>
        </w:tblCellMar>
        <w:tblLook w:val="04A0" w:firstRow="1" w:lastRow="0" w:firstColumn="1" w:lastColumn="0" w:noHBand="0" w:noVBand="1"/>
      </w:tblPr>
      <w:tblGrid>
        <w:gridCol w:w="5099"/>
        <w:gridCol w:w="2108"/>
        <w:gridCol w:w="2991"/>
      </w:tblGrid>
      <w:tr w:rsidR="00D27BC6">
        <w:trPr>
          <w:trHeight w:val="320"/>
        </w:trPr>
        <w:tc>
          <w:tcPr>
            <w:tcW w:w="509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115" w:right="0" w:firstLine="0"/>
              <w:jc w:val="center"/>
            </w:pPr>
            <w:r>
              <w:rPr>
                <w:b/>
              </w:rPr>
              <w:t>СД 1 типа</w:t>
            </w:r>
          </w:p>
        </w:tc>
        <w:tc>
          <w:tcPr>
            <w:tcW w:w="2108" w:type="dxa"/>
            <w:tcBorders>
              <w:top w:val="single" w:sz="6" w:space="0" w:color="000000"/>
              <w:left w:val="single" w:sz="6" w:space="0" w:color="000000"/>
              <w:bottom w:val="single" w:sz="6" w:space="0" w:color="000000"/>
              <w:right w:val="nil"/>
            </w:tcBorders>
            <w:shd w:val="clear" w:color="auto" w:fill="DADAD9"/>
          </w:tcPr>
          <w:p w:rsidR="00D27BC6" w:rsidRDefault="00D27BC6">
            <w:pPr>
              <w:spacing w:after="160" w:line="259" w:lineRule="auto"/>
              <w:ind w:left="0" w:right="0" w:firstLine="0"/>
              <w:jc w:val="left"/>
            </w:pPr>
          </w:p>
        </w:tc>
        <w:tc>
          <w:tcPr>
            <w:tcW w:w="2991" w:type="dxa"/>
            <w:tcBorders>
              <w:top w:val="single" w:sz="6" w:space="0" w:color="000000"/>
              <w:left w:val="nil"/>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СД 2 типа</w:t>
            </w:r>
          </w:p>
        </w:tc>
      </w:tr>
      <w:tr w:rsidR="00D27BC6">
        <w:trPr>
          <w:trHeight w:val="1734"/>
        </w:trPr>
        <w:tc>
          <w:tcPr>
            <w:tcW w:w="5099"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92"/>
              </w:numPr>
              <w:spacing w:after="90" w:line="259" w:lineRule="auto"/>
              <w:ind w:right="0" w:hanging="170"/>
              <w:jc w:val="left"/>
            </w:pPr>
            <w:r>
              <w:t>Высокие значения HbA1c</w:t>
            </w:r>
          </w:p>
          <w:p w:rsidR="00D27BC6" w:rsidRDefault="004D5071">
            <w:pPr>
              <w:numPr>
                <w:ilvl w:val="0"/>
                <w:numId w:val="292"/>
              </w:numPr>
              <w:spacing w:after="90" w:line="259" w:lineRule="auto"/>
              <w:ind w:right="0" w:hanging="170"/>
              <w:jc w:val="left"/>
            </w:pPr>
            <w:r>
              <w:t>Гипергликемия</w:t>
            </w:r>
          </w:p>
          <w:p w:rsidR="00D27BC6" w:rsidRDefault="004D5071">
            <w:pPr>
              <w:numPr>
                <w:ilvl w:val="0"/>
                <w:numId w:val="292"/>
              </w:numPr>
              <w:spacing w:after="90" w:line="259" w:lineRule="auto"/>
              <w:ind w:right="0" w:hanging="170"/>
              <w:jc w:val="left"/>
            </w:pPr>
            <w:r>
              <w:t>Артериальная гипертензия</w:t>
            </w:r>
          </w:p>
          <w:p w:rsidR="00D27BC6" w:rsidRDefault="004D5071">
            <w:pPr>
              <w:numPr>
                <w:ilvl w:val="0"/>
                <w:numId w:val="292"/>
              </w:numPr>
              <w:spacing w:after="90" w:line="259" w:lineRule="auto"/>
              <w:ind w:right="0" w:hanging="170"/>
              <w:jc w:val="left"/>
            </w:pPr>
            <w:r>
              <w:t>Дистальная диабетическая полинейропатия</w:t>
            </w:r>
          </w:p>
          <w:p w:rsidR="00D27BC6" w:rsidRDefault="004D5071">
            <w:pPr>
              <w:numPr>
                <w:ilvl w:val="0"/>
                <w:numId w:val="292"/>
              </w:numPr>
              <w:spacing w:after="0" w:line="259" w:lineRule="auto"/>
              <w:ind w:right="0" w:hanging="170"/>
              <w:jc w:val="left"/>
            </w:pPr>
            <w:r>
              <w:t>Диабетическая ретинопатия</w:t>
            </w:r>
          </w:p>
        </w:tc>
        <w:tc>
          <w:tcPr>
            <w:tcW w:w="2108" w:type="dxa"/>
            <w:tcBorders>
              <w:top w:val="single" w:sz="6" w:space="0" w:color="000000"/>
              <w:left w:val="single" w:sz="6" w:space="0" w:color="000000"/>
              <w:bottom w:val="single" w:sz="6" w:space="0" w:color="000000"/>
              <w:right w:val="nil"/>
            </w:tcBorders>
          </w:tcPr>
          <w:p w:rsidR="00D27BC6" w:rsidRDefault="004D5071">
            <w:pPr>
              <w:numPr>
                <w:ilvl w:val="0"/>
                <w:numId w:val="293"/>
              </w:numPr>
              <w:spacing w:after="90" w:line="259" w:lineRule="auto"/>
              <w:ind w:right="0" w:hanging="170"/>
              <w:jc w:val="left"/>
            </w:pPr>
            <w:r>
              <w:t>Возраст</w:t>
            </w:r>
          </w:p>
          <w:p w:rsidR="00D27BC6" w:rsidRDefault="004D5071">
            <w:pPr>
              <w:numPr>
                <w:ilvl w:val="0"/>
                <w:numId w:val="293"/>
              </w:numPr>
              <w:spacing w:after="90" w:line="259" w:lineRule="auto"/>
              <w:ind w:right="0" w:hanging="170"/>
              <w:jc w:val="left"/>
            </w:pPr>
            <w:r>
              <w:t>Длительность СД</w:t>
            </w:r>
          </w:p>
          <w:p w:rsidR="00D27BC6" w:rsidRDefault="004D5071">
            <w:pPr>
              <w:numPr>
                <w:ilvl w:val="0"/>
                <w:numId w:val="293"/>
              </w:numPr>
              <w:spacing w:after="90" w:line="259" w:lineRule="auto"/>
              <w:ind w:right="0" w:hanging="170"/>
              <w:jc w:val="left"/>
            </w:pPr>
            <w:r>
              <w:t>Ожирение</w:t>
            </w:r>
          </w:p>
          <w:p w:rsidR="00D27BC6" w:rsidRDefault="004D5071">
            <w:pPr>
              <w:numPr>
                <w:ilvl w:val="0"/>
                <w:numId w:val="293"/>
              </w:numPr>
              <w:spacing w:after="0" w:line="259" w:lineRule="auto"/>
              <w:ind w:right="0" w:hanging="170"/>
              <w:jc w:val="left"/>
            </w:pPr>
            <w:r>
              <w:t>Курение</w:t>
            </w:r>
          </w:p>
        </w:tc>
        <w:tc>
          <w:tcPr>
            <w:tcW w:w="2991"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r>
    </w:tbl>
    <w:p w:rsidR="00D27BC6" w:rsidRDefault="004D5071">
      <w:pPr>
        <w:ind w:left="281" w:right="51"/>
        <w:jc w:val="left"/>
      </w:pPr>
      <w:r>
        <w:rPr>
          <w:b/>
        </w:rPr>
        <w:t>Стадии КАН</w:t>
      </w:r>
    </w:p>
    <w:p w:rsidR="00D27BC6" w:rsidRDefault="004D5071">
      <w:pPr>
        <w:numPr>
          <w:ilvl w:val="0"/>
          <w:numId w:val="111"/>
        </w:numPr>
        <w:ind w:right="0" w:hanging="283"/>
      </w:pPr>
      <w:r>
        <w:t>начальная (доклиническая) стадия</w:t>
      </w:r>
    </w:p>
    <w:p w:rsidR="00D27BC6" w:rsidRDefault="004D5071">
      <w:pPr>
        <w:numPr>
          <w:ilvl w:val="0"/>
          <w:numId w:val="111"/>
        </w:numPr>
        <w:spacing w:after="226"/>
        <w:ind w:right="0" w:hanging="283"/>
      </w:pPr>
      <w:r>
        <w:t>стадия клинических проявлений</w:t>
      </w:r>
    </w:p>
    <w:p w:rsidR="00D27BC6" w:rsidRDefault="004D5071">
      <w:pPr>
        <w:ind w:left="281" w:right="51"/>
        <w:jc w:val="left"/>
      </w:pPr>
      <w:r>
        <w:rPr>
          <w:b/>
        </w:rPr>
        <w:t>Клинические проявления КАН</w:t>
      </w:r>
    </w:p>
    <w:p w:rsidR="00D27BC6" w:rsidRDefault="004D5071">
      <w:pPr>
        <w:numPr>
          <w:ilvl w:val="0"/>
          <w:numId w:val="111"/>
        </w:numPr>
        <w:ind w:right="0" w:hanging="283"/>
      </w:pPr>
      <w:r>
        <w:t>Тахикардия покоя</w:t>
      </w:r>
    </w:p>
    <w:p w:rsidR="00D27BC6" w:rsidRDefault="004D5071">
      <w:pPr>
        <w:numPr>
          <w:ilvl w:val="0"/>
          <w:numId w:val="111"/>
        </w:numPr>
        <w:ind w:right="0" w:hanging="283"/>
      </w:pPr>
      <w:r>
        <w:t>Ортостатическая гипотензия (ОГ) – снижение САД ≥ 20 мм рт.ст. или ДАД ≥ 10 мм рт.ст.</w:t>
      </w:r>
    </w:p>
    <w:p w:rsidR="00D27BC6" w:rsidRDefault="004D5071">
      <w:pPr>
        <w:numPr>
          <w:ilvl w:val="0"/>
          <w:numId w:val="111"/>
        </w:numPr>
        <w:ind w:right="0" w:hanging="283"/>
      </w:pPr>
      <w:r>
        <w:t>Синдром постуральной тахикардии</w:t>
      </w:r>
    </w:p>
    <w:p w:rsidR="00D27BC6" w:rsidRDefault="004D5071">
      <w:pPr>
        <w:numPr>
          <w:ilvl w:val="0"/>
          <w:numId w:val="111"/>
        </w:numPr>
        <w:ind w:right="0" w:hanging="283"/>
      </w:pPr>
      <w:r>
        <w:t>Снижение переносимости физических нагрузок</w:t>
      </w:r>
    </w:p>
    <w:p w:rsidR="00D27BC6" w:rsidRDefault="004D5071">
      <w:pPr>
        <w:numPr>
          <w:ilvl w:val="0"/>
          <w:numId w:val="111"/>
        </w:numPr>
        <w:spacing w:after="226"/>
        <w:ind w:right="0" w:hanging="283"/>
      </w:pPr>
      <w:r>
        <w:t>«Немая» ишемия миокарда</w:t>
      </w:r>
    </w:p>
    <w:p w:rsidR="00D27BC6" w:rsidRDefault="004D5071">
      <w:pPr>
        <w:spacing w:after="470"/>
        <w:ind w:left="-11" w:right="0" w:firstLine="283"/>
      </w:pPr>
      <w:r>
        <w:t>Следует предпринять диагностический поиск других причин, которые могут в</w:t>
      </w:r>
      <w:r>
        <w:t>ызывать схожие с КАН симптомы: сопутствующие заболевания, действие ряда лекарственных препаратов или их взаимодействие между собой.</w:t>
      </w:r>
    </w:p>
    <w:p w:rsidR="00D27BC6" w:rsidRDefault="004D5071">
      <w:pPr>
        <w:pStyle w:val="Heading2"/>
        <w:ind w:left="-3"/>
      </w:pPr>
      <w:r>
        <w:t>Дифференциальная диагностика при КАН</w:t>
      </w:r>
    </w:p>
    <w:tbl>
      <w:tblPr>
        <w:tblStyle w:val="TableGrid"/>
        <w:tblW w:w="10195" w:type="dxa"/>
        <w:tblInd w:w="9" w:type="dxa"/>
        <w:tblCellMar>
          <w:top w:w="9" w:type="dxa"/>
          <w:left w:w="57" w:type="dxa"/>
          <w:bottom w:w="0" w:type="dxa"/>
          <w:right w:w="56" w:type="dxa"/>
        </w:tblCellMar>
        <w:tblLook w:val="04A0" w:firstRow="1" w:lastRow="0" w:firstColumn="1" w:lastColumn="0" w:noHBand="0" w:noVBand="1"/>
      </w:tblPr>
      <w:tblGrid>
        <w:gridCol w:w="1271"/>
        <w:gridCol w:w="1559"/>
        <w:gridCol w:w="7365"/>
      </w:tblGrid>
      <w:tr w:rsidR="00D27BC6">
        <w:trPr>
          <w:trHeight w:val="320"/>
        </w:trPr>
        <w:tc>
          <w:tcPr>
            <w:tcW w:w="1271"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157" w:right="0" w:firstLine="0"/>
              <w:jc w:val="left"/>
            </w:pPr>
            <w:r>
              <w:rPr>
                <w:b/>
              </w:rPr>
              <w:t>Симптом</w:t>
            </w:r>
          </w:p>
        </w:tc>
        <w:tc>
          <w:tcPr>
            <w:tcW w:w="155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1" w:firstLine="0"/>
              <w:jc w:val="center"/>
            </w:pPr>
            <w:r>
              <w:rPr>
                <w:b/>
              </w:rPr>
              <w:t>Признаки</w:t>
            </w:r>
          </w:p>
        </w:tc>
        <w:tc>
          <w:tcPr>
            <w:tcW w:w="736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1" w:firstLine="0"/>
              <w:jc w:val="center"/>
            </w:pPr>
            <w:r>
              <w:rPr>
                <w:b/>
              </w:rPr>
              <w:t>Другие состояния</w:t>
            </w:r>
          </w:p>
        </w:tc>
      </w:tr>
      <w:tr w:rsidR="00D27BC6">
        <w:trPr>
          <w:trHeight w:val="3994"/>
        </w:trPr>
        <w:tc>
          <w:tcPr>
            <w:tcW w:w="12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Тахикардия покоя</w:t>
            </w:r>
          </w:p>
        </w:tc>
        <w:tc>
          <w:tcPr>
            <w:tcW w:w="155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37" w:firstLine="0"/>
              <w:jc w:val="left"/>
            </w:pPr>
            <w:r>
              <w:t>ЧСС более 100 ударов в минуту</w:t>
            </w:r>
          </w:p>
        </w:tc>
        <w:tc>
          <w:tcPr>
            <w:tcW w:w="736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94"/>
              </w:numPr>
              <w:spacing w:after="90" w:line="259" w:lineRule="auto"/>
              <w:ind w:right="0" w:firstLine="0"/>
              <w:jc w:val="left"/>
            </w:pPr>
            <w:r>
              <w:t xml:space="preserve">анемия, </w:t>
            </w:r>
          </w:p>
          <w:p w:rsidR="00D27BC6" w:rsidRDefault="004D5071">
            <w:pPr>
              <w:numPr>
                <w:ilvl w:val="0"/>
                <w:numId w:val="294"/>
              </w:numPr>
              <w:spacing w:after="90" w:line="259" w:lineRule="auto"/>
              <w:ind w:right="0" w:firstLine="0"/>
              <w:jc w:val="left"/>
            </w:pPr>
            <w:r>
              <w:t xml:space="preserve">тиреотоксикоз, </w:t>
            </w:r>
          </w:p>
          <w:p w:rsidR="00D27BC6" w:rsidRDefault="004D5071">
            <w:pPr>
              <w:numPr>
                <w:ilvl w:val="0"/>
                <w:numId w:val="294"/>
              </w:numPr>
              <w:spacing w:after="90" w:line="259" w:lineRule="auto"/>
              <w:ind w:right="0" w:firstLine="0"/>
              <w:jc w:val="left"/>
            </w:pPr>
            <w:r>
              <w:t xml:space="preserve">лихорадка, </w:t>
            </w:r>
          </w:p>
          <w:p w:rsidR="00D27BC6" w:rsidRDefault="004D5071">
            <w:pPr>
              <w:numPr>
                <w:ilvl w:val="0"/>
                <w:numId w:val="294"/>
              </w:numPr>
              <w:spacing w:after="0" w:line="347" w:lineRule="auto"/>
              <w:ind w:right="0" w:firstLine="0"/>
              <w:jc w:val="left"/>
            </w:pPr>
            <w:r>
              <w:t xml:space="preserve">нарушения ритма сердца (фибрилляция и трепетание предсердий и другие); – дегидратация; </w:t>
            </w:r>
          </w:p>
          <w:p w:rsidR="00D27BC6" w:rsidRDefault="004D5071">
            <w:pPr>
              <w:numPr>
                <w:ilvl w:val="0"/>
                <w:numId w:val="294"/>
              </w:numPr>
              <w:spacing w:after="90" w:line="259" w:lineRule="auto"/>
              <w:ind w:right="0" w:firstLine="0"/>
              <w:jc w:val="left"/>
            </w:pPr>
            <w:r>
              <w:t>надпочечниковая недостаточность;</w:t>
            </w:r>
          </w:p>
          <w:p w:rsidR="00D27BC6" w:rsidRDefault="004D5071">
            <w:pPr>
              <w:numPr>
                <w:ilvl w:val="0"/>
                <w:numId w:val="294"/>
              </w:numPr>
              <w:spacing w:after="0" w:line="259" w:lineRule="auto"/>
              <w:ind w:right="0" w:firstLine="0"/>
              <w:jc w:val="left"/>
            </w:pPr>
            <w:r>
              <w:t>действие лекарственных препаратов (например, препараты содержащие симпатомиметики – бронхолитики для лечения бронхиальной астмы и комбинированные препараты для лечения простуды, содержащие эфедрин и псевдоэфедрин, некоторые БАД, имеющие в составе, например</w:t>
            </w:r>
            <w:r>
              <w:t>, алкалоиды эфедры и др.), кофеина, алкоголя, никотина, ряда наркотических веществ (кокаин, амфетамин, метамфетамин и др.); – тревожные расстройства.</w:t>
            </w:r>
          </w:p>
        </w:tc>
      </w:tr>
      <w:tr w:rsidR="00D27BC6">
        <w:trPr>
          <w:trHeight w:val="3400"/>
        </w:trPr>
        <w:tc>
          <w:tcPr>
            <w:tcW w:w="12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Ортостатическая гипотензия </w:t>
            </w:r>
          </w:p>
        </w:tc>
        <w:tc>
          <w:tcPr>
            <w:tcW w:w="155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снижение </w:t>
            </w:r>
          </w:p>
          <w:p w:rsidR="00D27BC6" w:rsidRDefault="004D5071">
            <w:pPr>
              <w:spacing w:after="0" w:line="259" w:lineRule="auto"/>
              <w:ind w:left="0" w:right="0" w:firstLine="0"/>
              <w:jc w:val="left"/>
            </w:pPr>
            <w:r>
              <w:t xml:space="preserve">САД ≥ 20 или </w:t>
            </w:r>
          </w:p>
          <w:p w:rsidR="00D27BC6" w:rsidRDefault="004D5071">
            <w:pPr>
              <w:spacing w:after="0" w:line="259" w:lineRule="auto"/>
              <w:ind w:left="0" w:right="0" w:firstLine="0"/>
            </w:pPr>
            <w:r>
              <w:t>ДАД ≥ 10 мм рт.ст.</w:t>
            </w:r>
          </w:p>
        </w:tc>
        <w:tc>
          <w:tcPr>
            <w:tcW w:w="736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95"/>
              </w:numPr>
              <w:spacing w:after="90" w:line="259" w:lineRule="auto"/>
              <w:ind w:right="0" w:hanging="170"/>
              <w:jc w:val="left"/>
            </w:pPr>
            <w:r>
              <w:t xml:space="preserve">надпочечниковая недостаточность, </w:t>
            </w:r>
          </w:p>
          <w:p w:rsidR="00D27BC6" w:rsidRDefault="004D5071">
            <w:pPr>
              <w:numPr>
                <w:ilvl w:val="0"/>
                <w:numId w:val="295"/>
              </w:numPr>
              <w:spacing w:after="113" w:line="236" w:lineRule="auto"/>
              <w:ind w:right="0" w:hanging="170"/>
              <w:jc w:val="left"/>
            </w:pPr>
            <w:r>
              <w:t xml:space="preserve">уменьшение объема циркулирующей крови (острая кровопотеря, дегидратация), </w:t>
            </w:r>
          </w:p>
          <w:p w:rsidR="00D27BC6" w:rsidRDefault="004D5071">
            <w:pPr>
              <w:numPr>
                <w:ilvl w:val="0"/>
                <w:numId w:val="295"/>
              </w:numPr>
              <w:spacing w:after="90" w:line="259" w:lineRule="auto"/>
              <w:ind w:right="0" w:hanging="170"/>
              <w:jc w:val="left"/>
            </w:pPr>
            <w:r>
              <w:t xml:space="preserve">беременность и послеродовой период, </w:t>
            </w:r>
          </w:p>
          <w:p w:rsidR="00D27BC6" w:rsidRDefault="004D5071">
            <w:pPr>
              <w:numPr>
                <w:ilvl w:val="0"/>
                <w:numId w:val="295"/>
              </w:numPr>
              <w:spacing w:after="113" w:line="236" w:lineRule="auto"/>
              <w:ind w:right="0" w:hanging="170"/>
              <w:jc w:val="left"/>
            </w:pPr>
            <w:r>
              <w:t xml:space="preserve">сердечно-сосудистые заболевания (аритмии, сердечная недостаточность, миокардиты, перикардиты, клапанные пороки сердца), </w:t>
            </w:r>
          </w:p>
          <w:p w:rsidR="00D27BC6" w:rsidRDefault="004D5071">
            <w:pPr>
              <w:numPr>
                <w:ilvl w:val="0"/>
                <w:numId w:val="295"/>
              </w:numPr>
              <w:spacing w:after="90" w:line="259" w:lineRule="auto"/>
              <w:ind w:right="0" w:hanging="170"/>
              <w:jc w:val="left"/>
            </w:pPr>
            <w:r>
              <w:t xml:space="preserve">употребление алкоголя, </w:t>
            </w:r>
          </w:p>
          <w:p w:rsidR="00D27BC6" w:rsidRDefault="004D5071">
            <w:pPr>
              <w:numPr>
                <w:ilvl w:val="0"/>
                <w:numId w:val="295"/>
              </w:numPr>
              <w:spacing w:after="0" w:line="259" w:lineRule="auto"/>
              <w:ind w:right="0" w:hanging="170"/>
              <w:jc w:val="left"/>
            </w:pPr>
            <w:r>
              <w:t>лекарственные препараты (антиадренергические, антиангинальные, антиаритмические, антихолинергические препараты, диуретики, иАПФ и БРА, седативные препараты, нейролептики, антидепрессанты), – наркотические средства.</w:t>
            </w:r>
          </w:p>
        </w:tc>
      </w:tr>
    </w:tbl>
    <w:p w:rsidR="00D27BC6" w:rsidRDefault="004D5071">
      <w:pPr>
        <w:pStyle w:val="Heading3"/>
        <w:ind w:left="162" w:right="156"/>
      </w:pPr>
      <w:r>
        <w:t>Диагностика КАН</w:t>
      </w:r>
    </w:p>
    <w:p w:rsidR="00D27BC6" w:rsidRDefault="004D5071">
      <w:pPr>
        <w:spacing w:after="0" w:line="259" w:lineRule="auto"/>
        <w:ind w:left="-3" w:right="0"/>
        <w:jc w:val="left"/>
      </w:pPr>
      <w:r>
        <w:rPr>
          <w:b/>
          <w:color w:val="6F6F6E"/>
        </w:rPr>
        <w:t>Так называемые «прикроватные» тесты являются золотым стандартом диагностики КАН:</w:t>
      </w:r>
    </w:p>
    <w:tbl>
      <w:tblPr>
        <w:tblStyle w:val="TableGrid"/>
        <w:tblW w:w="10192" w:type="dxa"/>
        <w:tblInd w:w="9" w:type="dxa"/>
        <w:tblCellMar>
          <w:top w:w="9" w:type="dxa"/>
          <w:left w:w="57" w:type="dxa"/>
          <w:bottom w:w="0" w:type="dxa"/>
          <w:right w:w="14" w:type="dxa"/>
        </w:tblCellMar>
        <w:tblLook w:val="04A0" w:firstRow="1" w:lastRow="0" w:firstColumn="1" w:lastColumn="0" w:noHBand="0" w:noVBand="1"/>
      </w:tblPr>
      <w:tblGrid>
        <w:gridCol w:w="2828"/>
        <w:gridCol w:w="7365"/>
      </w:tblGrid>
      <w:tr w:rsidR="00D27BC6">
        <w:trPr>
          <w:trHeight w:val="320"/>
        </w:trPr>
        <w:tc>
          <w:tcPr>
            <w:tcW w:w="282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2" w:firstLine="0"/>
              <w:jc w:val="center"/>
            </w:pPr>
            <w:r>
              <w:rPr>
                <w:b/>
              </w:rPr>
              <w:t>Название теста</w:t>
            </w:r>
          </w:p>
        </w:tc>
        <w:tc>
          <w:tcPr>
            <w:tcW w:w="736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3" w:firstLine="0"/>
              <w:jc w:val="center"/>
            </w:pPr>
            <w:r>
              <w:rPr>
                <w:b/>
              </w:rPr>
              <w:t>Описание теста</w:t>
            </w:r>
          </w:p>
        </w:tc>
      </w:tr>
      <w:tr w:rsidR="00D27BC6">
        <w:trPr>
          <w:trHeight w:val="320"/>
        </w:trPr>
        <w:tc>
          <w:tcPr>
            <w:tcW w:w="282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ЧСС в покое</w:t>
            </w:r>
          </w:p>
        </w:tc>
        <w:tc>
          <w:tcPr>
            <w:tcW w:w="736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ЧСС более 100 уд./мин характерно для КАН</w:t>
            </w:r>
          </w:p>
        </w:tc>
      </w:tr>
      <w:tr w:rsidR="00D27BC6">
        <w:trPr>
          <w:trHeight w:val="2580"/>
        </w:trPr>
        <w:tc>
          <w:tcPr>
            <w:tcW w:w="282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Вариация ЧСС</w:t>
            </w:r>
          </w:p>
        </w:tc>
        <w:tc>
          <w:tcPr>
            <w:tcW w:w="7365" w:type="dxa"/>
            <w:tcBorders>
              <w:top w:val="single" w:sz="6" w:space="0" w:color="000000"/>
              <w:left w:val="single" w:sz="6" w:space="0" w:color="000000"/>
              <w:bottom w:val="single" w:sz="6" w:space="0" w:color="000000"/>
              <w:right w:val="single" w:sz="6" w:space="0" w:color="000000"/>
            </w:tcBorders>
          </w:tcPr>
          <w:p w:rsidR="00D27BC6" w:rsidRDefault="004D5071">
            <w:pPr>
              <w:spacing w:after="113" w:line="236" w:lineRule="auto"/>
              <w:ind w:left="0" w:right="0" w:firstLine="0"/>
              <w:jc w:val="left"/>
            </w:pPr>
            <w:r>
              <w:t>Мониторирование с помощью ЭКГ ЧСС в покое лежа при медленном глубоком дыхании (6 дыхательных движений в минуту).</w:t>
            </w:r>
          </w:p>
          <w:p w:rsidR="00D27BC6" w:rsidRDefault="004D5071">
            <w:pPr>
              <w:spacing w:after="113" w:line="236" w:lineRule="auto"/>
              <w:ind w:left="0" w:right="0" w:firstLine="0"/>
              <w:jc w:val="left"/>
            </w:pPr>
            <w:r>
              <w:t>Нормальные значения – разница более 15 уд./мин. Патологическая разница – менее 10 уд./мин.</w:t>
            </w:r>
          </w:p>
          <w:p w:rsidR="00D27BC6" w:rsidRDefault="004D5071">
            <w:pPr>
              <w:spacing w:after="113" w:line="236" w:lineRule="auto"/>
              <w:ind w:left="0" w:right="640" w:firstLine="0"/>
              <w:jc w:val="left"/>
            </w:pPr>
            <w:r>
              <w:t>Нормальное соотношение интервалов R–R на выдохе к R–</w:t>
            </w:r>
            <w:r>
              <w:t xml:space="preserve">R на вдохе – более 1,17 у лиц 20–24 лет. </w:t>
            </w:r>
          </w:p>
          <w:p w:rsidR="00D27BC6" w:rsidRDefault="004D5071">
            <w:pPr>
              <w:spacing w:after="0" w:line="259" w:lineRule="auto"/>
              <w:ind w:left="0" w:right="0" w:firstLine="0"/>
              <w:jc w:val="left"/>
            </w:pPr>
            <w:r>
              <w:t xml:space="preserve">С возрастом этот показатель снижается:  </w:t>
            </w:r>
          </w:p>
          <w:p w:rsidR="00D27BC6" w:rsidRDefault="004D5071">
            <w:pPr>
              <w:spacing w:after="0" w:line="259" w:lineRule="auto"/>
              <w:ind w:left="0" w:right="0" w:firstLine="0"/>
              <w:jc w:val="left"/>
            </w:pPr>
            <w:r>
              <w:t xml:space="preserve">возраст 25–29 – 1,15; 30–34 – 1,13; 35–39 – 1,12; 40–44 – 1,10; 45–49 – 1,08;  </w:t>
            </w:r>
          </w:p>
          <w:p w:rsidR="00D27BC6" w:rsidRDefault="004D5071">
            <w:pPr>
              <w:spacing w:after="0" w:line="259" w:lineRule="auto"/>
              <w:ind w:left="0" w:right="0" w:firstLine="0"/>
              <w:jc w:val="left"/>
            </w:pPr>
            <w:r>
              <w:t>50–54 – 1,07; 55–59 – 1,06; 60–64 – 1,04; 65–69 – 1,03; 70–75 – 1,02.</w:t>
            </w:r>
          </w:p>
        </w:tc>
      </w:tr>
      <w:tr w:rsidR="00D27BC6">
        <w:trPr>
          <w:trHeight w:val="1507"/>
        </w:trPr>
        <w:tc>
          <w:tcPr>
            <w:tcW w:w="282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45" w:firstLine="0"/>
              <w:jc w:val="left"/>
            </w:pPr>
            <w:r>
              <w:t>Реакция ЧСС в ответ на ортостатическую пробу</w:t>
            </w:r>
          </w:p>
        </w:tc>
        <w:tc>
          <w:tcPr>
            <w:tcW w:w="7365" w:type="dxa"/>
            <w:tcBorders>
              <w:top w:val="single" w:sz="6" w:space="0" w:color="000000"/>
              <w:left w:val="single" w:sz="6" w:space="0" w:color="000000"/>
              <w:bottom w:val="single" w:sz="6" w:space="0" w:color="000000"/>
              <w:right w:val="single" w:sz="6" w:space="0" w:color="000000"/>
            </w:tcBorders>
          </w:tcPr>
          <w:p w:rsidR="00D27BC6" w:rsidRDefault="004D5071">
            <w:pPr>
              <w:spacing w:after="113" w:line="236" w:lineRule="auto"/>
              <w:ind w:left="0" w:right="0" w:firstLine="0"/>
              <w:jc w:val="left"/>
            </w:pPr>
            <w:r>
              <w:t>Во время продолжительного мониторирования ЭКГ интервалы R–R измеряются через 15 и 30 ударов сердца после вставания.</w:t>
            </w:r>
          </w:p>
          <w:p w:rsidR="00D27BC6" w:rsidRDefault="004D5071">
            <w:pPr>
              <w:spacing w:after="113" w:line="236" w:lineRule="auto"/>
              <w:ind w:left="0" w:right="0" w:firstLine="0"/>
              <w:jc w:val="left"/>
            </w:pPr>
            <w:r>
              <w:t>В норме рефлекторную тахикардию сменяет брадикардия, а отношение 30:15 составляет более 1,03, з</w:t>
            </w:r>
            <w:r>
              <w:t>начения 1,01–1,03 являются пограничными.</w:t>
            </w:r>
          </w:p>
          <w:p w:rsidR="00D27BC6" w:rsidRDefault="004D5071">
            <w:pPr>
              <w:spacing w:after="0" w:line="259" w:lineRule="auto"/>
              <w:ind w:left="0" w:right="0" w:firstLine="0"/>
              <w:jc w:val="left"/>
            </w:pPr>
            <w:r>
              <w:t>При отношении 30:15 1,0 и менее диагностируется КАН.</w:t>
            </w:r>
          </w:p>
        </w:tc>
      </w:tr>
      <w:tr w:rsidR="00D27BC6">
        <w:trPr>
          <w:trHeight w:val="2227"/>
        </w:trPr>
        <w:tc>
          <w:tcPr>
            <w:tcW w:w="282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Проба Вальсальвы</w:t>
            </w:r>
          </w:p>
        </w:tc>
        <w:tc>
          <w:tcPr>
            <w:tcW w:w="7365" w:type="dxa"/>
            <w:tcBorders>
              <w:top w:val="single" w:sz="6" w:space="0" w:color="000000"/>
              <w:left w:val="single" w:sz="6" w:space="0" w:color="000000"/>
              <w:bottom w:val="single" w:sz="6" w:space="0" w:color="000000"/>
              <w:right w:val="single" w:sz="6" w:space="0" w:color="000000"/>
            </w:tcBorders>
          </w:tcPr>
          <w:p w:rsidR="00D27BC6" w:rsidRDefault="004D5071">
            <w:pPr>
              <w:spacing w:after="113" w:line="236" w:lineRule="auto"/>
              <w:ind w:left="0" w:right="17" w:firstLine="0"/>
              <w:jc w:val="left"/>
            </w:pPr>
            <w:r>
              <w:t>Во время мониторирования ЭКГ пациент в течение 15 с дует в мундштук, соединенный с манометром, поддерживая в нем давление 40 мм рт.ст. В норме ЧСС увеличивается с последующей компенсаторной брадикардией. Наиболее длинный интервал R–R после нагрузки делят н</w:t>
            </w:r>
            <w:r>
              <w:t>а самый короткий R–R во время нагрузки, при этом высчитывается коэффициент Вальсальвы. Норма более 1,20.</w:t>
            </w:r>
          </w:p>
          <w:p w:rsidR="00D27BC6" w:rsidRDefault="004D5071">
            <w:pPr>
              <w:spacing w:after="90" w:line="259" w:lineRule="auto"/>
              <w:ind w:left="0" w:right="0" w:firstLine="0"/>
              <w:jc w:val="left"/>
            </w:pPr>
            <w:r>
              <w:t>Показатель 1,20 и менее говорит о наличии КАН.</w:t>
            </w:r>
          </w:p>
          <w:p w:rsidR="00D27BC6" w:rsidRDefault="004D5071">
            <w:pPr>
              <w:spacing w:after="0" w:line="259" w:lineRule="auto"/>
              <w:ind w:left="0" w:right="0" w:firstLine="0"/>
              <w:jc w:val="left"/>
            </w:pPr>
            <w:r>
              <w:t>Следует избегать при наличии пролиферативной ретинопатии вследствие риска кровоизлияний.</w:t>
            </w:r>
          </w:p>
        </w:tc>
      </w:tr>
      <w:tr w:rsidR="00D27BC6">
        <w:trPr>
          <w:trHeight w:val="1280"/>
        </w:trPr>
        <w:tc>
          <w:tcPr>
            <w:tcW w:w="282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45" w:firstLine="0"/>
              <w:jc w:val="left"/>
            </w:pPr>
            <w:r>
              <w:t>Реакция АД в о</w:t>
            </w:r>
            <w:r>
              <w:t>твет на ортостатическую пробу</w:t>
            </w:r>
          </w:p>
        </w:tc>
        <w:tc>
          <w:tcPr>
            <w:tcW w:w="736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36" w:lineRule="auto"/>
              <w:ind w:left="0" w:right="42" w:firstLine="0"/>
              <w:jc w:val="left"/>
            </w:pPr>
            <w:r>
              <w:t>АД измеряется в положении лежа, а затем спустя 3 мин после вставания. Снижение САД на 20 и более мм рт.ст. и/или ДАД на 10 и более мм рт.ст. свидетельствует о КАН. Для пациентов с исходно повышенным АД в положении лежа (САД 150 мм рт.ст. и выше и/или ДАД 9</w:t>
            </w:r>
            <w:r>
              <w:t xml:space="preserve">0 мм рт.ст. и выше) снижение САД на 30 мм рт.ст. и/или </w:t>
            </w:r>
          </w:p>
          <w:p w:rsidR="00D27BC6" w:rsidRDefault="004D5071">
            <w:pPr>
              <w:spacing w:after="0" w:line="259" w:lineRule="auto"/>
              <w:ind w:left="0" w:right="0" w:firstLine="0"/>
              <w:jc w:val="left"/>
            </w:pPr>
            <w:r>
              <w:t>ДАД на 15 мм рт.ст. может считаться более подходящим критерием диагностики.</w:t>
            </w:r>
          </w:p>
        </w:tc>
      </w:tr>
      <w:tr w:rsidR="00D27BC6">
        <w:trPr>
          <w:trHeight w:val="1040"/>
        </w:trPr>
        <w:tc>
          <w:tcPr>
            <w:tcW w:w="282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77" w:firstLine="0"/>
              <w:jc w:val="left"/>
            </w:pPr>
            <w:r>
              <w:t>Реакция диастолического АД в ответ на изометрическую нагрузку (проба с динамометром)</w:t>
            </w:r>
          </w:p>
        </w:tc>
        <w:tc>
          <w:tcPr>
            <w:tcW w:w="736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56" w:firstLine="0"/>
              <w:jc w:val="left"/>
            </w:pPr>
            <w:r>
              <w:t>Пациент сжимает ручной динамометр до м</w:t>
            </w:r>
            <w:r>
              <w:t>аксимального значения. Затем рукоятка сжимается на 30% от максимума и удерживается в течение 5 мин. В норме ДАД на другой руке повышается более, чем на 16 мм рт.ст. Повышение ДАД менее, чем на 10 мм рт.ст. говорит о КАН.</w:t>
            </w:r>
          </w:p>
        </w:tc>
      </w:tr>
    </w:tbl>
    <w:p w:rsidR="00D27BC6" w:rsidRDefault="004D5071">
      <w:pPr>
        <w:ind w:left="295" w:right="0"/>
      </w:pPr>
      <w:r>
        <w:t>Два и более патологических (аномальных) результата тестов позволяют установить диагноз КАН.</w:t>
      </w:r>
    </w:p>
    <w:p w:rsidR="00D27BC6" w:rsidRDefault="004D5071">
      <w:pPr>
        <w:ind w:left="-11" w:right="0" w:firstLine="283"/>
      </w:pPr>
      <w:r>
        <w:t>Показатели вариабельности сердечного ритма (SDNN, rMSSD) являются высокочувствительными маркерами состояния звеньев автономной нервной системы и позволяют выявить К</w:t>
      </w:r>
      <w:r>
        <w:t>АН на ранней доклинической стадии, однако применение данного метода требует соответствующего технического оснащения.</w:t>
      </w:r>
    </w:p>
    <w:p w:rsidR="00D27BC6" w:rsidRDefault="004D5071">
      <w:pPr>
        <w:ind w:left="-11" w:right="0" w:firstLine="283"/>
      </w:pPr>
      <w:r>
        <w:t>Удлинение интервала QTc на ЭКГ ≥ 460 мс у женщин и ≥ 450 мс у мужчин – высокочувствительный, но низкоспецифичный признак в диагностике КАН,</w:t>
      </w:r>
      <w:r>
        <w:t xml:space="preserve"> длительность интервала QT может меняться в зависимости от различных причин (электролитные нарушения, гипогликемия, гиперинсулинемия, прием ряда лекарственных препаратов), однако его значение может подтолкнуть врача к проведению дальнейшего обследования на</w:t>
      </w:r>
      <w:r>
        <w:t xml:space="preserve"> выявление КАН.</w:t>
      </w:r>
    </w:p>
    <w:p w:rsidR="00D27BC6" w:rsidRDefault="004D5071">
      <w:pPr>
        <w:spacing w:after="230"/>
        <w:ind w:left="-11" w:right="0" w:firstLine="283"/>
      </w:pPr>
      <w:r>
        <w:t>Пациенты с СД 2 типа должны обследоваться на предмет выявления КАН сразу при постановке диагноза и далее 1 раз в год, а больные СД 1 типа – спустя 5 лет после начала заболевания и далее 1 раз в год.</w:t>
      </w:r>
    </w:p>
    <w:p w:rsidR="00D27BC6" w:rsidRDefault="004D5071">
      <w:pPr>
        <w:pStyle w:val="Heading3"/>
        <w:ind w:left="162" w:right="155"/>
      </w:pPr>
      <w:r>
        <w:t>Профилактика КАН</w:t>
      </w:r>
    </w:p>
    <w:p w:rsidR="00D27BC6" w:rsidRDefault="004D5071">
      <w:pPr>
        <w:ind w:left="295" w:right="0"/>
      </w:pPr>
      <w:r>
        <w:t>В основе профилактики ра</w:t>
      </w:r>
      <w:r>
        <w:t>звития КАН лежит тщательный контроль гликемии и сердечно-сосудистых ФР:</w:t>
      </w:r>
    </w:p>
    <w:p w:rsidR="00D27BC6" w:rsidRDefault="004D5071">
      <w:pPr>
        <w:numPr>
          <w:ilvl w:val="0"/>
          <w:numId w:val="112"/>
        </w:numPr>
        <w:ind w:right="0" w:hanging="283"/>
      </w:pPr>
      <w:r>
        <w:t xml:space="preserve">достижение и поддержание индивидуальных целевых показателей гликемического контроля. </w:t>
      </w:r>
    </w:p>
    <w:p w:rsidR="00D27BC6" w:rsidRDefault="004D5071">
      <w:pPr>
        <w:ind w:left="-11" w:right="0" w:firstLine="283"/>
      </w:pPr>
      <w:r>
        <w:t>Ранний и тщательный контроль гликемии позволяет предотвратить или отсрочить развитие КАН и рекомен</w:t>
      </w:r>
      <w:r>
        <w:t>дован пациентам с СД 1 типа.</w:t>
      </w:r>
    </w:p>
    <w:p w:rsidR="00D27BC6" w:rsidRDefault="004D5071">
      <w:pPr>
        <w:ind w:left="-11" w:right="0" w:firstLine="283"/>
      </w:pPr>
      <w:r>
        <w:t xml:space="preserve">Для пациентов с СД 2 типа, помимо достижения оптимального гликемического контроля, рекомендовано оказывать влияние и на другие ФР и модификацию образа жизни. </w:t>
      </w:r>
    </w:p>
    <w:p w:rsidR="00D27BC6" w:rsidRDefault="004D5071">
      <w:pPr>
        <w:numPr>
          <w:ilvl w:val="0"/>
          <w:numId w:val="112"/>
        </w:numPr>
        <w:ind w:right="0" w:hanging="283"/>
      </w:pPr>
      <w:r>
        <w:t>физические нагрузки (регулярные, аэробные, от 30–40 мин в день).</w:t>
      </w:r>
    </w:p>
    <w:p w:rsidR="00D27BC6" w:rsidRDefault="004D5071">
      <w:pPr>
        <w:numPr>
          <w:ilvl w:val="0"/>
          <w:numId w:val="112"/>
        </w:numPr>
        <w:ind w:right="0" w:hanging="283"/>
      </w:pPr>
      <w:r>
        <w:t>отк</w:t>
      </w:r>
      <w:r>
        <w:t>аз от курения.</w:t>
      </w:r>
    </w:p>
    <w:p w:rsidR="00D27BC6" w:rsidRDefault="004D5071">
      <w:pPr>
        <w:numPr>
          <w:ilvl w:val="0"/>
          <w:numId w:val="112"/>
        </w:numPr>
        <w:ind w:right="0" w:hanging="283"/>
      </w:pPr>
      <w:r>
        <w:t>достижение индивидуальных целевых значений АД.</w:t>
      </w:r>
    </w:p>
    <w:p w:rsidR="00D27BC6" w:rsidRDefault="004D5071">
      <w:pPr>
        <w:numPr>
          <w:ilvl w:val="0"/>
          <w:numId w:val="112"/>
        </w:numPr>
        <w:spacing w:after="226"/>
        <w:ind w:right="0" w:hanging="283"/>
      </w:pPr>
      <w:r>
        <w:t xml:space="preserve">достижение индивидуальных целевых значений липидного спектра. </w:t>
      </w:r>
    </w:p>
    <w:p w:rsidR="00D27BC6" w:rsidRDefault="004D5071">
      <w:pPr>
        <w:pStyle w:val="Heading3"/>
        <w:ind w:left="162" w:right="156"/>
      </w:pPr>
      <w:r>
        <w:t>Лечение КАН</w:t>
      </w:r>
    </w:p>
    <w:p w:rsidR="00D27BC6" w:rsidRDefault="004D5071">
      <w:pPr>
        <w:ind w:left="-11" w:right="0" w:firstLine="283"/>
      </w:pPr>
      <w:r>
        <w:t>Применение различных терапевтических подходов, направленных на патогенез КАН, на стадии клинических проявлений не привело к желаемому результату. Имеются данные о потенциальной пользе применения различных групп препаратов, однако на сегодняшний день их вли</w:t>
      </w:r>
      <w:r>
        <w:t>яние на предотвращение прогрессирования КАН при развитии клинических проявлений не доказано.</w:t>
      </w:r>
    </w:p>
    <w:p w:rsidR="00D27BC6" w:rsidRDefault="004D5071">
      <w:pPr>
        <w:spacing w:after="230"/>
        <w:ind w:left="-11" w:right="0" w:firstLine="283"/>
      </w:pPr>
      <w:r>
        <w:t>КАН в стадии клинических проявлений практически необратима. Таким образом, лечение на этой стадии в основном носит симптоматический характер. Главным образом в леч</w:t>
      </w:r>
      <w:r>
        <w:t>ении КАН следует воздействовать на коррекцию выраженных клинических проявлений (например, возможно применение кардиоселективных бета-адреноблокаторов и ивабрадина с целью уменьшения тахикардии покоя).</w:t>
      </w:r>
    </w:p>
    <w:p w:rsidR="00D27BC6" w:rsidRDefault="004D5071">
      <w:pPr>
        <w:pStyle w:val="Heading3"/>
        <w:ind w:left="162" w:right="156"/>
      </w:pPr>
      <w:r>
        <w:t>Лечение ортостатической гипотензии (ОГ)</w:t>
      </w:r>
    </w:p>
    <w:p w:rsidR="00D27BC6" w:rsidRDefault="004D5071">
      <w:pPr>
        <w:spacing w:after="230"/>
        <w:ind w:left="-11" w:right="0" w:firstLine="283"/>
      </w:pPr>
      <w:r>
        <w:t>Для практикующе</w:t>
      </w:r>
      <w:r>
        <w:t xml:space="preserve">го врача лечение ортостатической гипотензии часто вызывает затруднения и требует применения комплексного подхода. </w:t>
      </w:r>
    </w:p>
    <w:p w:rsidR="00D27BC6" w:rsidRDefault="004D5071">
      <w:pPr>
        <w:pStyle w:val="Heading2"/>
        <w:ind w:left="-3"/>
      </w:pPr>
      <w:r>
        <w:t>Комплексный подход в лечении ортостатической гипотензии</w:t>
      </w:r>
    </w:p>
    <w:tbl>
      <w:tblPr>
        <w:tblStyle w:val="TableGrid"/>
        <w:tblW w:w="10191" w:type="dxa"/>
        <w:tblInd w:w="9" w:type="dxa"/>
        <w:tblCellMar>
          <w:top w:w="9" w:type="dxa"/>
          <w:left w:w="57" w:type="dxa"/>
          <w:bottom w:w="0" w:type="dxa"/>
          <w:right w:w="14" w:type="dxa"/>
        </w:tblCellMar>
        <w:tblLook w:val="04A0" w:firstRow="1" w:lastRow="0" w:firstColumn="1" w:lastColumn="0" w:noHBand="0" w:noVBand="1"/>
      </w:tblPr>
      <w:tblGrid>
        <w:gridCol w:w="3017"/>
        <w:gridCol w:w="2593"/>
        <w:gridCol w:w="4581"/>
      </w:tblGrid>
      <w:tr w:rsidR="00D27BC6">
        <w:trPr>
          <w:trHeight w:val="320"/>
        </w:trPr>
        <w:tc>
          <w:tcPr>
            <w:tcW w:w="301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36" w:right="0" w:firstLine="0"/>
            </w:pPr>
            <w:r>
              <w:rPr>
                <w:b/>
              </w:rPr>
              <w:t xml:space="preserve">Основные подходы к лечению </w:t>
            </w:r>
          </w:p>
        </w:tc>
        <w:tc>
          <w:tcPr>
            <w:tcW w:w="2593"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2" w:firstLine="0"/>
              <w:jc w:val="center"/>
            </w:pPr>
            <w:r>
              <w:rPr>
                <w:b/>
              </w:rPr>
              <w:t>Перечень мер</w:t>
            </w:r>
          </w:p>
        </w:tc>
        <w:tc>
          <w:tcPr>
            <w:tcW w:w="4581"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2" w:firstLine="0"/>
              <w:jc w:val="center"/>
            </w:pPr>
            <w:r>
              <w:rPr>
                <w:b/>
              </w:rPr>
              <w:t>Комментарий</w:t>
            </w:r>
          </w:p>
        </w:tc>
      </w:tr>
      <w:tr w:rsidR="00D27BC6">
        <w:trPr>
          <w:trHeight w:val="540"/>
        </w:trPr>
        <w:tc>
          <w:tcPr>
            <w:tcW w:w="301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Тщательный контроль гликемии и сердечно-сосудистых ФР</w:t>
            </w:r>
          </w:p>
        </w:tc>
        <w:tc>
          <w:tcPr>
            <w:tcW w:w="2593"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4581"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540"/>
        </w:trPr>
        <w:tc>
          <w:tcPr>
            <w:tcW w:w="3017"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Немедикаментозные методы</w:t>
            </w:r>
          </w:p>
        </w:tc>
        <w:tc>
          <w:tcPr>
            <w:tcW w:w="259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избегание провоцирующих ситуаций</w:t>
            </w:r>
          </w:p>
        </w:tc>
        <w:tc>
          <w:tcPr>
            <w:tcW w:w="458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резкая смена положения тела, резкое вставание</w:t>
            </w:r>
          </w:p>
        </w:tc>
      </w:tr>
      <w:tr w:rsidR="00D27BC6">
        <w:trPr>
          <w:trHeight w:val="76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59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18" w:firstLine="0"/>
              <w:jc w:val="left"/>
            </w:pPr>
            <w:r>
              <w:t>физические упражнения и поощрение физической активности</w:t>
            </w:r>
          </w:p>
        </w:tc>
        <w:tc>
          <w:tcPr>
            <w:tcW w:w="458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544" w:firstLine="0"/>
              <w:jc w:val="left"/>
            </w:pPr>
            <w:r>
              <w:rPr>
                <w:sz w:val="16"/>
              </w:rPr>
              <w:t>детренированность усиливает проявления гипотензии и ухудшает течение КАН</w:t>
            </w:r>
          </w:p>
        </w:tc>
      </w:tr>
      <w:tr w:rsidR="00D27BC6">
        <w:trPr>
          <w:trHeight w:val="54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59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позиционные маневры перед вставанием</w:t>
            </w:r>
          </w:p>
        </w:tc>
        <w:tc>
          <w:tcPr>
            <w:tcW w:w="4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перекрещивание ног, сидение на корточках, сокращения мышц нижних конечностей и живота</w:t>
            </w:r>
          </w:p>
        </w:tc>
      </w:tr>
      <w:tr w:rsidR="00D27BC6">
        <w:trPr>
          <w:trHeight w:val="120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59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72" w:firstLine="0"/>
              <w:jc w:val="left"/>
            </w:pPr>
            <w:r>
              <w:t>употребление достаточного количества жидкости и поваренной соли при отсутствии противопоказаний</w:t>
            </w:r>
          </w:p>
        </w:tc>
        <w:tc>
          <w:tcPr>
            <w:tcW w:w="458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15" w:firstLine="0"/>
              <w:jc w:val="left"/>
            </w:pPr>
            <w:r>
              <w:rPr>
                <w:sz w:val="16"/>
              </w:rPr>
              <w:t>в том числе рекомендуется «болюсное» питье перед вставанием с постели – подготовить заранее 480 мл воды комнатной температуры, в течение 5 минут пациент выпивает, сколько может</w:t>
            </w:r>
          </w:p>
        </w:tc>
      </w:tr>
      <w:tr w:rsidR="00D27BC6">
        <w:trPr>
          <w:trHeight w:val="54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59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соблюдение режима питания</w:t>
            </w:r>
          </w:p>
        </w:tc>
        <w:tc>
          <w:tcPr>
            <w:tcW w:w="458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sz w:val="16"/>
              </w:rPr>
              <w:t>избегать приема горячей пищи и напитков, больших по</w:t>
            </w:r>
            <w:r>
              <w:rPr>
                <w:sz w:val="16"/>
              </w:rPr>
              <w:t>рций</w:t>
            </w:r>
          </w:p>
        </w:tc>
      </w:tr>
      <w:tr w:rsidR="00D27BC6">
        <w:trPr>
          <w:trHeight w:val="98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59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избегание приема ряда лекарственных средств, которые могут усиливать гипотензию</w:t>
            </w:r>
          </w:p>
        </w:tc>
        <w:tc>
          <w:tcPr>
            <w:tcW w:w="458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97" w:firstLine="0"/>
              <w:jc w:val="left"/>
            </w:pPr>
            <w:r>
              <w:rPr>
                <w:sz w:val="16"/>
              </w:rPr>
              <w:t>трициклические антидепрессанты, психотропные и противопаркинсонические препараты, миорелаксанты, средства для лечения эректильной дисфункции и другие</w:t>
            </w:r>
          </w:p>
        </w:tc>
      </w:tr>
      <w:tr w:rsidR="00D27BC6">
        <w:trPr>
          <w:trHeight w:val="101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593"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ношение компрессионного трикотажа</w:t>
            </w:r>
          </w:p>
        </w:tc>
        <w:tc>
          <w:tcPr>
            <w:tcW w:w="4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21" w:lineRule="auto"/>
              <w:ind w:left="0" w:right="0" w:firstLine="0"/>
              <w:jc w:val="left"/>
            </w:pPr>
            <w:r>
              <w:rPr>
                <w:sz w:val="16"/>
              </w:rPr>
              <w:t>эластическое белье второго класса компрессии на всю длину ног и/или плотно прилегающий к животу и тазу пациента эластический пояс</w:t>
            </w:r>
          </w:p>
          <w:p w:rsidR="00D27BC6" w:rsidRDefault="004D5071">
            <w:pPr>
              <w:spacing w:after="0" w:line="259" w:lineRule="auto"/>
              <w:ind w:left="0" w:right="0" w:firstLine="0"/>
              <w:jc w:val="left"/>
            </w:pPr>
            <w:r>
              <w:rPr>
                <w:sz w:val="16"/>
              </w:rPr>
              <w:t>при отсутствии противопоказаний (нарушение кровообращения в нижних конечностях)</w:t>
            </w:r>
          </w:p>
        </w:tc>
      </w:tr>
      <w:tr w:rsidR="00D27BC6">
        <w:trPr>
          <w:trHeight w:val="1170"/>
        </w:trPr>
        <w:tc>
          <w:tcPr>
            <w:tcW w:w="3017"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Медикаментозная терапия</w:t>
            </w:r>
          </w:p>
        </w:tc>
        <w:tc>
          <w:tcPr>
            <w:tcW w:w="2593"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2" w:firstLine="0"/>
            </w:pPr>
            <w:r>
              <w:t>мидодрин (периферический селективный агонист альфа1-адренорецепторов)</w:t>
            </w:r>
          </w:p>
        </w:tc>
        <w:tc>
          <w:tcPr>
            <w:tcW w:w="458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3" w:firstLine="0"/>
              <w:jc w:val="left"/>
            </w:pPr>
            <w:r>
              <w:rPr>
                <w:sz w:val="16"/>
              </w:rPr>
              <w:t xml:space="preserve">в начальной дозе 2,5 мг 2–3 р/день с постепенным увеличением до максимальной дозы 10 мг 3 р/день. Назначается с рекомендацией пациенту больше сохранять положение </w:t>
            </w:r>
            <w:r>
              <w:rPr>
                <w:sz w:val="16"/>
              </w:rPr>
              <w:t>стоя или сидя с целью минимизировать повышение артериального давления в положении лежа</w:t>
            </w:r>
          </w:p>
        </w:tc>
      </w:tr>
      <w:tr w:rsidR="00D27BC6">
        <w:trPr>
          <w:trHeight w:val="83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593"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Флудрокортизон </w:t>
            </w:r>
          </w:p>
          <w:p w:rsidR="00D27BC6" w:rsidRDefault="004D5071">
            <w:pPr>
              <w:spacing w:after="0" w:line="259" w:lineRule="auto"/>
              <w:ind w:left="0" w:right="0" w:firstLine="0"/>
              <w:jc w:val="left"/>
            </w:pPr>
            <w:r>
              <w:t>(минералокортикостероид)</w:t>
            </w:r>
          </w:p>
        </w:tc>
        <w:tc>
          <w:tcPr>
            <w:tcW w:w="4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sz w:val="16"/>
              </w:rPr>
              <w:t>начальная доза составляет 0,05 мг вечером с последующей титрацией до максимально допустимой суточной дозы 0,2 мг. Прием данного препарата также увеличивает риск развития артериальной гипертензии в положении лежа</w:t>
            </w:r>
          </w:p>
        </w:tc>
      </w:tr>
    </w:tbl>
    <w:p w:rsidR="00D27BC6" w:rsidRDefault="004D5071">
      <w:pPr>
        <w:ind w:left="-11" w:right="0" w:firstLine="283"/>
      </w:pPr>
      <w:r>
        <w:t>В качестве первого шага в лечении ортостатической гипотензии рекомендуется выбрать немедикаментозные методы и исключить другие ее причины (см. таблицу «Дифференциальная диагностика при КАН»), а также пересмотреть лекарственную терапию сопутствующих заболев</w:t>
      </w:r>
      <w:r>
        <w:t>аний, при возможности избегать препаратов, провоцирующих постуральное снижение АД.</w:t>
      </w:r>
    </w:p>
    <w:p w:rsidR="00D27BC6" w:rsidRDefault="004D5071">
      <w:pPr>
        <w:ind w:left="-11" w:right="0" w:firstLine="283"/>
      </w:pPr>
      <w:r>
        <w:t>При сохранении выраженных симптомов ОГ после вышеуказанных мер следует рассмотреть возможность назначения медикаментозной терапии. Потенциальная польза от назначения препара</w:t>
      </w:r>
      <w:r>
        <w:t>та должна быть соотнесена с рисками терапии.</w:t>
      </w:r>
    </w:p>
    <w:p w:rsidR="00D27BC6" w:rsidRDefault="004D5071">
      <w:pPr>
        <w:ind w:left="-11" w:right="0" w:firstLine="283"/>
      </w:pPr>
      <w:r>
        <w:t>Медикаментозная терапия ортостатической гипотензии зачастую представляется затруднительной, поскольку непросто соблюсти баланс между предотвращением понижения артериального давления при вставании и избеганием зн</w:t>
      </w:r>
      <w:r>
        <w:t xml:space="preserve">ачимого повышения АД в положении лежа. </w:t>
      </w:r>
    </w:p>
    <w:p w:rsidR="00D27BC6" w:rsidRDefault="004D5071">
      <w:pPr>
        <w:spacing w:after="322"/>
        <w:ind w:left="-11" w:right="0" w:firstLine="283"/>
      </w:pPr>
      <w:r>
        <w:t xml:space="preserve">Симптоматическая терапия ОГ проводится мидодрином или флудрокортизоном, а в случае резистентности к монотерапии – комбинацией данных препаратов. При этом следует тщательно обдумать соотношение польза/риск назначения </w:t>
      </w:r>
      <w:r>
        <w:t>любой лекарственной терапии ОГ.</w:t>
      </w:r>
    </w:p>
    <w:p w:rsidR="00D27BC6" w:rsidRDefault="004D5071">
      <w:pPr>
        <w:pStyle w:val="Heading1"/>
        <w:spacing w:after="509"/>
        <w:ind w:left="313" w:right="309"/>
      </w:pPr>
      <w:r>
        <w:t>13. ДИАБЕТИЧЕСКАЯ НЕЙРООСТЕОАРТРОПАТИЯ</w:t>
      </w:r>
    </w:p>
    <w:p w:rsidR="00D27BC6" w:rsidRDefault="004D5071">
      <w:pPr>
        <w:pBdr>
          <w:top w:val="single" w:sz="8" w:space="0" w:color="000000"/>
          <w:left w:val="single" w:sz="8" w:space="0" w:color="000000"/>
          <w:bottom w:val="single" w:sz="8" w:space="0" w:color="000000"/>
          <w:right w:val="single" w:sz="8" w:space="0" w:color="000000"/>
        </w:pBdr>
        <w:spacing w:after="538" w:line="236" w:lineRule="auto"/>
        <w:ind w:left="125" w:right="0" w:firstLine="0"/>
        <w:jc w:val="left"/>
      </w:pPr>
      <w:r>
        <w:rPr>
          <w:b/>
        </w:rPr>
        <w:t>Диабетическая нейроостеоартропатия (ДНОАП, артропатия Шарко)</w:t>
      </w:r>
      <w:r>
        <w:t xml:space="preserve"> – относительно безболевая, прогрессирующая, деструктивная артропатия одного или нескольких суставов, сопровождающаяся неврологическим дефицитом.</w:t>
      </w:r>
    </w:p>
    <w:p w:rsidR="00D27BC6" w:rsidRDefault="004D5071">
      <w:pPr>
        <w:ind w:left="281" w:right="51"/>
        <w:jc w:val="left"/>
      </w:pPr>
      <w:r>
        <w:rPr>
          <w:b/>
        </w:rPr>
        <w:t>Клинические стадии стадии ДНОАП</w:t>
      </w:r>
    </w:p>
    <w:p w:rsidR="00D27BC6" w:rsidRDefault="004D5071">
      <w:pPr>
        <w:numPr>
          <w:ilvl w:val="0"/>
          <w:numId w:val="113"/>
        </w:numPr>
        <w:ind w:right="0" w:hanging="283"/>
      </w:pPr>
      <w:r>
        <w:t>острая</w:t>
      </w:r>
    </w:p>
    <w:p w:rsidR="00D27BC6" w:rsidRDefault="004D5071">
      <w:pPr>
        <w:numPr>
          <w:ilvl w:val="0"/>
          <w:numId w:val="113"/>
        </w:numPr>
        <w:spacing w:after="226"/>
        <w:ind w:right="0" w:hanging="283"/>
      </w:pPr>
      <w:r>
        <w:t>хроническая</w:t>
      </w:r>
    </w:p>
    <w:p w:rsidR="00D27BC6" w:rsidRDefault="004D5071">
      <w:pPr>
        <w:pStyle w:val="Heading2"/>
        <w:ind w:left="-3" w:right="1510"/>
      </w:pPr>
      <w:r>
        <w:t>Диагностика ДНОАП на основании клинической картины, результ</w:t>
      </w:r>
      <w:r>
        <w:t xml:space="preserve">атов МСКТ/МРТ  </w:t>
      </w:r>
      <w:r>
        <w:rPr>
          <w:b w:val="0"/>
        </w:rPr>
        <w:t>(E.A.Chantelau, G.Grutzner, 2014)</w:t>
      </w:r>
    </w:p>
    <w:tbl>
      <w:tblPr>
        <w:tblStyle w:val="TableGrid"/>
        <w:tblW w:w="10195" w:type="dxa"/>
        <w:tblInd w:w="9" w:type="dxa"/>
        <w:tblCellMar>
          <w:top w:w="9" w:type="dxa"/>
          <w:left w:w="57" w:type="dxa"/>
          <w:bottom w:w="0" w:type="dxa"/>
          <w:right w:w="30" w:type="dxa"/>
        </w:tblCellMar>
        <w:tblLook w:val="04A0" w:firstRow="1" w:lastRow="0" w:firstColumn="1" w:lastColumn="0" w:noHBand="0" w:noVBand="1"/>
      </w:tblPr>
      <w:tblGrid>
        <w:gridCol w:w="1418"/>
        <w:gridCol w:w="4388"/>
        <w:gridCol w:w="4388"/>
      </w:tblGrid>
      <w:tr w:rsidR="00D27BC6">
        <w:trPr>
          <w:trHeight w:val="320"/>
        </w:trPr>
        <w:tc>
          <w:tcPr>
            <w:tcW w:w="141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28" w:right="0" w:firstLine="0"/>
            </w:pPr>
            <w:r>
              <w:rPr>
                <w:b/>
              </w:rPr>
              <w:t>Стадии/Фазы</w:t>
            </w:r>
          </w:p>
        </w:tc>
        <w:tc>
          <w:tcPr>
            <w:tcW w:w="438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26" w:firstLine="0"/>
              <w:jc w:val="center"/>
            </w:pPr>
            <w:r>
              <w:rPr>
                <w:b/>
              </w:rPr>
              <w:t>Клинические проявления</w:t>
            </w:r>
          </w:p>
        </w:tc>
        <w:tc>
          <w:tcPr>
            <w:tcW w:w="438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26" w:firstLine="0"/>
              <w:jc w:val="center"/>
            </w:pPr>
            <w:r>
              <w:rPr>
                <w:b/>
              </w:rPr>
              <w:t>МСКТ/МРТ признаки</w:t>
            </w:r>
          </w:p>
        </w:tc>
      </w:tr>
      <w:tr w:rsidR="00D27BC6">
        <w:trPr>
          <w:trHeight w:val="1153"/>
        </w:trPr>
        <w:tc>
          <w:tcPr>
            <w:tcW w:w="141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23" w:firstLine="0"/>
              <w:jc w:val="left"/>
            </w:pPr>
            <w:r>
              <w:t>Активная стадия Фаза 0</w:t>
            </w:r>
          </w:p>
        </w:tc>
        <w:tc>
          <w:tcPr>
            <w:tcW w:w="438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Умеренно выраженное воспаление (отек, локальная гипертермия, иногда боль, повышенный риск травматизации при ходьбе), нет выраженных деформаций</w:t>
            </w:r>
          </w:p>
        </w:tc>
        <w:tc>
          <w:tcPr>
            <w:tcW w:w="4388" w:type="dxa"/>
            <w:tcBorders>
              <w:top w:val="single" w:sz="6" w:space="0" w:color="000000"/>
              <w:left w:val="single" w:sz="6" w:space="0" w:color="000000"/>
              <w:bottom w:val="single" w:sz="6" w:space="0" w:color="000000"/>
              <w:right w:val="single" w:sz="6" w:space="0" w:color="000000"/>
            </w:tcBorders>
          </w:tcPr>
          <w:p w:rsidR="00D27BC6" w:rsidRDefault="004D5071">
            <w:pPr>
              <w:spacing w:after="113" w:line="236" w:lineRule="auto"/>
              <w:ind w:left="0" w:right="0" w:firstLine="0"/>
              <w:jc w:val="left"/>
            </w:pPr>
            <w:r>
              <w:rPr>
                <w:u w:val="single" w:color="000000"/>
              </w:rPr>
              <w:t>Обязательные:</w:t>
            </w:r>
            <w:r>
              <w:t xml:space="preserve"> отек костного мозга и мягких тканей, нет нарушения кортикального слоя.</w:t>
            </w:r>
          </w:p>
          <w:p w:rsidR="00D27BC6" w:rsidRDefault="004D5071">
            <w:pPr>
              <w:spacing w:after="0" w:line="259" w:lineRule="auto"/>
              <w:ind w:left="0" w:right="0" w:firstLine="0"/>
              <w:jc w:val="left"/>
            </w:pPr>
            <w:r>
              <w:rPr>
                <w:u w:val="single" w:color="000000"/>
              </w:rPr>
              <w:t>Возможные:</w:t>
            </w:r>
            <w:r>
              <w:t xml:space="preserve"> субхондральные тр</w:t>
            </w:r>
            <w:r>
              <w:t>абекулярные микротрещины, повреждение связок.</w:t>
            </w:r>
          </w:p>
        </w:tc>
      </w:tr>
      <w:tr w:rsidR="00D27BC6">
        <w:trPr>
          <w:trHeight w:val="2593"/>
        </w:trPr>
        <w:tc>
          <w:tcPr>
            <w:tcW w:w="141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22" w:firstLine="0"/>
              <w:jc w:val="left"/>
            </w:pPr>
            <w:r>
              <w:t>Активная стадия Фаза 1</w:t>
            </w:r>
          </w:p>
        </w:tc>
        <w:tc>
          <w:tcPr>
            <w:tcW w:w="438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Выраженное воспаление (отек, локальная гипертермия, иногда боль, повышенный риск травматизации при ходьбе), выраженная деформация.</w:t>
            </w:r>
          </w:p>
        </w:tc>
        <w:tc>
          <w:tcPr>
            <w:tcW w:w="4388" w:type="dxa"/>
            <w:tcBorders>
              <w:top w:val="single" w:sz="6" w:space="0" w:color="000000"/>
              <w:left w:val="single" w:sz="6" w:space="0" w:color="000000"/>
              <w:bottom w:val="single" w:sz="6" w:space="0" w:color="000000"/>
              <w:right w:val="single" w:sz="6" w:space="0" w:color="000000"/>
            </w:tcBorders>
          </w:tcPr>
          <w:p w:rsidR="00D27BC6" w:rsidRDefault="004D5071">
            <w:pPr>
              <w:spacing w:after="113" w:line="236" w:lineRule="auto"/>
              <w:ind w:left="0" w:right="0" w:firstLine="0"/>
              <w:jc w:val="left"/>
            </w:pPr>
            <w:r>
              <w:rPr>
                <w:u w:val="single" w:color="000000"/>
              </w:rPr>
              <w:t>Обязательные:</w:t>
            </w:r>
            <w:r>
              <w:t xml:space="preserve"> переломы с нарушением кортикального слоя, отек костного мозга и/или отек мягких тканей.</w:t>
            </w:r>
          </w:p>
          <w:p w:rsidR="00D27BC6" w:rsidRDefault="004D5071">
            <w:pPr>
              <w:spacing w:after="0" w:line="259" w:lineRule="auto"/>
              <w:ind w:left="0" w:right="158" w:firstLine="0"/>
              <w:jc w:val="left"/>
            </w:pPr>
            <w:r>
              <w:rPr>
                <w:u w:val="single" w:color="000000"/>
              </w:rPr>
              <w:t>Возможные:</w:t>
            </w:r>
            <w:r>
              <w:t xml:space="preserve"> остеоартрит, кисты, повреждение хряща, остеохондроз, внутрисуставной выпот, скопление жидкости в суставах, костные эрозии/некрозы, лизис кости, деструкция и</w:t>
            </w:r>
            <w:r>
              <w:t xml:space="preserve"> фрагментация кости, вывихи/подвывихи суставов, повреждение связок, теносиновииты, дислокация костей.</w:t>
            </w:r>
          </w:p>
        </w:tc>
      </w:tr>
      <w:tr w:rsidR="00D27BC6">
        <w:trPr>
          <w:trHeight w:val="1583"/>
        </w:trPr>
        <w:tc>
          <w:tcPr>
            <w:tcW w:w="141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07" w:firstLine="0"/>
              <w:jc w:val="left"/>
            </w:pPr>
            <w:r>
              <w:t>Неактивная стадия Фаза 0</w:t>
            </w:r>
          </w:p>
        </w:tc>
        <w:tc>
          <w:tcPr>
            <w:tcW w:w="438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Нет признаков воспаления, нет деформации</w:t>
            </w:r>
          </w:p>
        </w:tc>
        <w:tc>
          <w:tcPr>
            <w:tcW w:w="438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Отсутствие изменений или незначительный отек костного мозга, субхондральный склероз, кисты кости, остеоартроз, повреждение связок.</w:t>
            </w:r>
          </w:p>
        </w:tc>
      </w:tr>
      <w:tr w:rsidR="00D27BC6">
        <w:trPr>
          <w:trHeight w:val="1583"/>
        </w:trPr>
        <w:tc>
          <w:tcPr>
            <w:tcW w:w="141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07" w:firstLine="0"/>
              <w:jc w:val="left"/>
            </w:pPr>
            <w:r>
              <w:t>Неактивная стадия Фаза 1</w:t>
            </w:r>
          </w:p>
        </w:tc>
        <w:tc>
          <w:tcPr>
            <w:tcW w:w="438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Нет воспаления, стойкая выраженная деформация, анкилозы</w:t>
            </w:r>
          </w:p>
        </w:tc>
        <w:tc>
          <w:tcPr>
            <w:tcW w:w="438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Остаточный отек костного мозга, кортикальная мозоль, выпот, субхондральные кисты, деструкция и дислокация суставов, фиброз, образование остеофитов, ремоделирование кости, нарушения хряща и связок, анкилоз, псевдоартроз.</w:t>
            </w:r>
          </w:p>
        </w:tc>
      </w:tr>
    </w:tbl>
    <w:p w:rsidR="00D27BC6" w:rsidRDefault="004D5071">
      <w:pPr>
        <w:ind w:left="281" w:right="51"/>
        <w:jc w:val="left"/>
      </w:pPr>
      <w:r>
        <w:rPr>
          <w:b/>
        </w:rPr>
        <w:t>Группы риска</w:t>
      </w:r>
    </w:p>
    <w:p w:rsidR="00D27BC6" w:rsidRDefault="004D5071">
      <w:pPr>
        <w:numPr>
          <w:ilvl w:val="0"/>
          <w:numId w:val="114"/>
        </w:numPr>
        <w:ind w:right="0" w:hanging="283"/>
      </w:pPr>
      <w:r>
        <w:t>длительно болеющие СД</w:t>
      </w:r>
    </w:p>
    <w:p w:rsidR="00D27BC6" w:rsidRDefault="004D5071">
      <w:pPr>
        <w:numPr>
          <w:ilvl w:val="0"/>
          <w:numId w:val="114"/>
        </w:numPr>
        <w:ind w:right="0" w:hanging="283"/>
      </w:pPr>
      <w:r>
        <w:t>пациенты с периферической нейропатией любого генеза</w:t>
      </w:r>
    </w:p>
    <w:p w:rsidR="00D27BC6" w:rsidRDefault="004D5071">
      <w:pPr>
        <w:numPr>
          <w:ilvl w:val="0"/>
          <w:numId w:val="114"/>
        </w:numPr>
        <w:ind w:right="0" w:hanging="283"/>
      </w:pPr>
      <w:r>
        <w:t>перенесшие хирургическое вмешательство на стопе</w:t>
      </w:r>
    </w:p>
    <w:p w:rsidR="00D27BC6" w:rsidRDefault="004D5071">
      <w:pPr>
        <w:numPr>
          <w:ilvl w:val="0"/>
          <w:numId w:val="114"/>
        </w:numPr>
        <w:ind w:right="0" w:hanging="283"/>
      </w:pPr>
      <w:r>
        <w:t>получающие лечение глюкокортикоидами, иммуносупрессорами</w:t>
      </w:r>
    </w:p>
    <w:p w:rsidR="00D27BC6" w:rsidRDefault="004D5071">
      <w:pPr>
        <w:numPr>
          <w:ilvl w:val="0"/>
          <w:numId w:val="114"/>
        </w:numPr>
        <w:ind w:right="0" w:hanging="283"/>
      </w:pPr>
      <w:r>
        <w:t>больные на заместительной почечной терапии (гемодиализ)</w:t>
      </w:r>
    </w:p>
    <w:p w:rsidR="00D27BC6" w:rsidRDefault="004D5071">
      <w:pPr>
        <w:numPr>
          <w:ilvl w:val="0"/>
          <w:numId w:val="114"/>
        </w:numPr>
        <w:spacing w:after="226"/>
        <w:ind w:right="0" w:hanging="283"/>
      </w:pPr>
      <w:r>
        <w:t>пациенты после трансплантации почки и сочет</w:t>
      </w:r>
      <w:r>
        <w:t>анной трансплантации почки и поджелудочной железы.</w:t>
      </w:r>
    </w:p>
    <w:p w:rsidR="00D27BC6" w:rsidRDefault="004D5071">
      <w:pPr>
        <w:pStyle w:val="Heading2"/>
        <w:ind w:left="-3"/>
      </w:pPr>
      <w:r>
        <w:t>Этапность диагностики и лечения</w:t>
      </w:r>
    </w:p>
    <w:tbl>
      <w:tblPr>
        <w:tblStyle w:val="TableGrid"/>
        <w:tblW w:w="10195" w:type="dxa"/>
        <w:tblInd w:w="9" w:type="dxa"/>
        <w:tblCellMar>
          <w:top w:w="9" w:type="dxa"/>
          <w:left w:w="57" w:type="dxa"/>
          <w:bottom w:w="0" w:type="dxa"/>
          <w:right w:w="101" w:type="dxa"/>
        </w:tblCellMar>
        <w:tblLook w:val="04A0" w:firstRow="1" w:lastRow="0" w:firstColumn="1" w:lastColumn="0" w:noHBand="0" w:noVBand="1"/>
      </w:tblPr>
      <w:tblGrid>
        <w:gridCol w:w="5097"/>
        <w:gridCol w:w="5097"/>
      </w:tblGrid>
      <w:tr w:rsidR="00D27BC6">
        <w:trPr>
          <w:trHeight w:val="32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45" w:right="0" w:firstLine="0"/>
              <w:jc w:val="center"/>
            </w:pPr>
            <w:r>
              <w:rPr>
                <w:b/>
              </w:rPr>
              <w:t>Мероприятия</w:t>
            </w:r>
          </w:p>
        </w:tc>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45" w:right="0" w:firstLine="0"/>
              <w:jc w:val="center"/>
            </w:pPr>
            <w:r>
              <w:rPr>
                <w:b/>
              </w:rPr>
              <w:t>Кто выполняет</w:t>
            </w:r>
          </w:p>
        </w:tc>
      </w:tr>
      <w:tr w:rsidR="00D27BC6">
        <w:trPr>
          <w:trHeight w:val="80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Выявление групп риска</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Эндокринолог</w:t>
            </w:r>
          </w:p>
        </w:tc>
      </w:tr>
      <w:tr w:rsidR="00D27BC6">
        <w:trPr>
          <w:trHeight w:val="80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Обязательные методы исследования</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Эндокринолог, специалист отделения/кабинета диабетической стопы</w:t>
            </w:r>
          </w:p>
        </w:tc>
      </w:tr>
      <w:tr w:rsidR="00D27BC6">
        <w:trPr>
          <w:trHeight w:val="80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1973" w:firstLine="0"/>
              <w:jc w:val="left"/>
            </w:pPr>
            <w:r>
              <w:t>Определение клинической стадии ДНОАП</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Эндокринолог, специалист отделения/кабинета диабетической стопы</w:t>
            </w:r>
          </w:p>
        </w:tc>
      </w:tr>
      <w:tr w:rsidR="00D27BC6">
        <w:trPr>
          <w:trHeight w:val="80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1668" w:firstLine="0"/>
              <w:jc w:val="left"/>
            </w:pPr>
            <w:r>
              <w:t>Лечение и динамическое наблюдение</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296"/>
              </w:numPr>
              <w:spacing w:after="0" w:line="259" w:lineRule="auto"/>
              <w:ind w:right="0" w:firstLine="0"/>
              <w:jc w:val="left"/>
            </w:pPr>
            <w:r>
              <w:t>Эндокринолог</w:t>
            </w:r>
          </w:p>
          <w:p w:rsidR="00D27BC6" w:rsidRDefault="004D5071">
            <w:pPr>
              <w:numPr>
                <w:ilvl w:val="0"/>
                <w:numId w:val="296"/>
              </w:numPr>
              <w:spacing w:after="0" w:line="259" w:lineRule="auto"/>
              <w:ind w:right="0" w:firstLine="0"/>
              <w:jc w:val="left"/>
            </w:pPr>
            <w:r>
              <w:t>Специалист отделения/кабинета диабетической стопы – Травматолог-ортопед</w:t>
            </w:r>
          </w:p>
        </w:tc>
      </w:tr>
    </w:tbl>
    <w:p w:rsidR="00D27BC6" w:rsidRDefault="004D5071">
      <w:pPr>
        <w:pStyle w:val="Heading2"/>
        <w:ind w:left="-3"/>
      </w:pPr>
      <w:r>
        <w:t>Диагностика</w:t>
      </w:r>
    </w:p>
    <w:tbl>
      <w:tblPr>
        <w:tblStyle w:val="TableGrid"/>
        <w:tblW w:w="10191" w:type="dxa"/>
        <w:tblInd w:w="9" w:type="dxa"/>
        <w:tblCellMar>
          <w:top w:w="9" w:type="dxa"/>
          <w:left w:w="57" w:type="dxa"/>
          <w:bottom w:w="0" w:type="dxa"/>
          <w:right w:w="97" w:type="dxa"/>
        </w:tblCellMar>
        <w:tblLook w:val="04A0" w:firstRow="1" w:lastRow="0" w:firstColumn="1" w:lastColumn="0" w:noHBand="0" w:noVBand="1"/>
      </w:tblPr>
      <w:tblGrid>
        <w:gridCol w:w="1297"/>
        <w:gridCol w:w="2965"/>
        <w:gridCol w:w="2965"/>
        <w:gridCol w:w="2965"/>
      </w:tblGrid>
      <w:tr w:rsidR="00D27BC6">
        <w:trPr>
          <w:trHeight w:val="320"/>
        </w:trPr>
        <w:tc>
          <w:tcPr>
            <w:tcW w:w="1297" w:type="dxa"/>
            <w:vMerge w:val="restart"/>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40" w:right="0" w:firstLine="0"/>
              <w:jc w:val="center"/>
            </w:pPr>
            <w:r>
              <w:rPr>
                <w:b/>
              </w:rPr>
              <w:t xml:space="preserve">Стадия </w:t>
            </w:r>
          </w:p>
          <w:p w:rsidR="00D27BC6" w:rsidRDefault="004D5071">
            <w:pPr>
              <w:spacing w:after="0" w:line="259" w:lineRule="auto"/>
              <w:ind w:left="41" w:right="0" w:firstLine="0"/>
              <w:jc w:val="center"/>
            </w:pPr>
            <w:r>
              <w:rPr>
                <w:b/>
              </w:rPr>
              <w:t>ДНОАП</w:t>
            </w:r>
          </w:p>
        </w:tc>
        <w:tc>
          <w:tcPr>
            <w:tcW w:w="2965"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41" w:right="0" w:firstLine="0"/>
              <w:jc w:val="center"/>
            </w:pPr>
            <w:r>
              <w:rPr>
                <w:b/>
              </w:rPr>
              <w:t>Клинические проявления</w:t>
            </w:r>
          </w:p>
        </w:tc>
        <w:tc>
          <w:tcPr>
            <w:tcW w:w="5929"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40" w:right="0" w:firstLine="0"/>
              <w:jc w:val="center"/>
            </w:pPr>
            <w:r>
              <w:rPr>
                <w:b/>
              </w:rPr>
              <w:t>Методы</w:t>
            </w:r>
          </w:p>
        </w:tc>
      </w:tr>
      <w:tr w:rsidR="00D27BC6">
        <w:trPr>
          <w:trHeight w:val="32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96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41" w:right="0" w:firstLine="0"/>
              <w:jc w:val="center"/>
            </w:pPr>
            <w:r>
              <w:rPr>
                <w:b/>
              </w:rPr>
              <w:t>Обязательные</w:t>
            </w:r>
          </w:p>
        </w:tc>
        <w:tc>
          <w:tcPr>
            <w:tcW w:w="296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41" w:right="0" w:firstLine="0"/>
              <w:jc w:val="center"/>
            </w:pPr>
            <w:r>
              <w:rPr>
                <w:b/>
              </w:rPr>
              <w:t>Дополнительные</w:t>
            </w:r>
          </w:p>
        </w:tc>
      </w:tr>
      <w:tr w:rsidR="00D27BC6">
        <w:trPr>
          <w:trHeight w:val="320"/>
        </w:trPr>
        <w:tc>
          <w:tcPr>
            <w:tcW w:w="1297"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Острая</w:t>
            </w:r>
          </w:p>
          <w:p w:rsidR="00D27BC6" w:rsidRDefault="004D5071">
            <w:pPr>
              <w:spacing w:after="0" w:line="259" w:lineRule="auto"/>
              <w:ind w:left="0" w:right="0" w:firstLine="0"/>
              <w:jc w:val="left"/>
            </w:pPr>
            <w:r>
              <w:t>(Активная)</w:t>
            </w:r>
          </w:p>
        </w:tc>
        <w:tc>
          <w:tcPr>
            <w:tcW w:w="8894"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Проявления диабетической нейропатии (см. выше)</w:t>
            </w:r>
          </w:p>
        </w:tc>
      </w:tr>
      <w:tr w:rsidR="00D27BC6">
        <w:trPr>
          <w:trHeight w:val="224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96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70" w:right="398" w:hanging="170"/>
              <w:jc w:val="left"/>
            </w:pPr>
            <w:r>
              <w:t>• При осмотре – отек и гиперемия пораженной стопы, локальная гипертермия</w:t>
            </w:r>
          </w:p>
        </w:tc>
        <w:tc>
          <w:tcPr>
            <w:tcW w:w="296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Инфракрасная термометрия пораженной и непораженной конечности (градиент температуры &gt;2</w:t>
            </w:r>
            <w:r>
              <w:rPr>
                <w:sz w:val="18"/>
                <w:vertAlign w:val="superscript"/>
              </w:rPr>
              <w:t>о</w:t>
            </w:r>
            <w:r>
              <w:t>С свидетельствует об острой стадии ДНОАП)</w:t>
            </w:r>
          </w:p>
        </w:tc>
        <w:tc>
          <w:tcPr>
            <w:tcW w:w="296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13" w:firstLine="0"/>
              <w:jc w:val="left"/>
            </w:pPr>
            <w:r>
              <w:t>МРТ пораженного участка конечности (выявление отека костного мозга в зоне пораженного сустава)</w:t>
            </w:r>
          </w:p>
        </w:tc>
      </w:tr>
      <w:tr w:rsidR="00D27BC6">
        <w:trPr>
          <w:trHeight w:val="2240"/>
        </w:trPr>
        <w:tc>
          <w:tcPr>
            <w:tcW w:w="12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Хроническая (Неактивная)</w:t>
            </w:r>
          </w:p>
        </w:tc>
        <w:tc>
          <w:tcPr>
            <w:tcW w:w="296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70" w:right="0" w:hanging="170"/>
              <w:jc w:val="left"/>
            </w:pPr>
            <w:r>
              <w:t xml:space="preserve">• </w:t>
            </w:r>
            <w:r>
              <w:t>При осмотре – возможна характерная деформация стопы и/или голеностоп-ного сустава</w:t>
            </w:r>
          </w:p>
        </w:tc>
        <w:tc>
          <w:tcPr>
            <w:tcW w:w="296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36" w:firstLine="0"/>
              <w:jc w:val="left"/>
            </w:pPr>
            <w:r>
              <w:t>Рентгенография пораженного участка конечности в прямой и боковой проекциях (определяется остеопороз, параоссальные обызвествления, гиперостозы, вывихи и подвывихи суставов, ф</w:t>
            </w:r>
            <w:r>
              <w:t>рагментация костных структур)</w:t>
            </w:r>
          </w:p>
        </w:tc>
        <w:tc>
          <w:tcPr>
            <w:tcW w:w="296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МСКТ пораженного участка конечности</w:t>
            </w:r>
          </w:p>
        </w:tc>
      </w:tr>
    </w:tbl>
    <w:p w:rsidR="00D27BC6" w:rsidRDefault="004D5071">
      <w:pPr>
        <w:pStyle w:val="Heading3"/>
        <w:ind w:left="162" w:right="156"/>
      </w:pPr>
      <w:r>
        <w:t>Принципы лечения ДНОАП</w:t>
      </w:r>
    </w:p>
    <w:p w:rsidR="00D27BC6" w:rsidRDefault="004D5071">
      <w:pPr>
        <w:numPr>
          <w:ilvl w:val="0"/>
          <w:numId w:val="115"/>
        </w:numPr>
        <w:ind w:right="0" w:hanging="283"/>
      </w:pPr>
      <w:r>
        <w:t>Достижение и поддержание индивидуальных целевых показателей гликемического контроля.</w:t>
      </w:r>
    </w:p>
    <w:p w:rsidR="00D27BC6" w:rsidRDefault="004D5071">
      <w:pPr>
        <w:numPr>
          <w:ilvl w:val="0"/>
          <w:numId w:val="115"/>
        </w:numPr>
        <w:ind w:right="0" w:hanging="283"/>
      </w:pPr>
      <w:r>
        <w:t>Разгрузка пораженной конечности (индивидуальная разгрузочная повязка) на острой стадии. Длительность использования повязки – 6 мес., частота замены – каждые 3–4 недели.</w:t>
      </w:r>
    </w:p>
    <w:p w:rsidR="00D27BC6" w:rsidRDefault="004D5071">
      <w:pPr>
        <w:numPr>
          <w:ilvl w:val="0"/>
          <w:numId w:val="115"/>
        </w:numPr>
        <w:ind w:right="0" w:hanging="283"/>
      </w:pPr>
      <w:r>
        <w:t>Системная антибиотикотерапия (клиндамицин, фторхинолоны, цефалоспорины, даптомицин) при</w:t>
      </w:r>
      <w:r>
        <w:t xml:space="preserve"> язвенных дефектах с признаками инфекции и ранах 2-й ст. и глубже (по Wagner).</w:t>
      </w:r>
    </w:p>
    <w:p w:rsidR="00D27BC6" w:rsidRDefault="004D5071">
      <w:pPr>
        <w:numPr>
          <w:ilvl w:val="0"/>
          <w:numId w:val="115"/>
        </w:numPr>
        <w:ind w:right="0" w:hanging="283"/>
      </w:pPr>
      <w:r>
        <w:t>При наличии раневых дефектов – использование современных атравматических перевязочных средств, соответствующих стадии раневого процесса.</w:t>
      </w:r>
    </w:p>
    <w:p w:rsidR="00D27BC6" w:rsidRDefault="004D5071">
      <w:pPr>
        <w:spacing w:after="546"/>
        <w:ind w:left="281" w:right="51"/>
        <w:jc w:val="left"/>
      </w:pPr>
      <w:r>
        <w:rPr>
          <w:b/>
        </w:rPr>
        <w:t>Лечение активной стадии ДНОАП</w:t>
      </w:r>
    </w:p>
    <w:p w:rsidR="00D27BC6" w:rsidRDefault="004D5071">
      <w:pPr>
        <w:pBdr>
          <w:top w:val="single" w:sz="8" w:space="0" w:color="000000"/>
          <w:left w:val="single" w:sz="8" w:space="0" w:color="000000"/>
          <w:bottom w:val="single" w:sz="8" w:space="0" w:color="000000"/>
          <w:right w:val="single" w:sz="8" w:space="0" w:color="000000"/>
        </w:pBdr>
        <w:spacing w:after="640" w:line="236" w:lineRule="auto"/>
        <w:ind w:left="120" w:right="104"/>
      </w:pPr>
      <w:r>
        <w:rPr>
          <w:b/>
        </w:rPr>
        <w:t>Единственн</w:t>
      </w:r>
      <w:r>
        <w:rPr>
          <w:b/>
        </w:rPr>
        <w:t xml:space="preserve">ым эффективным методом лечения активной стадии ДНОАП является разгрузка пораженного сустава с помощью индивидуальной разгрузочной повязки Total Contact Cast, которая должна быть наложена пациенту сразу после установления диагноза. </w:t>
      </w:r>
    </w:p>
    <w:p w:rsidR="00D27BC6" w:rsidRDefault="004D5071">
      <w:pPr>
        <w:ind w:left="281" w:right="51"/>
        <w:jc w:val="left"/>
      </w:pPr>
      <w:r>
        <w:rPr>
          <w:b/>
        </w:rPr>
        <w:t>Лечение неактивной стади</w:t>
      </w:r>
      <w:r>
        <w:rPr>
          <w:b/>
        </w:rPr>
        <w:t>и ДНОАП:</w:t>
      </w:r>
    </w:p>
    <w:p w:rsidR="00D27BC6" w:rsidRDefault="004D5071">
      <w:pPr>
        <w:numPr>
          <w:ilvl w:val="0"/>
          <w:numId w:val="115"/>
        </w:numPr>
        <w:ind w:right="0" w:hanging="283"/>
      </w:pPr>
      <w:r>
        <w:t>Постоянное ношение сложной ортопедической обуви.</w:t>
      </w:r>
    </w:p>
    <w:p w:rsidR="00D27BC6" w:rsidRDefault="004D5071">
      <w:pPr>
        <w:numPr>
          <w:ilvl w:val="0"/>
          <w:numId w:val="115"/>
        </w:numPr>
        <w:ind w:right="0" w:hanging="283"/>
      </w:pPr>
      <w:r>
        <w:t>При поражении голеностопного сустава постоянное ношение индивидуально изготовленного тутора.</w:t>
      </w:r>
    </w:p>
    <w:p w:rsidR="00D27BC6" w:rsidRDefault="004D5071">
      <w:pPr>
        <w:numPr>
          <w:ilvl w:val="0"/>
          <w:numId w:val="115"/>
        </w:numPr>
        <w:ind w:right="0" w:hanging="283"/>
      </w:pPr>
      <w:r>
        <w:t>Адекватный подиатрический уход с целью профилактики развития хронических раневых дефектов в зонах избыточного нагрузочного давления на стопе.</w:t>
      </w:r>
    </w:p>
    <w:p w:rsidR="00D27BC6" w:rsidRDefault="004D5071">
      <w:pPr>
        <w:numPr>
          <w:ilvl w:val="0"/>
          <w:numId w:val="115"/>
        </w:numPr>
        <w:spacing w:after="230"/>
        <w:ind w:right="0" w:hanging="283"/>
      </w:pPr>
      <w:r>
        <w:t>При формировании выраженных деформаций стопы и рецидивирующих раневых дефектах в зоне деформации – хирургическая о</w:t>
      </w:r>
      <w:r>
        <w:t>ртопедическая коррекция.</w:t>
      </w:r>
    </w:p>
    <w:p w:rsidR="00D27BC6" w:rsidRDefault="004D5071">
      <w:pPr>
        <w:ind w:left="281" w:right="51"/>
        <w:jc w:val="left"/>
      </w:pPr>
      <w:r>
        <w:rPr>
          <w:b/>
        </w:rPr>
        <w:t>Виды хирургической ортопедической коррекции при ДНОАП:</w:t>
      </w:r>
    </w:p>
    <w:p w:rsidR="00D27BC6" w:rsidRDefault="004D5071">
      <w:pPr>
        <w:numPr>
          <w:ilvl w:val="0"/>
          <w:numId w:val="115"/>
        </w:numPr>
        <w:ind w:right="0" w:hanging="283"/>
      </w:pPr>
      <w:r>
        <w:t>Реконструктивные (с применением внешней или внутренней фиксации).</w:t>
      </w:r>
    </w:p>
    <w:p w:rsidR="00D27BC6" w:rsidRDefault="004D5071">
      <w:pPr>
        <w:numPr>
          <w:ilvl w:val="0"/>
          <w:numId w:val="115"/>
        </w:numPr>
        <w:spacing w:after="226"/>
        <w:ind w:right="0" w:hanging="283"/>
      </w:pPr>
      <w:r>
        <w:t xml:space="preserve">Резекция пролабирующих/выступающих фрагментов костей стопы. </w:t>
      </w:r>
    </w:p>
    <w:p w:rsidR="00D27BC6" w:rsidRDefault="004D5071">
      <w:pPr>
        <w:ind w:left="281" w:right="51"/>
        <w:jc w:val="left"/>
      </w:pPr>
      <w:r>
        <w:rPr>
          <w:b/>
        </w:rPr>
        <w:t>Профилактика ДНОАП:</w:t>
      </w:r>
    </w:p>
    <w:p w:rsidR="00D27BC6" w:rsidRDefault="004D5071">
      <w:pPr>
        <w:numPr>
          <w:ilvl w:val="0"/>
          <w:numId w:val="115"/>
        </w:numPr>
        <w:ind w:right="0" w:hanging="283"/>
      </w:pPr>
      <w:r>
        <w:t>Достижение и поддержание инди</w:t>
      </w:r>
      <w:r>
        <w:t>видуальных целевых показателей гликемического контроля.</w:t>
      </w:r>
    </w:p>
    <w:p w:rsidR="00D27BC6" w:rsidRDefault="004D5071">
      <w:pPr>
        <w:numPr>
          <w:ilvl w:val="0"/>
          <w:numId w:val="115"/>
        </w:numPr>
        <w:ind w:right="0" w:hanging="283"/>
      </w:pPr>
      <w:r>
        <w:t>Своевременное выявление и динамическое наблюдение за пациентами группы риска развития ДНОАП.</w:t>
      </w:r>
    </w:p>
    <w:p w:rsidR="00D27BC6" w:rsidRDefault="004D5071">
      <w:pPr>
        <w:numPr>
          <w:ilvl w:val="0"/>
          <w:numId w:val="115"/>
        </w:numPr>
        <w:spacing w:after="544"/>
        <w:ind w:right="0" w:hanging="283"/>
      </w:pPr>
      <w:r>
        <w:t>Ношение специализированной ортопедической обуви и стелек.</w:t>
      </w:r>
    </w:p>
    <w:p w:rsidR="00D27BC6" w:rsidRDefault="004D5071">
      <w:pPr>
        <w:pStyle w:val="Heading1"/>
        <w:spacing w:after="776"/>
        <w:ind w:left="313" w:right="309"/>
      </w:pPr>
      <w:r>
        <w:t>14. СИНДРОМ ДИАБЕТИЧЕСКОЙ СТОПЫ</w:t>
      </w:r>
    </w:p>
    <w:p w:rsidR="00D27BC6" w:rsidRDefault="004D5071">
      <w:pPr>
        <w:pBdr>
          <w:top w:val="single" w:sz="8" w:space="0" w:color="000000"/>
          <w:left w:val="single" w:sz="8" w:space="0" w:color="000000"/>
          <w:bottom w:val="single" w:sz="8" w:space="0" w:color="000000"/>
          <w:right w:val="single" w:sz="8" w:space="0" w:color="000000"/>
        </w:pBdr>
        <w:spacing w:after="756"/>
        <w:ind w:left="120" w:right="114"/>
      </w:pPr>
      <w:r>
        <w:rPr>
          <w:b/>
        </w:rPr>
        <w:t>Синдром диабетиче</w:t>
      </w:r>
      <w:r>
        <w:rPr>
          <w:b/>
        </w:rPr>
        <w:t>ской стопы (СДС)</w:t>
      </w:r>
      <w:r>
        <w:t xml:space="preserve"> определяется как инфекция, язва и/или деструкция глубоких тканей, связанная с неврологическими нарушениями и/или снижением магистрального кровотока в артериях нижних конечностей различной степени тяжести</w:t>
      </w:r>
    </w:p>
    <w:p w:rsidR="00D27BC6" w:rsidRDefault="004D5071">
      <w:pPr>
        <w:pStyle w:val="Heading2"/>
        <w:spacing w:after="229" w:line="248" w:lineRule="auto"/>
        <w:ind w:left="162" w:right="156"/>
        <w:jc w:val="center"/>
      </w:pPr>
      <w:r>
        <w:rPr>
          <w:color w:val="1E5D99"/>
        </w:rPr>
        <w:t>Группы риска СДС</w:t>
      </w:r>
    </w:p>
    <w:p w:rsidR="00D27BC6" w:rsidRDefault="004D5071">
      <w:pPr>
        <w:numPr>
          <w:ilvl w:val="0"/>
          <w:numId w:val="116"/>
        </w:numPr>
        <w:ind w:right="0" w:hanging="283"/>
      </w:pPr>
      <w:r>
        <w:t>Пациенты с дистальной полинейропатией на стадии клинических проявлений</w:t>
      </w:r>
    </w:p>
    <w:p w:rsidR="00D27BC6" w:rsidRDefault="004D5071">
      <w:pPr>
        <w:numPr>
          <w:ilvl w:val="0"/>
          <w:numId w:val="116"/>
        </w:numPr>
        <w:ind w:right="0" w:hanging="283"/>
      </w:pPr>
      <w:r>
        <w:t>Лица с заболеваниями периферических артерий любого генеза</w:t>
      </w:r>
    </w:p>
    <w:p w:rsidR="00D27BC6" w:rsidRDefault="004D5071">
      <w:pPr>
        <w:numPr>
          <w:ilvl w:val="0"/>
          <w:numId w:val="116"/>
        </w:numPr>
        <w:ind w:right="0" w:hanging="283"/>
      </w:pPr>
      <w:r>
        <w:t>Больные с деформациями стоп любого генеза</w:t>
      </w:r>
    </w:p>
    <w:p w:rsidR="00D27BC6" w:rsidRDefault="004D5071">
      <w:pPr>
        <w:numPr>
          <w:ilvl w:val="0"/>
          <w:numId w:val="116"/>
        </w:numPr>
        <w:ind w:right="0" w:hanging="283"/>
      </w:pPr>
      <w:r>
        <w:t>Слепые и слабовидящие</w:t>
      </w:r>
    </w:p>
    <w:p w:rsidR="00D27BC6" w:rsidRDefault="004D5071">
      <w:pPr>
        <w:numPr>
          <w:ilvl w:val="0"/>
          <w:numId w:val="116"/>
        </w:numPr>
        <w:ind w:right="0" w:hanging="283"/>
      </w:pPr>
      <w:r>
        <w:t>Больные с диабетической нефропатией и ХБП C3-5</w:t>
      </w:r>
    </w:p>
    <w:p w:rsidR="00D27BC6" w:rsidRDefault="004D5071">
      <w:pPr>
        <w:numPr>
          <w:ilvl w:val="0"/>
          <w:numId w:val="116"/>
        </w:numPr>
        <w:ind w:right="0" w:hanging="283"/>
      </w:pPr>
      <w:r>
        <w:t>Одинокие и пожил</w:t>
      </w:r>
      <w:r>
        <w:t>ые пациенты</w:t>
      </w:r>
    </w:p>
    <w:p w:rsidR="00D27BC6" w:rsidRDefault="004D5071">
      <w:pPr>
        <w:numPr>
          <w:ilvl w:val="0"/>
          <w:numId w:val="116"/>
        </w:numPr>
        <w:ind w:right="0" w:hanging="283"/>
      </w:pPr>
      <w:r>
        <w:t>Злоупотребляющие алкоголем</w:t>
      </w:r>
    </w:p>
    <w:p w:rsidR="00D27BC6" w:rsidRDefault="004D5071">
      <w:pPr>
        <w:numPr>
          <w:ilvl w:val="0"/>
          <w:numId w:val="116"/>
        </w:numPr>
        <w:spacing w:after="226"/>
        <w:ind w:right="0" w:hanging="283"/>
      </w:pPr>
      <w:r>
        <w:t>Курильщики</w:t>
      </w:r>
    </w:p>
    <w:p w:rsidR="00D27BC6" w:rsidRDefault="004D5071">
      <w:pPr>
        <w:spacing w:after="10"/>
        <w:ind w:left="162" w:right="156"/>
        <w:jc w:val="center"/>
      </w:pPr>
      <w:r>
        <w:rPr>
          <w:b/>
          <w:color w:val="1E5D99"/>
        </w:rPr>
        <w:t xml:space="preserve">Классификация  </w:t>
      </w:r>
    </w:p>
    <w:p w:rsidR="00D27BC6" w:rsidRDefault="004D5071">
      <w:pPr>
        <w:pStyle w:val="Heading2"/>
        <w:spacing w:after="229" w:line="248" w:lineRule="auto"/>
        <w:ind w:left="162" w:right="156"/>
        <w:jc w:val="center"/>
      </w:pPr>
      <w:r>
        <w:rPr>
          <w:color w:val="1E5D99"/>
        </w:rPr>
        <w:t>(формулировка диагноза)</w:t>
      </w:r>
    </w:p>
    <w:p w:rsidR="00D27BC6" w:rsidRDefault="004D5071">
      <w:pPr>
        <w:numPr>
          <w:ilvl w:val="0"/>
          <w:numId w:val="117"/>
        </w:numPr>
        <w:ind w:right="0" w:hanging="283"/>
      </w:pPr>
      <w:r>
        <w:t>Нейропатическая форма СДС</w:t>
      </w:r>
    </w:p>
    <w:p w:rsidR="00D27BC6" w:rsidRDefault="004D5071">
      <w:pPr>
        <w:numPr>
          <w:ilvl w:val="1"/>
          <w:numId w:val="117"/>
        </w:numPr>
        <w:ind w:left="568" w:right="0" w:hanging="283"/>
      </w:pPr>
      <w:r>
        <w:t>трофическая язва стопы</w:t>
      </w:r>
    </w:p>
    <w:p w:rsidR="00D27BC6" w:rsidRDefault="004D5071">
      <w:pPr>
        <w:numPr>
          <w:ilvl w:val="1"/>
          <w:numId w:val="117"/>
        </w:numPr>
        <w:ind w:left="568" w:right="0" w:hanging="283"/>
      </w:pPr>
      <w:r>
        <w:t>диабетическая нейроостеоартропатия</w:t>
      </w:r>
    </w:p>
    <w:p w:rsidR="00D27BC6" w:rsidRDefault="004D5071">
      <w:pPr>
        <w:numPr>
          <w:ilvl w:val="0"/>
          <w:numId w:val="117"/>
        </w:numPr>
        <w:ind w:right="0" w:hanging="283"/>
      </w:pPr>
      <w:r>
        <w:t>Ишемическая форма СДС</w:t>
      </w:r>
    </w:p>
    <w:p w:rsidR="00D27BC6" w:rsidRDefault="004D5071">
      <w:pPr>
        <w:numPr>
          <w:ilvl w:val="0"/>
          <w:numId w:val="117"/>
        </w:numPr>
        <w:spacing w:after="226"/>
        <w:ind w:right="0" w:hanging="283"/>
      </w:pPr>
      <w:r>
        <w:t>Нейроишемическая форма СДС</w:t>
      </w:r>
    </w:p>
    <w:p w:rsidR="00D27BC6" w:rsidRDefault="004D5071">
      <w:pPr>
        <w:ind w:left="-11" w:right="0" w:firstLine="283"/>
      </w:pPr>
      <w:r>
        <w:t>Рекомендуется шире использовать классификацию WIfI (W-рана, I – ишемия, fI- инфекция стопы) при формулировке диагноза.</w:t>
      </w:r>
    </w:p>
    <w:p w:rsidR="00D27BC6" w:rsidRDefault="004D5071">
      <w:pPr>
        <w:spacing w:after="0" w:line="259" w:lineRule="auto"/>
        <w:ind w:left="2" w:right="0" w:firstLine="0"/>
        <w:jc w:val="left"/>
      </w:pPr>
      <w:r>
        <w:rPr>
          <w:b/>
          <w:color w:val="6F6F6E"/>
        </w:rPr>
        <w:t>Классификация WIfI (Wound, Ischemia, foot Infection),</w:t>
      </w:r>
      <w:r>
        <w:rPr>
          <w:color w:val="6F6F6E"/>
        </w:rPr>
        <w:t xml:space="preserve"> учитывает тяжесть морфологического поражения тканей стопы, перфузию нижних конечнос</w:t>
      </w:r>
      <w:r>
        <w:rPr>
          <w:color w:val="6F6F6E"/>
        </w:rPr>
        <w:t>тей, тяжесть инфекционного процесса.</w:t>
      </w:r>
    </w:p>
    <w:tbl>
      <w:tblPr>
        <w:tblStyle w:val="TableGrid"/>
        <w:tblW w:w="10191" w:type="dxa"/>
        <w:tblInd w:w="9" w:type="dxa"/>
        <w:tblCellMar>
          <w:top w:w="8" w:type="dxa"/>
          <w:left w:w="56" w:type="dxa"/>
          <w:bottom w:w="0" w:type="dxa"/>
          <w:right w:w="22" w:type="dxa"/>
        </w:tblCellMar>
        <w:tblLook w:val="04A0" w:firstRow="1" w:lastRow="0" w:firstColumn="1" w:lastColumn="0" w:noHBand="0" w:noVBand="1"/>
      </w:tblPr>
      <w:tblGrid>
        <w:gridCol w:w="1202"/>
        <w:gridCol w:w="2996"/>
        <w:gridCol w:w="2996"/>
        <w:gridCol w:w="2996"/>
      </w:tblGrid>
      <w:tr w:rsidR="00D27BC6">
        <w:trPr>
          <w:trHeight w:val="320"/>
        </w:trPr>
        <w:tc>
          <w:tcPr>
            <w:tcW w:w="10191" w:type="dxa"/>
            <w:gridSpan w:val="4"/>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34" w:firstLine="0"/>
              <w:jc w:val="center"/>
            </w:pPr>
            <w:r>
              <w:rPr>
                <w:b/>
              </w:rPr>
              <w:t>Глубина поражения тканей стопы</w:t>
            </w:r>
          </w:p>
        </w:tc>
      </w:tr>
      <w:tr w:rsidR="00D27BC6">
        <w:trPr>
          <w:trHeight w:val="320"/>
        </w:trPr>
        <w:tc>
          <w:tcPr>
            <w:tcW w:w="1202" w:type="dxa"/>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34" w:firstLine="0"/>
              <w:jc w:val="center"/>
            </w:pPr>
            <w:r>
              <w:rPr>
                <w:b/>
              </w:rPr>
              <w:t>Степень</w:t>
            </w:r>
          </w:p>
        </w:tc>
        <w:tc>
          <w:tcPr>
            <w:tcW w:w="2996" w:type="dxa"/>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34" w:firstLine="0"/>
              <w:jc w:val="center"/>
            </w:pPr>
            <w:r>
              <w:rPr>
                <w:b/>
              </w:rPr>
              <w:t>Язва</w:t>
            </w:r>
          </w:p>
        </w:tc>
        <w:tc>
          <w:tcPr>
            <w:tcW w:w="2996" w:type="dxa"/>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34" w:firstLine="0"/>
              <w:jc w:val="center"/>
            </w:pPr>
            <w:r>
              <w:rPr>
                <w:b/>
              </w:rPr>
              <w:t>Гангрена</w:t>
            </w:r>
          </w:p>
        </w:tc>
        <w:tc>
          <w:tcPr>
            <w:tcW w:w="2996" w:type="dxa"/>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35" w:firstLine="0"/>
              <w:jc w:val="center"/>
            </w:pPr>
            <w:r>
              <w:rPr>
                <w:b/>
              </w:rPr>
              <w:t>Клиническая картина</w:t>
            </w:r>
          </w:p>
        </w:tc>
      </w:tr>
      <w:tr w:rsidR="00D27BC6">
        <w:trPr>
          <w:trHeight w:val="560"/>
        </w:trPr>
        <w:tc>
          <w:tcPr>
            <w:tcW w:w="120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5" w:firstLine="0"/>
              <w:jc w:val="center"/>
            </w:pPr>
            <w:r>
              <w:rPr>
                <w:b/>
              </w:rPr>
              <w:t>0</w:t>
            </w:r>
          </w:p>
        </w:tc>
        <w:tc>
          <w:tcPr>
            <w:tcW w:w="299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5" w:firstLine="0"/>
              <w:jc w:val="center"/>
            </w:pPr>
            <w:r>
              <w:t>нет</w:t>
            </w:r>
          </w:p>
        </w:tc>
        <w:tc>
          <w:tcPr>
            <w:tcW w:w="299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5" w:firstLine="0"/>
              <w:jc w:val="center"/>
            </w:pPr>
            <w:r>
              <w:t>нет</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Ишемические боли в покое, раны нет</w:t>
            </w:r>
          </w:p>
        </w:tc>
      </w:tr>
      <w:tr w:rsidR="00D27BC6">
        <w:trPr>
          <w:trHeight w:val="1520"/>
        </w:trPr>
        <w:tc>
          <w:tcPr>
            <w:tcW w:w="120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5" w:firstLine="0"/>
              <w:jc w:val="center"/>
            </w:pPr>
            <w:r>
              <w:rPr>
                <w:b/>
              </w:rPr>
              <w:t>1</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125" w:firstLine="0"/>
              <w:jc w:val="left"/>
            </w:pPr>
            <w:r>
              <w:t>Маленькая, поверхностная язва (язвы) в дистальном отделе голени или стопы; нет вовлечения костных структур, за исключением дистальных фаланг пальцев.</w:t>
            </w:r>
          </w:p>
        </w:tc>
        <w:tc>
          <w:tcPr>
            <w:tcW w:w="299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5" w:firstLine="0"/>
              <w:jc w:val="center"/>
            </w:pPr>
            <w:r>
              <w:t>Нет</w:t>
            </w:r>
          </w:p>
        </w:tc>
        <w:tc>
          <w:tcPr>
            <w:tcW w:w="299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381" w:firstLine="0"/>
              <w:jc w:val="left"/>
            </w:pPr>
            <w:r>
              <w:t>Минимальное повреждение тканей. Показаны малые дистальные ампутации (1 или 2 пальцев) или кожная пласт</w:t>
            </w:r>
            <w:r>
              <w:t xml:space="preserve">ика. </w:t>
            </w:r>
          </w:p>
        </w:tc>
      </w:tr>
      <w:tr w:rsidR="00D27BC6">
        <w:trPr>
          <w:trHeight w:val="1420"/>
        </w:trPr>
        <w:tc>
          <w:tcPr>
            <w:tcW w:w="120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5" w:firstLine="0"/>
              <w:jc w:val="center"/>
            </w:pPr>
            <w:r>
              <w:rPr>
                <w:b/>
              </w:rPr>
              <w:t>2</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 xml:space="preserve">Глубокая язва с вовлечением костей, суставов или сухожилий; в основном без вовлечения пяточной области, возможны поверхностные язвы пятки без вовлечения пяточной кости. </w:t>
            </w:r>
          </w:p>
        </w:tc>
        <w:tc>
          <w:tcPr>
            <w:tcW w:w="299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Гангренозные изменения ограничиваются фалангами пальцев</w:t>
            </w:r>
          </w:p>
        </w:tc>
        <w:tc>
          <w:tcPr>
            <w:tcW w:w="299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4" w:firstLine="0"/>
              <w:jc w:val="left"/>
            </w:pPr>
            <w:r>
              <w:t>Выраженное повреждение тканей, требующее ампутации нескольких пальцев (3 болеt) или трансметатарзальной ампутации с/без пластики кожи.</w:t>
            </w:r>
          </w:p>
        </w:tc>
      </w:tr>
      <w:tr w:rsidR="00D27BC6">
        <w:trPr>
          <w:trHeight w:val="1420"/>
        </w:trPr>
        <w:tc>
          <w:tcPr>
            <w:tcW w:w="120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5" w:firstLine="0"/>
              <w:jc w:val="center"/>
            </w:pPr>
            <w:r>
              <w:rPr>
                <w:b/>
              </w:rPr>
              <w:t>3</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14" w:firstLine="0"/>
              <w:jc w:val="left"/>
            </w:pPr>
            <w:r>
              <w:t xml:space="preserve">Обширная глубокая язва, распространяющаяся на передний и/или средний отдел стопы; глубокая язва пяточной области с вовлечением пяточной кости. </w:t>
            </w:r>
          </w:p>
        </w:tc>
        <w:tc>
          <w:tcPr>
            <w:tcW w:w="299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Гангрена, распространяющаяся на передний и/или средний отдел стопы; глубокий некроз пяточной области ± вовлечени</w:t>
            </w:r>
            <w:r>
              <w:t xml:space="preserve">е пяточной кости. </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42" w:firstLine="0"/>
              <w:jc w:val="left"/>
            </w:pPr>
            <w:r>
              <w:t>Распространенное поражение тканей, требующее комплексного лечения стопы или нестандартной трансметатарзальной ампутации (по Шопару или Лисфранку).</w:t>
            </w:r>
          </w:p>
        </w:tc>
      </w:tr>
      <w:tr w:rsidR="00D27BC6">
        <w:trPr>
          <w:trHeight w:val="320"/>
        </w:trPr>
        <w:tc>
          <w:tcPr>
            <w:tcW w:w="10191" w:type="dxa"/>
            <w:gridSpan w:val="4"/>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34" w:firstLine="0"/>
              <w:jc w:val="center"/>
            </w:pPr>
            <w:r>
              <w:rPr>
                <w:b/>
              </w:rPr>
              <w:t>Ишемия</w:t>
            </w:r>
          </w:p>
        </w:tc>
      </w:tr>
      <w:tr w:rsidR="00D27BC6">
        <w:trPr>
          <w:trHeight w:val="560"/>
        </w:trPr>
        <w:tc>
          <w:tcPr>
            <w:tcW w:w="10191" w:type="dxa"/>
            <w:gridSpan w:val="4"/>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Если применение ЛПИ неинформативно или невозможно, для оценки используются определение пальцевого давления или транскутанное напряжение кислорода.</w:t>
            </w:r>
          </w:p>
        </w:tc>
      </w:tr>
      <w:tr w:rsidR="00D27BC6">
        <w:trPr>
          <w:trHeight w:val="1040"/>
        </w:trPr>
        <w:tc>
          <w:tcPr>
            <w:tcW w:w="1202" w:type="dxa"/>
            <w:tcBorders>
              <w:top w:val="single" w:sz="6" w:space="0" w:color="000000"/>
              <w:left w:val="single" w:sz="6" w:space="0" w:color="000000"/>
              <w:bottom w:val="single" w:sz="6" w:space="0" w:color="000000"/>
              <w:right w:val="single" w:sz="6" w:space="0" w:color="000000"/>
            </w:tcBorders>
            <w:shd w:val="clear" w:color="auto" w:fill="ECECEC"/>
            <w:vAlign w:val="center"/>
          </w:tcPr>
          <w:p w:rsidR="00D27BC6" w:rsidRDefault="004D5071">
            <w:pPr>
              <w:spacing w:after="0" w:line="259" w:lineRule="auto"/>
              <w:ind w:left="0" w:right="34" w:firstLine="0"/>
              <w:jc w:val="center"/>
            </w:pPr>
            <w:r>
              <w:rPr>
                <w:b/>
              </w:rPr>
              <w:t>Степень</w:t>
            </w:r>
          </w:p>
        </w:tc>
        <w:tc>
          <w:tcPr>
            <w:tcW w:w="2996" w:type="dxa"/>
            <w:tcBorders>
              <w:top w:val="single" w:sz="6" w:space="0" w:color="000000"/>
              <w:left w:val="single" w:sz="6" w:space="0" w:color="000000"/>
              <w:bottom w:val="single" w:sz="6" w:space="0" w:color="000000"/>
              <w:right w:val="single" w:sz="6" w:space="0" w:color="000000"/>
            </w:tcBorders>
            <w:shd w:val="clear" w:color="auto" w:fill="ECECEC"/>
            <w:vAlign w:val="center"/>
          </w:tcPr>
          <w:p w:rsidR="00D27BC6" w:rsidRDefault="004D5071">
            <w:pPr>
              <w:spacing w:after="0" w:line="259" w:lineRule="auto"/>
              <w:ind w:left="0" w:right="35" w:firstLine="0"/>
              <w:jc w:val="center"/>
            </w:pPr>
            <w:r>
              <w:rPr>
                <w:b/>
              </w:rPr>
              <w:t>ЛПИ</w:t>
            </w:r>
          </w:p>
        </w:tc>
        <w:tc>
          <w:tcPr>
            <w:tcW w:w="2996" w:type="dxa"/>
            <w:tcBorders>
              <w:top w:val="single" w:sz="6" w:space="0" w:color="000000"/>
              <w:left w:val="single" w:sz="6" w:space="0" w:color="000000"/>
              <w:bottom w:val="single" w:sz="6" w:space="0" w:color="000000"/>
              <w:right w:val="single" w:sz="6" w:space="0" w:color="000000"/>
            </w:tcBorders>
            <w:shd w:val="clear" w:color="auto" w:fill="ECECEC"/>
            <w:vAlign w:val="center"/>
          </w:tcPr>
          <w:p w:rsidR="00D27BC6" w:rsidRDefault="004D5071">
            <w:pPr>
              <w:spacing w:after="0" w:line="259" w:lineRule="auto"/>
              <w:ind w:left="533" w:right="527" w:firstLine="0"/>
              <w:jc w:val="center"/>
            </w:pPr>
            <w:r>
              <w:rPr>
                <w:b/>
              </w:rPr>
              <w:t>Систолическое АД в артерии голени (мм рт.ст.).</w:t>
            </w:r>
          </w:p>
        </w:tc>
        <w:tc>
          <w:tcPr>
            <w:tcW w:w="2996" w:type="dxa"/>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35" w:firstLine="0"/>
              <w:jc w:val="center"/>
            </w:pPr>
            <w:r>
              <w:rPr>
                <w:b/>
              </w:rPr>
              <w:t>Пальцевое давление</w:t>
            </w:r>
          </w:p>
          <w:p w:rsidR="00D27BC6" w:rsidRDefault="004D5071">
            <w:pPr>
              <w:spacing w:after="0" w:line="236" w:lineRule="auto"/>
              <w:ind w:left="0" w:right="0" w:firstLine="0"/>
              <w:jc w:val="center"/>
            </w:pPr>
            <w:r>
              <w:rPr>
                <w:b/>
              </w:rPr>
              <w:t>Транскутанное напряжение кислорода</w:t>
            </w:r>
          </w:p>
          <w:p w:rsidR="00D27BC6" w:rsidRDefault="004D5071">
            <w:pPr>
              <w:spacing w:after="0" w:line="259" w:lineRule="auto"/>
              <w:ind w:left="0" w:right="35" w:firstLine="0"/>
              <w:jc w:val="center"/>
            </w:pPr>
            <w:r>
              <w:rPr>
                <w:b/>
              </w:rPr>
              <w:t>(мм рт.ст.)</w:t>
            </w:r>
          </w:p>
        </w:tc>
      </w:tr>
      <w:tr w:rsidR="00D27BC6">
        <w:trPr>
          <w:trHeight w:val="320"/>
        </w:trPr>
        <w:tc>
          <w:tcPr>
            <w:tcW w:w="120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rPr>
                <w:b/>
              </w:rPr>
              <w:t>0</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 0,8</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&gt; 100</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 60</w:t>
            </w:r>
          </w:p>
        </w:tc>
      </w:tr>
      <w:tr w:rsidR="00D27BC6">
        <w:trPr>
          <w:trHeight w:val="320"/>
        </w:trPr>
        <w:tc>
          <w:tcPr>
            <w:tcW w:w="120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rPr>
                <w:b/>
              </w:rPr>
              <w:t>1</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0,6–0,79</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70–100</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40–59</w:t>
            </w:r>
          </w:p>
        </w:tc>
      </w:tr>
      <w:tr w:rsidR="00D27BC6">
        <w:trPr>
          <w:trHeight w:val="320"/>
        </w:trPr>
        <w:tc>
          <w:tcPr>
            <w:tcW w:w="120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rPr>
                <w:b/>
              </w:rPr>
              <w:t>2</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0,4–0,59</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50–70</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30–39</w:t>
            </w:r>
          </w:p>
        </w:tc>
      </w:tr>
      <w:tr w:rsidR="00D27BC6">
        <w:trPr>
          <w:trHeight w:val="320"/>
        </w:trPr>
        <w:tc>
          <w:tcPr>
            <w:tcW w:w="120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rPr>
                <w:b/>
              </w:rPr>
              <w:t>3</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 0,39</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&lt; 50</w:t>
            </w:r>
          </w:p>
        </w:tc>
        <w:tc>
          <w:tcPr>
            <w:tcW w:w="2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&lt; 30</w:t>
            </w:r>
          </w:p>
        </w:tc>
      </w:tr>
      <w:tr w:rsidR="00D27BC6">
        <w:trPr>
          <w:trHeight w:val="320"/>
        </w:trPr>
        <w:tc>
          <w:tcPr>
            <w:tcW w:w="10191" w:type="dxa"/>
            <w:gridSpan w:val="4"/>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35" w:firstLine="0"/>
              <w:jc w:val="center"/>
            </w:pPr>
            <w:r>
              <w:rPr>
                <w:b/>
              </w:rPr>
              <w:t>Инфекция стопы</w:t>
            </w:r>
          </w:p>
        </w:tc>
      </w:tr>
      <w:tr w:rsidR="00D27BC6">
        <w:trPr>
          <w:trHeight w:val="800"/>
        </w:trPr>
        <w:tc>
          <w:tcPr>
            <w:tcW w:w="120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rPr>
                <w:b/>
              </w:rPr>
              <w:t>0</w:t>
            </w:r>
          </w:p>
          <w:p w:rsidR="00D27BC6" w:rsidRDefault="004D5071">
            <w:pPr>
              <w:spacing w:after="0" w:line="259" w:lineRule="auto"/>
              <w:ind w:left="0" w:right="0" w:firstLine="0"/>
              <w:jc w:val="center"/>
            </w:pPr>
            <w:r>
              <w:rPr>
                <w:b/>
              </w:rPr>
              <w:t>(инфекции нет)</w:t>
            </w:r>
          </w:p>
        </w:tc>
        <w:tc>
          <w:tcPr>
            <w:tcW w:w="8989" w:type="dxa"/>
            <w:gridSpan w:val="3"/>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Нет симптомов и признаков инфекции</w:t>
            </w:r>
          </w:p>
        </w:tc>
      </w:tr>
      <w:tr w:rsidR="00D27BC6">
        <w:trPr>
          <w:trHeight w:val="1520"/>
        </w:trPr>
        <w:tc>
          <w:tcPr>
            <w:tcW w:w="120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15" w:right="151" w:firstLine="0"/>
              <w:jc w:val="center"/>
            </w:pPr>
            <w:r>
              <w:rPr>
                <w:b/>
              </w:rPr>
              <w:t>1 (легкая)</w:t>
            </w:r>
          </w:p>
        </w:tc>
        <w:tc>
          <w:tcPr>
            <w:tcW w:w="8989"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Инфекция есть, если отмечаются 2 из перечисленных признаков:</w:t>
            </w:r>
          </w:p>
          <w:p w:rsidR="00D27BC6" w:rsidRDefault="004D5071">
            <w:pPr>
              <w:numPr>
                <w:ilvl w:val="0"/>
                <w:numId w:val="297"/>
              </w:numPr>
              <w:spacing w:after="0" w:line="259" w:lineRule="auto"/>
              <w:ind w:right="0" w:hanging="170"/>
              <w:jc w:val="left"/>
            </w:pPr>
            <w:r>
              <w:t>Местный отек или инфильтрация</w:t>
            </w:r>
          </w:p>
          <w:p w:rsidR="00D27BC6" w:rsidRDefault="004D5071">
            <w:pPr>
              <w:numPr>
                <w:ilvl w:val="0"/>
                <w:numId w:val="297"/>
              </w:numPr>
              <w:spacing w:after="0" w:line="259" w:lineRule="auto"/>
              <w:ind w:right="0" w:hanging="170"/>
              <w:jc w:val="left"/>
            </w:pPr>
            <w:r>
              <w:t>Эритема от &gt; 0,5 до ≤ 2 см вокруг раны</w:t>
            </w:r>
          </w:p>
          <w:p w:rsidR="00D27BC6" w:rsidRDefault="004D5071">
            <w:pPr>
              <w:numPr>
                <w:ilvl w:val="0"/>
                <w:numId w:val="297"/>
              </w:numPr>
              <w:spacing w:after="0" w:line="259" w:lineRule="auto"/>
              <w:ind w:right="0" w:hanging="170"/>
              <w:jc w:val="left"/>
            </w:pPr>
            <w:r>
              <w:t>Местное напряжение и болезненность</w:t>
            </w:r>
          </w:p>
          <w:p w:rsidR="00D27BC6" w:rsidRDefault="004D5071">
            <w:pPr>
              <w:numPr>
                <w:ilvl w:val="0"/>
                <w:numId w:val="297"/>
              </w:numPr>
              <w:spacing w:after="0" w:line="259" w:lineRule="auto"/>
              <w:ind w:right="0" w:hanging="170"/>
              <w:jc w:val="left"/>
            </w:pPr>
            <w:r>
              <w:t>Локальная гипертермия</w:t>
            </w:r>
          </w:p>
          <w:p w:rsidR="00D27BC6" w:rsidRDefault="004D5071">
            <w:pPr>
              <w:numPr>
                <w:ilvl w:val="0"/>
                <w:numId w:val="297"/>
              </w:numPr>
              <w:spacing w:after="0" w:line="259" w:lineRule="auto"/>
              <w:ind w:right="0" w:hanging="170"/>
              <w:jc w:val="left"/>
            </w:pPr>
            <w:r>
              <w:t>Гнойное отделяемое</w:t>
            </w:r>
          </w:p>
        </w:tc>
      </w:tr>
      <w:tr w:rsidR="00D27BC6">
        <w:trPr>
          <w:trHeight w:val="800"/>
        </w:trPr>
        <w:tc>
          <w:tcPr>
            <w:tcW w:w="120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41" w:right="77" w:firstLine="0"/>
              <w:jc w:val="center"/>
            </w:pPr>
            <w:r>
              <w:rPr>
                <w:b/>
              </w:rPr>
              <w:t>2 (средняя)</w:t>
            </w:r>
          </w:p>
        </w:tc>
        <w:tc>
          <w:tcPr>
            <w:tcW w:w="8989"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Локальная инфекция с гиперемией &gt; 2 см или с вовлечением более глубоких, чем кожа и подкожная клетчатка, структур (абсцесс, остеомиелит, септический артрит, фасциит). Отсутствие системных признаков воспаления.</w:t>
            </w:r>
          </w:p>
        </w:tc>
      </w:tr>
      <w:tr w:rsidR="00D27BC6">
        <w:trPr>
          <w:trHeight w:val="1520"/>
        </w:trPr>
        <w:tc>
          <w:tcPr>
            <w:tcW w:w="120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6" w:firstLine="0"/>
              <w:jc w:val="center"/>
            </w:pPr>
            <w:r>
              <w:rPr>
                <w:b/>
              </w:rPr>
              <w:t>3</w:t>
            </w:r>
          </w:p>
          <w:p w:rsidR="00D27BC6" w:rsidRDefault="004D5071">
            <w:pPr>
              <w:spacing w:after="0" w:line="259" w:lineRule="auto"/>
              <w:ind w:left="91" w:right="0" w:firstLine="0"/>
              <w:jc w:val="left"/>
            </w:pPr>
            <w:r>
              <w:rPr>
                <w:b/>
              </w:rPr>
              <w:t>(тяжелая)</w:t>
            </w:r>
          </w:p>
        </w:tc>
        <w:tc>
          <w:tcPr>
            <w:tcW w:w="8989"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36" w:lineRule="auto"/>
              <w:ind w:left="0" w:right="1346" w:firstLine="0"/>
              <w:jc w:val="left"/>
            </w:pPr>
            <w:r>
              <w:t xml:space="preserve">Местная инфекция с признаками системного воспаления (присутствие двух и более из перечисленных признаков): </w:t>
            </w:r>
          </w:p>
          <w:p w:rsidR="00D27BC6" w:rsidRDefault="004D5071">
            <w:pPr>
              <w:numPr>
                <w:ilvl w:val="0"/>
                <w:numId w:val="298"/>
              </w:numPr>
              <w:spacing w:after="3" w:line="259" w:lineRule="auto"/>
              <w:ind w:right="0" w:hanging="170"/>
              <w:jc w:val="left"/>
            </w:pPr>
            <w:r>
              <w:t>Температура тела &gt;38</w:t>
            </w:r>
            <w:r>
              <w:rPr>
                <w:sz w:val="18"/>
                <w:vertAlign w:val="superscript"/>
              </w:rPr>
              <w:t>0</w:t>
            </w:r>
            <w:r>
              <w:t xml:space="preserve"> или &lt;36</w:t>
            </w:r>
            <w:r>
              <w:rPr>
                <w:sz w:val="18"/>
                <w:vertAlign w:val="superscript"/>
              </w:rPr>
              <w:t>0</w:t>
            </w:r>
            <w:r>
              <w:t xml:space="preserve"> С</w:t>
            </w:r>
          </w:p>
          <w:p w:rsidR="00D27BC6" w:rsidRDefault="004D5071">
            <w:pPr>
              <w:numPr>
                <w:ilvl w:val="0"/>
                <w:numId w:val="298"/>
              </w:numPr>
              <w:spacing w:after="2" w:line="259" w:lineRule="auto"/>
              <w:ind w:right="0" w:hanging="170"/>
              <w:jc w:val="left"/>
            </w:pPr>
            <w:r>
              <w:t>ЧСС &gt; 90 уд./мин.</w:t>
            </w:r>
          </w:p>
          <w:p w:rsidR="00D27BC6" w:rsidRDefault="004D5071">
            <w:pPr>
              <w:numPr>
                <w:ilvl w:val="0"/>
                <w:numId w:val="298"/>
              </w:numPr>
              <w:spacing w:after="0" w:line="259" w:lineRule="auto"/>
              <w:ind w:right="0" w:hanging="170"/>
              <w:jc w:val="left"/>
            </w:pPr>
            <w:r>
              <w:t>ЧД &gt; 20 в мин. Или PaCO</w:t>
            </w:r>
            <w:r>
              <w:rPr>
                <w:sz w:val="18"/>
                <w:vertAlign w:val="subscript"/>
              </w:rPr>
              <w:t xml:space="preserve">2 </w:t>
            </w:r>
            <w:r>
              <w:t>&lt; 32 мм рт.ст.</w:t>
            </w:r>
          </w:p>
          <w:p w:rsidR="00D27BC6" w:rsidRDefault="004D5071">
            <w:pPr>
              <w:numPr>
                <w:ilvl w:val="0"/>
                <w:numId w:val="298"/>
              </w:numPr>
              <w:spacing w:after="0" w:line="259" w:lineRule="auto"/>
              <w:ind w:right="0" w:hanging="170"/>
              <w:jc w:val="left"/>
            </w:pPr>
            <w:r>
              <w:t>Лейкоцитоз &gt; 12000 или &lt; 4000 или 10% юных форм</w:t>
            </w:r>
          </w:p>
        </w:tc>
      </w:tr>
    </w:tbl>
    <w:p w:rsidR="00D27BC6" w:rsidRDefault="004D5071">
      <w:pPr>
        <w:pStyle w:val="Heading2"/>
        <w:ind w:left="-3"/>
      </w:pPr>
      <w:r>
        <w:t xml:space="preserve">Риск потери нижней конечности в течение 1 года (по системе </w:t>
      </w:r>
      <w:r>
        <w:t>WIfI)</w:t>
      </w:r>
    </w:p>
    <w:tbl>
      <w:tblPr>
        <w:tblStyle w:val="TableGrid"/>
        <w:tblW w:w="10195" w:type="dxa"/>
        <w:tblInd w:w="9" w:type="dxa"/>
        <w:tblCellMar>
          <w:top w:w="15" w:type="dxa"/>
          <w:left w:w="0" w:type="dxa"/>
          <w:bottom w:w="0" w:type="dxa"/>
          <w:right w:w="115" w:type="dxa"/>
        </w:tblCellMar>
        <w:tblLook w:val="04A0" w:firstRow="1" w:lastRow="0" w:firstColumn="1" w:lastColumn="0" w:noHBand="0" w:noVBand="1"/>
      </w:tblPr>
      <w:tblGrid>
        <w:gridCol w:w="1276"/>
        <w:gridCol w:w="1115"/>
        <w:gridCol w:w="1009"/>
        <w:gridCol w:w="106"/>
        <w:gridCol w:w="422"/>
        <w:gridCol w:w="693"/>
        <w:gridCol w:w="1115"/>
        <w:gridCol w:w="1115"/>
        <w:gridCol w:w="1009"/>
        <w:gridCol w:w="106"/>
        <w:gridCol w:w="422"/>
        <w:gridCol w:w="693"/>
        <w:gridCol w:w="1115"/>
      </w:tblGrid>
      <w:tr w:rsidR="00D27BC6">
        <w:trPr>
          <w:trHeight w:val="320"/>
        </w:trPr>
        <w:tc>
          <w:tcPr>
            <w:tcW w:w="1276"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1115"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1009"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528" w:type="dxa"/>
            <w:gridSpan w:val="2"/>
            <w:tcBorders>
              <w:top w:val="single" w:sz="6" w:space="0" w:color="000000"/>
              <w:left w:val="nil"/>
              <w:bottom w:val="single" w:sz="6" w:space="0" w:color="000000"/>
              <w:right w:val="nil"/>
            </w:tcBorders>
          </w:tcPr>
          <w:p w:rsidR="00D27BC6" w:rsidRDefault="004D5071">
            <w:pPr>
              <w:spacing w:after="0" w:line="259" w:lineRule="auto"/>
              <w:ind w:left="0" w:right="0" w:firstLine="0"/>
              <w:jc w:val="left"/>
            </w:pPr>
            <w:r>
              <w:t>I-0</w:t>
            </w:r>
          </w:p>
        </w:tc>
        <w:tc>
          <w:tcPr>
            <w:tcW w:w="693"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1115"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1115"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1009"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527" w:type="dxa"/>
            <w:gridSpan w:val="2"/>
            <w:tcBorders>
              <w:top w:val="single" w:sz="6" w:space="0" w:color="000000"/>
              <w:left w:val="nil"/>
              <w:bottom w:val="single" w:sz="6" w:space="0" w:color="000000"/>
              <w:right w:val="nil"/>
            </w:tcBorders>
          </w:tcPr>
          <w:p w:rsidR="00D27BC6" w:rsidRDefault="004D5071">
            <w:pPr>
              <w:spacing w:after="0" w:line="259" w:lineRule="auto"/>
              <w:ind w:left="0" w:right="0" w:firstLine="0"/>
              <w:jc w:val="left"/>
            </w:pPr>
            <w:r>
              <w:t>I-1</w:t>
            </w:r>
          </w:p>
        </w:tc>
        <w:tc>
          <w:tcPr>
            <w:tcW w:w="693"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1115"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320"/>
        </w:trPr>
        <w:tc>
          <w:tcPr>
            <w:tcW w:w="127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W-0</w:t>
            </w:r>
          </w:p>
        </w:tc>
        <w:tc>
          <w:tcPr>
            <w:tcW w:w="1115"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115" w:right="0" w:firstLine="0"/>
              <w:jc w:val="center"/>
            </w:pPr>
            <w:r>
              <w:t>ОН</w:t>
            </w:r>
          </w:p>
        </w:tc>
        <w:tc>
          <w:tcPr>
            <w:tcW w:w="1009" w:type="dxa"/>
            <w:tcBorders>
              <w:top w:val="single" w:sz="6" w:space="0" w:color="000000"/>
              <w:left w:val="single" w:sz="6" w:space="0" w:color="000000"/>
              <w:bottom w:val="single" w:sz="6" w:space="0" w:color="000000"/>
              <w:right w:val="nil"/>
            </w:tcBorders>
            <w:shd w:val="clear" w:color="auto" w:fill="94C11E"/>
          </w:tcPr>
          <w:p w:rsidR="00D27BC6" w:rsidRDefault="004D5071">
            <w:pPr>
              <w:spacing w:after="0" w:line="259" w:lineRule="auto"/>
              <w:ind w:left="221" w:right="0" w:firstLine="0"/>
              <w:jc w:val="center"/>
            </w:pPr>
            <w:r>
              <w:t>ОН</w:t>
            </w:r>
          </w:p>
        </w:tc>
        <w:tc>
          <w:tcPr>
            <w:tcW w:w="106" w:type="dxa"/>
            <w:tcBorders>
              <w:top w:val="single" w:sz="6" w:space="0" w:color="000000"/>
              <w:left w:val="nil"/>
              <w:bottom w:val="single" w:sz="6" w:space="0" w:color="000000"/>
              <w:right w:val="single" w:sz="6" w:space="0" w:color="000000"/>
            </w:tcBorders>
            <w:shd w:val="clear" w:color="auto" w:fill="94C11E"/>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shd w:val="clear" w:color="auto" w:fill="FFED00"/>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shd w:val="clear" w:color="auto" w:fill="FFED00"/>
          </w:tcPr>
          <w:p w:rsidR="00D27BC6" w:rsidRDefault="004D5071">
            <w:pPr>
              <w:spacing w:after="0" w:line="259" w:lineRule="auto"/>
              <w:ind w:left="71" w:right="0" w:firstLine="0"/>
              <w:jc w:val="left"/>
            </w:pPr>
            <w:r>
              <w:t>Н</w:t>
            </w:r>
          </w:p>
        </w:tc>
        <w:tc>
          <w:tcPr>
            <w:tcW w:w="1115" w:type="dxa"/>
            <w:tcBorders>
              <w:top w:val="single" w:sz="6" w:space="0" w:color="000000"/>
              <w:left w:val="single" w:sz="6" w:space="0" w:color="000000"/>
              <w:bottom w:val="single" w:sz="6" w:space="0" w:color="000000"/>
              <w:right w:val="single" w:sz="6" w:space="0" w:color="000000"/>
            </w:tcBorders>
            <w:shd w:val="clear" w:color="auto" w:fill="F39200"/>
          </w:tcPr>
          <w:p w:rsidR="00D27BC6" w:rsidRDefault="004D5071">
            <w:pPr>
              <w:spacing w:after="0" w:line="259" w:lineRule="auto"/>
              <w:ind w:left="115" w:right="0" w:firstLine="0"/>
              <w:jc w:val="center"/>
            </w:pPr>
            <w:r>
              <w:t>У</w:t>
            </w:r>
          </w:p>
        </w:tc>
        <w:tc>
          <w:tcPr>
            <w:tcW w:w="1115"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115" w:right="0" w:firstLine="0"/>
              <w:jc w:val="center"/>
            </w:pPr>
            <w:r>
              <w:t>ОН</w:t>
            </w:r>
          </w:p>
        </w:tc>
        <w:tc>
          <w:tcPr>
            <w:tcW w:w="1009" w:type="dxa"/>
            <w:tcBorders>
              <w:top w:val="single" w:sz="6" w:space="0" w:color="000000"/>
              <w:left w:val="single" w:sz="6" w:space="0" w:color="000000"/>
              <w:bottom w:val="single" w:sz="6" w:space="0" w:color="000000"/>
              <w:right w:val="nil"/>
            </w:tcBorders>
            <w:shd w:val="clear" w:color="auto" w:fill="FFED00"/>
          </w:tcPr>
          <w:p w:rsidR="00D27BC6" w:rsidRDefault="004D5071">
            <w:pPr>
              <w:spacing w:after="0" w:line="259" w:lineRule="auto"/>
              <w:ind w:left="221" w:right="0" w:firstLine="0"/>
              <w:jc w:val="center"/>
            </w:pPr>
            <w:r>
              <w:t>Н</w:t>
            </w:r>
          </w:p>
        </w:tc>
        <w:tc>
          <w:tcPr>
            <w:tcW w:w="106" w:type="dxa"/>
            <w:tcBorders>
              <w:top w:val="single" w:sz="6" w:space="0" w:color="000000"/>
              <w:left w:val="nil"/>
              <w:bottom w:val="single" w:sz="6" w:space="0" w:color="000000"/>
              <w:right w:val="single" w:sz="6" w:space="0" w:color="000000"/>
            </w:tcBorders>
            <w:shd w:val="clear" w:color="auto" w:fill="FFED00"/>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shd w:val="clear" w:color="auto" w:fill="F39200"/>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shd w:val="clear" w:color="auto" w:fill="F39200"/>
          </w:tcPr>
          <w:p w:rsidR="00D27BC6" w:rsidRDefault="004D5071">
            <w:pPr>
              <w:spacing w:after="0" w:line="259" w:lineRule="auto"/>
              <w:ind w:left="84" w:right="0" w:firstLine="0"/>
              <w:jc w:val="left"/>
            </w:pPr>
            <w:r>
              <w:t>У</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6" w:right="0" w:firstLine="0"/>
              <w:jc w:val="center"/>
            </w:pPr>
            <w:r>
              <w:t>В</w:t>
            </w:r>
          </w:p>
        </w:tc>
      </w:tr>
      <w:tr w:rsidR="00D27BC6">
        <w:trPr>
          <w:trHeight w:val="320"/>
        </w:trPr>
        <w:tc>
          <w:tcPr>
            <w:tcW w:w="127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6" w:right="0" w:firstLine="0"/>
              <w:jc w:val="center"/>
            </w:pPr>
            <w:r>
              <w:t>W-1</w:t>
            </w:r>
          </w:p>
        </w:tc>
        <w:tc>
          <w:tcPr>
            <w:tcW w:w="1115"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116" w:right="0" w:firstLine="0"/>
              <w:jc w:val="center"/>
            </w:pPr>
            <w:r>
              <w:t>ОН</w:t>
            </w:r>
          </w:p>
        </w:tc>
        <w:tc>
          <w:tcPr>
            <w:tcW w:w="1009" w:type="dxa"/>
            <w:tcBorders>
              <w:top w:val="single" w:sz="6" w:space="0" w:color="000000"/>
              <w:left w:val="single" w:sz="6" w:space="0" w:color="000000"/>
              <w:bottom w:val="single" w:sz="6" w:space="0" w:color="000000"/>
              <w:right w:val="nil"/>
            </w:tcBorders>
            <w:shd w:val="clear" w:color="auto" w:fill="94C11E"/>
          </w:tcPr>
          <w:p w:rsidR="00D27BC6" w:rsidRDefault="004D5071">
            <w:pPr>
              <w:spacing w:after="0" w:line="259" w:lineRule="auto"/>
              <w:ind w:left="222" w:right="0" w:firstLine="0"/>
              <w:jc w:val="center"/>
            </w:pPr>
            <w:r>
              <w:t>ОН</w:t>
            </w:r>
          </w:p>
        </w:tc>
        <w:tc>
          <w:tcPr>
            <w:tcW w:w="106" w:type="dxa"/>
            <w:tcBorders>
              <w:top w:val="single" w:sz="6" w:space="0" w:color="000000"/>
              <w:left w:val="nil"/>
              <w:bottom w:val="single" w:sz="6" w:space="0" w:color="000000"/>
              <w:right w:val="single" w:sz="6" w:space="0" w:color="000000"/>
            </w:tcBorders>
            <w:shd w:val="clear" w:color="auto" w:fill="94C11E"/>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shd w:val="clear" w:color="auto" w:fill="FFED00"/>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shd w:val="clear" w:color="auto" w:fill="FFED00"/>
          </w:tcPr>
          <w:p w:rsidR="00D27BC6" w:rsidRDefault="004D5071">
            <w:pPr>
              <w:spacing w:after="0" w:line="259" w:lineRule="auto"/>
              <w:ind w:left="71" w:right="0" w:firstLine="0"/>
              <w:jc w:val="left"/>
            </w:pPr>
            <w:r>
              <w:t>Н</w:t>
            </w:r>
          </w:p>
        </w:tc>
        <w:tc>
          <w:tcPr>
            <w:tcW w:w="1115" w:type="dxa"/>
            <w:tcBorders>
              <w:top w:val="single" w:sz="6" w:space="0" w:color="000000"/>
              <w:left w:val="single" w:sz="6" w:space="0" w:color="000000"/>
              <w:bottom w:val="single" w:sz="6" w:space="0" w:color="000000"/>
              <w:right w:val="single" w:sz="6" w:space="0" w:color="000000"/>
            </w:tcBorders>
            <w:shd w:val="clear" w:color="auto" w:fill="F39200"/>
          </w:tcPr>
          <w:p w:rsidR="00D27BC6" w:rsidRDefault="004D5071">
            <w:pPr>
              <w:spacing w:after="0" w:line="259" w:lineRule="auto"/>
              <w:ind w:left="116" w:right="0" w:firstLine="0"/>
              <w:jc w:val="center"/>
            </w:pPr>
            <w:r>
              <w:t>У</w:t>
            </w:r>
          </w:p>
        </w:tc>
        <w:tc>
          <w:tcPr>
            <w:tcW w:w="1115"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116" w:right="0" w:firstLine="0"/>
              <w:jc w:val="center"/>
            </w:pPr>
            <w:r>
              <w:t>ОН</w:t>
            </w:r>
          </w:p>
        </w:tc>
        <w:tc>
          <w:tcPr>
            <w:tcW w:w="1009" w:type="dxa"/>
            <w:tcBorders>
              <w:top w:val="single" w:sz="6" w:space="0" w:color="000000"/>
              <w:left w:val="single" w:sz="6" w:space="0" w:color="000000"/>
              <w:bottom w:val="single" w:sz="6" w:space="0" w:color="000000"/>
              <w:right w:val="nil"/>
            </w:tcBorders>
            <w:shd w:val="clear" w:color="auto" w:fill="FFED00"/>
          </w:tcPr>
          <w:p w:rsidR="00D27BC6" w:rsidRDefault="004D5071">
            <w:pPr>
              <w:spacing w:after="0" w:line="259" w:lineRule="auto"/>
              <w:ind w:left="222" w:right="0" w:firstLine="0"/>
              <w:jc w:val="center"/>
            </w:pPr>
            <w:r>
              <w:t>Н</w:t>
            </w:r>
          </w:p>
        </w:tc>
        <w:tc>
          <w:tcPr>
            <w:tcW w:w="106" w:type="dxa"/>
            <w:tcBorders>
              <w:top w:val="single" w:sz="6" w:space="0" w:color="000000"/>
              <w:left w:val="nil"/>
              <w:bottom w:val="single" w:sz="6" w:space="0" w:color="000000"/>
              <w:right w:val="single" w:sz="6" w:space="0" w:color="000000"/>
            </w:tcBorders>
            <w:shd w:val="clear" w:color="auto" w:fill="FFED00"/>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shd w:val="clear" w:color="auto" w:fill="F39200"/>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shd w:val="clear" w:color="auto" w:fill="F39200"/>
          </w:tcPr>
          <w:p w:rsidR="00D27BC6" w:rsidRDefault="004D5071">
            <w:pPr>
              <w:spacing w:after="0" w:line="259" w:lineRule="auto"/>
              <w:ind w:left="84" w:right="0" w:firstLine="0"/>
              <w:jc w:val="left"/>
            </w:pPr>
            <w:r>
              <w:t>У</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6" w:right="0" w:firstLine="0"/>
              <w:jc w:val="center"/>
            </w:pPr>
            <w:r>
              <w:t>В</w:t>
            </w:r>
          </w:p>
        </w:tc>
      </w:tr>
      <w:tr w:rsidR="00D27BC6">
        <w:trPr>
          <w:trHeight w:val="320"/>
        </w:trPr>
        <w:tc>
          <w:tcPr>
            <w:tcW w:w="127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6" w:right="0" w:firstLine="0"/>
              <w:jc w:val="center"/>
            </w:pPr>
            <w:r>
              <w:t>W-2</w:t>
            </w:r>
          </w:p>
        </w:tc>
        <w:tc>
          <w:tcPr>
            <w:tcW w:w="1115" w:type="dxa"/>
            <w:tcBorders>
              <w:top w:val="single" w:sz="6" w:space="0" w:color="000000"/>
              <w:left w:val="single" w:sz="6" w:space="0" w:color="000000"/>
              <w:bottom w:val="single" w:sz="6" w:space="0" w:color="000000"/>
              <w:right w:val="single" w:sz="6" w:space="0" w:color="000000"/>
            </w:tcBorders>
            <w:shd w:val="clear" w:color="auto" w:fill="FFED00"/>
          </w:tcPr>
          <w:p w:rsidR="00D27BC6" w:rsidRDefault="004D5071">
            <w:pPr>
              <w:spacing w:after="0" w:line="259" w:lineRule="auto"/>
              <w:ind w:left="116" w:right="0" w:firstLine="0"/>
              <w:jc w:val="center"/>
            </w:pPr>
            <w:r>
              <w:t>Н</w:t>
            </w:r>
          </w:p>
        </w:tc>
        <w:tc>
          <w:tcPr>
            <w:tcW w:w="1009" w:type="dxa"/>
            <w:tcBorders>
              <w:top w:val="single" w:sz="6" w:space="0" w:color="000000"/>
              <w:left w:val="single" w:sz="6" w:space="0" w:color="000000"/>
              <w:bottom w:val="single" w:sz="6" w:space="0" w:color="000000"/>
              <w:right w:val="nil"/>
            </w:tcBorders>
            <w:shd w:val="clear" w:color="auto" w:fill="FFED00"/>
          </w:tcPr>
          <w:p w:rsidR="00D27BC6" w:rsidRDefault="004D5071">
            <w:pPr>
              <w:spacing w:after="0" w:line="259" w:lineRule="auto"/>
              <w:ind w:left="222" w:right="0" w:firstLine="0"/>
              <w:jc w:val="center"/>
            </w:pPr>
            <w:r>
              <w:t>Н</w:t>
            </w:r>
          </w:p>
        </w:tc>
        <w:tc>
          <w:tcPr>
            <w:tcW w:w="106" w:type="dxa"/>
            <w:tcBorders>
              <w:top w:val="single" w:sz="6" w:space="0" w:color="000000"/>
              <w:left w:val="nil"/>
              <w:bottom w:val="single" w:sz="6" w:space="0" w:color="000000"/>
              <w:right w:val="single" w:sz="6" w:space="0" w:color="000000"/>
            </w:tcBorders>
            <w:shd w:val="clear" w:color="auto" w:fill="FFED00"/>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shd w:val="clear" w:color="auto" w:fill="F39200"/>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shd w:val="clear" w:color="auto" w:fill="F39200"/>
          </w:tcPr>
          <w:p w:rsidR="00D27BC6" w:rsidRDefault="004D5071">
            <w:pPr>
              <w:spacing w:after="0" w:line="259" w:lineRule="auto"/>
              <w:ind w:left="84" w:right="0" w:firstLine="0"/>
              <w:jc w:val="left"/>
            </w:pPr>
            <w:r>
              <w:t>У</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6" w:right="0" w:firstLine="0"/>
              <w:jc w:val="center"/>
            </w:pPr>
            <w:r>
              <w:t>В</w:t>
            </w:r>
          </w:p>
        </w:tc>
        <w:tc>
          <w:tcPr>
            <w:tcW w:w="1115" w:type="dxa"/>
            <w:tcBorders>
              <w:top w:val="single" w:sz="6" w:space="0" w:color="000000"/>
              <w:left w:val="single" w:sz="6" w:space="0" w:color="000000"/>
              <w:bottom w:val="single" w:sz="6" w:space="0" w:color="000000"/>
              <w:right w:val="single" w:sz="6" w:space="0" w:color="000000"/>
            </w:tcBorders>
            <w:shd w:val="clear" w:color="auto" w:fill="F39200"/>
          </w:tcPr>
          <w:p w:rsidR="00D27BC6" w:rsidRDefault="004D5071">
            <w:pPr>
              <w:spacing w:after="0" w:line="259" w:lineRule="auto"/>
              <w:ind w:left="116" w:right="0" w:firstLine="0"/>
              <w:jc w:val="center"/>
            </w:pPr>
            <w:r>
              <w:t>У</w:t>
            </w:r>
          </w:p>
        </w:tc>
        <w:tc>
          <w:tcPr>
            <w:tcW w:w="1009" w:type="dxa"/>
            <w:tcBorders>
              <w:top w:val="single" w:sz="6" w:space="0" w:color="000000"/>
              <w:left w:val="single" w:sz="6" w:space="0" w:color="000000"/>
              <w:bottom w:val="single" w:sz="6" w:space="0" w:color="000000"/>
              <w:right w:val="nil"/>
            </w:tcBorders>
            <w:shd w:val="clear" w:color="auto" w:fill="F39200"/>
          </w:tcPr>
          <w:p w:rsidR="00D27BC6" w:rsidRDefault="004D5071">
            <w:pPr>
              <w:spacing w:after="0" w:line="259" w:lineRule="auto"/>
              <w:ind w:left="222" w:right="0" w:firstLine="0"/>
              <w:jc w:val="center"/>
            </w:pPr>
            <w:r>
              <w:t>У</w:t>
            </w:r>
          </w:p>
        </w:tc>
        <w:tc>
          <w:tcPr>
            <w:tcW w:w="106" w:type="dxa"/>
            <w:tcBorders>
              <w:top w:val="single" w:sz="6" w:space="0" w:color="000000"/>
              <w:left w:val="nil"/>
              <w:bottom w:val="single" w:sz="6" w:space="0" w:color="000000"/>
              <w:right w:val="single" w:sz="6" w:space="0" w:color="000000"/>
            </w:tcBorders>
            <w:shd w:val="clear" w:color="auto" w:fill="F39200"/>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2" w:right="0" w:firstLine="0"/>
              <w:jc w:val="left"/>
            </w:pPr>
            <w:r>
              <w:t>В</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6" w:right="0" w:firstLine="0"/>
              <w:jc w:val="center"/>
            </w:pPr>
            <w:r>
              <w:t>В</w:t>
            </w:r>
          </w:p>
        </w:tc>
      </w:tr>
      <w:tr w:rsidR="00D27BC6">
        <w:trPr>
          <w:trHeight w:val="320"/>
        </w:trPr>
        <w:tc>
          <w:tcPr>
            <w:tcW w:w="127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6" w:right="0" w:firstLine="0"/>
              <w:jc w:val="center"/>
            </w:pPr>
            <w:r>
              <w:t>W-3</w:t>
            </w:r>
          </w:p>
        </w:tc>
        <w:tc>
          <w:tcPr>
            <w:tcW w:w="1115" w:type="dxa"/>
            <w:tcBorders>
              <w:top w:val="single" w:sz="6" w:space="0" w:color="000000"/>
              <w:left w:val="single" w:sz="6" w:space="0" w:color="000000"/>
              <w:bottom w:val="single" w:sz="6" w:space="0" w:color="000000"/>
              <w:right w:val="single" w:sz="6" w:space="0" w:color="000000"/>
            </w:tcBorders>
            <w:shd w:val="clear" w:color="auto" w:fill="F39200"/>
          </w:tcPr>
          <w:p w:rsidR="00D27BC6" w:rsidRDefault="004D5071">
            <w:pPr>
              <w:spacing w:after="0" w:line="259" w:lineRule="auto"/>
              <w:ind w:left="116" w:right="0" w:firstLine="0"/>
              <w:jc w:val="center"/>
            </w:pPr>
            <w:r>
              <w:t>У</w:t>
            </w:r>
          </w:p>
        </w:tc>
        <w:tc>
          <w:tcPr>
            <w:tcW w:w="1009" w:type="dxa"/>
            <w:tcBorders>
              <w:top w:val="single" w:sz="6" w:space="0" w:color="000000"/>
              <w:left w:val="single" w:sz="6" w:space="0" w:color="000000"/>
              <w:bottom w:val="single" w:sz="6" w:space="0" w:color="000000"/>
              <w:right w:val="nil"/>
            </w:tcBorders>
            <w:shd w:val="clear" w:color="auto" w:fill="F39200"/>
          </w:tcPr>
          <w:p w:rsidR="00D27BC6" w:rsidRDefault="004D5071">
            <w:pPr>
              <w:spacing w:after="0" w:line="259" w:lineRule="auto"/>
              <w:ind w:left="222" w:right="0" w:firstLine="0"/>
              <w:jc w:val="center"/>
            </w:pPr>
            <w:r>
              <w:t>У</w:t>
            </w:r>
          </w:p>
        </w:tc>
        <w:tc>
          <w:tcPr>
            <w:tcW w:w="106" w:type="dxa"/>
            <w:tcBorders>
              <w:top w:val="single" w:sz="6" w:space="0" w:color="000000"/>
              <w:left w:val="nil"/>
              <w:bottom w:val="single" w:sz="6" w:space="0" w:color="000000"/>
              <w:right w:val="single" w:sz="6" w:space="0" w:color="000000"/>
            </w:tcBorders>
            <w:shd w:val="clear" w:color="auto" w:fill="F39200"/>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2" w:right="0" w:firstLine="0"/>
              <w:jc w:val="left"/>
            </w:pPr>
            <w:r>
              <w:t>В</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6" w:right="0" w:firstLine="0"/>
              <w:jc w:val="center"/>
            </w:pPr>
            <w:r>
              <w:t>В</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6" w:right="0" w:firstLine="0"/>
              <w:jc w:val="center"/>
            </w:pPr>
            <w:r>
              <w:t>В</w:t>
            </w:r>
          </w:p>
        </w:tc>
        <w:tc>
          <w:tcPr>
            <w:tcW w:w="1009" w:type="dxa"/>
            <w:tcBorders>
              <w:top w:val="single" w:sz="6" w:space="0" w:color="000000"/>
              <w:left w:val="single" w:sz="6" w:space="0" w:color="000000"/>
              <w:bottom w:val="single" w:sz="6" w:space="0" w:color="000000"/>
              <w:right w:val="nil"/>
            </w:tcBorders>
            <w:shd w:val="clear" w:color="auto" w:fill="D04E38"/>
          </w:tcPr>
          <w:p w:rsidR="00D27BC6" w:rsidRDefault="004D5071">
            <w:pPr>
              <w:spacing w:after="0" w:line="259" w:lineRule="auto"/>
              <w:ind w:left="222" w:right="0" w:firstLine="0"/>
              <w:jc w:val="center"/>
            </w:pPr>
            <w:r>
              <w:t>В</w:t>
            </w:r>
          </w:p>
        </w:tc>
        <w:tc>
          <w:tcPr>
            <w:tcW w:w="106" w:type="dxa"/>
            <w:tcBorders>
              <w:top w:val="single" w:sz="6" w:space="0" w:color="000000"/>
              <w:left w:val="nil"/>
              <w:bottom w:val="single" w:sz="6" w:space="0" w:color="000000"/>
              <w:right w:val="single" w:sz="6" w:space="0" w:color="000000"/>
            </w:tcBorders>
            <w:shd w:val="clear" w:color="auto" w:fill="D04E38"/>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2" w:right="0" w:firstLine="0"/>
              <w:jc w:val="left"/>
            </w:pPr>
            <w:r>
              <w:t>В</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6" w:right="0" w:firstLine="0"/>
              <w:jc w:val="center"/>
            </w:pPr>
            <w:r>
              <w:t>В</w:t>
            </w:r>
          </w:p>
        </w:tc>
      </w:tr>
      <w:tr w:rsidR="00D27BC6">
        <w:trPr>
          <w:trHeight w:val="320"/>
        </w:trPr>
        <w:tc>
          <w:tcPr>
            <w:tcW w:w="1276"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111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6" w:right="0" w:firstLine="0"/>
              <w:jc w:val="center"/>
            </w:pPr>
            <w:r>
              <w:t>fI-0</w:t>
            </w:r>
          </w:p>
        </w:tc>
        <w:tc>
          <w:tcPr>
            <w:tcW w:w="1009" w:type="dxa"/>
            <w:tcBorders>
              <w:top w:val="single" w:sz="6" w:space="0" w:color="000000"/>
              <w:left w:val="single" w:sz="6" w:space="0" w:color="000000"/>
              <w:bottom w:val="single" w:sz="6" w:space="0" w:color="000000"/>
              <w:right w:val="nil"/>
            </w:tcBorders>
          </w:tcPr>
          <w:p w:rsidR="00D27BC6" w:rsidRDefault="004D5071">
            <w:pPr>
              <w:spacing w:after="0" w:line="259" w:lineRule="auto"/>
              <w:ind w:left="222" w:right="0" w:firstLine="0"/>
              <w:jc w:val="center"/>
            </w:pPr>
            <w:r>
              <w:t>fI-1</w:t>
            </w:r>
          </w:p>
        </w:tc>
        <w:tc>
          <w:tcPr>
            <w:tcW w:w="106"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tcPr>
          <w:p w:rsidR="00D27BC6" w:rsidRDefault="004D5071">
            <w:pPr>
              <w:spacing w:after="0" w:line="259" w:lineRule="auto"/>
              <w:ind w:left="1" w:right="0" w:firstLine="0"/>
              <w:jc w:val="left"/>
            </w:pPr>
            <w:r>
              <w:t>fI-2</w:t>
            </w:r>
          </w:p>
        </w:tc>
        <w:tc>
          <w:tcPr>
            <w:tcW w:w="111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fI-3</w:t>
            </w:r>
          </w:p>
        </w:tc>
        <w:tc>
          <w:tcPr>
            <w:tcW w:w="111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fI-0</w:t>
            </w:r>
          </w:p>
        </w:tc>
        <w:tc>
          <w:tcPr>
            <w:tcW w:w="1009" w:type="dxa"/>
            <w:tcBorders>
              <w:top w:val="single" w:sz="6" w:space="0" w:color="000000"/>
              <w:left w:val="single" w:sz="6" w:space="0" w:color="000000"/>
              <w:bottom w:val="single" w:sz="6" w:space="0" w:color="000000"/>
              <w:right w:val="nil"/>
            </w:tcBorders>
          </w:tcPr>
          <w:p w:rsidR="00D27BC6" w:rsidRDefault="004D5071">
            <w:pPr>
              <w:spacing w:after="0" w:line="259" w:lineRule="auto"/>
              <w:ind w:left="221" w:right="0" w:firstLine="0"/>
              <w:jc w:val="center"/>
            </w:pPr>
            <w:r>
              <w:t>fI-1</w:t>
            </w:r>
          </w:p>
        </w:tc>
        <w:tc>
          <w:tcPr>
            <w:tcW w:w="106"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tcPr>
          <w:p w:rsidR="00D27BC6" w:rsidRDefault="004D5071">
            <w:pPr>
              <w:spacing w:after="0" w:line="259" w:lineRule="auto"/>
              <w:ind w:left="1" w:right="0" w:firstLine="0"/>
              <w:jc w:val="left"/>
            </w:pPr>
            <w:r>
              <w:t>fI-2</w:t>
            </w:r>
          </w:p>
        </w:tc>
        <w:tc>
          <w:tcPr>
            <w:tcW w:w="111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fI-3</w:t>
            </w:r>
          </w:p>
        </w:tc>
      </w:tr>
      <w:tr w:rsidR="00D27BC6">
        <w:trPr>
          <w:trHeight w:val="320"/>
        </w:trPr>
        <w:tc>
          <w:tcPr>
            <w:tcW w:w="1276"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1115"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1009"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528" w:type="dxa"/>
            <w:gridSpan w:val="2"/>
            <w:tcBorders>
              <w:top w:val="single" w:sz="6" w:space="0" w:color="000000"/>
              <w:left w:val="nil"/>
              <w:bottom w:val="single" w:sz="6" w:space="0" w:color="000000"/>
              <w:right w:val="nil"/>
            </w:tcBorders>
          </w:tcPr>
          <w:p w:rsidR="00D27BC6" w:rsidRDefault="004D5071">
            <w:pPr>
              <w:spacing w:after="0" w:line="259" w:lineRule="auto"/>
              <w:ind w:left="0" w:right="0" w:firstLine="0"/>
              <w:jc w:val="left"/>
            </w:pPr>
            <w:r>
              <w:t>I-2</w:t>
            </w:r>
          </w:p>
        </w:tc>
        <w:tc>
          <w:tcPr>
            <w:tcW w:w="693"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1115"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1115"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1009"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527" w:type="dxa"/>
            <w:gridSpan w:val="2"/>
            <w:tcBorders>
              <w:top w:val="single" w:sz="6" w:space="0" w:color="000000"/>
              <w:left w:val="nil"/>
              <w:bottom w:val="single" w:sz="6" w:space="0" w:color="000000"/>
              <w:right w:val="nil"/>
            </w:tcBorders>
          </w:tcPr>
          <w:p w:rsidR="00D27BC6" w:rsidRDefault="004D5071">
            <w:pPr>
              <w:spacing w:after="0" w:line="259" w:lineRule="auto"/>
              <w:ind w:left="0" w:right="0" w:firstLine="0"/>
              <w:jc w:val="left"/>
            </w:pPr>
            <w:r>
              <w:t>I-3</w:t>
            </w:r>
          </w:p>
        </w:tc>
        <w:tc>
          <w:tcPr>
            <w:tcW w:w="693"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1115"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320"/>
        </w:trPr>
        <w:tc>
          <w:tcPr>
            <w:tcW w:w="127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W-0</w:t>
            </w:r>
          </w:p>
        </w:tc>
        <w:tc>
          <w:tcPr>
            <w:tcW w:w="1115" w:type="dxa"/>
            <w:tcBorders>
              <w:top w:val="single" w:sz="6" w:space="0" w:color="000000"/>
              <w:left w:val="single" w:sz="6" w:space="0" w:color="000000"/>
              <w:bottom w:val="single" w:sz="6" w:space="0" w:color="000000"/>
              <w:right w:val="single" w:sz="6" w:space="0" w:color="000000"/>
            </w:tcBorders>
            <w:shd w:val="clear" w:color="auto" w:fill="FFED00"/>
          </w:tcPr>
          <w:p w:rsidR="00D27BC6" w:rsidRDefault="004D5071">
            <w:pPr>
              <w:spacing w:after="0" w:line="259" w:lineRule="auto"/>
              <w:ind w:left="115" w:right="0" w:firstLine="0"/>
              <w:jc w:val="center"/>
            </w:pPr>
            <w:r>
              <w:t>Н</w:t>
            </w:r>
          </w:p>
        </w:tc>
        <w:tc>
          <w:tcPr>
            <w:tcW w:w="1009" w:type="dxa"/>
            <w:tcBorders>
              <w:top w:val="single" w:sz="6" w:space="0" w:color="000000"/>
              <w:left w:val="single" w:sz="6" w:space="0" w:color="000000"/>
              <w:bottom w:val="single" w:sz="6" w:space="0" w:color="000000"/>
              <w:right w:val="nil"/>
            </w:tcBorders>
            <w:shd w:val="clear" w:color="auto" w:fill="FFED00"/>
          </w:tcPr>
          <w:p w:rsidR="00D27BC6" w:rsidRDefault="004D5071">
            <w:pPr>
              <w:spacing w:after="0" w:line="259" w:lineRule="auto"/>
              <w:ind w:left="221" w:right="0" w:firstLine="0"/>
              <w:jc w:val="center"/>
            </w:pPr>
            <w:r>
              <w:t>Н</w:t>
            </w:r>
          </w:p>
        </w:tc>
        <w:tc>
          <w:tcPr>
            <w:tcW w:w="106" w:type="dxa"/>
            <w:tcBorders>
              <w:top w:val="single" w:sz="6" w:space="0" w:color="000000"/>
              <w:left w:val="nil"/>
              <w:bottom w:val="single" w:sz="6" w:space="0" w:color="000000"/>
              <w:right w:val="single" w:sz="6" w:space="0" w:color="000000"/>
            </w:tcBorders>
            <w:shd w:val="clear" w:color="auto" w:fill="FFED00"/>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shd w:val="clear" w:color="auto" w:fill="F39200"/>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shd w:val="clear" w:color="auto" w:fill="F39200"/>
          </w:tcPr>
          <w:p w:rsidR="00D27BC6" w:rsidRDefault="004D5071">
            <w:pPr>
              <w:spacing w:after="0" w:line="259" w:lineRule="auto"/>
              <w:ind w:left="84" w:right="0" w:firstLine="0"/>
              <w:jc w:val="left"/>
            </w:pPr>
            <w:r>
              <w:t>У</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5" w:right="0" w:firstLine="0"/>
              <w:jc w:val="center"/>
            </w:pPr>
            <w:r>
              <w:t>В</w:t>
            </w:r>
          </w:p>
        </w:tc>
        <w:tc>
          <w:tcPr>
            <w:tcW w:w="1115" w:type="dxa"/>
            <w:tcBorders>
              <w:top w:val="single" w:sz="6" w:space="0" w:color="000000"/>
              <w:left w:val="single" w:sz="6" w:space="0" w:color="000000"/>
              <w:bottom w:val="single" w:sz="6" w:space="0" w:color="000000"/>
              <w:right w:val="single" w:sz="6" w:space="0" w:color="000000"/>
            </w:tcBorders>
            <w:shd w:val="clear" w:color="auto" w:fill="FFED00"/>
          </w:tcPr>
          <w:p w:rsidR="00D27BC6" w:rsidRDefault="004D5071">
            <w:pPr>
              <w:spacing w:after="0" w:line="259" w:lineRule="auto"/>
              <w:ind w:left="115" w:right="0" w:firstLine="0"/>
              <w:jc w:val="center"/>
            </w:pPr>
            <w:r>
              <w:t>Н</w:t>
            </w:r>
          </w:p>
        </w:tc>
        <w:tc>
          <w:tcPr>
            <w:tcW w:w="1009" w:type="dxa"/>
            <w:tcBorders>
              <w:top w:val="single" w:sz="6" w:space="0" w:color="000000"/>
              <w:left w:val="single" w:sz="6" w:space="0" w:color="000000"/>
              <w:bottom w:val="single" w:sz="6" w:space="0" w:color="000000"/>
              <w:right w:val="nil"/>
            </w:tcBorders>
            <w:shd w:val="clear" w:color="auto" w:fill="F39200"/>
          </w:tcPr>
          <w:p w:rsidR="00D27BC6" w:rsidRDefault="004D5071">
            <w:pPr>
              <w:spacing w:after="0" w:line="259" w:lineRule="auto"/>
              <w:ind w:left="221" w:right="0" w:firstLine="0"/>
              <w:jc w:val="center"/>
            </w:pPr>
            <w:r>
              <w:t>У</w:t>
            </w:r>
          </w:p>
        </w:tc>
        <w:tc>
          <w:tcPr>
            <w:tcW w:w="106" w:type="dxa"/>
            <w:tcBorders>
              <w:top w:val="single" w:sz="6" w:space="0" w:color="000000"/>
              <w:left w:val="nil"/>
              <w:bottom w:val="single" w:sz="6" w:space="0" w:color="000000"/>
              <w:right w:val="single" w:sz="6" w:space="0" w:color="000000"/>
            </w:tcBorders>
            <w:shd w:val="clear" w:color="auto" w:fill="F39200"/>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shd w:val="clear" w:color="auto" w:fill="F39200"/>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shd w:val="clear" w:color="auto" w:fill="F39200"/>
          </w:tcPr>
          <w:p w:rsidR="00D27BC6" w:rsidRDefault="004D5071">
            <w:pPr>
              <w:spacing w:after="0" w:line="259" w:lineRule="auto"/>
              <w:ind w:left="84" w:right="0" w:firstLine="0"/>
              <w:jc w:val="left"/>
            </w:pPr>
            <w:r>
              <w:t>У</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5" w:right="0" w:firstLine="0"/>
              <w:jc w:val="center"/>
            </w:pPr>
            <w:r>
              <w:t>В</w:t>
            </w:r>
          </w:p>
        </w:tc>
      </w:tr>
      <w:tr w:rsidR="00D27BC6">
        <w:trPr>
          <w:trHeight w:val="320"/>
        </w:trPr>
        <w:tc>
          <w:tcPr>
            <w:tcW w:w="127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W-1</w:t>
            </w:r>
          </w:p>
        </w:tc>
        <w:tc>
          <w:tcPr>
            <w:tcW w:w="1115" w:type="dxa"/>
            <w:tcBorders>
              <w:top w:val="single" w:sz="6" w:space="0" w:color="000000"/>
              <w:left w:val="single" w:sz="6" w:space="0" w:color="000000"/>
              <w:bottom w:val="single" w:sz="6" w:space="0" w:color="000000"/>
              <w:right w:val="single" w:sz="6" w:space="0" w:color="000000"/>
            </w:tcBorders>
            <w:shd w:val="clear" w:color="auto" w:fill="FFED00"/>
          </w:tcPr>
          <w:p w:rsidR="00D27BC6" w:rsidRDefault="004D5071">
            <w:pPr>
              <w:spacing w:after="0" w:line="259" w:lineRule="auto"/>
              <w:ind w:left="115" w:right="0" w:firstLine="0"/>
              <w:jc w:val="center"/>
            </w:pPr>
            <w:r>
              <w:t>Н</w:t>
            </w:r>
          </w:p>
        </w:tc>
        <w:tc>
          <w:tcPr>
            <w:tcW w:w="1009" w:type="dxa"/>
            <w:tcBorders>
              <w:top w:val="single" w:sz="6" w:space="0" w:color="000000"/>
              <w:left w:val="single" w:sz="6" w:space="0" w:color="000000"/>
              <w:bottom w:val="single" w:sz="6" w:space="0" w:color="000000"/>
              <w:right w:val="nil"/>
            </w:tcBorders>
            <w:shd w:val="clear" w:color="auto" w:fill="F39200"/>
          </w:tcPr>
          <w:p w:rsidR="00D27BC6" w:rsidRDefault="004D5071">
            <w:pPr>
              <w:spacing w:after="0" w:line="259" w:lineRule="auto"/>
              <w:ind w:left="221" w:right="0" w:firstLine="0"/>
              <w:jc w:val="center"/>
            </w:pPr>
            <w:r>
              <w:t>У</w:t>
            </w:r>
          </w:p>
        </w:tc>
        <w:tc>
          <w:tcPr>
            <w:tcW w:w="106" w:type="dxa"/>
            <w:tcBorders>
              <w:top w:val="single" w:sz="6" w:space="0" w:color="000000"/>
              <w:left w:val="nil"/>
              <w:bottom w:val="single" w:sz="6" w:space="0" w:color="000000"/>
              <w:right w:val="single" w:sz="6" w:space="0" w:color="000000"/>
            </w:tcBorders>
            <w:shd w:val="clear" w:color="auto" w:fill="F39200"/>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2" w:right="0" w:firstLine="0"/>
              <w:jc w:val="left"/>
            </w:pPr>
            <w:r>
              <w:t>В</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5" w:right="0" w:firstLine="0"/>
              <w:jc w:val="center"/>
            </w:pPr>
            <w:r>
              <w:t>В</w:t>
            </w:r>
          </w:p>
        </w:tc>
        <w:tc>
          <w:tcPr>
            <w:tcW w:w="1115" w:type="dxa"/>
            <w:tcBorders>
              <w:top w:val="single" w:sz="6" w:space="0" w:color="000000"/>
              <w:left w:val="single" w:sz="6" w:space="0" w:color="000000"/>
              <w:bottom w:val="single" w:sz="6" w:space="0" w:color="000000"/>
              <w:right w:val="single" w:sz="6" w:space="0" w:color="000000"/>
            </w:tcBorders>
            <w:shd w:val="clear" w:color="auto" w:fill="F39200"/>
          </w:tcPr>
          <w:p w:rsidR="00D27BC6" w:rsidRDefault="004D5071">
            <w:pPr>
              <w:spacing w:after="0" w:line="259" w:lineRule="auto"/>
              <w:ind w:left="115" w:right="0" w:firstLine="0"/>
              <w:jc w:val="center"/>
            </w:pPr>
            <w:r>
              <w:t>У</w:t>
            </w:r>
          </w:p>
        </w:tc>
        <w:tc>
          <w:tcPr>
            <w:tcW w:w="1009" w:type="dxa"/>
            <w:tcBorders>
              <w:top w:val="single" w:sz="6" w:space="0" w:color="000000"/>
              <w:left w:val="single" w:sz="6" w:space="0" w:color="000000"/>
              <w:bottom w:val="single" w:sz="6" w:space="0" w:color="000000"/>
              <w:right w:val="nil"/>
            </w:tcBorders>
            <w:shd w:val="clear" w:color="auto" w:fill="F39200"/>
          </w:tcPr>
          <w:p w:rsidR="00D27BC6" w:rsidRDefault="004D5071">
            <w:pPr>
              <w:spacing w:after="0" w:line="259" w:lineRule="auto"/>
              <w:ind w:left="221" w:right="0" w:firstLine="0"/>
              <w:jc w:val="center"/>
            </w:pPr>
            <w:r>
              <w:t>У</w:t>
            </w:r>
          </w:p>
        </w:tc>
        <w:tc>
          <w:tcPr>
            <w:tcW w:w="106" w:type="dxa"/>
            <w:tcBorders>
              <w:top w:val="single" w:sz="6" w:space="0" w:color="000000"/>
              <w:left w:val="nil"/>
              <w:bottom w:val="single" w:sz="6" w:space="0" w:color="000000"/>
              <w:right w:val="single" w:sz="6" w:space="0" w:color="000000"/>
            </w:tcBorders>
            <w:shd w:val="clear" w:color="auto" w:fill="F39200"/>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2" w:right="0" w:firstLine="0"/>
              <w:jc w:val="left"/>
            </w:pPr>
            <w:r>
              <w:t>В</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5" w:right="0" w:firstLine="0"/>
              <w:jc w:val="center"/>
            </w:pPr>
            <w:r>
              <w:t>В</w:t>
            </w:r>
          </w:p>
        </w:tc>
      </w:tr>
      <w:tr w:rsidR="00D27BC6">
        <w:trPr>
          <w:trHeight w:val="320"/>
        </w:trPr>
        <w:tc>
          <w:tcPr>
            <w:tcW w:w="127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W-2</w:t>
            </w:r>
          </w:p>
        </w:tc>
        <w:tc>
          <w:tcPr>
            <w:tcW w:w="1115" w:type="dxa"/>
            <w:tcBorders>
              <w:top w:val="single" w:sz="6" w:space="0" w:color="000000"/>
              <w:left w:val="single" w:sz="6" w:space="0" w:color="000000"/>
              <w:bottom w:val="single" w:sz="6" w:space="0" w:color="000000"/>
              <w:right w:val="single" w:sz="6" w:space="0" w:color="000000"/>
            </w:tcBorders>
            <w:shd w:val="clear" w:color="auto" w:fill="F39200"/>
          </w:tcPr>
          <w:p w:rsidR="00D27BC6" w:rsidRDefault="004D5071">
            <w:pPr>
              <w:spacing w:after="0" w:line="259" w:lineRule="auto"/>
              <w:ind w:left="115" w:right="0" w:firstLine="0"/>
              <w:jc w:val="center"/>
            </w:pPr>
            <w:r>
              <w:t>У</w:t>
            </w:r>
          </w:p>
        </w:tc>
        <w:tc>
          <w:tcPr>
            <w:tcW w:w="1009" w:type="dxa"/>
            <w:tcBorders>
              <w:top w:val="single" w:sz="6" w:space="0" w:color="000000"/>
              <w:left w:val="single" w:sz="6" w:space="0" w:color="000000"/>
              <w:bottom w:val="single" w:sz="6" w:space="0" w:color="000000"/>
              <w:right w:val="nil"/>
            </w:tcBorders>
            <w:shd w:val="clear" w:color="auto" w:fill="D04E38"/>
          </w:tcPr>
          <w:p w:rsidR="00D27BC6" w:rsidRDefault="004D5071">
            <w:pPr>
              <w:spacing w:after="0" w:line="259" w:lineRule="auto"/>
              <w:ind w:left="221" w:right="0" w:firstLine="0"/>
              <w:jc w:val="center"/>
            </w:pPr>
            <w:r>
              <w:t>В</w:t>
            </w:r>
          </w:p>
        </w:tc>
        <w:tc>
          <w:tcPr>
            <w:tcW w:w="106" w:type="dxa"/>
            <w:tcBorders>
              <w:top w:val="single" w:sz="6" w:space="0" w:color="000000"/>
              <w:left w:val="nil"/>
              <w:bottom w:val="single" w:sz="6" w:space="0" w:color="000000"/>
              <w:right w:val="single" w:sz="6" w:space="0" w:color="000000"/>
            </w:tcBorders>
            <w:shd w:val="clear" w:color="auto" w:fill="D04E38"/>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2" w:right="0" w:firstLine="0"/>
              <w:jc w:val="left"/>
            </w:pPr>
            <w:r>
              <w:t>В</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5" w:right="0" w:firstLine="0"/>
              <w:jc w:val="center"/>
            </w:pPr>
            <w:r>
              <w:t>В</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5" w:right="0" w:firstLine="0"/>
              <w:jc w:val="center"/>
            </w:pPr>
            <w:r>
              <w:t>В</w:t>
            </w:r>
          </w:p>
        </w:tc>
        <w:tc>
          <w:tcPr>
            <w:tcW w:w="1009" w:type="dxa"/>
            <w:tcBorders>
              <w:top w:val="single" w:sz="6" w:space="0" w:color="000000"/>
              <w:left w:val="single" w:sz="6" w:space="0" w:color="000000"/>
              <w:bottom w:val="single" w:sz="6" w:space="0" w:color="000000"/>
              <w:right w:val="nil"/>
            </w:tcBorders>
            <w:shd w:val="clear" w:color="auto" w:fill="D04E38"/>
          </w:tcPr>
          <w:p w:rsidR="00D27BC6" w:rsidRDefault="004D5071">
            <w:pPr>
              <w:spacing w:after="0" w:line="259" w:lineRule="auto"/>
              <w:ind w:left="221" w:right="0" w:firstLine="0"/>
              <w:jc w:val="center"/>
            </w:pPr>
            <w:r>
              <w:t>В</w:t>
            </w:r>
          </w:p>
        </w:tc>
        <w:tc>
          <w:tcPr>
            <w:tcW w:w="106" w:type="dxa"/>
            <w:tcBorders>
              <w:top w:val="single" w:sz="6" w:space="0" w:color="000000"/>
              <w:left w:val="nil"/>
              <w:bottom w:val="single" w:sz="6" w:space="0" w:color="000000"/>
              <w:right w:val="single" w:sz="6" w:space="0" w:color="000000"/>
            </w:tcBorders>
            <w:shd w:val="clear" w:color="auto" w:fill="D04E38"/>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2" w:right="0" w:firstLine="0"/>
              <w:jc w:val="left"/>
            </w:pPr>
            <w:r>
              <w:t>В</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5" w:right="0" w:firstLine="0"/>
              <w:jc w:val="center"/>
            </w:pPr>
            <w:r>
              <w:t>В</w:t>
            </w:r>
          </w:p>
        </w:tc>
      </w:tr>
      <w:tr w:rsidR="00D27BC6">
        <w:trPr>
          <w:trHeight w:val="320"/>
        </w:trPr>
        <w:tc>
          <w:tcPr>
            <w:tcW w:w="127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W-3</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5" w:right="0" w:firstLine="0"/>
              <w:jc w:val="center"/>
            </w:pPr>
            <w:r>
              <w:t>В</w:t>
            </w:r>
          </w:p>
        </w:tc>
        <w:tc>
          <w:tcPr>
            <w:tcW w:w="1009" w:type="dxa"/>
            <w:tcBorders>
              <w:top w:val="single" w:sz="6" w:space="0" w:color="000000"/>
              <w:left w:val="single" w:sz="6" w:space="0" w:color="000000"/>
              <w:bottom w:val="single" w:sz="6" w:space="0" w:color="000000"/>
              <w:right w:val="nil"/>
            </w:tcBorders>
            <w:shd w:val="clear" w:color="auto" w:fill="D04E38"/>
          </w:tcPr>
          <w:p w:rsidR="00D27BC6" w:rsidRDefault="004D5071">
            <w:pPr>
              <w:spacing w:after="0" w:line="259" w:lineRule="auto"/>
              <w:ind w:left="221" w:right="0" w:firstLine="0"/>
              <w:jc w:val="center"/>
            </w:pPr>
            <w:r>
              <w:t>В</w:t>
            </w:r>
          </w:p>
        </w:tc>
        <w:tc>
          <w:tcPr>
            <w:tcW w:w="106" w:type="dxa"/>
            <w:tcBorders>
              <w:top w:val="single" w:sz="6" w:space="0" w:color="000000"/>
              <w:left w:val="nil"/>
              <w:bottom w:val="single" w:sz="6" w:space="0" w:color="000000"/>
              <w:right w:val="single" w:sz="6" w:space="0" w:color="000000"/>
            </w:tcBorders>
            <w:shd w:val="clear" w:color="auto" w:fill="D04E38"/>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1" w:right="0" w:firstLine="0"/>
              <w:jc w:val="left"/>
            </w:pPr>
            <w:r>
              <w:t>В</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4" w:right="0" w:firstLine="0"/>
              <w:jc w:val="center"/>
            </w:pPr>
            <w:r>
              <w:t>В</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4" w:right="0" w:firstLine="0"/>
              <w:jc w:val="center"/>
            </w:pPr>
            <w:r>
              <w:t>В</w:t>
            </w:r>
          </w:p>
        </w:tc>
        <w:tc>
          <w:tcPr>
            <w:tcW w:w="1009" w:type="dxa"/>
            <w:tcBorders>
              <w:top w:val="single" w:sz="6" w:space="0" w:color="000000"/>
              <w:left w:val="single" w:sz="6" w:space="0" w:color="000000"/>
              <w:bottom w:val="single" w:sz="6" w:space="0" w:color="000000"/>
              <w:right w:val="nil"/>
            </w:tcBorders>
            <w:shd w:val="clear" w:color="auto" w:fill="D04E38"/>
          </w:tcPr>
          <w:p w:rsidR="00D27BC6" w:rsidRDefault="004D5071">
            <w:pPr>
              <w:spacing w:after="0" w:line="259" w:lineRule="auto"/>
              <w:ind w:left="220" w:right="0" w:firstLine="0"/>
              <w:jc w:val="center"/>
            </w:pPr>
            <w:r>
              <w:t>В</w:t>
            </w:r>
          </w:p>
        </w:tc>
        <w:tc>
          <w:tcPr>
            <w:tcW w:w="106" w:type="dxa"/>
            <w:tcBorders>
              <w:top w:val="single" w:sz="6" w:space="0" w:color="000000"/>
              <w:left w:val="nil"/>
              <w:bottom w:val="single" w:sz="6" w:space="0" w:color="000000"/>
              <w:right w:val="single" w:sz="6" w:space="0" w:color="000000"/>
            </w:tcBorders>
            <w:shd w:val="clear" w:color="auto" w:fill="D04E38"/>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1" w:right="0" w:firstLine="0"/>
              <w:jc w:val="left"/>
            </w:pPr>
            <w:r>
              <w:t>В</w:t>
            </w:r>
          </w:p>
        </w:tc>
        <w:tc>
          <w:tcPr>
            <w:tcW w:w="111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4" w:right="0" w:firstLine="0"/>
              <w:jc w:val="center"/>
            </w:pPr>
            <w:r>
              <w:t>В</w:t>
            </w:r>
          </w:p>
        </w:tc>
      </w:tr>
      <w:tr w:rsidR="00D27BC6">
        <w:trPr>
          <w:trHeight w:val="320"/>
        </w:trPr>
        <w:tc>
          <w:tcPr>
            <w:tcW w:w="1276"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111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4" w:right="0" w:firstLine="0"/>
              <w:jc w:val="center"/>
            </w:pPr>
            <w:r>
              <w:t>fI-0</w:t>
            </w:r>
          </w:p>
        </w:tc>
        <w:tc>
          <w:tcPr>
            <w:tcW w:w="1009" w:type="dxa"/>
            <w:tcBorders>
              <w:top w:val="single" w:sz="6" w:space="0" w:color="000000"/>
              <w:left w:val="single" w:sz="6" w:space="0" w:color="000000"/>
              <w:bottom w:val="single" w:sz="6" w:space="0" w:color="000000"/>
              <w:right w:val="nil"/>
            </w:tcBorders>
          </w:tcPr>
          <w:p w:rsidR="00D27BC6" w:rsidRDefault="004D5071">
            <w:pPr>
              <w:spacing w:after="0" w:line="259" w:lineRule="auto"/>
              <w:ind w:left="220" w:right="0" w:firstLine="0"/>
              <w:jc w:val="center"/>
            </w:pPr>
            <w:r>
              <w:t>fI-1</w:t>
            </w:r>
          </w:p>
        </w:tc>
        <w:tc>
          <w:tcPr>
            <w:tcW w:w="106"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tcPr>
          <w:p w:rsidR="00D27BC6" w:rsidRDefault="004D5071">
            <w:pPr>
              <w:spacing w:after="0" w:line="259" w:lineRule="auto"/>
              <w:ind w:left="0" w:right="0" w:firstLine="0"/>
              <w:jc w:val="left"/>
            </w:pPr>
            <w:r>
              <w:t>fI-2</w:t>
            </w:r>
          </w:p>
        </w:tc>
        <w:tc>
          <w:tcPr>
            <w:tcW w:w="111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4" w:right="0" w:firstLine="0"/>
              <w:jc w:val="center"/>
            </w:pPr>
            <w:r>
              <w:t>fI-3</w:t>
            </w:r>
          </w:p>
        </w:tc>
        <w:tc>
          <w:tcPr>
            <w:tcW w:w="111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4" w:right="0" w:firstLine="0"/>
              <w:jc w:val="center"/>
            </w:pPr>
            <w:r>
              <w:t>fI-0</w:t>
            </w:r>
          </w:p>
        </w:tc>
        <w:tc>
          <w:tcPr>
            <w:tcW w:w="1009" w:type="dxa"/>
            <w:tcBorders>
              <w:top w:val="single" w:sz="6" w:space="0" w:color="000000"/>
              <w:left w:val="single" w:sz="6" w:space="0" w:color="000000"/>
              <w:bottom w:val="single" w:sz="6" w:space="0" w:color="000000"/>
              <w:right w:val="nil"/>
            </w:tcBorders>
          </w:tcPr>
          <w:p w:rsidR="00D27BC6" w:rsidRDefault="004D5071">
            <w:pPr>
              <w:spacing w:after="0" w:line="259" w:lineRule="auto"/>
              <w:ind w:left="220" w:right="0" w:firstLine="0"/>
              <w:jc w:val="center"/>
            </w:pPr>
            <w:r>
              <w:t>fI-1</w:t>
            </w:r>
          </w:p>
        </w:tc>
        <w:tc>
          <w:tcPr>
            <w:tcW w:w="106"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422"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693" w:type="dxa"/>
            <w:tcBorders>
              <w:top w:val="single" w:sz="6" w:space="0" w:color="000000"/>
              <w:left w:val="nil"/>
              <w:bottom w:val="single" w:sz="6" w:space="0" w:color="000000"/>
              <w:right w:val="single" w:sz="6" w:space="0" w:color="000000"/>
            </w:tcBorders>
          </w:tcPr>
          <w:p w:rsidR="00D27BC6" w:rsidRDefault="004D5071">
            <w:pPr>
              <w:spacing w:after="0" w:line="259" w:lineRule="auto"/>
              <w:ind w:left="0" w:right="0" w:firstLine="0"/>
              <w:jc w:val="left"/>
            </w:pPr>
            <w:r>
              <w:t>fI-2</w:t>
            </w:r>
          </w:p>
        </w:tc>
        <w:tc>
          <w:tcPr>
            <w:tcW w:w="111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4" w:right="0" w:firstLine="0"/>
              <w:jc w:val="center"/>
            </w:pPr>
            <w:r>
              <w:t>fI-3</w:t>
            </w:r>
          </w:p>
        </w:tc>
      </w:tr>
    </w:tbl>
    <w:p w:rsidR="00D27BC6" w:rsidRDefault="004D5071">
      <w:pPr>
        <w:pStyle w:val="Heading2"/>
        <w:ind w:left="-3"/>
      </w:pPr>
      <w:r>
        <w:t>Оценка показаний к реваскуляризации нижней конечности при условии контроля инфекции (польза/риск)</w:t>
      </w:r>
    </w:p>
    <w:tbl>
      <w:tblPr>
        <w:tblStyle w:val="TableGrid"/>
        <w:tblW w:w="10195" w:type="dxa"/>
        <w:tblInd w:w="9" w:type="dxa"/>
        <w:tblCellMar>
          <w:top w:w="15" w:type="dxa"/>
          <w:left w:w="0" w:type="dxa"/>
          <w:bottom w:w="0" w:type="dxa"/>
          <w:right w:w="115" w:type="dxa"/>
        </w:tblCellMar>
        <w:tblLook w:val="04A0" w:firstRow="1" w:lastRow="0" w:firstColumn="1" w:lastColumn="0" w:noHBand="0" w:noVBand="1"/>
      </w:tblPr>
      <w:tblGrid>
        <w:gridCol w:w="1310"/>
        <w:gridCol w:w="1111"/>
        <w:gridCol w:w="1004"/>
        <w:gridCol w:w="106"/>
        <w:gridCol w:w="420"/>
        <w:gridCol w:w="691"/>
        <w:gridCol w:w="1111"/>
        <w:gridCol w:w="1111"/>
        <w:gridCol w:w="1005"/>
        <w:gridCol w:w="106"/>
        <w:gridCol w:w="420"/>
        <w:gridCol w:w="691"/>
        <w:gridCol w:w="1111"/>
      </w:tblGrid>
      <w:tr w:rsidR="00D27BC6">
        <w:trPr>
          <w:trHeight w:val="320"/>
        </w:trPr>
        <w:tc>
          <w:tcPr>
            <w:tcW w:w="1310"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111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1004"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526" w:type="dxa"/>
            <w:gridSpan w:val="2"/>
            <w:tcBorders>
              <w:top w:val="single" w:sz="6" w:space="0" w:color="000000"/>
              <w:left w:val="nil"/>
              <w:bottom w:val="single" w:sz="6" w:space="0" w:color="000000"/>
              <w:right w:val="nil"/>
            </w:tcBorders>
          </w:tcPr>
          <w:p w:rsidR="00D27BC6" w:rsidRDefault="004D5071">
            <w:pPr>
              <w:spacing w:after="0" w:line="259" w:lineRule="auto"/>
              <w:ind w:left="0" w:right="0" w:firstLine="0"/>
              <w:jc w:val="left"/>
            </w:pPr>
            <w:r>
              <w:t>I-0</w:t>
            </w:r>
          </w:p>
        </w:tc>
        <w:tc>
          <w:tcPr>
            <w:tcW w:w="691"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1111"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111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1005"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526" w:type="dxa"/>
            <w:gridSpan w:val="2"/>
            <w:tcBorders>
              <w:top w:val="single" w:sz="6" w:space="0" w:color="000000"/>
              <w:left w:val="nil"/>
              <w:bottom w:val="single" w:sz="6" w:space="0" w:color="000000"/>
              <w:right w:val="nil"/>
            </w:tcBorders>
          </w:tcPr>
          <w:p w:rsidR="00D27BC6" w:rsidRDefault="004D5071">
            <w:pPr>
              <w:spacing w:after="0" w:line="259" w:lineRule="auto"/>
              <w:ind w:left="0" w:right="0" w:firstLine="0"/>
              <w:jc w:val="left"/>
            </w:pPr>
            <w:r>
              <w:t>I-1</w:t>
            </w:r>
          </w:p>
        </w:tc>
        <w:tc>
          <w:tcPr>
            <w:tcW w:w="691"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1111"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320"/>
        </w:trPr>
        <w:tc>
          <w:tcPr>
            <w:tcW w:w="131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W-0</w:t>
            </w:r>
          </w:p>
        </w:tc>
        <w:tc>
          <w:tcPr>
            <w:tcW w:w="1111"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115" w:right="0" w:firstLine="0"/>
              <w:jc w:val="center"/>
            </w:pPr>
            <w:r>
              <w:t>ОН</w:t>
            </w:r>
          </w:p>
        </w:tc>
        <w:tc>
          <w:tcPr>
            <w:tcW w:w="1004" w:type="dxa"/>
            <w:tcBorders>
              <w:top w:val="single" w:sz="6" w:space="0" w:color="000000"/>
              <w:left w:val="single" w:sz="6" w:space="0" w:color="000000"/>
              <w:bottom w:val="single" w:sz="6" w:space="0" w:color="000000"/>
              <w:right w:val="nil"/>
            </w:tcBorders>
            <w:shd w:val="clear" w:color="auto" w:fill="94C11E"/>
          </w:tcPr>
          <w:p w:rsidR="00D27BC6" w:rsidRDefault="004D5071">
            <w:pPr>
              <w:spacing w:after="0" w:line="259" w:lineRule="auto"/>
              <w:ind w:left="221" w:right="0" w:firstLine="0"/>
              <w:jc w:val="center"/>
            </w:pPr>
            <w:r>
              <w:t>ОН</w:t>
            </w:r>
          </w:p>
        </w:tc>
        <w:tc>
          <w:tcPr>
            <w:tcW w:w="106" w:type="dxa"/>
            <w:tcBorders>
              <w:top w:val="single" w:sz="6" w:space="0" w:color="000000"/>
              <w:left w:val="nil"/>
              <w:bottom w:val="single" w:sz="6" w:space="0" w:color="000000"/>
              <w:right w:val="single" w:sz="6" w:space="0" w:color="000000"/>
            </w:tcBorders>
            <w:shd w:val="clear" w:color="auto" w:fill="94C11E"/>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shd w:val="clear" w:color="auto" w:fill="94C11E"/>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shd w:val="clear" w:color="auto" w:fill="94C11E"/>
          </w:tcPr>
          <w:p w:rsidR="00D27BC6" w:rsidRDefault="004D5071">
            <w:pPr>
              <w:spacing w:after="0" w:line="259" w:lineRule="auto"/>
              <w:ind w:left="1" w:right="0" w:firstLine="0"/>
              <w:jc w:val="left"/>
            </w:pPr>
            <w:r>
              <w:t>ОН</w:t>
            </w:r>
          </w:p>
        </w:tc>
        <w:tc>
          <w:tcPr>
            <w:tcW w:w="1111"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115" w:right="0" w:firstLine="0"/>
              <w:jc w:val="center"/>
            </w:pPr>
            <w:r>
              <w:t>ОН</w:t>
            </w:r>
          </w:p>
        </w:tc>
        <w:tc>
          <w:tcPr>
            <w:tcW w:w="1111"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115" w:right="0" w:firstLine="0"/>
              <w:jc w:val="center"/>
            </w:pPr>
            <w:r>
              <w:t>ОН</w:t>
            </w:r>
          </w:p>
        </w:tc>
        <w:tc>
          <w:tcPr>
            <w:tcW w:w="1005" w:type="dxa"/>
            <w:tcBorders>
              <w:top w:val="single" w:sz="6" w:space="0" w:color="000000"/>
              <w:left w:val="single" w:sz="6" w:space="0" w:color="000000"/>
              <w:bottom w:val="single" w:sz="6" w:space="0" w:color="000000"/>
              <w:right w:val="nil"/>
            </w:tcBorders>
            <w:shd w:val="clear" w:color="auto" w:fill="FFED00"/>
          </w:tcPr>
          <w:p w:rsidR="00D27BC6" w:rsidRDefault="004D5071">
            <w:pPr>
              <w:spacing w:after="0" w:line="259" w:lineRule="auto"/>
              <w:ind w:left="221" w:right="0" w:firstLine="0"/>
              <w:jc w:val="center"/>
            </w:pPr>
            <w:r>
              <w:t>Н</w:t>
            </w:r>
          </w:p>
        </w:tc>
        <w:tc>
          <w:tcPr>
            <w:tcW w:w="106" w:type="dxa"/>
            <w:tcBorders>
              <w:top w:val="single" w:sz="6" w:space="0" w:color="000000"/>
              <w:left w:val="nil"/>
              <w:bottom w:val="single" w:sz="6" w:space="0" w:color="000000"/>
              <w:right w:val="single" w:sz="6" w:space="0" w:color="000000"/>
            </w:tcBorders>
            <w:shd w:val="clear" w:color="auto" w:fill="FFED00"/>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shd w:val="clear" w:color="auto" w:fill="FFED00"/>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shd w:val="clear" w:color="auto" w:fill="FFED00"/>
          </w:tcPr>
          <w:p w:rsidR="00D27BC6" w:rsidRDefault="004D5071">
            <w:pPr>
              <w:spacing w:after="0" w:line="259" w:lineRule="auto"/>
              <w:ind w:left="70" w:right="0" w:firstLine="0"/>
              <w:jc w:val="left"/>
            </w:pPr>
            <w:r>
              <w:t>Н</w:t>
            </w:r>
          </w:p>
        </w:tc>
        <w:tc>
          <w:tcPr>
            <w:tcW w:w="1111" w:type="dxa"/>
            <w:tcBorders>
              <w:top w:val="single" w:sz="6" w:space="0" w:color="000000"/>
              <w:left w:val="single" w:sz="6" w:space="0" w:color="000000"/>
              <w:bottom w:val="single" w:sz="6" w:space="0" w:color="000000"/>
              <w:right w:val="single" w:sz="6" w:space="0" w:color="000000"/>
            </w:tcBorders>
            <w:shd w:val="clear" w:color="auto" w:fill="F39200"/>
          </w:tcPr>
          <w:p w:rsidR="00D27BC6" w:rsidRDefault="004D5071">
            <w:pPr>
              <w:spacing w:after="0" w:line="259" w:lineRule="auto"/>
              <w:ind w:left="115" w:right="0" w:firstLine="0"/>
              <w:jc w:val="center"/>
            </w:pPr>
            <w:r>
              <w:t>У</w:t>
            </w:r>
          </w:p>
        </w:tc>
      </w:tr>
      <w:tr w:rsidR="00D27BC6">
        <w:trPr>
          <w:trHeight w:val="320"/>
        </w:trPr>
        <w:tc>
          <w:tcPr>
            <w:tcW w:w="131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W-1</w:t>
            </w:r>
          </w:p>
        </w:tc>
        <w:tc>
          <w:tcPr>
            <w:tcW w:w="1111"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115" w:right="0" w:firstLine="0"/>
              <w:jc w:val="center"/>
            </w:pPr>
            <w:r>
              <w:t>ОН</w:t>
            </w:r>
          </w:p>
        </w:tc>
        <w:tc>
          <w:tcPr>
            <w:tcW w:w="1004" w:type="dxa"/>
            <w:tcBorders>
              <w:top w:val="single" w:sz="6" w:space="0" w:color="000000"/>
              <w:left w:val="single" w:sz="6" w:space="0" w:color="000000"/>
              <w:bottom w:val="single" w:sz="6" w:space="0" w:color="000000"/>
              <w:right w:val="nil"/>
            </w:tcBorders>
            <w:shd w:val="clear" w:color="auto" w:fill="94C11E"/>
          </w:tcPr>
          <w:p w:rsidR="00D27BC6" w:rsidRDefault="004D5071">
            <w:pPr>
              <w:spacing w:after="0" w:line="259" w:lineRule="auto"/>
              <w:ind w:left="221" w:right="0" w:firstLine="0"/>
              <w:jc w:val="center"/>
            </w:pPr>
            <w:r>
              <w:t>ОН</w:t>
            </w:r>
          </w:p>
        </w:tc>
        <w:tc>
          <w:tcPr>
            <w:tcW w:w="106" w:type="dxa"/>
            <w:tcBorders>
              <w:top w:val="single" w:sz="6" w:space="0" w:color="000000"/>
              <w:left w:val="nil"/>
              <w:bottom w:val="single" w:sz="6" w:space="0" w:color="000000"/>
              <w:right w:val="single" w:sz="6" w:space="0" w:color="000000"/>
            </w:tcBorders>
            <w:shd w:val="clear" w:color="auto" w:fill="94C11E"/>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shd w:val="clear" w:color="auto" w:fill="94C11E"/>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shd w:val="clear" w:color="auto" w:fill="94C11E"/>
          </w:tcPr>
          <w:p w:rsidR="00D27BC6" w:rsidRDefault="004D5071">
            <w:pPr>
              <w:spacing w:after="0" w:line="259" w:lineRule="auto"/>
              <w:ind w:left="1" w:right="0" w:firstLine="0"/>
              <w:jc w:val="left"/>
            </w:pPr>
            <w:r>
              <w:t>ОН</w:t>
            </w:r>
          </w:p>
        </w:tc>
        <w:tc>
          <w:tcPr>
            <w:tcW w:w="1111"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115" w:right="0" w:firstLine="0"/>
              <w:jc w:val="center"/>
            </w:pPr>
            <w:r>
              <w:t>ОН</w:t>
            </w:r>
          </w:p>
        </w:tc>
        <w:tc>
          <w:tcPr>
            <w:tcW w:w="1111" w:type="dxa"/>
            <w:tcBorders>
              <w:top w:val="single" w:sz="6" w:space="0" w:color="000000"/>
              <w:left w:val="single" w:sz="6" w:space="0" w:color="000000"/>
              <w:bottom w:val="single" w:sz="6" w:space="0" w:color="000000"/>
              <w:right w:val="single" w:sz="6" w:space="0" w:color="000000"/>
            </w:tcBorders>
            <w:shd w:val="clear" w:color="auto" w:fill="FFED00"/>
          </w:tcPr>
          <w:p w:rsidR="00D27BC6" w:rsidRDefault="004D5071">
            <w:pPr>
              <w:spacing w:after="0" w:line="259" w:lineRule="auto"/>
              <w:ind w:left="115" w:right="0" w:firstLine="0"/>
              <w:jc w:val="center"/>
            </w:pPr>
            <w:r>
              <w:t>Н</w:t>
            </w:r>
          </w:p>
        </w:tc>
        <w:tc>
          <w:tcPr>
            <w:tcW w:w="1005" w:type="dxa"/>
            <w:tcBorders>
              <w:top w:val="single" w:sz="6" w:space="0" w:color="000000"/>
              <w:left w:val="single" w:sz="6" w:space="0" w:color="000000"/>
              <w:bottom w:val="single" w:sz="6" w:space="0" w:color="000000"/>
              <w:right w:val="nil"/>
            </w:tcBorders>
            <w:shd w:val="clear" w:color="auto" w:fill="F39200"/>
          </w:tcPr>
          <w:p w:rsidR="00D27BC6" w:rsidRDefault="004D5071">
            <w:pPr>
              <w:spacing w:after="0" w:line="259" w:lineRule="auto"/>
              <w:ind w:left="221" w:right="0" w:firstLine="0"/>
              <w:jc w:val="center"/>
            </w:pPr>
            <w:r>
              <w:t>У</w:t>
            </w:r>
          </w:p>
        </w:tc>
        <w:tc>
          <w:tcPr>
            <w:tcW w:w="106" w:type="dxa"/>
            <w:tcBorders>
              <w:top w:val="single" w:sz="6" w:space="0" w:color="000000"/>
              <w:left w:val="nil"/>
              <w:bottom w:val="single" w:sz="6" w:space="0" w:color="000000"/>
              <w:right w:val="single" w:sz="6" w:space="0" w:color="000000"/>
            </w:tcBorders>
            <w:shd w:val="clear" w:color="auto" w:fill="F39200"/>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shd w:val="clear" w:color="auto" w:fill="F39200"/>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shd w:val="clear" w:color="auto" w:fill="F39200"/>
          </w:tcPr>
          <w:p w:rsidR="00D27BC6" w:rsidRDefault="004D5071">
            <w:pPr>
              <w:spacing w:after="0" w:line="259" w:lineRule="auto"/>
              <w:ind w:left="83" w:right="0" w:firstLine="0"/>
              <w:jc w:val="left"/>
            </w:pPr>
            <w:r>
              <w:t>У</w:t>
            </w:r>
          </w:p>
        </w:tc>
        <w:tc>
          <w:tcPr>
            <w:tcW w:w="1111" w:type="dxa"/>
            <w:tcBorders>
              <w:top w:val="single" w:sz="6" w:space="0" w:color="000000"/>
              <w:left w:val="single" w:sz="6" w:space="0" w:color="000000"/>
              <w:bottom w:val="single" w:sz="6" w:space="0" w:color="000000"/>
              <w:right w:val="single" w:sz="6" w:space="0" w:color="000000"/>
            </w:tcBorders>
            <w:shd w:val="clear" w:color="auto" w:fill="F39200"/>
          </w:tcPr>
          <w:p w:rsidR="00D27BC6" w:rsidRDefault="004D5071">
            <w:pPr>
              <w:spacing w:after="0" w:line="259" w:lineRule="auto"/>
              <w:ind w:left="115" w:right="0" w:firstLine="0"/>
              <w:jc w:val="center"/>
            </w:pPr>
            <w:r>
              <w:t>У</w:t>
            </w:r>
          </w:p>
        </w:tc>
      </w:tr>
      <w:tr w:rsidR="00D27BC6">
        <w:trPr>
          <w:trHeight w:val="320"/>
        </w:trPr>
        <w:tc>
          <w:tcPr>
            <w:tcW w:w="131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W-2</w:t>
            </w:r>
          </w:p>
        </w:tc>
        <w:tc>
          <w:tcPr>
            <w:tcW w:w="1111"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115" w:right="0" w:firstLine="0"/>
              <w:jc w:val="center"/>
            </w:pPr>
            <w:r>
              <w:t>ОН</w:t>
            </w:r>
          </w:p>
        </w:tc>
        <w:tc>
          <w:tcPr>
            <w:tcW w:w="1004" w:type="dxa"/>
            <w:tcBorders>
              <w:top w:val="single" w:sz="6" w:space="0" w:color="000000"/>
              <w:left w:val="single" w:sz="6" w:space="0" w:color="000000"/>
              <w:bottom w:val="single" w:sz="6" w:space="0" w:color="000000"/>
              <w:right w:val="nil"/>
            </w:tcBorders>
            <w:shd w:val="clear" w:color="auto" w:fill="94C11E"/>
          </w:tcPr>
          <w:p w:rsidR="00D27BC6" w:rsidRDefault="004D5071">
            <w:pPr>
              <w:spacing w:after="0" w:line="259" w:lineRule="auto"/>
              <w:ind w:left="221" w:right="0" w:firstLine="0"/>
              <w:jc w:val="center"/>
            </w:pPr>
            <w:r>
              <w:t>ОН</w:t>
            </w:r>
          </w:p>
        </w:tc>
        <w:tc>
          <w:tcPr>
            <w:tcW w:w="106" w:type="dxa"/>
            <w:tcBorders>
              <w:top w:val="single" w:sz="6" w:space="0" w:color="000000"/>
              <w:left w:val="nil"/>
              <w:bottom w:val="single" w:sz="6" w:space="0" w:color="000000"/>
              <w:right w:val="single" w:sz="6" w:space="0" w:color="000000"/>
            </w:tcBorders>
            <w:shd w:val="clear" w:color="auto" w:fill="94C11E"/>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shd w:val="clear" w:color="auto" w:fill="94C11E"/>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shd w:val="clear" w:color="auto" w:fill="94C11E"/>
          </w:tcPr>
          <w:p w:rsidR="00D27BC6" w:rsidRDefault="004D5071">
            <w:pPr>
              <w:spacing w:after="0" w:line="259" w:lineRule="auto"/>
              <w:ind w:left="1" w:right="0" w:firstLine="0"/>
              <w:jc w:val="left"/>
            </w:pPr>
            <w:r>
              <w:t>ОН</w:t>
            </w:r>
          </w:p>
        </w:tc>
        <w:tc>
          <w:tcPr>
            <w:tcW w:w="1111"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115" w:right="0" w:firstLine="0"/>
              <w:jc w:val="center"/>
            </w:pPr>
            <w:r>
              <w:t>ОН</w:t>
            </w:r>
          </w:p>
        </w:tc>
        <w:tc>
          <w:tcPr>
            <w:tcW w:w="1111" w:type="dxa"/>
            <w:tcBorders>
              <w:top w:val="single" w:sz="6" w:space="0" w:color="000000"/>
              <w:left w:val="single" w:sz="6" w:space="0" w:color="000000"/>
              <w:bottom w:val="single" w:sz="6" w:space="0" w:color="000000"/>
              <w:right w:val="single" w:sz="6" w:space="0" w:color="000000"/>
            </w:tcBorders>
            <w:shd w:val="clear" w:color="auto" w:fill="F39200"/>
          </w:tcPr>
          <w:p w:rsidR="00D27BC6" w:rsidRDefault="004D5071">
            <w:pPr>
              <w:spacing w:after="0" w:line="259" w:lineRule="auto"/>
              <w:ind w:left="115" w:right="0" w:firstLine="0"/>
              <w:jc w:val="center"/>
            </w:pPr>
            <w:r>
              <w:t>У</w:t>
            </w:r>
          </w:p>
        </w:tc>
        <w:tc>
          <w:tcPr>
            <w:tcW w:w="1005" w:type="dxa"/>
            <w:tcBorders>
              <w:top w:val="single" w:sz="6" w:space="0" w:color="000000"/>
              <w:left w:val="single" w:sz="6" w:space="0" w:color="000000"/>
              <w:bottom w:val="single" w:sz="6" w:space="0" w:color="000000"/>
              <w:right w:val="nil"/>
            </w:tcBorders>
            <w:shd w:val="clear" w:color="auto" w:fill="F39200"/>
          </w:tcPr>
          <w:p w:rsidR="00D27BC6" w:rsidRDefault="004D5071">
            <w:pPr>
              <w:spacing w:after="0" w:line="259" w:lineRule="auto"/>
              <w:ind w:left="221" w:right="0" w:firstLine="0"/>
              <w:jc w:val="center"/>
            </w:pPr>
            <w:r>
              <w:t>У</w:t>
            </w:r>
          </w:p>
        </w:tc>
        <w:tc>
          <w:tcPr>
            <w:tcW w:w="106" w:type="dxa"/>
            <w:tcBorders>
              <w:top w:val="single" w:sz="6" w:space="0" w:color="000000"/>
              <w:left w:val="nil"/>
              <w:bottom w:val="single" w:sz="6" w:space="0" w:color="000000"/>
              <w:right w:val="single" w:sz="6" w:space="0" w:color="000000"/>
            </w:tcBorders>
            <w:shd w:val="clear" w:color="auto" w:fill="F39200"/>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1" w:right="0" w:firstLine="0"/>
              <w:jc w:val="left"/>
            </w:pPr>
            <w:r>
              <w:t>В</w:t>
            </w:r>
          </w:p>
        </w:tc>
        <w:tc>
          <w:tcPr>
            <w:tcW w:w="1111"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5" w:right="0" w:firstLine="0"/>
              <w:jc w:val="center"/>
            </w:pPr>
            <w:r>
              <w:t xml:space="preserve"> В</w:t>
            </w:r>
          </w:p>
        </w:tc>
      </w:tr>
      <w:tr w:rsidR="00D27BC6">
        <w:trPr>
          <w:trHeight w:val="320"/>
        </w:trPr>
        <w:tc>
          <w:tcPr>
            <w:tcW w:w="131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W-3</w:t>
            </w:r>
          </w:p>
        </w:tc>
        <w:tc>
          <w:tcPr>
            <w:tcW w:w="1111"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115" w:right="0" w:firstLine="0"/>
              <w:jc w:val="center"/>
            </w:pPr>
            <w:r>
              <w:t>ОН</w:t>
            </w:r>
          </w:p>
        </w:tc>
        <w:tc>
          <w:tcPr>
            <w:tcW w:w="1004" w:type="dxa"/>
            <w:tcBorders>
              <w:top w:val="single" w:sz="6" w:space="0" w:color="000000"/>
              <w:left w:val="single" w:sz="6" w:space="0" w:color="000000"/>
              <w:bottom w:val="single" w:sz="6" w:space="0" w:color="000000"/>
              <w:right w:val="nil"/>
            </w:tcBorders>
            <w:shd w:val="clear" w:color="auto" w:fill="94C11E"/>
          </w:tcPr>
          <w:p w:rsidR="00D27BC6" w:rsidRDefault="004D5071">
            <w:pPr>
              <w:spacing w:after="0" w:line="259" w:lineRule="auto"/>
              <w:ind w:left="221" w:right="0" w:firstLine="0"/>
              <w:jc w:val="center"/>
            </w:pPr>
            <w:r>
              <w:t>ОН</w:t>
            </w:r>
          </w:p>
        </w:tc>
        <w:tc>
          <w:tcPr>
            <w:tcW w:w="106" w:type="dxa"/>
            <w:tcBorders>
              <w:top w:val="single" w:sz="6" w:space="0" w:color="000000"/>
              <w:left w:val="nil"/>
              <w:bottom w:val="single" w:sz="6" w:space="0" w:color="000000"/>
              <w:right w:val="single" w:sz="6" w:space="0" w:color="000000"/>
            </w:tcBorders>
            <w:shd w:val="clear" w:color="auto" w:fill="94C11E"/>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shd w:val="clear" w:color="auto" w:fill="94C11E"/>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shd w:val="clear" w:color="auto" w:fill="94C11E"/>
          </w:tcPr>
          <w:p w:rsidR="00D27BC6" w:rsidRDefault="004D5071">
            <w:pPr>
              <w:spacing w:after="0" w:line="259" w:lineRule="auto"/>
              <w:ind w:left="1" w:right="0" w:firstLine="0"/>
              <w:jc w:val="left"/>
            </w:pPr>
            <w:r>
              <w:t>ОН</w:t>
            </w:r>
          </w:p>
        </w:tc>
        <w:tc>
          <w:tcPr>
            <w:tcW w:w="1111"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115" w:right="0" w:firstLine="0"/>
              <w:jc w:val="center"/>
            </w:pPr>
            <w:r>
              <w:t>ОН</w:t>
            </w:r>
          </w:p>
        </w:tc>
        <w:tc>
          <w:tcPr>
            <w:tcW w:w="1111" w:type="dxa"/>
            <w:tcBorders>
              <w:top w:val="single" w:sz="6" w:space="0" w:color="000000"/>
              <w:left w:val="single" w:sz="6" w:space="0" w:color="000000"/>
              <w:bottom w:val="single" w:sz="6" w:space="0" w:color="000000"/>
              <w:right w:val="single" w:sz="6" w:space="0" w:color="000000"/>
            </w:tcBorders>
            <w:shd w:val="clear" w:color="auto" w:fill="F39200"/>
          </w:tcPr>
          <w:p w:rsidR="00D27BC6" w:rsidRDefault="004D5071">
            <w:pPr>
              <w:spacing w:after="0" w:line="259" w:lineRule="auto"/>
              <w:ind w:left="115" w:right="0" w:firstLine="0"/>
              <w:jc w:val="center"/>
            </w:pPr>
            <w:r>
              <w:t>У</w:t>
            </w:r>
          </w:p>
        </w:tc>
        <w:tc>
          <w:tcPr>
            <w:tcW w:w="1005" w:type="dxa"/>
            <w:tcBorders>
              <w:top w:val="single" w:sz="6" w:space="0" w:color="000000"/>
              <w:left w:val="single" w:sz="6" w:space="0" w:color="000000"/>
              <w:bottom w:val="single" w:sz="6" w:space="0" w:color="000000"/>
              <w:right w:val="nil"/>
            </w:tcBorders>
            <w:shd w:val="clear" w:color="auto" w:fill="F39200"/>
          </w:tcPr>
          <w:p w:rsidR="00D27BC6" w:rsidRDefault="004D5071">
            <w:pPr>
              <w:spacing w:after="0" w:line="259" w:lineRule="auto"/>
              <w:ind w:left="221" w:right="0" w:firstLine="0"/>
              <w:jc w:val="center"/>
            </w:pPr>
            <w:r>
              <w:t>У</w:t>
            </w:r>
          </w:p>
        </w:tc>
        <w:tc>
          <w:tcPr>
            <w:tcW w:w="106" w:type="dxa"/>
            <w:tcBorders>
              <w:top w:val="single" w:sz="6" w:space="0" w:color="000000"/>
              <w:left w:val="nil"/>
              <w:bottom w:val="single" w:sz="6" w:space="0" w:color="000000"/>
              <w:right w:val="single" w:sz="6" w:space="0" w:color="000000"/>
            </w:tcBorders>
            <w:shd w:val="clear" w:color="auto" w:fill="F39200"/>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shd w:val="clear" w:color="auto" w:fill="F39200"/>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shd w:val="clear" w:color="auto" w:fill="F39200"/>
          </w:tcPr>
          <w:p w:rsidR="00D27BC6" w:rsidRDefault="004D5071">
            <w:pPr>
              <w:spacing w:after="0" w:line="259" w:lineRule="auto"/>
              <w:ind w:left="83" w:right="0" w:firstLine="0"/>
              <w:jc w:val="left"/>
            </w:pPr>
            <w:r>
              <w:t>У</w:t>
            </w:r>
          </w:p>
        </w:tc>
        <w:tc>
          <w:tcPr>
            <w:tcW w:w="1111"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5" w:right="0" w:firstLine="0"/>
              <w:jc w:val="center"/>
            </w:pPr>
            <w:r>
              <w:t>В</w:t>
            </w:r>
          </w:p>
        </w:tc>
      </w:tr>
      <w:tr w:rsidR="00D27BC6">
        <w:trPr>
          <w:trHeight w:val="320"/>
        </w:trPr>
        <w:tc>
          <w:tcPr>
            <w:tcW w:w="1310"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111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fI-0</w:t>
            </w:r>
          </w:p>
        </w:tc>
        <w:tc>
          <w:tcPr>
            <w:tcW w:w="1004" w:type="dxa"/>
            <w:tcBorders>
              <w:top w:val="single" w:sz="6" w:space="0" w:color="000000"/>
              <w:left w:val="single" w:sz="6" w:space="0" w:color="000000"/>
              <w:bottom w:val="single" w:sz="6" w:space="0" w:color="000000"/>
              <w:right w:val="nil"/>
            </w:tcBorders>
          </w:tcPr>
          <w:p w:rsidR="00D27BC6" w:rsidRDefault="004D5071">
            <w:pPr>
              <w:spacing w:after="0" w:line="259" w:lineRule="auto"/>
              <w:ind w:left="221" w:right="0" w:firstLine="0"/>
              <w:jc w:val="center"/>
            </w:pPr>
            <w:r>
              <w:t>fI-1</w:t>
            </w:r>
          </w:p>
        </w:tc>
        <w:tc>
          <w:tcPr>
            <w:tcW w:w="106"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tcPr>
          <w:p w:rsidR="00D27BC6" w:rsidRDefault="004D5071">
            <w:pPr>
              <w:spacing w:after="0" w:line="259" w:lineRule="auto"/>
              <w:ind w:left="0" w:right="0" w:firstLine="0"/>
              <w:jc w:val="left"/>
            </w:pPr>
            <w:r>
              <w:t>fI-2</w:t>
            </w:r>
          </w:p>
        </w:tc>
        <w:tc>
          <w:tcPr>
            <w:tcW w:w="111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fI-3</w:t>
            </w:r>
          </w:p>
        </w:tc>
        <w:tc>
          <w:tcPr>
            <w:tcW w:w="111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fI-0</w:t>
            </w:r>
          </w:p>
        </w:tc>
        <w:tc>
          <w:tcPr>
            <w:tcW w:w="1005" w:type="dxa"/>
            <w:tcBorders>
              <w:top w:val="single" w:sz="6" w:space="0" w:color="000000"/>
              <w:left w:val="single" w:sz="6" w:space="0" w:color="000000"/>
              <w:bottom w:val="single" w:sz="6" w:space="0" w:color="000000"/>
              <w:right w:val="nil"/>
            </w:tcBorders>
          </w:tcPr>
          <w:p w:rsidR="00D27BC6" w:rsidRDefault="004D5071">
            <w:pPr>
              <w:spacing w:after="0" w:line="259" w:lineRule="auto"/>
              <w:ind w:left="221" w:right="0" w:firstLine="0"/>
              <w:jc w:val="center"/>
            </w:pPr>
            <w:r>
              <w:t>fI-1</w:t>
            </w:r>
          </w:p>
        </w:tc>
        <w:tc>
          <w:tcPr>
            <w:tcW w:w="106"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tcPr>
          <w:p w:rsidR="00D27BC6" w:rsidRDefault="004D5071">
            <w:pPr>
              <w:spacing w:after="0" w:line="259" w:lineRule="auto"/>
              <w:ind w:left="0" w:right="0" w:firstLine="0"/>
              <w:jc w:val="left"/>
            </w:pPr>
            <w:r>
              <w:t>fI-2</w:t>
            </w:r>
          </w:p>
        </w:tc>
        <w:tc>
          <w:tcPr>
            <w:tcW w:w="111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fI-3</w:t>
            </w:r>
          </w:p>
        </w:tc>
      </w:tr>
      <w:tr w:rsidR="00D27BC6">
        <w:trPr>
          <w:trHeight w:val="320"/>
        </w:trPr>
        <w:tc>
          <w:tcPr>
            <w:tcW w:w="1310"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111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1004"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526" w:type="dxa"/>
            <w:gridSpan w:val="2"/>
            <w:tcBorders>
              <w:top w:val="single" w:sz="6" w:space="0" w:color="000000"/>
              <w:left w:val="nil"/>
              <w:bottom w:val="single" w:sz="6" w:space="0" w:color="000000"/>
              <w:right w:val="nil"/>
            </w:tcBorders>
          </w:tcPr>
          <w:p w:rsidR="00D27BC6" w:rsidRDefault="004D5071">
            <w:pPr>
              <w:spacing w:after="0" w:line="259" w:lineRule="auto"/>
              <w:ind w:left="0" w:right="0" w:firstLine="0"/>
              <w:jc w:val="left"/>
            </w:pPr>
            <w:r>
              <w:t>I-2</w:t>
            </w:r>
          </w:p>
        </w:tc>
        <w:tc>
          <w:tcPr>
            <w:tcW w:w="691"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1111"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111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1005"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526" w:type="dxa"/>
            <w:gridSpan w:val="2"/>
            <w:tcBorders>
              <w:top w:val="single" w:sz="6" w:space="0" w:color="000000"/>
              <w:left w:val="nil"/>
              <w:bottom w:val="single" w:sz="6" w:space="0" w:color="000000"/>
              <w:right w:val="nil"/>
            </w:tcBorders>
          </w:tcPr>
          <w:p w:rsidR="00D27BC6" w:rsidRDefault="004D5071">
            <w:pPr>
              <w:spacing w:after="0" w:line="259" w:lineRule="auto"/>
              <w:ind w:left="0" w:right="0" w:firstLine="0"/>
              <w:jc w:val="left"/>
            </w:pPr>
            <w:r>
              <w:t>I-3</w:t>
            </w:r>
          </w:p>
        </w:tc>
        <w:tc>
          <w:tcPr>
            <w:tcW w:w="691"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1111"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320"/>
        </w:trPr>
        <w:tc>
          <w:tcPr>
            <w:tcW w:w="131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W-0</w:t>
            </w:r>
          </w:p>
        </w:tc>
        <w:tc>
          <w:tcPr>
            <w:tcW w:w="1111" w:type="dxa"/>
            <w:tcBorders>
              <w:top w:val="single" w:sz="6" w:space="0" w:color="000000"/>
              <w:left w:val="single" w:sz="6" w:space="0" w:color="000000"/>
              <w:bottom w:val="single" w:sz="6" w:space="0" w:color="000000"/>
              <w:right w:val="single" w:sz="6" w:space="0" w:color="000000"/>
            </w:tcBorders>
            <w:shd w:val="clear" w:color="auto" w:fill="FFED00"/>
          </w:tcPr>
          <w:p w:rsidR="00D27BC6" w:rsidRDefault="004D5071">
            <w:pPr>
              <w:spacing w:after="0" w:line="259" w:lineRule="auto"/>
              <w:ind w:left="115" w:right="0" w:firstLine="0"/>
              <w:jc w:val="center"/>
            </w:pPr>
            <w:r>
              <w:t>Н</w:t>
            </w:r>
          </w:p>
        </w:tc>
        <w:tc>
          <w:tcPr>
            <w:tcW w:w="1004" w:type="dxa"/>
            <w:tcBorders>
              <w:top w:val="single" w:sz="6" w:space="0" w:color="000000"/>
              <w:left w:val="single" w:sz="6" w:space="0" w:color="000000"/>
              <w:bottom w:val="single" w:sz="6" w:space="0" w:color="000000"/>
              <w:right w:val="nil"/>
            </w:tcBorders>
            <w:shd w:val="clear" w:color="auto" w:fill="FFED00"/>
          </w:tcPr>
          <w:p w:rsidR="00D27BC6" w:rsidRDefault="004D5071">
            <w:pPr>
              <w:spacing w:after="0" w:line="259" w:lineRule="auto"/>
              <w:ind w:left="221" w:right="0" w:firstLine="0"/>
              <w:jc w:val="center"/>
            </w:pPr>
            <w:r>
              <w:t>Н</w:t>
            </w:r>
          </w:p>
        </w:tc>
        <w:tc>
          <w:tcPr>
            <w:tcW w:w="106" w:type="dxa"/>
            <w:tcBorders>
              <w:top w:val="single" w:sz="6" w:space="0" w:color="000000"/>
              <w:left w:val="nil"/>
              <w:bottom w:val="single" w:sz="6" w:space="0" w:color="000000"/>
              <w:right w:val="single" w:sz="6" w:space="0" w:color="000000"/>
            </w:tcBorders>
            <w:shd w:val="clear" w:color="auto" w:fill="FFED00"/>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shd w:val="clear" w:color="auto" w:fill="F39200"/>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shd w:val="clear" w:color="auto" w:fill="F39200"/>
          </w:tcPr>
          <w:p w:rsidR="00D27BC6" w:rsidRDefault="004D5071">
            <w:pPr>
              <w:spacing w:after="0" w:line="259" w:lineRule="auto"/>
              <w:ind w:left="83" w:right="0" w:firstLine="0"/>
              <w:jc w:val="left"/>
            </w:pPr>
            <w:r>
              <w:t>У</w:t>
            </w:r>
          </w:p>
        </w:tc>
        <w:tc>
          <w:tcPr>
            <w:tcW w:w="1111" w:type="dxa"/>
            <w:tcBorders>
              <w:top w:val="single" w:sz="6" w:space="0" w:color="000000"/>
              <w:left w:val="single" w:sz="6" w:space="0" w:color="000000"/>
              <w:bottom w:val="single" w:sz="6" w:space="0" w:color="000000"/>
              <w:right w:val="single" w:sz="6" w:space="0" w:color="000000"/>
            </w:tcBorders>
            <w:shd w:val="clear" w:color="auto" w:fill="F39200"/>
          </w:tcPr>
          <w:p w:rsidR="00D27BC6" w:rsidRDefault="004D5071">
            <w:pPr>
              <w:spacing w:after="0" w:line="259" w:lineRule="auto"/>
              <w:ind w:left="115" w:right="0" w:firstLine="0"/>
              <w:jc w:val="center"/>
            </w:pPr>
            <w:r>
              <w:t>У</w:t>
            </w:r>
          </w:p>
        </w:tc>
        <w:tc>
          <w:tcPr>
            <w:tcW w:w="1111" w:type="dxa"/>
            <w:tcBorders>
              <w:top w:val="single" w:sz="6" w:space="0" w:color="000000"/>
              <w:left w:val="single" w:sz="6" w:space="0" w:color="000000"/>
              <w:bottom w:val="single" w:sz="6" w:space="0" w:color="000000"/>
              <w:right w:val="single" w:sz="6" w:space="0" w:color="000000"/>
            </w:tcBorders>
            <w:shd w:val="clear" w:color="auto" w:fill="F39200"/>
          </w:tcPr>
          <w:p w:rsidR="00D27BC6" w:rsidRDefault="004D5071">
            <w:pPr>
              <w:spacing w:after="0" w:line="259" w:lineRule="auto"/>
              <w:ind w:left="115" w:right="0" w:firstLine="0"/>
              <w:jc w:val="center"/>
            </w:pPr>
            <w:r>
              <w:t>У</w:t>
            </w:r>
          </w:p>
        </w:tc>
        <w:tc>
          <w:tcPr>
            <w:tcW w:w="1005" w:type="dxa"/>
            <w:tcBorders>
              <w:top w:val="single" w:sz="6" w:space="0" w:color="000000"/>
              <w:left w:val="single" w:sz="6" w:space="0" w:color="000000"/>
              <w:bottom w:val="single" w:sz="6" w:space="0" w:color="000000"/>
              <w:right w:val="nil"/>
            </w:tcBorders>
            <w:shd w:val="clear" w:color="auto" w:fill="D04E38"/>
          </w:tcPr>
          <w:p w:rsidR="00D27BC6" w:rsidRDefault="004D5071">
            <w:pPr>
              <w:spacing w:after="0" w:line="259" w:lineRule="auto"/>
              <w:ind w:left="221" w:right="0" w:firstLine="0"/>
              <w:jc w:val="center"/>
            </w:pPr>
            <w:r>
              <w:t>В</w:t>
            </w:r>
          </w:p>
        </w:tc>
        <w:tc>
          <w:tcPr>
            <w:tcW w:w="106" w:type="dxa"/>
            <w:tcBorders>
              <w:top w:val="single" w:sz="6" w:space="0" w:color="000000"/>
              <w:left w:val="nil"/>
              <w:bottom w:val="single" w:sz="6" w:space="0" w:color="000000"/>
              <w:right w:val="single" w:sz="6" w:space="0" w:color="000000"/>
            </w:tcBorders>
            <w:shd w:val="clear" w:color="auto" w:fill="D04E38"/>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1" w:right="0" w:firstLine="0"/>
              <w:jc w:val="left"/>
            </w:pPr>
            <w:r>
              <w:t>В</w:t>
            </w:r>
          </w:p>
        </w:tc>
        <w:tc>
          <w:tcPr>
            <w:tcW w:w="1111"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5" w:right="0" w:firstLine="0"/>
              <w:jc w:val="center"/>
            </w:pPr>
            <w:r>
              <w:t>В</w:t>
            </w:r>
          </w:p>
        </w:tc>
      </w:tr>
      <w:tr w:rsidR="00D27BC6">
        <w:trPr>
          <w:trHeight w:val="320"/>
        </w:trPr>
        <w:tc>
          <w:tcPr>
            <w:tcW w:w="131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W-1</w:t>
            </w:r>
          </w:p>
        </w:tc>
        <w:tc>
          <w:tcPr>
            <w:tcW w:w="1111" w:type="dxa"/>
            <w:tcBorders>
              <w:top w:val="single" w:sz="6" w:space="0" w:color="000000"/>
              <w:left w:val="single" w:sz="6" w:space="0" w:color="000000"/>
              <w:bottom w:val="single" w:sz="6" w:space="0" w:color="000000"/>
              <w:right w:val="single" w:sz="6" w:space="0" w:color="000000"/>
            </w:tcBorders>
            <w:shd w:val="clear" w:color="auto" w:fill="F39200"/>
          </w:tcPr>
          <w:p w:rsidR="00D27BC6" w:rsidRDefault="004D5071">
            <w:pPr>
              <w:spacing w:after="0" w:line="259" w:lineRule="auto"/>
              <w:ind w:left="115" w:right="0" w:firstLine="0"/>
              <w:jc w:val="center"/>
            </w:pPr>
            <w:r>
              <w:t>У</w:t>
            </w:r>
          </w:p>
        </w:tc>
        <w:tc>
          <w:tcPr>
            <w:tcW w:w="1004" w:type="dxa"/>
            <w:tcBorders>
              <w:top w:val="single" w:sz="6" w:space="0" w:color="000000"/>
              <w:left w:val="single" w:sz="6" w:space="0" w:color="000000"/>
              <w:bottom w:val="single" w:sz="6" w:space="0" w:color="000000"/>
              <w:right w:val="nil"/>
            </w:tcBorders>
            <w:shd w:val="clear" w:color="auto" w:fill="D04E38"/>
          </w:tcPr>
          <w:p w:rsidR="00D27BC6" w:rsidRDefault="004D5071">
            <w:pPr>
              <w:spacing w:after="0" w:line="259" w:lineRule="auto"/>
              <w:ind w:left="220" w:right="0" w:firstLine="0"/>
              <w:jc w:val="center"/>
            </w:pPr>
            <w:r>
              <w:t>В</w:t>
            </w:r>
          </w:p>
        </w:tc>
        <w:tc>
          <w:tcPr>
            <w:tcW w:w="106" w:type="dxa"/>
            <w:tcBorders>
              <w:top w:val="single" w:sz="6" w:space="0" w:color="000000"/>
              <w:left w:val="nil"/>
              <w:bottom w:val="single" w:sz="6" w:space="0" w:color="000000"/>
              <w:right w:val="single" w:sz="6" w:space="0" w:color="000000"/>
            </w:tcBorders>
            <w:shd w:val="clear" w:color="auto" w:fill="D04E38"/>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1" w:right="0" w:firstLine="0"/>
              <w:jc w:val="left"/>
            </w:pPr>
            <w:r>
              <w:t>В</w:t>
            </w:r>
          </w:p>
        </w:tc>
        <w:tc>
          <w:tcPr>
            <w:tcW w:w="1111"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4" w:right="0" w:firstLine="0"/>
              <w:jc w:val="center"/>
            </w:pPr>
            <w:r>
              <w:t>В</w:t>
            </w:r>
          </w:p>
        </w:tc>
        <w:tc>
          <w:tcPr>
            <w:tcW w:w="1111"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4" w:right="0" w:firstLine="0"/>
              <w:jc w:val="center"/>
            </w:pPr>
            <w:r>
              <w:t>В</w:t>
            </w:r>
          </w:p>
        </w:tc>
        <w:tc>
          <w:tcPr>
            <w:tcW w:w="1005" w:type="dxa"/>
            <w:tcBorders>
              <w:top w:val="single" w:sz="6" w:space="0" w:color="000000"/>
              <w:left w:val="single" w:sz="6" w:space="0" w:color="000000"/>
              <w:bottom w:val="single" w:sz="6" w:space="0" w:color="000000"/>
              <w:right w:val="nil"/>
            </w:tcBorders>
            <w:shd w:val="clear" w:color="auto" w:fill="D04E38"/>
          </w:tcPr>
          <w:p w:rsidR="00D27BC6" w:rsidRDefault="004D5071">
            <w:pPr>
              <w:spacing w:after="0" w:line="259" w:lineRule="auto"/>
              <w:ind w:left="221" w:right="0" w:firstLine="0"/>
              <w:jc w:val="center"/>
            </w:pPr>
            <w:r>
              <w:t>В</w:t>
            </w:r>
          </w:p>
        </w:tc>
        <w:tc>
          <w:tcPr>
            <w:tcW w:w="106" w:type="dxa"/>
            <w:tcBorders>
              <w:top w:val="single" w:sz="6" w:space="0" w:color="000000"/>
              <w:left w:val="nil"/>
              <w:bottom w:val="single" w:sz="6" w:space="0" w:color="000000"/>
              <w:right w:val="single" w:sz="6" w:space="0" w:color="000000"/>
            </w:tcBorders>
            <w:shd w:val="clear" w:color="auto" w:fill="D04E38"/>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1" w:right="0" w:firstLine="0"/>
              <w:jc w:val="left"/>
            </w:pPr>
            <w:r>
              <w:t>В</w:t>
            </w:r>
          </w:p>
        </w:tc>
        <w:tc>
          <w:tcPr>
            <w:tcW w:w="1111"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5" w:right="0" w:firstLine="0"/>
              <w:jc w:val="center"/>
            </w:pPr>
            <w:r>
              <w:t>В</w:t>
            </w:r>
          </w:p>
        </w:tc>
      </w:tr>
      <w:tr w:rsidR="00D27BC6">
        <w:trPr>
          <w:trHeight w:val="320"/>
        </w:trPr>
        <w:tc>
          <w:tcPr>
            <w:tcW w:w="131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W-2</w:t>
            </w:r>
          </w:p>
        </w:tc>
        <w:tc>
          <w:tcPr>
            <w:tcW w:w="1111"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4" w:right="0" w:firstLine="0"/>
              <w:jc w:val="center"/>
            </w:pPr>
            <w:r>
              <w:t>В</w:t>
            </w:r>
          </w:p>
        </w:tc>
        <w:tc>
          <w:tcPr>
            <w:tcW w:w="1004" w:type="dxa"/>
            <w:tcBorders>
              <w:top w:val="single" w:sz="6" w:space="0" w:color="000000"/>
              <w:left w:val="single" w:sz="6" w:space="0" w:color="000000"/>
              <w:bottom w:val="single" w:sz="6" w:space="0" w:color="000000"/>
              <w:right w:val="nil"/>
            </w:tcBorders>
            <w:shd w:val="clear" w:color="auto" w:fill="D04E38"/>
          </w:tcPr>
          <w:p w:rsidR="00D27BC6" w:rsidRDefault="004D5071">
            <w:pPr>
              <w:spacing w:after="0" w:line="259" w:lineRule="auto"/>
              <w:ind w:left="220" w:right="0" w:firstLine="0"/>
              <w:jc w:val="center"/>
            </w:pPr>
            <w:r>
              <w:t>В</w:t>
            </w:r>
          </w:p>
        </w:tc>
        <w:tc>
          <w:tcPr>
            <w:tcW w:w="106" w:type="dxa"/>
            <w:tcBorders>
              <w:top w:val="single" w:sz="6" w:space="0" w:color="000000"/>
              <w:left w:val="nil"/>
              <w:bottom w:val="single" w:sz="6" w:space="0" w:color="000000"/>
              <w:right w:val="single" w:sz="6" w:space="0" w:color="000000"/>
            </w:tcBorders>
            <w:shd w:val="clear" w:color="auto" w:fill="D04E38"/>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1" w:right="0" w:firstLine="0"/>
              <w:jc w:val="left"/>
            </w:pPr>
            <w:r>
              <w:t>В</w:t>
            </w:r>
          </w:p>
        </w:tc>
        <w:tc>
          <w:tcPr>
            <w:tcW w:w="1111"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4" w:right="0" w:firstLine="0"/>
              <w:jc w:val="center"/>
            </w:pPr>
            <w:r>
              <w:t>В</w:t>
            </w:r>
          </w:p>
        </w:tc>
        <w:tc>
          <w:tcPr>
            <w:tcW w:w="1111"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4" w:right="0" w:firstLine="0"/>
              <w:jc w:val="center"/>
            </w:pPr>
            <w:r>
              <w:t>В</w:t>
            </w:r>
          </w:p>
        </w:tc>
        <w:tc>
          <w:tcPr>
            <w:tcW w:w="1005" w:type="dxa"/>
            <w:tcBorders>
              <w:top w:val="single" w:sz="6" w:space="0" w:color="000000"/>
              <w:left w:val="single" w:sz="6" w:space="0" w:color="000000"/>
              <w:bottom w:val="single" w:sz="6" w:space="0" w:color="000000"/>
              <w:right w:val="nil"/>
            </w:tcBorders>
            <w:shd w:val="clear" w:color="auto" w:fill="D04E38"/>
          </w:tcPr>
          <w:p w:rsidR="00D27BC6" w:rsidRDefault="004D5071">
            <w:pPr>
              <w:spacing w:after="0" w:line="259" w:lineRule="auto"/>
              <w:ind w:left="221" w:right="0" w:firstLine="0"/>
              <w:jc w:val="center"/>
            </w:pPr>
            <w:r>
              <w:t>В</w:t>
            </w:r>
          </w:p>
        </w:tc>
        <w:tc>
          <w:tcPr>
            <w:tcW w:w="106" w:type="dxa"/>
            <w:tcBorders>
              <w:top w:val="single" w:sz="6" w:space="0" w:color="000000"/>
              <w:left w:val="nil"/>
              <w:bottom w:val="single" w:sz="6" w:space="0" w:color="000000"/>
              <w:right w:val="single" w:sz="6" w:space="0" w:color="000000"/>
            </w:tcBorders>
            <w:shd w:val="clear" w:color="auto" w:fill="D04E38"/>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1" w:right="0" w:firstLine="0"/>
              <w:jc w:val="left"/>
            </w:pPr>
            <w:r>
              <w:t>В</w:t>
            </w:r>
          </w:p>
        </w:tc>
        <w:tc>
          <w:tcPr>
            <w:tcW w:w="1111"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5" w:right="0" w:firstLine="0"/>
              <w:jc w:val="center"/>
            </w:pPr>
            <w:r>
              <w:t>В</w:t>
            </w:r>
          </w:p>
        </w:tc>
      </w:tr>
      <w:tr w:rsidR="00D27BC6">
        <w:trPr>
          <w:trHeight w:val="320"/>
        </w:trPr>
        <w:tc>
          <w:tcPr>
            <w:tcW w:w="131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W-3</w:t>
            </w:r>
          </w:p>
        </w:tc>
        <w:tc>
          <w:tcPr>
            <w:tcW w:w="1111"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4" w:right="0" w:firstLine="0"/>
              <w:jc w:val="center"/>
            </w:pPr>
            <w:r>
              <w:t>В</w:t>
            </w:r>
          </w:p>
        </w:tc>
        <w:tc>
          <w:tcPr>
            <w:tcW w:w="1004" w:type="dxa"/>
            <w:tcBorders>
              <w:top w:val="single" w:sz="6" w:space="0" w:color="000000"/>
              <w:left w:val="single" w:sz="6" w:space="0" w:color="000000"/>
              <w:bottom w:val="single" w:sz="6" w:space="0" w:color="000000"/>
              <w:right w:val="nil"/>
            </w:tcBorders>
            <w:shd w:val="clear" w:color="auto" w:fill="D04E38"/>
          </w:tcPr>
          <w:p w:rsidR="00D27BC6" w:rsidRDefault="004D5071">
            <w:pPr>
              <w:spacing w:after="0" w:line="259" w:lineRule="auto"/>
              <w:ind w:left="220" w:right="0" w:firstLine="0"/>
              <w:jc w:val="center"/>
            </w:pPr>
            <w:r>
              <w:t>В</w:t>
            </w:r>
          </w:p>
        </w:tc>
        <w:tc>
          <w:tcPr>
            <w:tcW w:w="106" w:type="dxa"/>
            <w:tcBorders>
              <w:top w:val="single" w:sz="6" w:space="0" w:color="000000"/>
              <w:left w:val="nil"/>
              <w:bottom w:val="single" w:sz="6" w:space="0" w:color="000000"/>
              <w:right w:val="single" w:sz="6" w:space="0" w:color="000000"/>
            </w:tcBorders>
            <w:shd w:val="clear" w:color="auto" w:fill="D04E38"/>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1" w:right="0" w:firstLine="0"/>
              <w:jc w:val="left"/>
            </w:pPr>
            <w:r>
              <w:t>В</w:t>
            </w:r>
          </w:p>
        </w:tc>
        <w:tc>
          <w:tcPr>
            <w:tcW w:w="1111"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4" w:right="0" w:firstLine="0"/>
              <w:jc w:val="center"/>
            </w:pPr>
            <w:r>
              <w:t>В</w:t>
            </w:r>
          </w:p>
        </w:tc>
        <w:tc>
          <w:tcPr>
            <w:tcW w:w="1111"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4" w:right="0" w:firstLine="0"/>
              <w:jc w:val="center"/>
            </w:pPr>
            <w:r>
              <w:t>В</w:t>
            </w:r>
          </w:p>
        </w:tc>
        <w:tc>
          <w:tcPr>
            <w:tcW w:w="1005" w:type="dxa"/>
            <w:tcBorders>
              <w:top w:val="single" w:sz="6" w:space="0" w:color="000000"/>
              <w:left w:val="single" w:sz="6" w:space="0" w:color="000000"/>
              <w:bottom w:val="single" w:sz="6" w:space="0" w:color="000000"/>
              <w:right w:val="nil"/>
            </w:tcBorders>
            <w:shd w:val="clear" w:color="auto" w:fill="D04E38"/>
          </w:tcPr>
          <w:p w:rsidR="00D27BC6" w:rsidRDefault="004D5071">
            <w:pPr>
              <w:spacing w:after="0" w:line="259" w:lineRule="auto"/>
              <w:ind w:left="221" w:right="0" w:firstLine="0"/>
              <w:jc w:val="center"/>
            </w:pPr>
            <w:r>
              <w:t>В</w:t>
            </w:r>
          </w:p>
        </w:tc>
        <w:tc>
          <w:tcPr>
            <w:tcW w:w="106" w:type="dxa"/>
            <w:tcBorders>
              <w:top w:val="single" w:sz="6" w:space="0" w:color="000000"/>
              <w:left w:val="nil"/>
              <w:bottom w:val="single" w:sz="6" w:space="0" w:color="000000"/>
              <w:right w:val="single" w:sz="6" w:space="0" w:color="000000"/>
            </w:tcBorders>
            <w:shd w:val="clear" w:color="auto" w:fill="D04E38"/>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shd w:val="clear" w:color="auto" w:fill="D04E38"/>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shd w:val="clear" w:color="auto" w:fill="D04E38"/>
          </w:tcPr>
          <w:p w:rsidR="00D27BC6" w:rsidRDefault="004D5071">
            <w:pPr>
              <w:spacing w:after="0" w:line="259" w:lineRule="auto"/>
              <w:ind w:left="81" w:right="0" w:firstLine="0"/>
              <w:jc w:val="left"/>
            </w:pPr>
            <w:r>
              <w:t>В</w:t>
            </w:r>
          </w:p>
        </w:tc>
        <w:tc>
          <w:tcPr>
            <w:tcW w:w="1111"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115" w:right="0" w:firstLine="0"/>
              <w:jc w:val="center"/>
            </w:pPr>
            <w:r>
              <w:t>В</w:t>
            </w:r>
          </w:p>
        </w:tc>
      </w:tr>
      <w:tr w:rsidR="00D27BC6">
        <w:trPr>
          <w:trHeight w:val="320"/>
        </w:trPr>
        <w:tc>
          <w:tcPr>
            <w:tcW w:w="1310"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111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fI-0</w:t>
            </w:r>
          </w:p>
        </w:tc>
        <w:tc>
          <w:tcPr>
            <w:tcW w:w="1004" w:type="dxa"/>
            <w:tcBorders>
              <w:top w:val="single" w:sz="6" w:space="0" w:color="000000"/>
              <w:left w:val="single" w:sz="6" w:space="0" w:color="000000"/>
              <w:bottom w:val="single" w:sz="6" w:space="0" w:color="000000"/>
              <w:right w:val="nil"/>
            </w:tcBorders>
          </w:tcPr>
          <w:p w:rsidR="00D27BC6" w:rsidRDefault="004D5071">
            <w:pPr>
              <w:spacing w:after="0" w:line="259" w:lineRule="auto"/>
              <w:ind w:left="221" w:right="0" w:firstLine="0"/>
              <w:jc w:val="center"/>
            </w:pPr>
            <w:r>
              <w:t>fI-1</w:t>
            </w:r>
          </w:p>
        </w:tc>
        <w:tc>
          <w:tcPr>
            <w:tcW w:w="106"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tcPr>
          <w:p w:rsidR="00D27BC6" w:rsidRDefault="004D5071">
            <w:pPr>
              <w:spacing w:after="0" w:line="259" w:lineRule="auto"/>
              <w:ind w:left="0" w:right="0" w:firstLine="0"/>
              <w:jc w:val="left"/>
            </w:pPr>
            <w:r>
              <w:t>fI-2</w:t>
            </w:r>
          </w:p>
        </w:tc>
        <w:tc>
          <w:tcPr>
            <w:tcW w:w="111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fI-3</w:t>
            </w:r>
          </w:p>
        </w:tc>
        <w:tc>
          <w:tcPr>
            <w:tcW w:w="111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fI -0</w:t>
            </w:r>
          </w:p>
        </w:tc>
        <w:tc>
          <w:tcPr>
            <w:tcW w:w="1005" w:type="dxa"/>
            <w:tcBorders>
              <w:top w:val="single" w:sz="6" w:space="0" w:color="000000"/>
              <w:left w:val="single" w:sz="6" w:space="0" w:color="000000"/>
              <w:bottom w:val="single" w:sz="6" w:space="0" w:color="000000"/>
              <w:right w:val="nil"/>
            </w:tcBorders>
          </w:tcPr>
          <w:p w:rsidR="00D27BC6" w:rsidRDefault="004D5071">
            <w:pPr>
              <w:spacing w:after="0" w:line="259" w:lineRule="auto"/>
              <w:ind w:left="221" w:right="0" w:firstLine="0"/>
              <w:jc w:val="center"/>
            </w:pPr>
            <w:r>
              <w:t>fI-1</w:t>
            </w:r>
          </w:p>
        </w:tc>
        <w:tc>
          <w:tcPr>
            <w:tcW w:w="106"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420"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691" w:type="dxa"/>
            <w:tcBorders>
              <w:top w:val="single" w:sz="6" w:space="0" w:color="000000"/>
              <w:left w:val="nil"/>
              <w:bottom w:val="single" w:sz="6" w:space="0" w:color="000000"/>
              <w:right w:val="single" w:sz="6" w:space="0" w:color="000000"/>
            </w:tcBorders>
          </w:tcPr>
          <w:p w:rsidR="00D27BC6" w:rsidRDefault="004D5071">
            <w:pPr>
              <w:spacing w:after="0" w:line="259" w:lineRule="auto"/>
              <w:ind w:left="0" w:right="0" w:firstLine="0"/>
              <w:jc w:val="left"/>
            </w:pPr>
            <w:r>
              <w:t>fI-2</w:t>
            </w:r>
          </w:p>
        </w:tc>
        <w:tc>
          <w:tcPr>
            <w:tcW w:w="111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15" w:right="0" w:firstLine="0"/>
              <w:jc w:val="center"/>
            </w:pPr>
            <w:r>
              <w:t>fI-3</w:t>
            </w:r>
          </w:p>
        </w:tc>
      </w:tr>
    </w:tbl>
    <w:p w:rsidR="00D27BC6" w:rsidRDefault="004D5071">
      <w:pPr>
        <w:spacing w:after="323"/>
        <w:ind w:left="-3" w:right="0"/>
      </w:pPr>
      <w:r>
        <w:rPr>
          <w:sz w:val="16"/>
        </w:rPr>
        <w:t>W (wound) – рана; I (ischemia) – ишемия; fI (foot infection) – инфекция стопы. ОН – очень низкий, Н – низкий, У – умеренный; В – высокий</w:t>
      </w:r>
    </w:p>
    <w:p w:rsidR="00D27BC6" w:rsidRDefault="004D5071">
      <w:pPr>
        <w:pStyle w:val="Heading2"/>
        <w:ind w:left="-3"/>
      </w:pPr>
      <w:r>
        <w:t>Четыре класса риска потери конечности</w:t>
      </w:r>
    </w:p>
    <w:tbl>
      <w:tblPr>
        <w:tblStyle w:val="TableGrid"/>
        <w:tblW w:w="10195" w:type="dxa"/>
        <w:tblInd w:w="9" w:type="dxa"/>
        <w:tblCellMar>
          <w:top w:w="16" w:type="dxa"/>
          <w:left w:w="57" w:type="dxa"/>
          <w:bottom w:w="0" w:type="dxa"/>
          <w:right w:w="115" w:type="dxa"/>
        </w:tblCellMar>
        <w:tblLook w:val="04A0" w:firstRow="1" w:lastRow="0" w:firstColumn="1" w:lastColumn="0" w:noHBand="0" w:noVBand="1"/>
      </w:tblPr>
      <w:tblGrid>
        <w:gridCol w:w="10195"/>
      </w:tblGrid>
      <w:tr w:rsidR="00D27BC6">
        <w:trPr>
          <w:trHeight w:val="320"/>
        </w:trPr>
        <w:tc>
          <w:tcPr>
            <w:tcW w:w="10195" w:type="dxa"/>
            <w:tcBorders>
              <w:top w:val="single" w:sz="6" w:space="0" w:color="000000"/>
              <w:left w:val="single" w:sz="6" w:space="0" w:color="000000"/>
              <w:bottom w:val="single" w:sz="6" w:space="0" w:color="000000"/>
              <w:right w:val="single" w:sz="6" w:space="0" w:color="000000"/>
            </w:tcBorders>
            <w:shd w:val="clear" w:color="auto" w:fill="94C11E"/>
          </w:tcPr>
          <w:p w:rsidR="00D27BC6" w:rsidRDefault="004D5071">
            <w:pPr>
              <w:spacing w:after="0" w:line="259" w:lineRule="auto"/>
              <w:ind w:left="0" w:right="0" w:firstLine="0"/>
              <w:jc w:val="left"/>
            </w:pPr>
            <w:r>
              <w:t>Очень низкий – ОН = клиническая стадия 1</w:t>
            </w:r>
          </w:p>
        </w:tc>
      </w:tr>
      <w:tr w:rsidR="00D27BC6">
        <w:trPr>
          <w:trHeight w:val="320"/>
        </w:trPr>
        <w:tc>
          <w:tcPr>
            <w:tcW w:w="10195" w:type="dxa"/>
            <w:tcBorders>
              <w:top w:val="single" w:sz="6" w:space="0" w:color="000000"/>
              <w:left w:val="single" w:sz="6" w:space="0" w:color="000000"/>
              <w:bottom w:val="single" w:sz="6" w:space="0" w:color="000000"/>
              <w:right w:val="single" w:sz="6" w:space="0" w:color="000000"/>
            </w:tcBorders>
            <w:shd w:val="clear" w:color="auto" w:fill="FFED00"/>
          </w:tcPr>
          <w:p w:rsidR="00D27BC6" w:rsidRDefault="004D5071">
            <w:pPr>
              <w:spacing w:after="0" w:line="259" w:lineRule="auto"/>
              <w:ind w:left="0" w:right="0" w:firstLine="0"/>
              <w:jc w:val="left"/>
            </w:pPr>
            <w:r>
              <w:t>Низкий – Н = клиническая стадия 2</w:t>
            </w:r>
          </w:p>
        </w:tc>
      </w:tr>
      <w:tr w:rsidR="00D27BC6">
        <w:trPr>
          <w:trHeight w:val="320"/>
        </w:trPr>
        <w:tc>
          <w:tcPr>
            <w:tcW w:w="10195" w:type="dxa"/>
            <w:tcBorders>
              <w:top w:val="single" w:sz="6" w:space="0" w:color="000000"/>
              <w:left w:val="single" w:sz="6" w:space="0" w:color="000000"/>
              <w:bottom w:val="single" w:sz="6" w:space="0" w:color="000000"/>
              <w:right w:val="single" w:sz="6" w:space="0" w:color="000000"/>
            </w:tcBorders>
            <w:shd w:val="clear" w:color="auto" w:fill="F39200"/>
          </w:tcPr>
          <w:p w:rsidR="00D27BC6" w:rsidRDefault="004D5071">
            <w:pPr>
              <w:spacing w:after="0" w:line="259" w:lineRule="auto"/>
              <w:ind w:left="0" w:right="0" w:firstLine="0"/>
              <w:jc w:val="left"/>
            </w:pPr>
            <w:r>
              <w:t>Умеренный – У = клиническая стадия 3</w:t>
            </w:r>
          </w:p>
        </w:tc>
      </w:tr>
      <w:tr w:rsidR="00D27BC6">
        <w:trPr>
          <w:trHeight w:val="320"/>
        </w:trPr>
        <w:tc>
          <w:tcPr>
            <w:tcW w:w="10195" w:type="dxa"/>
            <w:tcBorders>
              <w:top w:val="single" w:sz="6" w:space="0" w:color="000000"/>
              <w:left w:val="single" w:sz="6" w:space="0" w:color="000000"/>
              <w:bottom w:val="single" w:sz="6" w:space="0" w:color="000000"/>
              <w:right w:val="single" w:sz="6" w:space="0" w:color="000000"/>
            </w:tcBorders>
            <w:shd w:val="clear" w:color="auto" w:fill="D04E38"/>
          </w:tcPr>
          <w:p w:rsidR="00D27BC6" w:rsidRDefault="004D5071">
            <w:pPr>
              <w:spacing w:after="0" w:line="259" w:lineRule="auto"/>
              <w:ind w:left="0" w:right="0" w:firstLine="0"/>
              <w:jc w:val="left"/>
            </w:pPr>
            <w:r>
              <w:t>Высокий – В = клиническая стадия 4</w:t>
            </w:r>
          </w:p>
        </w:tc>
      </w:tr>
    </w:tbl>
    <w:p w:rsidR="00D27BC6" w:rsidRDefault="004D5071">
      <w:pPr>
        <w:spacing w:after="246"/>
        <w:ind w:left="-3" w:right="0"/>
      </w:pPr>
      <w:r>
        <w:rPr>
          <w:sz w:val="16"/>
        </w:rPr>
        <w:t>Клиническая стадия 5 – несохраняемая стопа</w:t>
      </w:r>
    </w:p>
    <w:p w:rsidR="00D27BC6" w:rsidRDefault="004D5071">
      <w:pPr>
        <w:pStyle w:val="Heading2"/>
        <w:ind w:left="-3"/>
      </w:pPr>
      <w:r>
        <w:t xml:space="preserve">Классификация раневых дефектов при СДС (по </w:t>
      </w:r>
      <w:r>
        <w:t>Wagner)</w:t>
      </w:r>
    </w:p>
    <w:tbl>
      <w:tblPr>
        <w:tblStyle w:val="TableGrid"/>
        <w:tblW w:w="10195" w:type="dxa"/>
        <w:tblInd w:w="9" w:type="dxa"/>
        <w:tblCellMar>
          <w:top w:w="9" w:type="dxa"/>
          <w:left w:w="57" w:type="dxa"/>
          <w:bottom w:w="0" w:type="dxa"/>
          <w:right w:w="115" w:type="dxa"/>
        </w:tblCellMar>
        <w:tblLook w:val="04A0" w:firstRow="1" w:lastRow="0" w:firstColumn="1" w:lastColumn="0" w:noHBand="0" w:noVBand="1"/>
      </w:tblPr>
      <w:tblGrid>
        <w:gridCol w:w="993"/>
        <w:gridCol w:w="9202"/>
      </w:tblGrid>
      <w:tr w:rsidR="00D27BC6">
        <w:trPr>
          <w:trHeight w:val="320"/>
        </w:trPr>
        <w:tc>
          <w:tcPr>
            <w:tcW w:w="993"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61" w:right="0" w:firstLine="0"/>
              <w:jc w:val="left"/>
            </w:pPr>
            <w:r>
              <w:rPr>
                <w:b/>
              </w:rPr>
              <w:t>Степень</w:t>
            </w:r>
          </w:p>
        </w:tc>
        <w:tc>
          <w:tcPr>
            <w:tcW w:w="920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Проявления</w:t>
            </w:r>
          </w:p>
        </w:tc>
      </w:tr>
      <w:tr w:rsidR="00D27BC6">
        <w:trPr>
          <w:trHeight w:val="560"/>
        </w:trPr>
        <w:tc>
          <w:tcPr>
            <w:tcW w:w="993"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0</w:t>
            </w:r>
          </w:p>
        </w:tc>
        <w:tc>
          <w:tcPr>
            <w:tcW w:w="920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Раневой дефект отсутствует, но есть сухость кожи, клювовидная деформация пальцев, выступание головок метатарзальных костей, другие костные и суставные аномалии</w:t>
            </w:r>
          </w:p>
        </w:tc>
      </w:tr>
      <w:tr w:rsidR="00D27BC6">
        <w:trPr>
          <w:trHeight w:val="320"/>
        </w:trPr>
        <w:tc>
          <w:tcPr>
            <w:tcW w:w="99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w:t>
            </w:r>
          </w:p>
        </w:tc>
        <w:tc>
          <w:tcPr>
            <w:tcW w:w="920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Поверхностный язвенный дефект без признаков инфицирования</w:t>
            </w:r>
          </w:p>
        </w:tc>
      </w:tr>
      <w:tr w:rsidR="00D27BC6">
        <w:trPr>
          <w:trHeight w:val="320"/>
        </w:trPr>
        <w:tc>
          <w:tcPr>
            <w:tcW w:w="99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2</w:t>
            </w:r>
          </w:p>
        </w:tc>
        <w:tc>
          <w:tcPr>
            <w:tcW w:w="920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Глубокая язва, обычно инфицированная, но без вовлечения костной ткани</w:t>
            </w:r>
          </w:p>
        </w:tc>
      </w:tr>
      <w:tr w:rsidR="00D27BC6">
        <w:trPr>
          <w:trHeight w:val="320"/>
        </w:trPr>
        <w:tc>
          <w:tcPr>
            <w:tcW w:w="99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3</w:t>
            </w:r>
          </w:p>
        </w:tc>
        <w:tc>
          <w:tcPr>
            <w:tcW w:w="920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Глубокая язва с вовлечением в процесс костной ткани, наличием остеомиелита</w:t>
            </w:r>
          </w:p>
        </w:tc>
      </w:tr>
      <w:tr w:rsidR="00D27BC6">
        <w:trPr>
          <w:trHeight w:val="320"/>
        </w:trPr>
        <w:tc>
          <w:tcPr>
            <w:tcW w:w="99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4</w:t>
            </w:r>
          </w:p>
        </w:tc>
        <w:tc>
          <w:tcPr>
            <w:tcW w:w="920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Ограниченная гангрена (пальца или стопы)</w:t>
            </w:r>
          </w:p>
        </w:tc>
      </w:tr>
      <w:tr w:rsidR="00D27BC6">
        <w:trPr>
          <w:trHeight w:val="320"/>
        </w:trPr>
        <w:tc>
          <w:tcPr>
            <w:tcW w:w="99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5</w:t>
            </w:r>
          </w:p>
        </w:tc>
        <w:tc>
          <w:tcPr>
            <w:tcW w:w="920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Гангрена всей стопы</w:t>
            </w:r>
          </w:p>
        </w:tc>
      </w:tr>
    </w:tbl>
    <w:p w:rsidR="00D27BC6" w:rsidRDefault="004D5071">
      <w:pPr>
        <w:spacing w:after="0" w:line="259" w:lineRule="auto"/>
        <w:ind w:left="10" w:right="4"/>
        <w:jc w:val="center"/>
      </w:pPr>
      <w:r>
        <w:rPr>
          <w:b/>
          <w:color w:val="6F6F6E"/>
          <w:sz w:val="18"/>
          <w:u w:val="single" w:color="6F6F6E"/>
        </w:rPr>
        <w:t>ДИАГНОСТИКА</w:t>
      </w:r>
    </w:p>
    <w:tbl>
      <w:tblPr>
        <w:tblStyle w:val="TableGrid"/>
        <w:tblW w:w="10195" w:type="dxa"/>
        <w:tblInd w:w="12" w:type="dxa"/>
        <w:tblCellMar>
          <w:top w:w="28" w:type="dxa"/>
          <w:left w:w="113" w:type="dxa"/>
          <w:bottom w:w="0" w:type="dxa"/>
          <w:right w:w="61" w:type="dxa"/>
        </w:tblCellMar>
        <w:tblLook w:val="04A0" w:firstRow="1" w:lastRow="0" w:firstColumn="1" w:lastColumn="0" w:noHBand="0" w:noVBand="1"/>
      </w:tblPr>
      <w:tblGrid>
        <w:gridCol w:w="273"/>
        <w:gridCol w:w="9921"/>
      </w:tblGrid>
      <w:tr w:rsidR="00D27BC6">
        <w:trPr>
          <w:trHeight w:val="341"/>
        </w:trPr>
        <w:tc>
          <w:tcPr>
            <w:tcW w:w="273" w:type="dxa"/>
            <w:tcBorders>
              <w:top w:val="single" w:sz="8" w:space="0" w:color="000000"/>
              <w:left w:val="single" w:sz="8" w:space="0" w:color="000000"/>
              <w:bottom w:val="nil"/>
              <w:right w:val="nil"/>
            </w:tcBorders>
          </w:tcPr>
          <w:p w:rsidR="00D27BC6" w:rsidRDefault="004D5071">
            <w:pPr>
              <w:spacing w:after="0" w:line="259" w:lineRule="auto"/>
              <w:ind w:left="0" w:right="42" w:firstLine="0"/>
              <w:jc w:val="center"/>
            </w:pPr>
            <w:r>
              <w:t xml:space="preserve">• </w:t>
            </w:r>
          </w:p>
        </w:tc>
        <w:tc>
          <w:tcPr>
            <w:tcW w:w="9921" w:type="dxa"/>
            <w:tcBorders>
              <w:top w:val="single" w:sz="8" w:space="0" w:color="000000"/>
              <w:left w:val="nil"/>
              <w:bottom w:val="nil"/>
              <w:right w:val="single" w:sz="8" w:space="0" w:color="000000"/>
            </w:tcBorders>
          </w:tcPr>
          <w:p w:rsidR="00D27BC6" w:rsidRDefault="004D5071">
            <w:pPr>
              <w:spacing w:after="0" w:line="259" w:lineRule="auto"/>
              <w:ind w:left="10" w:right="0" w:firstLine="0"/>
              <w:jc w:val="left"/>
            </w:pPr>
            <w:r>
              <w:t>Сбор анамнеза</w:t>
            </w:r>
          </w:p>
        </w:tc>
      </w:tr>
      <w:tr w:rsidR="00D27BC6">
        <w:trPr>
          <w:trHeight w:val="297"/>
        </w:trPr>
        <w:tc>
          <w:tcPr>
            <w:tcW w:w="273" w:type="dxa"/>
            <w:tcBorders>
              <w:top w:val="nil"/>
              <w:left w:val="single" w:sz="8" w:space="0" w:color="000000"/>
              <w:bottom w:val="nil"/>
              <w:right w:val="nil"/>
            </w:tcBorders>
          </w:tcPr>
          <w:p w:rsidR="00D27BC6" w:rsidRDefault="004D5071">
            <w:pPr>
              <w:spacing w:after="0" w:line="259" w:lineRule="auto"/>
              <w:ind w:left="0" w:right="42" w:firstLine="0"/>
              <w:jc w:val="center"/>
            </w:pPr>
            <w:r>
              <w:t xml:space="preserve">• </w:t>
            </w:r>
          </w:p>
        </w:tc>
        <w:tc>
          <w:tcPr>
            <w:tcW w:w="9921" w:type="dxa"/>
            <w:tcBorders>
              <w:top w:val="nil"/>
              <w:left w:val="nil"/>
              <w:bottom w:val="nil"/>
              <w:right w:val="single" w:sz="8" w:space="0" w:color="000000"/>
            </w:tcBorders>
          </w:tcPr>
          <w:p w:rsidR="00D27BC6" w:rsidRDefault="004D5071">
            <w:pPr>
              <w:spacing w:after="0" w:line="259" w:lineRule="auto"/>
              <w:ind w:left="10" w:right="0" w:firstLine="0"/>
              <w:jc w:val="left"/>
            </w:pPr>
            <w:r>
              <w:t>Осмотр нижних конечностей</w:t>
            </w:r>
          </w:p>
        </w:tc>
      </w:tr>
      <w:tr w:rsidR="00D27BC6">
        <w:trPr>
          <w:trHeight w:val="297"/>
        </w:trPr>
        <w:tc>
          <w:tcPr>
            <w:tcW w:w="273" w:type="dxa"/>
            <w:tcBorders>
              <w:top w:val="nil"/>
              <w:left w:val="single" w:sz="8" w:space="0" w:color="000000"/>
              <w:bottom w:val="nil"/>
              <w:right w:val="nil"/>
            </w:tcBorders>
          </w:tcPr>
          <w:p w:rsidR="00D27BC6" w:rsidRDefault="004D5071">
            <w:pPr>
              <w:spacing w:after="0" w:line="259" w:lineRule="auto"/>
              <w:ind w:left="0" w:right="42" w:firstLine="0"/>
              <w:jc w:val="center"/>
            </w:pPr>
            <w:r>
              <w:t xml:space="preserve">• </w:t>
            </w:r>
          </w:p>
        </w:tc>
        <w:tc>
          <w:tcPr>
            <w:tcW w:w="9921" w:type="dxa"/>
            <w:tcBorders>
              <w:top w:val="nil"/>
              <w:left w:val="nil"/>
              <w:bottom w:val="nil"/>
              <w:right w:val="single" w:sz="8" w:space="0" w:color="000000"/>
            </w:tcBorders>
          </w:tcPr>
          <w:p w:rsidR="00D27BC6" w:rsidRDefault="004D5071">
            <w:pPr>
              <w:spacing w:after="0" w:line="259" w:lineRule="auto"/>
              <w:ind w:left="10" w:right="0" w:firstLine="0"/>
              <w:jc w:val="left"/>
            </w:pPr>
            <w:r>
              <w:t>Оценка неврологического статуса</w:t>
            </w:r>
          </w:p>
        </w:tc>
      </w:tr>
      <w:tr w:rsidR="00D27BC6">
        <w:trPr>
          <w:trHeight w:val="297"/>
        </w:trPr>
        <w:tc>
          <w:tcPr>
            <w:tcW w:w="273" w:type="dxa"/>
            <w:tcBorders>
              <w:top w:val="nil"/>
              <w:left w:val="single" w:sz="8" w:space="0" w:color="000000"/>
              <w:bottom w:val="nil"/>
              <w:right w:val="nil"/>
            </w:tcBorders>
          </w:tcPr>
          <w:p w:rsidR="00D27BC6" w:rsidRDefault="004D5071">
            <w:pPr>
              <w:spacing w:after="0" w:line="259" w:lineRule="auto"/>
              <w:ind w:left="0" w:right="42" w:firstLine="0"/>
              <w:jc w:val="center"/>
            </w:pPr>
            <w:r>
              <w:t xml:space="preserve">• </w:t>
            </w:r>
          </w:p>
        </w:tc>
        <w:tc>
          <w:tcPr>
            <w:tcW w:w="9921" w:type="dxa"/>
            <w:tcBorders>
              <w:top w:val="nil"/>
              <w:left w:val="nil"/>
              <w:bottom w:val="nil"/>
              <w:right w:val="single" w:sz="8" w:space="0" w:color="000000"/>
            </w:tcBorders>
          </w:tcPr>
          <w:p w:rsidR="00D27BC6" w:rsidRDefault="004D5071">
            <w:pPr>
              <w:spacing w:after="0" w:line="259" w:lineRule="auto"/>
              <w:ind w:left="10" w:right="0" w:firstLine="0"/>
              <w:jc w:val="left"/>
            </w:pPr>
            <w:r>
              <w:t>Оценка состояния артериального кровотока нижних конечностей</w:t>
            </w:r>
          </w:p>
        </w:tc>
      </w:tr>
      <w:tr w:rsidR="00D27BC6">
        <w:trPr>
          <w:trHeight w:val="297"/>
        </w:trPr>
        <w:tc>
          <w:tcPr>
            <w:tcW w:w="273" w:type="dxa"/>
            <w:tcBorders>
              <w:top w:val="nil"/>
              <w:left w:val="single" w:sz="8" w:space="0" w:color="000000"/>
              <w:bottom w:val="nil"/>
              <w:right w:val="nil"/>
            </w:tcBorders>
          </w:tcPr>
          <w:p w:rsidR="00D27BC6" w:rsidRDefault="004D5071">
            <w:pPr>
              <w:spacing w:after="0" w:line="259" w:lineRule="auto"/>
              <w:ind w:left="0" w:right="42" w:firstLine="0"/>
              <w:jc w:val="center"/>
            </w:pPr>
            <w:r>
              <w:t xml:space="preserve">• </w:t>
            </w:r>
          </w:p>
        </w:tc>
        <w:tc>
          <w:tcPr>
            <w:tcW w:w="9921" w:type="dxa"/>
            <w:tcBorders>
              <w:top w:val="nil"/>
              <w:left w:val="nil"/>
              <w:bottom w:val="nil"/>
              <w:right w:val="single" w:sz="8" w:space="0" w:color="000000"/>
            </w:tcBorders>
          </w:tcPr>
          <w:p w:rsidR="00D27BC6" w:rsidRDefault="004D5071">
            <w:pPr>
              <w:spacing w:after="0" w:line="259" w:lineRule="auto"/>
              <w:ind w:left="10" w:right="0" w:firstLine="0"/>
              <w:jc w:val="left"/>
            </w:pPr>
            <w:r>
              <w:t>Рентгенография стоп и голеностопных суставов в прямой и боковой проекциях</w:t>
            </w:r>
          </w:p>
        </w:tc>
      </w:tr>
      <w:tr w:rsidR="00D27BC6">
        <w:trPr>
          <w:trHeight w:val="389"/>
        </w:trPr>
        <w:tc>
          <w:tcPr>
            <w:tcW w:w="273" w:type="dxa"/>
            <w:tcBorders>
              <w:top w:val="nil"/>
              <w:left w:val="single" w:sz="8" w:space="0" w:color="000000"/>
              <w:bottom w:val="single" w:sz="8" w:space="0" w:color="000000"/>
              <w:right w:val="nil"/>
            </w:tcBorders>
          </w:tcPr>
          <w:p w:rsidR="00D27BC6" w:rsidRDefault="004D5071">
            <w:pPr>
              <w:spacing w:after="0" w:line="259" w:lineRule="auto"/>
              <w:ind w:left="0" w:right="42" w:firstLine="0"/>
              <w:jc w:val="center"/>
            </w:pPr>
            <w:r>
              <w:t xml:space="preserve">• </w:t>
            </w:r>
          </w:p>
        </w:tc>
        <w:tc>
          <w:tcPr>
            <w:tcW w:w="9921" w:type="dxa"/>
            <w:tcBorders>
              <w:top w:val="nil"/>
              <w:left w:val="nil"/>
              <w:bottom w:val="single" w:sz="8" w:space="0" w:color="000000"/>
              <w:right w:val="single" w:sz="8" w:space="0" w:color="000000"/>
            </w:tcBorders>
          </w:tcPr>
          <w:p w:rsidR="00D27BC6" w:rsidRDefault="004D5071">
            <w:pPr>
              <w:spacing w:after="0" w:line="259" w:lineRule="auto"/>
              <w:ind w:left="10" w:right="0" w:firstLine="0"/>
              <w:jc w:val="left"/>
            </w:pPr>
            <w:r>
              <w:t>Бактериологическое исследование тканей раны</w:t>
            </w:r>
          </w:p>
        </w:tc>
      </w:tr>
    </w:tbl>
    <w:p w:rsidR="00D27BC6" w:rsidRDefault="004D5071">
      <w:pPr>
        <w:numPr>
          <w:ilvl w:val="0"/>
          <w:numId w:val="118"/>
        </w:numPr>
        <w:ind w:right="51" w:hanging="283"/>
        <w:jc w:val="left"/>
      </w:pPr>
      <w:r>
        <w:rPr>
          <w:b/>
        </w:rPr>
        <w:t>Анамнез</w:t>
      </w:r>
    </w:p>
    <w:tbl>
      <w:tblPr>
        <w:tblStyle w:val="TableGrid"/>
        <w:tblW w:w="10195" w:type="dxa"/>
        <w:tblInd w:w="9" w:type="dxa"/>
        <w:tblCellMar>
          <w:top w:w="9" w:type="dxa"/>
          <w:left w:w="57" w:type="dxa"/>
          <w:bottom w:w="0" w:type="dxa"/>
          <w:right w:w="91" w:type="dxa"/>
        </w:tblCellMar>
        <w:tblLook w:val="04A0" w:firstRow="1" w:lastRow="0" w:firstColumn="1" w:lastColumn="0" w:noHBand="0" w:noVBand="1"/>
      </w:tblPr>
      <w:tblGrid>
        <w:gridCol w:w="5097"/>
        <w:gridCol w:w="5097"/>
      </w:tblGrid>
      <w:tr w:rsidR="00D27BC6">
        <w:trPr>
          <w:trHeight w:val="32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35" w:right="0" w:firstLine="0"/>
              <w:jc w:val="center"/>
            </w:pPr>
            <w:r>
              <w:rPr>
                <w:b/>
              </w:rPr>
              <w:t>Нейропатическая форма</w:t>
            </w:r>
          </w:p>
        </w:tc>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35" w:right="0" w:firstLine="0"/>
              <w:jc w:val="center"/>
            </w:pPr>
            <w:r>
              <w:rPr>
                <w:b/>
              </w:rPr>
              <w:t>Ишемическая форма</w:t>
            </w:r>
          </w:p>
        </w:tc>
      </w:tr>
      <w:tr w:rsidR="00D27BC6">
        <w:trPr>
          <w:trHeight w:val="80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Длительное течение СД</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Артериальная гипертензия и/или дислипидемия</w:t>
            </w:r>
          </w:p>
        </w:tc>
      </w:tr>
      <w:tr w:rsidR="00D27BC6">
        <w:trPr>
          <w:trHeight w:val="80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Наличие в анамнезе трофических язв стоп, ампутаций пальцев или отделов стопы, деформаций стоп, ногтевых пластинок</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Наличие в анамнезе ИБС, цереброваскулярных заболеваний</w:t>
            </w:r>
          </w:p>
        </w:tc>
      </w:tr>
      <w:tr w:rsidR="00D27BC6">
        <w:trPr>
          <w:trHeight w:val="80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Злоупотребление алкоголем</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Курение</w:t>
            </w:r>
          </w:p>
        </w:tc>
      </w:tr>
    </w:tbl>
    <w:p w:rsidR="00D27BC6" w:rsidRDefault="004D5071">
      <w:pPr>
        <w:numPr>
          <w:ilvl w:val="0"/>
          <w:numId w:val="118"/>
        </w:numPr>
        <w:ind w:right="51" w:hanging="283"/>
        <w:jc w:val="left"/>
      </w:pPr>
      <w:r>
        <w:rPr>
          <w:b/>
        </w:rPr>
        <w:t>Осмотр нижних конечностей</w:t>
      </w:r>
    </w:p>
    <w:tbl>
      <w:tblPr>
        <w:tblStyle w:val="TableGrid"/>
        <w:tblW w:w="10195" w:type="dxa"/>
        <w:tblInd w:w="9" w:type="dxa"/>
        <w:tblCellMar>
          <w:top w:w="9" w:type="dxa"/>
          <w:left w:w="57" w:type="dxa"/>
          <w:bottom w:w="0" w:type="dxa"/>
          <w:right w:w="115" w:type="dxa"/>
        </w:tblCellMar>
        <w:tblLook w:val="04A0" w:firstRow="1" w:lastRow="0" w:firstColumn="1" w:lastColumn="0" w:noHBand="0" w:noVBand="1"/>
      </w:tblPr>
      <w:tblGrid>
        <w:gridCol w:w="5097"/>
        <w:gridCol w:w="5097"/>
      </w:tblGrid>
      <w:tr w:rsidR="00D27BC6">
        <w:trPr>
          <w:trHeight w:val="32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Нейропатическая форма</w:t>
            </w:r>
          </w:p>
        </w:tc>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Ишемическая форма</w:t>
            </w:r>
          </w:p>
        </w:tc>
      </w:tr>
      <w:tr w:rsidR="00D27BC6">
        <w:trPr>
          <w:trHeight w:val="66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Сухая кожа, участки гиперкератоза в областях избыточного нагрузочного давления на стопах</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Кожа бледная или цианотичная, атрофична, часто трещины</w:t>
            </w:r>
          </w:p>
        </w:tc>
      </w:tr>
      <w:tr w:rsidR="00D27BC6">
        <w:trPr>
          <w:trHeight w:val="66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Специфичная для СД деформация стоп, пальцев, голеностопных суставов</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Деформация пальцев стопы носит неспецифичный характер</w:t>
            </w:r>
          </w:p>
        </w:tc>
      </w:tr>
      <w:tr w:rsidR="00D27BC6">
        <w:trPr>
          <w:trHeight w:val="66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Пульсация на артериях стоп сохранена с обеих сторон</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Пульсация на артериях стоп снижена или отсутствует</w:t>
            </w:r>
          </w:p>
        </w:tc>
      </w:tr>
      <w:tr w:rsidR="00D27BC6">
        <w:trPr>
          <w:trHeight w:val="66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Язвенные дефекты в зонах избыточного нагрузочного давления, безболезненные</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Акральные некрозы, резко болезненные</w:t>
            </w:r>
          </w:p>
        </w:tc>
      </w:tr>
      <w:tr w:rsidR="00D27BC6">
        <w:trPr>
          <w:trHeight w:val="660"/>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Субъективная симптоматика отсутствует</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Перемежающаяся хромота*</w:t>
            </w:r>
          </w:p>
        </w:tc>
      </w:tr>
    </w:tbl>
    <w:p w:rsidR="00D27BC6" w:rsidRDefault="004D5071">
      <w:pPr>
        <w:spacing w:after="148"/>
        <w:ind w:left="-3" w:right="0"/>
      </w:pPr>
      <w:r>
        <w:t>*</w:t>
      </w:r>
      <w:r>
        <w:rPr>
          <w:sz w:val="16"/>
        </w:rPr>
        <w:t xml:space="preserve"> У больных с диабетической нейропатией может отсутствовать.</w:t>
      </w:r>
    </w:p>
    <w:p w:rsidR="00D27BC6" w:rsidRDefault="004D5071">
      <w:pPr>
        <w:ind w:left="2" w:right="6610" w:firstLine="283"/>
        <w:jc w:val="left"/>
      </w:pPr>
      <w:r>
        <w:rPr>
          <w:b/>
        </w:rPr>
        <w:t xml:space="preserve">При осмотре раны следует оценить: </w:t>
      </w:r>
      <w:r>
        <w:t xml:space="preserve">• </w:t>
      </w:r>
      <w:r>
        <w:tab/>
        <w:t xml:space="preserve">локализация раны </w:t>
      </w:r>
    </w:p>
    <w:p w:rsidR="00D27BC6" w:rsidRDefault="004D5071">
      <w:pPr>
        <w:numPr>
          <w:ilvl w:val="0"/>
          <w:numId w:val="119"/>
        </w:numPr>
        <w:ind w:right="0" w:hanging="283"/>
      </w:pPr>
      <w:r>
        <w:t>размер раны:</w:t>
      </w:r>
    </w:p>
    <w:p w:rsidR="00D27BC6" w:rsidRDefault="004D5071">
      <w:pPr>
        <w:numPr>
          <w:ilvl w:val="1"/>
          <w:numId w:val="119"/>
        </w:numPr>
        <w:ind w:left="568" w:right="0" w:hanging="283"/>
      </w:pPr>
      <w:r>
        <w:t>длина и ширина</w:t>
      </w:r>
    </w:p>
    <w:p w:rsidR="00D27BC6" w:rsidRDefault="004D5071">
      <w:pPr>
        <w:numPr>
          <w:ilvl w:val="1"/>
          <w:numId w:val="119"/>
        </w:numPr>
        <w:ind w:left="568" w:right="0" w:hanging="283"/>
      </w:pPr>
      <w:r>
        <w:t>площадь</w:t>
      </w:r>
    </w:p>
    <w:p w:rsidR="00D27BC6" w:rsidRDefault="004D5071">
      <w:pPr>
        <w:numPr>
          <w:ilvl w:val="1"/>
          <w:numId w:val="119"/>
        </w:numPr>
        <w:ind w:left="568" w:right="0" w:hanging="283"/>
      </w:pPr>
      <w:r>
        <w:t>глубина</w:t>
      </w:r>
    </w:p>
    <w:p w:rsidR="00D27BC6" w:rsidRDefault="004D5071">
      <w:pPr>
        <w:numPr>
          <w:ilvl w:val="1"/>
          <w:numId w:val="119"/>
        </w:numPr>
        <w:ind w:left="568" w:right="0" w:hanging="283"/>
      </w:pPr>
      <w:r>
        <w:t>объём</w:t>
      </w:r>
    </w:p>
    <w:p w:rsidR="00D27BC6" w:rsidRDefault="004D5071">
      <w:pPr>
        <w:numPr>
          <w:ilvl w:val="0"/>
          <w:numId w:val="119"/>
        </w:numPr>
        <w:ind w:right="0" w:hanging="283"/>
      </w:pPr>
      <w:r>
        <w:t>тип ткани, присутствующий в ране:</w:t>
      </w:r>
    </w:p>
    <w:p w:rsidR="00D27BC6" w:rsidRDefault="004D5071">
      <w:pPr>
        <w:numPr>
          <w:ilvl w:val="1"/>
          <w:numId w:val="119"/>
        </w:numPr>
        <w:ind w:left="568" w:right="0" w:hanging="283"/>
      </w:pPr>
      <w:r>
        <w:t>некроз, грануляционная ткань, подлежащие структуры (сухожилия, капсулы суставов, кости)</w:t>
      </w:r>
    </w:p>
    <w:p w:rsidR="00D27BC6" w:rsidRDefault="004D5071">
      <w:pPr>
        <w:numPr>
          <w:ilvl w:val="1"/>
          <w:numId w:val="119"/>
        </w:numPr>
        <w:ind w:left="568" w:right="0" w:hanging="283"/>
      </w:pPr>
      <w:r>
        <w:t>оценить цвет и консистенцию</w:t>
      </w:r>
    </w:p>
    <w:p w:rsidR="00D27BC6" w:rsidRDefault="004D5071">
      <w:pPr>
        <w:numPr>
          <w:ilvl w:val="1"/>
          <w:numId w:val="119"/>
        </w:numPr>
        <w:ind w:left="568" w:right="0" w:hanging="283"/>
      </w:pPr>
      <w:r>
        <w:t>процент площади раны, покрытой каждым типом ткани</w:t>
      </w:r>
    </w:p>
    <w:p w:rsidR="00D27BC6" w:rsidRDefault="004D5071">
      <w:pPr>
        <w:numPr>
          <w:ilvl w:val="0"/>
          <w:numId w:val="119"/>
        </w:numPr>
        <w:ind w:right="0" w:hanging="283"/>
      </w:pPr>
      <w:r>
        <w:t>экссудат:</w:t>
      </w:r>
    </w:p>
    <w:p w:rsidR="00D27BC6" w:rsidRDefault="004D5071">
      <w:pPr>
        <w:numPr>
          <w:ilvl w:val="1"/>
          <w:numId w:val="119"/>
        </w:numPr>
        <w:ind w:left="568" w:right="0" w:hanging="283"/>
      </w:pPr>
      <w:r>
        <w:t xml:space="preserve">количество </w:t>
      </w:r>
    </w:p>
    <w:p w:rsidR="00D27BC6" w:rsidRDefault="004D5071">
      <w:pPr>
        <w:numPr>
          <w:ilvl w:val="1"/>
          <w:numId w:val="119"/>
        </w:numPr>
        <w:ind w:left="568" w:right="0" w:hanging="283"/>
      </w:pPr>
      <w:r>
        <w:t>цвет</w:t>
      </w:r>
    </w:p>
    <w:p w:rsidR="00D27BC6" w:rsidRDefault="004D5071">
      <w:pPr>
        <w:numPr>
          <w:ilvl w:val="1"/>
          <w:numId w:val="119"/>
        </w:numPr>
        <w:ind w:left="568" w:right="0" w:hanging="283"/>
      </w:pPr>
      <w:r>
        <w:t>вязкость</w:t>
      </w:r>
    </w:p>
    <w:p w:rsidR="00D27BC6" w:rsidRDefault="004D5071">
      <w:pPr>
        <w:numPr>
          <w:ilvl w:val="1"/>
          <w:numId w:val="119"/>
        </w:numPr>
        <w:ind w:left="568" w:right="0" w:hanging="283"/>
      </w:pPr>
      <w:r>
        <w:t>наличие гнойного отделяемого</w:t>
      </w:r>
    </w:p>
    <w:p w:rsidR="00D27BC6" w:rsidRDefault="004D5071">
      <w:pPr>
        <w:numPr>
          <w:ilvl w:val="0"/>
          <w:numId w:val="119"/>
        </w:numPr>
        <w:ind w:right="0" w:hanging="283"/>
      </w:pPr>
      <w:r>
        <w:t>края раны:</w:t>
      </w:r>
    </w:p>
    <w:p w:rsidR="00D27BC6" w:rsidRDefault="004D5071">
      <w:pPr>
        <w:numPr>
          <w:ilvl w:val="1"/>
          <w:numId w:val="119"/>
        </w:numPr>
        <w:ind w:left="568" w:right="0" w:hanging="283"/>
      </w:pPr>
      <w:r>
        <w:t>приподнятый кр</w:t>
      </w:r>
      <w:r>
        <w:t>ай</w:t>
      </w:r>
    </w:p>
    <w:p w:rsidR="00D27BC6" w:rsidRDefault="004D5071">
      <w:pPr>
        <w:numPr>
          <w:ilvl w:val="1"/>
          <w:numId w:val="119"/>
        </w:numPr>
        <w:ind w:left="568" w:right="0" w:hanging="283"/>
      </w:pPr>
      <w:r>
        <w:t>гиперкератоз</w:t>
      </w:r>
    </w:p>
    <w:p w:rsidR="00D27BC6" w:rsidRDefault="004D5071">
      <w:pPr>
        <w:numPr>
          <w:ilvl w:val="1"/>
          <w:numId w:val="119"/>
        </w:numPr>
        <w:ind w:left="568" w:right="0" w:hanging="283"/>
      </w:pPr>
      <w:r>
        <w:t>карманы (глубина, длина)</w:t>
      </w:r>
    </w:p>
    <w:p w:rsidR="00D27BC6" w:rsidRDefault="004D5071">
      <w:pPr>
        <w:numPr>
          <w:ilvl w:val="0"/>
          <w:numId w:val="119"/>
        </w:numPr>
        <w:ind w:right="0" w:hanging="283"/>
      </w:pPr>
      <w:r>
        <w:t>окружающая кожа:</w:t>
      </w:r>
    </w:p>
    <w:p w:rsidR="00D27BC6" w:rsidRDefault="004D5071">
      <w:pPr>
        <w:numPr>
          <w:ilvl w:val="1"/>
          <w:numId w:val="119"/>
        </w:numPr>
        <w:ind w:left="568" w:right="0" w:hanging="283"/>
      </w:pPr>
      <w:r>
        <w:t>мацерация</w:t>
      </w:r>
    </w:p>
    <w:p w:rsidR="00D27BC6" w:rsidRDefault="004D5071">
      <w:pPr>
        <w:numPr>
          <w:ilvl w:val="1"/>
          <w:numId w:val="119"/>
        </w:numPr>
        <w:ind w:left="568" w:right="0" w:hanging="283"/>
      </w:pPr>
      <w:r>
        <w:t>гиперемия</w:t>
      </w:r>
    </w:p>
    <w:p w:rsidR="00D27BC6" w:rsidRDefault="004D5071">
      <w:pPr>
        <w:numPr>
          <w:ilvl w:val="1"/>
          <w:numId w:val="119"/>
        </w:numPr>
        <w:ind w:left="568" w:right="0" w:hanging="283"/>
      </w:pPr>
      <w:r>
        <w:t>отёк</w:t>
      </w:r>
    </w:p>
    <w:p w:rsidR="00D27BC6" w:rsidRDefault="004D5071">
      <w:pPr>
        <w:numPr>
          <w:ilvl w:val="0"/>
          <w:numId w:val="119"/>
        </w:numPr>
        <w:ind w:right="0" w:hanging="283"/>
      </w:pPr>
      <w:r>
        <w:t>запах</w:t>
      </w:r>
    </w:p>
    <w:p w:rsidR="00D27BC6" w:rsidRDefault="004D5071">
      <w:pPr>
        <w:numPr>
          <w:ilvl w:val="0"/>
          <w:numId w:val="119"/>
        </w:numPr>
        <w:ind w:right="0" w:hanging="283"/>
      </w:pPr>
      <w:r>
        <w:t>боль (локальная болезненность, степень)</w:t>
      </w:r>
    </w:p>
    <w:p w:rsidR="00D27BC6" w:rsidRDefault="004D5071">
      <w:pPr>
        <w:numPr>
          <w:ilvl w:val="0"/>
          <w:numId w:val="119"/>
        </w:numPr>
        <w:spacing w:after="226"/>
        <w:ind w:right="0" w:hanging="283"/>
      </w:pPr>
      <w:r>
        <w:t>признаки инфекции (местные, системные)</w:t>
      </w:r>
    </w:p>
    <w:p w:rsidR="00D27BC6" w:rsidRDefault="004D5071">
      <w:pPr>
        <w:ind w:left="281" w:right="51"/>
        <w:jc w:val="left"/>
      </w:pPr>
      <w:r>
        <w:rPr>
          <w:b/>
        </w:rPr>
        <w:t>Оценка неврологического статуса</w:t>
      </w:r>
    </w:p>
    <w:p w:rsidR="00D27BC6" w:rsidRDefault="004D5071">
      <w:pPr>
        <w:spacing w:line="473" w:lineRule="auto"/>
        <w:ind w:left="295" w:right="3251"/>
      </w:pPr>
      <w:r>
        <w:t xml:space="preserve">См. обязательные методы исследования диабетической нейропатии. </w:t>
      </w:r>
      <w:r>
        <w:rPr>
          <w:b/>
        </w:rPr>
        <w:t>Оценка состояния артериального кровотока</w:t>
      </w:r>
      <w:r>
        <w:t xml:space="preserve"> (см. раздел 10.3)</w:t>
      </w:r>
    </w:p>
    <w:p w:rsidR="00D27BC6" w:rsidRDefault="004D5071">
      <w:pPr>
        <w:spacing w:after="243" w:line="259" w:lineRule="auto"/>
        <w:ind w:left="10" w:right="2"/>
        <w:jc w:val="center"/>
      </w:pPr>
      <w:r>
        <w:rPr>
          <w:b/>
          <w:color w:val="6F6F6E"/>
          <w:sz w:val="18"/>
          <w:u w:val="single" w:color="6F6F6E"/>
        </w:rPr>
        <w:t>ПРИНЦИПЫ МЕСТНОГО ЛЕЧЕНИЯ:</w:t>
      </w:r>
    </w:p>
    <w:p w:rsidR="00D27BC6" w:rsidRDefault="004D5071">
      <w:pPr>
        <w:numPr>
          <w:ilvl w:val="0"/>
          <w:numId w:val="119"/>
        </w:numPr>
        <w:ind w:right="0" w:hanging="283"/>
      </w:pPr>
      <w:r>
        <w:rPr>
          <w:b/>
        </w:rPr>
        <w:t xml:space="preserve">Хирургическая обработка </w:t>
      </w:r>
    </w:p>
    <w:p w:rsidR="00D27BC6" w:rsidRDefault="004D5071">
      <w:pPr>
        <w:ind w:left="-11" w:right="0" w:firstLine="283"/>
      </w:pPr>
      <w:r>
        <w:t>Хирургическая обработка является важным аспектом лечения ран и направлена на устра</w:t>
      </w:r>
      <w:r>
        <w:t>нение фибрина, некротически изменённых тканей и гиперкератозов по краям раны. В ряде случаев для ускорения очищения раны могут быть использованы повязки, стимулирующие аутолиз. Обработка раневых дефектов может быть выполнена как до, так и после восстановле</w:t>
      </w:r>
      <w:r>
        <w:t>ния кровотока, в зависимости от тяжести раневой инфекции и общего состояния пациента.</w:t>
      </w:r>
    </w:p>
    <w:p w:rsidR="00D27BC6" w:rsidRDefault="004D5071">
      <w:pPr>
        <w:numPr>
          <w:ilvl w:val="0"/>
          <w:numId w:val="119"/>
        </w:numPr>
        <w:ind w:right="0" w:hanging="283"/>
      </w:pPr>
      <w:r>
        <w:rPr>
          <w:b/>
        </w:rPr>
        <w:t>Устранение ишемии</w:t>
      </w:r>
    </w:p>
    <w:p w:rsidR="00D27BC6" w:rsidRDefault="004D5071">
      <w:pPr>
        <w:ind w:left="-11" w:right="0" w:firstLine="283"/>
      </w:pPr>
      <w:r>
        <w:t>При наличии критической ишемии, угрожающей потерей конечности, показано проведение реваскуляризации пораженной конечности (эндоваскулярная хирургия, шун</w:t>
      </w:r>
      <w:r>
        <w:t xml:space="preserve">тирующее вмешательство, гибридная операция) (см. раздел 10.3). </w:t>
      </w:r>
    </w:p>
    <w:p w:rsidR="00D27BC6" w:rsidRDefault="004D5071">
      <w:pPr>
        <w:numPr>
          <w:ilvl w:val="0"/>
          <w:numId w:val="119"/>
        </w:numPr>
        <w:ind w:right="0" w:hanging="283"/>
      </w:pPr>
      <w:r>
        <w:rPr>
          <w:b/>
        </w:rPr>
        <w:t>Устранение отёка</w:t>
      </w:r>
    </w:p>
    <w:p w:rsidR="00D27BC6" w:rsidRDefault="004D5071">
      <w:pPr>
        <w:ind w:left="-11" w:right="0" w:firstLine="283"/>
      </w:pPr>
      <w:r>
        <w:t>Отек нижних конечностей может увеличить риск повреждения кожи от повязок, пластырей или фиксаторов. Причина отечного синдрома должна быть верифицирована (например, венозная не</w:t>
      </w:r>
      <w:r>
        <w:t>достаточность или лимфедема, сердечная или дыхательная недостаточность, заболевания почек) и вовремя скорректирована. Уменьшение выраженности отека может быть достигнуто компрессионной терапией при отсутствии клинически значимой артериальной недостаточност</w:t>
      </w:r>
      <w:r>
        <w:t xml:space="preserve">и. Это снизит риск давления на нижнюю конечность при ношении разгрузочных средств. </w:t>
      </w:r>
    </w:p>
    <w:p w:rsidR="00D27BC6" w:rsidRDefault="004D5071">
      <w:pPr>
        <w:numPr>
          <w:ilvl w:val="0"/>
          <w:numId w:val="119"/>
        </w:numPr>
        <w:ind w:right="0" w:hanging="283"/>
      </w:pPr>
      <w:r>
        <w:rPr>
          <w:b/>
        </w:rPr>
        <w:t>Очищение</w:t>
      </w:r>
    </w:p>
    <w:p w:rsidR="00D27BC6" w:rsidRDefault="004D5071">
      <w:pPr>
        <w:ind w:left="295" w:right="0"/>
      </w:pPr>
      <w:r>
        <w:t>При промывании раны рекомендуется использовать физиологический раствор.</w:t>
      </w:r>
    </w:p>
    <w:p w:rsidR="00D27BC6" w:rsidRDefault="004D5071">
      <w:pPr>
        <w:numPr>
          <w:ilvl w:val="0"/>
          <w:numId w:val="119"/>
        </w:numPr>
        <w:ind w:right="0" w:hanging="283"/>
      </w:pPr>
      <w:r>
        <w:rPr>
          <w:b/>
        </w:rPr>
        <w:t>Контроль экссудации</w:t>
      </w:r>
    </w:p>
    <w:p w:rsidR="00D27BC6" w:rsidRDefault="004D5071">
      <w:pPr>
        <w:ind w:left="-11" w:right="0" w:firstLine="283"/>
      </w:pPr>
      <w:r>
        <w:t>Контроль уровня экссудата является важным компонентом в лечении ран и и</w:t>
      </w:r>
      <w:r>
        <w:t>грает определяющую роль в выборе перевязочного средства. Повязка должна создавать оптимальную среду для ускорения миграции клеток, облегчать аутолиз нежизнеспособных тканей, предотвращать при этом мацерацию краёв раны. Выбранная повязка должна поддерживать</w:t>
      </w:r>
      <w:r>
        <w:t xml:space="preserve"> влажную среду в ране, контролировать уровень экссудата и препятствовать мацерации краев. Она должна быть хорошо зафиксирована на ране, чтобы не травмировать ее за счет своей подвижности. </w:t>
      </w:r>
    </w:p>
    <w:p w:rsidR="00D27BC6" w:rsidRDefault="004D5071">
      <w:pPr>
        <w:numPr>
          <w:ilvl w:val="0"/>
          <w:numId w:val="119"/>
        </w:numPr>
        <w:ind w:right="0" w:hanging="283"/>
      </w:pPr>
      <w:r>
        <w:rPr>
          <w:b/>
        </w:rPr>
        <w:t>Разгрузка конечности</w:t>
      </w:r>
    </w:p>
    <w:p w:rsidR="00D27BC6" w:rsidRDefault="004D5071">
      <w:pPr>
        <w:ind w:left="295" w:right="0"/>
      </w:pPr>
      <w:r>
        <w:t>Для разгрузки могут быть использованы:</w:t>
      </w:r>
    </w:p>
    <w:p w:rsidR="00D27BC6" w:rsidRDefault="004D5071">
      <w:pPr>
        <w:numPr>
          <w:ilvl w:val="1"/>
          <w:numId w:val="119"/>
        </w:numPr>
        <w:ind w:left="568" w:right="0" w:hanging="283"/>
      </w:pPr>
      <w:r>
        <w:t>кресло-каталка</w:t>
      </w:r>
    </w:p>
    <w:p w:rsidR="00D27BC6" w:rsidRDefault="004D5071">
      <w:pPr>
        <w:numPr>
          <w:ilvl w:val="1"/>
          <w:numId w:val="119"/>
        </w:numPr>
        <w:ind w:left="568" w:right="0" w:hanging="283"/>
      </w:pPr>
      <w:r>
        <w:t xml:space="preserve">индивидуальная разгрузочная повязка (Total Сontact Сast) </w:t>
      </w:r>
    </w:p>
    <w:p w:rsidR="00D27BC6" w:rsidRDefault="004D5071">
      <w:pPr>
        <w:numPr>
          <w:ilvl w:val="1"/>
          <w:numId w:val="119"/>
        </w:numPr>
        <w:ind w:left="568" w:right="0" w:hanging="283"/>
      </w:pPr>
      <w:r>
        <w:t>разгрузочный полубашмак</w:t>
      </w:r>
    </w:p>
    <w:p w:rsidR="00D27BC6" w:rsidRDefault="004D5071">
      <w:pPr>
        <w:numPr>
          <w:ilvl w:val="1"/>
          <w:numId w:val="119"/>
        </w:numPr>
        <w:ind w:left="568" w:right="0" w:hanging="283"/>
      </w:pPr>
      <w:r>
        <w:t>пневмоортез (AirCast), тутор</w:t>
      </w:r>
    </w:p>
    <w:p w:rsidR="00D27BC6" w:rsidRDefault="004D5071">
      <w:pPr>
        <w:ind w:left="295" w:right="0"/>
      </w:pPr>
      <w:r>
        <w:t>Несъемные устройства демонстрируют более высокие показатели заживления, чем съемные устройства.</w:t>
      </w:r>
    </w:p>
    <w:p w:rsidR="00D27BC6" w:rsidRDefault="004D5071">
      <w:pPr>
        <w:numPr>
          <w:ilvl w:val="0"/>
          <w:numId w:val="119"/>
        </w:numPr>
        <w:ind w:right="0" w:hanging="283"/>
      </w:pPr>
      <w:r>
        <w:rPr>
          <w:b/>
        </w:rPr>
        <w:t>Адъювантная терапия</w:t>
      </w:r>
    </w:p>
    <w:p w:rsidR="00D27BC6" w:rsidRDefault="004D5071">
      <w:pPr>
        <w:ind w:left="-11" w:right="0" w:firstLine="283"/>
      </w:pPr>
      <w:r>
        <w:t>Если раневой д</w:t>
      </w:r>
      <w:r>
        <w:t>ефект за 4 недели стандартного лечения не уменьшился на 50% от исходного размера, можно использовать адъювантные (дополнительные) методы. Адъювантная терапия может включать в себя местное введение факторов роста, ацеллюлярный матрикс или использование колл</w:t>
      </w:r>
      <w:r>
        <w:t>агенсодержащих повязок или терапию отрицательным давлением. В отечественной клинической практике доступными являются препараты на основе эпидермального ростового фактора. Использование отрицательного давления (NPWT) возможно у пациентов с нейропатической и</w:t>
      </w:r>
      <w:r>
        <w:t xml:space="preserve"> нейроишемической (после восстановления кровотока) формой синдрома. Абсолютно противопоказано использование NPWT у больных с критической ишемией конечности (TcpO</w:t>
      </w:r>
      <w:r>
        <w:rPr>
          <w:sz w:val="18"/>
          <w:vertAlign w:val="subscript"/>
        </w:rPr>
        <w:t>2</w:t>
      </w:r>
      <w:r>
        <w:t xml:space="preserve"> &lt;30 мм рт.ст.), остеомиелитом, флегмоной и гангреной стопы.</w:t>
      </w:r>
    </w:p>
    <w:p w:rsidR="00D27BC6" w:rsidRDefault="004D5071">
      <w:pPr>
        <w:ind w:left="-11" w:right="0" w:firstLine="283"/>
      </w:pPr>
      <w:r>
        <w:t>При неэффективности рассмотреть необходимость проведения хирургической ортопедической разгрузки (за счет коррекции деформации стопы).</w:t>
      </w:r>
    </w:p>
    <w:p w:rsidR="00D27BC6" w:rsidRDefault="004D5071">
      <w:pPr>
        <w:pStyle w:val="Heading3"/>
        <w:spacing w:after="86"/>
        <w:ind w:left="895" w:right="849"/>
      </w:pPr>
      <w:r>
        <w:t>Алгоритм диагностики и лечения пациентов с деформациями стоп при нейропатической и нейроишемической форме СДС</w:t>
      </w:r>
    </w:p>
    <w:p w:rsidR="00D27BC6" w:rsidRDefault="004D5071">
      <w:pPr>
        <w:ind w:left="1299" w:right="0"/>
      </w:pPr>
      <w:r>
        <w:t>Осмотр нижни</w:t>
      </w:r>
      <w:r>
        <w:t>х конечностей, оценка чувствительности, уровень гликированного гемоглобина</w:t>
      </w:r>
    </w:p>
    <w:p w:rsidR="00D27BC6" w:rsidRDefault="004D5071">
      <w:pPr>
        <w:spacing w:after="262" w:line="259" w:lineRule="auto"/>
        <w:ind w:left="9" w:right="0" w:firstLine="0"/>
        <w:jc w:val="left"/>
      </w:pPr>
      <w:r>
        <w:rPr>
          <w:noProof/>
          <w:sz w:val="22"/>
        </w:rPr>
        <mc:AlternateContent>
          <mc:Choice Requires="wpg">
            <w:drawing>
              <wp:inline distT="0" distB="0" distL="0" distR="0">
                <wp:extent cx="6471311" cy="5159110"/>
                <wp:effectExtent l="0" t="0" r="0" b="0"/>
                <wp:docPr id="281632" name="Group 281632"/>
                <wp:cNvGraphicFramePr/>
                <a:graphic xmlns:a="http://schemas.openxmlformats.org/drawingml/2006/main">
                  <a:graphicData uri="http://schemas.microsoft.com/office/word/2010/wordprocessingGroup">
                    <wpg:wgp>
                      <wpg:cNvGrpSpPr/>
                      <wpg:grpSpPr>
                        <a:xfrm>
                          <a:off x="0" y="0"/>
                          <a:ext cx="6471311" cy="5159110"/>
                          <a:chOff x="0" y="0"/>
                          <a:chExt cx="6471311" cy="5159110"/>
                        </a:xfrm>
                      </wpg:grpSpPr>
                      <wps:wsp>
                        <wps:cNvPr id="19256" name="Rectangle 19256"/>
                        <wps:cNvSpPr/>
                        <wps:spPr>
                          <a:xfrm>
                            <a:off x="510047" y="384246"/>
                            <a:ext cx="1024270" cy="203030"/>
                          </a:xfrm>
                          <a:prstGeom prst="rect">
                            <a:avLst/>
                          </a:prstGeom>
                          <a:ln>
                            <a:noFill/>
                          </a:ln>
                        </wps:spPr>
                        <wps:txbx>
                          <w:txbxContent>
                            <w:p w:rsidR="00D27BC6" w:rsidRDefault="004D5071">
                              <w:pPr>
                                <w:spacing w:after="160" w:line="259" w:lineRule="auto"/>
                                <w:ind w:left="0" w:right="0" w:firstLine="0"/>
                                <w:jc w:val="left"/>
                              </w:pPr>
                              <w:r>
                                <w:rPr>
                                  <w:w w:val="104"/>
                                </w:rPr>
                                <w:t>Наличие</w:t>
                              </w:r>
                              <w:r>
                                <w:rPr>
                                  <w:spacing w:val="-3"/>
                                  <w:w w:val="104"/>
                                </w:rPr>
                                <w:t xml:space="preserve"> </w:t>
                              </w:r>
                              <w:r>
                                <w:rPr>
                                  <w:w w:val="104"/>
                                </w:rPr>
                                <w:t>язвы</w:t>
                              </w:r>
                            </w:p>
                          </w:txbxContent>
                        </wps:txbx>
                        <wps:bodyPr horzOverflow="overflow" vert="horz" lIns="0" tIns="0" rIns="0" bIns="0" rtlCol="0">
                          <a:noAutofit/>
                        </wps:bodyPr>
                      </wps:wsp>
                      <wps:wsp>
                        <wps:cNvPr id="19257" name="Rectangle 19257"/>
                        <wps:cNvSpPr/>
                        <wps:spPr>
                          <a:xfrm>
                            <a:off x="561990" y="2144338"/>
                            <a:ext cx="886778" cy="203030"/>
                          </a:xfrm>
                          <a:prstGeom prst="rect">
                            <a:avLst/>
                          </a:prstGeom>
                          <a:ln>
                            <a:noFill/>
                          </a:ln>
                        </wps:spPr>
                        <wps:txbx>
                          <w:txbxContent>
                            <w:p w:rsidR="00D27BC6" w:rsidRDefault="004D5071">
                              <w:pPr>
                                <w:spacing w:after="160" w:line="259" w:lineRule="auto"/>
                                <w:ind w:left="0" w:right="0" w:firstLine="0"/>
                                <w:jc w:val="left"/>
                              </w:pPr>
                              <w:r>
                                <w:rPr>
                                  <w:w w:val="102"/>
                                </w:rPr>
                                <w:t>заживление</w:t>
                              </w:r>
                            </w:p>
                          </w:txbxContent>
                        </wps:txbx>
                        <wps:bodyPr horzOverflow="overflow" vert="horz" lIns="0" tIns="0" rIns="0" bIns="0" rtlCol="0">
                          <a:noAutofit/>
                        </wps:bodyPr>
                      </wps:wsp>
                      <wps:wsp>
                        <wps:cNvPr id="19258" name="Rectangle 19258"/>
                        <wps:cNvSpPr/>
                        <wps:spPr>
                          <a:xfrm>
                            <a:off x="5134752" y="384246"/>
                            <a:ext cx="1210409" cy="203030"/>
                          </a:xfrm>
                          <a:prstGeom prst="rect">
                            <a:avLst/>
                          </a:prstGeom>
                          <a:ln>
                            <a:noFill/>
                          </a:ln>
                        </wps:spPr>
                        <wps:txbx>
                          <w:txbxContent>
                            <w:p w:rsidR="00D27BC6" w:rsidRDefault="004D5071">
                              <w:pPr>
                                <w:spacing w:after="160" w:line="259" w:lineRule="auto"/>
                                <w:ind w:left="0" w:right="0" w:firstLine="0"/>
                                <w:jc w:val="left"/>
                              </w:pPr>
                              <w:r>
                                <w:rPr>
                                  <w:w w:val="104"/>
                                </w:rPr>
                                <w:t>Отсутствие</w:t>
                              </w:r>
                              <w:r>
                                <w:rPr>
                                  <w:spacing w:val="-3"/>
                                  <w:w w:val="104"/>
                                </w:rPr>
                                <w:t xml:space="preserve"> </w:t>
                              </w:r>
                              <w:r>
                                <w:rPr>
                                  <w:w w:val="104"/>
                                </w:rPr>
                                <w:t>язвы</w:t>
                              </w:r>
                            </w:p>
                          </w:txbxContent>
                        </wps:txbx>
                        <wps:bodyPr horzOverflow="overflow" vert="horz" lIns="0" tIns="0" rIns="0" bIns="0" rtlCol="0">
                          <a:noAutofit/>
                        </wps:bodyPr>
                      </wps:wsp>
                      <wps:wsp>
                        <wps:cNvPr id="19259" name="Rectangle 19259"/>
                        <wps:cNvSpPr/>
                        <wps:spPr>
                          <a:xfrm>
                            <a:off x="2788046" y="384246"/>
                            <a:ext cx="1969964" cy="203030"/>
                          </a:xfrm>
                          <a:prstGeom prst="rect">
                            <a:avLst/>
                          </a:prstGeom>
                          <a:ln>
                            <a:noFill/>
                          </a:ln>
                        </wps:spPr>
                        <wps:txbx>
                          <w:txbxContent>
                            <w:p w:rsidR="00D27BC6" w:rsidRDefault="004D5071">
                              <w:pPr>
                                <w:spacing w:after="160" w:line="259" w:lineRule="auto"/>
                                <w:ind w:left="0" w:right="0" w:firstLine="0"/>
                                <w:jc w:val="left"/>
                              </w:pPr>
                              <w:r>
                                <w:rPr>
                                  <w:color w:val="C51A1B"/>
                                  <w:w w:val="104"/>
                                </w:rPr>
                                <w:t>Хронический</w:t>
                              </w:r>
                              <w:r>
                                <w:rPr>
                                  <w:color w:val="C51A1B"/>
                                  <w:spacing w:val="-3"/>
                                  <w:w w:val="104"/>
                                </w:rPr>
                                <w:t xml:space="preserve"> </w:t>
                              </w:r>
                              <w:r>
                                <w:rPr>
                                  <w:color w:val="C51A1B"/>
                                  <w:w w:val="104"/>
                                </w:rPr>
                                <w:t>остеомиелит</w:t>
                              </w:r>
                            </w:p>
                          </w:txbxContent>
                        </wps:txbx>
                        <wps:bodyPr horzOverflow="overflow" vert="horz" lIns="0" tIns="0" rIns="0" bIns="0" rtlCol="0">
                          <a:noAutofit/>
                        </wps:bodyPr>
                      </wps:wsp>
                      <wps:wsp>
                        <wps:cNvPr id="19260" name="Rectangle 19260"/>
                        <wps:cNvSpPr/>
                        <wps:spPr>
                          <a:xfrm>
                            <a:off x="120030" y="949141"/>
                            <a:ext cx="35809" cy="203030"/>
                          </a:xfrm>
                          <a:prstGeom prst="rect">
                            <a:avLst/>
                          </a:prstGeom>
                          <a:ln>
                            <a:noFill/>
                          </a:ln>
                        </wps:spPr>
                        <wps:txbx>
                          <w:txbxContent>
                            <w:p w:rsidR="00D27BC6" w:rsidRDefault="004D5071">
                              <w:pPr>
                                <w:spacing w:after="160" w:line="259" w:lineRule="auto"/>
                                <w:ind w:left="0" w:right="0" w:firstLine="0"/>
                                <w:jc w:val="left"/>
                              </w:pPr>
                              <w:r>
                                <w:t xml:space="preserve"> </w:t>
                              </w:r>
                            </w:p>
                          </w:txbxContent>
                        </wps:txbx>
                        <wps:bodyPr horzOverflow="overflow" vert="horz" lIns="0" tIns="0" rIns="0" bIns="0" rtlCol="0">
                          <a:noAutofit/>
                        </wps:bodyPr>
                      </wps:wsp>
                      <wps:wsp>
                        <wps:cNvPr id="19261" name="Rectangle 19261"/>
                        <wps:cNvSpPr/>
                        <wps:spPr>
                          <a:xfrm>
                            <a:off x="81041" y="949141"/>
                            <a:ext cx="51855" cy="203030"/>
                          </a:xfrm>
                          <a:prstGeom prst="rect">
                            <a:avLst/>
                          </a:prstGeom>
                          <a:ln>
                            <a:noFill/>
                          </a:ln>
                        </wps:spPr>
                        <wps:txbx>
                          <w:txbxContent>
                            <w:p w:rsidR="00D27BC6" w:rsidRDefault="004D5071">
                              <w:pPr>
                                <w:spacing w:after="160" w:line="259" w:lineRule="auto"/>
                                <w:ind w:left="0" w:right="0" w:firstLine="0"/>
                                <w:jc w:val="left"/>
                              </w:pPr>
                              <w:r>
                                <w:t>-</w:t>
                              </w:r>
                            </w:p>
                          </w:txbxContent>
                        </wps:txbx>
                        <wps:bodyPr horzOverflow="overflow" vert="horz" lIns="0" tIns="0" rIns="0" bIns="0" rtlCol="0">
                          <a:noAutofit/>
                        </wps:bodyPr>
                      </wps:wsp>
                      <wps:wsp>
                        <wps:cNvPr id="19262" name="Rectangle 19262"/>
                        <wps:cNvSpPr/>
                        <wps:spPr>
                          <a:xfrm>
                            <a:off x="188991" y="949141"/>
                            <a:ext cx="1260897" cy="203030"/>
                          </a:xfrm>
                          <a:prstGeom prst="rect">
                            <a:avLst/>
                          </a:prstGeom>
                          <a:ln>
                            <a:noFill/>
                          </a:ln>
                        </wps:spPr>
                        <wps:txbx>
                          <w:txbxContent>
                            <w:p w:rsidR="00D27BC6" w:rsidRDefault="004D5071">
                              <w:pPr>
                                <w:spacing w:after="160" w:line="259" w:lineRule="auto"/>
                                <w:ind w:left="0" w:right="0" w:firstLine="0"/>
                                <w:jc w:val="left"/>
                              </w:pPr>
                              <w:r>
                                <w:rPr>
                                  <w:w w:val="103"/>
                                </w:rPr>
                                <w:t>индивидуальная</w:t>
                              </w:r>
                              <w:r>
                                <w:rPr>
                                  <w:spacing w:val="-3"/>
                                  <w:w w:val="103"/>
                                </w:rPr>
                                <w:t xml:space="preserve"> </w:t>
                              </w:r>
                            </w:p>
                          </w:txbxContent>
                        </wps:txbx>
                        <wps:bodyPr horzOverflow="overflow" vert="horz" lIns="0" tIns="0" rIns="0" bIns="0" rtlCol="0">
                          <a:noAutofit/>
                        </wps:bodyPr>
                      </wps:wsp>
                      <wps:wsp>
                        <wps:cNvPr id="19263" name="Rectangle 19263"/>
                        <wps:cNvSpPr/>
                        <wps:spPr>
                          <a:xfrm>
                            <a:off x="188991" y="1076141"/>
                            <a:ext cx="1659169" cy="203030"/>
                          </a:xfrm>
                          <a:prstGeom prst="rect">
                            <a:avLst/>
                          </a:prstGeom>
                          <a:ln>
                            <a:noFill/>
                          </a:ln>
                        </wps:spPr>
                        <wps:txbx>
                          <w:txbxContent>
                            <w:p w:rsidR="00D27BC6" w:rsidRDefault="004D5071">
                              <w:pPr>
                                <w:spacing w:after="160" w:line="259" w:lineRule="auto"/>
                                <w:ind w:left="0" w:right="0" w:firstLine="0"/>
                                <w:jc w:val="left"/>
                              </w:pPr>
                              <w:r>
                                <w:rPr>
                                  <w:w w:val="104"/>
                                </w:rPr>
                                <w:t>разгрузочная</w:t>
                              </w:r>
                              <w:r>
                                <w:rPr>
                                  <w:spacing w:val="-3"/>
                                  <w:w w:val="104"/>
                                </w:rPr>
                                <w:t xml:space="preserve"> </w:t>
                              </w:r>
                              <w:r>
                                <w:rPr>
                                  <w:w w:val="104"/>
                                </w:rPr>
                                <w:t>повязка;</w:t>
                              </w:r>
                            </w:p>
                          </w:txbxContent>
                        </wps:txbx>
                        <wps:bodyPr horzOverflow="overflow" vert="horz" lIns="0" tIns="0" rIns="0" bIns="0" rtlCol="0">
                          <a:noAutofit/>
                        </wps:bodyPr>
                      </wps:wsp>
                      <wps:wsp>
                        <wps:cNvPr id="19264" name="Rectangle 19264"/>
                        <wps:cNvSpPr/>
                        <wps:spPr>
                          <a:xfrm>
                            <a:off x="120030" y="1239083"/>
                            <a:ext cx="35809" cy="203030"/>
                          </a:xfrm>
                          <a:prstGeom prst="rect">
                            <a:avLst/>
                          </a:prstGeom>
                          <a:ln>
                            <a:noFill/>
                          </a:ln>
                        </wps:spPr>
                        <wps:txbx>
                          <w:txbxContent>
                            <w:p w:rsidR="00D27BC6" w:rsidRDefault="004D5071">
                              <w:pPr>
                                <w:spacing w:after="160" w:line="259" w:lineRule="auto"/>
                                <w:ind w:left="0" w:right="0" w:firstLine="0"/>
                                <w:jc w:val="left"/>
                              </w:pPr>
                              <w:r>
                                <w:t xml:space="preserve"> </w:t>
                              </w:r>
                            </w:p>
                          </w:txbxContent>
                        </wps:txbx>
                        <wps:bodyPr horzOverflow="overflow" vert="horz" lIns="0" tIns="0" rIns="0" bIns="0" rtlCol="0">
                          <a:noAutofit/>
                        </wps:bodyPr>
                      </wps:wsp>
                      <wps:wsp>
                        <wps:cNvPr id="19265" name="Rectangle 19265"/>
                        <wps:cNvSpPr/>
                        <wps:spPr>
                          <a:xfrm>
                            <a:off x="81041" y="1239083"/>
                            <a:ext cx="51855" cy="203030"/>
                          </a:xfrm>
                          <a:prstGeom prst="rect">
                            <a:avLst/>
                          </a:prstGeom>
                          <a:ln>
                            <a:noFill/>
                          </a:ln>
                        </wps:spPr>
                        <wps:txbx>
                          <w:txbxContent>
                            <w:p w:rsidR="00D27BC6" w:rsidRDefault="004D5071">
                              <w:pPr>
                                <w:spacing w:after="160" w:line="259" w:lineRule="auto"/>
                                <w:ind w:left="0" w:right="0" w:firstLine="0"/>
                                <w:jc w:val="left"/>
                              </w:pPr>
                              <w:r>
                                <w:t>-</w:t>
                              </w:r>
                            </w:p>
                          </w:txbxContent>
                        </wps:txbx>
                        <wps:bodyPr horzOverflow="overflow" vert="horz" lIns="0" tIns="0" rIns="0" bIns="0" rtlCol="0">
                          <a:noAutofit/>
                        </wps:bodyPr>
                      </wps:wsp>
                      <wps:wsp>
                        <wps:cNvPr id="19266" name="Rectangle 19266"/>
                        <wps:cNvSpPr/>
                        <wps:spPr>
                          <a:xfrm>
                            <a:off x="188991" y="1239083"/>
                            <a:ext cx="1681989" cy="203030"/>
                          </a:xfrm>
                          <a:prstGeom prst="rect">
                            <a:avLst/>
                          </a:prstGeom>
                          <a:ln>
                            <a:noFill/>
                          </a:ln>
                        </wps:spPr>
                        <wps:txbx>
                          <w:txbxContent>
                            <w:p w:rsidR="00D27BC6" w:rsidRDefault="004D5071">
                              <w:pPr>
                                <w:spacing w:after="160" w:line="259" w:lineRule="auto"/>
                                <w:ind w:left="0" w:right="0" w:firstLine="0"/>
                                <w:jc w:val="left"/>
                              </w:pPr>
                              <w:r>
                                <w:rPr>
                                  <w:w w:val="104"/>
                                </w:rPr>
                                <w:t>разгрузочный</w:t>
                              </w:r>
                              <w:r>
                                <w:rPr>
                                  <w:spacing w:val="-3"/>
                                  <w:w w:val="104"/>
                                </w:rPr>
                                <w:t xml:space="preserve"> </w:t>
                              </w:r>
                              <w:r>
                                <w:rPr>
                                  <w:w w:val="104"/>
                                </w:rPr>
                                <w:t>ботинок</w:t>
                              </w:r>
                            </w:p>
                          </w:txbxContent>
                        </wps:txbx>
                        <wps:bodyPr horzOverflow="overflow" vert="horz" lIns="0" tIns="0" rIns="0" bIns="0" rtlCol="0">
                          <a:noAutofit/>
                        </wps:bodyPr>
                      </wps:wsp>
                      <wps:wsp>
                        <wps:cNvPr id="19267" name="Rectangle 19267"/>
                        <wps:cNvSpPr/>
                        <wps:spPr>
                          <a:xfrm>
                            <a:off x="4806458" y="949141"/>
                            <a:ext cx="35809" cy="203030"/>
                          </a:xfrm>
                          <a:prstGeom prst="rect">
                            <a:avLst/>
                          </a:prstGeom>
                          <a:ln>
                            <a:noFill/>
                          </a:ln>
                        </wps:spPr>
                        <wps:txbx>
                          <w:txbxContent>
                            <w:p w:rsidR="00D27BC6" w:rsidRDefault="004D5071">
                              <w:pPr>
                                <w:spacing w:after="160" w:line="259" w:lineRule="auto"/>
                                <w:ind w:left="0" w:right="0" w:firstLine="0"/>
                                <w:jc w:val="left"/>
                              </w:pPr>
                              <w:r>
                                <w:t xml:space="preserve"> </w:t>
                              </w:r>
                            </w:p>
                          </w:txbxContent>
                        </wps:txbx>
                        <wps:bodyPr horzOverflow="overflow" vert="horz" lIns="0" tIns="0" rIns="0" bIns="0" rtlCol="0">
                          <a:noAutofit/>
                        </wps:bodyPr>
                      </wps:wsp>
                      <wps:wsp>
                        <wps:cNvPr id="19268" name="Rectangle 19268"/>
                        <wps:cNvSpPr/>
                        <wps:spPr>
                          <a:xfrm>
                            <a:off x="4767469" y="949141"/>
                            <a:ext cx="51855" cy="203030"/>
                          </a:xfrm>
                          <a:prstGeom prst="rect">
                            <a:avLst/>
                          </a:prstGeom>
                          <a:ln>
                            <a:noFill/>
                          </a:ln>
                        </wps:spPr>
                        <wps:txbx>
                          <w:txbxContent>
                            <w:p w:rsidR="00D27BC6" w:rsidRDefault="004D5071">
                              <w:pPr>
                                <w:spacing w:after="160" w:line="259" w:lineRule="auto"/>
                                <w:ind w:left="0" w:right="0" w:firstLine="0"/>
                                <w:jc w:val="left"/>
                              </w:pPr>
                              <w:r>
                                <w:t>-</w:t>
                              </w:r>
                            </w:p>
                          </w:txbxContent>
                        </wps:txbx>
                        <wps:bodyPr horzOverflow="overflow" vert="horz" lIns="0" tIns="0" rIns="0" bIns="0" rtlCol="0">
                          <a:noAutofit/>
                        </wps:bodyPr>
                      </wps:wsp>
                      <wps:wsp>
                        <wps:cNvPr id="19269" name="Rectangle 19269"/>
                        <wps:cNvSpPr/>
                        <wps:spPr>
                          <a:xfrm>
                            <a:off x="4875419" y="949141"/>
                            <a:ext cx="1700231" cy="203030"/>
                          </a:xfrm>
                          <a:prstGeom prst="rect">
                            <a:avLst/>
                          </a:prstGeom>
                          <a:ln>
                            <a:noFill/>
                          </a:ln>
                        </wps:spPr>
                        <wps:txbx>
                          <w:txbxContent>
                            <w:p w:rsidR="00D27BC6" w:rsidRDefault="004D5071">
                              <w:pPr>
                                <w:spacing w:after="160" w:line="259" w:lineRule="auto"/>
                                <w:ind w:left="0" w:right="0" w:firstLine="0"/>
                                <w:jc w:val="left"/>
                              </w:pPr>
                              <w:r>
                                <w:rPr>
                                  <w:w w:val="104"/>
                                </w:rPr>
                                <w:t>ортопедическая</w:t>
                              </w:r>
                              <w:r>
                                <w:rPr>
                                  <w:spacing w:val="-3"/>
                                  <w:w w:val="104"/>
                                </w:rPr>
                                <w:t xml:space="preserve"> </w:t>
                              </w:r>
                              <w:r>
                                <w:rPr>
                                  <w:w w:val="104"/>
                                </w:rPr>
                                <w:t>обувь</w:t>
                              </w:r>
                              <w:r>
                                <w:rPr>
                                  <w:spacing w:val="-3"/>
                                  <w:w w:val="104"/>
                                </w:rPr>
                                <w:t xml:space="preserve"> </w:t>
                              </w:r>
                            </w:p>
                          </w:txbxContent>
                        </wps:txbx>
                        <wps:bodyPr horzOverflow="overflow" vert="horz" lIns="0" tIns="0" rIns="0" bIns="0" rtlCol="0">
                          <a:noAutofit/>
                        </wps:bodyPr>
                      </wps:wsp>
                      <wps:wsp>
                        <wps:cNvPr id="19270" name="Rectangle 19270"/>
                        <wps:cNvSpPr/>
                        <wps:spPr>
                          <a:xfrm>
                            <a:off x="4875419" y="1076141"/>
                            <a:ext cx="738475" cy="203030"/>
                          </a:xfrm>
                          <a:prstGeom prst="rect">
                            <a:avLst/>
                          </a:prstGeom>
                          <a:ln>
                            <a:noFill/>
                          </a:ln>
                        </wps:spPr>
                        <wps:txbx>
                          <w:txbxContent>
                            <w:p w:rsidR="00D27BC6" w:rsidRDefault="004D5071">
                              <w:pPr>
                                <w:spacing w:after="160" w:line="259" w:lineRule="auto"/>
                                <w:ind w:left="0" w:right="0" w:firstLine="0"/>
                                <w:jc w:val="left"/>
                              </w:pPr>
                              <w:r>
                                <w:rPr>
                                  <w:w w:val="102"/>
                                </w:rPr>
                                <w:t>и</w:t>
                              </w:r>
                              <w:r>
                                <w:rPr>
                                  <w:spacing w:val="-3"/>
                                  <w:w w:val="102"/>
                                </w:rPr>
                                <w:t xml:space="preserve"> </w:t>
                              </w:r>
                              <w:r>
                                <w:rPr>
                                  <w:w w:val="102"/>
                                </w:rPr>
                                <w:t>стельки;</w:t>
                              </w:r>
                            </w:p>
                          </w:txbxContent>
                        </wps:txbx>
                        <wps:bodyPr horzOverflow="overflow" vert="horz" lIns="0" tIns="0" rIns="0" bIns="0" rtlCol="0">
                          <a:noAutofit/>
                        </wps:bodyPr>
                      </wps:wsp>
                      <wps:wsp>
                        <wps:cNvPr id="19271" name="Rectangle 19271"/>
                        <wps:cNvSpPr/>
                        <wps:spPr>
                          <a:xfrm>
                            <a:off x="4806458" y="1239083"/>
                            <a:ext cx="35809" cy="203030"/>
                          </a:xfrm>
                          <a:prstGeom prst="rect">
                            <a:avLst/>
                          </a:prstGeom>
                          <a:ln>
                            <a:noFill/>
                          </a:ln>
                        </wps:spPr>
                        <wps:txbx>
                          <w:txbxContent>
                            <w:p w:rsidR="00D27BC6" w:rsidRDefault="004D5071">
                              <w:pPr>
                                <w:spacing w:after="160" w:line="259" w:lineRule="auto"/>
                                <w:ind w:left="0" w:right="0" w:firstLine="0"/>
                                <w:jc w:val="left"/>
                              </w:pPr>
                              <w:r>
                                <w:t xml:space="preserve"> </w:t>
                              </w:r>
                            </w:p>
                          </w:txbxContent>
                        </wps:txbx>
                        <wps:bodyPr horzOverflow="overflow" vert="horz" lIns="0" tIns="0" rIns="0" bIns="0" rtlCol="0">
                          <a:noAutofit/>
                        </wps:bodyPr>
                      </wps:wsp>
                      <wps:wsp>
                        <wps:cNvPr id="19272" name="Rectangle 19272"/>
                        <wps:cNvSpPr/>
                        <wps:spPr>
                          <a:xfrm>
                            <a:off x="4767469" y="1239083"/>
                            <a:ext cx="51855" cy="203030"/>
                          </a:xfrm>
                          <a:prstGeom prst="rect">
                            <a:avLst/>
                          </a:prstGeom>
                          <a:ln>
                            <a:noFill/>
                          </a:ln>
                        </wps:spPr>
                        <wps:txbx>
                          <w:txbxContent>
                            <w:p w:rsidR="00D27BC6" w:rsidRDefault="004D5071">
                              <w:pPr>
                                <w:spacing w:after="160" w:line="259" w:lineRule="auto"/>
                                <w:ind w:left="0" w:right="0" w:firstLine="0"/>
                                <w:jc w:val="left"/>
                              </w:pPr>
                              <w:r>
                                <w:t>-</w:t>
                              </w:r>
                            </w:p>
                          </w:txbxContent>
                        </wps:txbx>
                        <wps:bodyPr horzOverflow="overflow" vert="horz" lIns="0" tIns="0" rIns="0" bIns="0" rtlCol="0">
                          <a:noAutofit/>
                        </wps:bodyPr>
                      </wps:wsp>
                      <wps:wsp>
                        <wps:cNvPr id="19273" name="Rectangle 19273"/>
                        <wps:cNvSpPr/>
                        <wps:spPr>
                          <a:xfrm>
                            <a:off x="4875419" y="1239083"/>
                            <a:ext cx="2007648" cy="203030"/>
                          </a:xfrm>
                          <a:prstGeom prst="rect">
                            <a:avLst/>
                          </a:prstGeom>
                          <a:ln>
                            <a:noFill/>
                          </a:ln>
                        </wps:spPr>
                        <wps:txbx>
                          <w:txbxContent>
                            <w:p w:rsidR="00D27BC6" w:rsidRDefault="004D5071">
                              <w:pPr>
                                <w:spacing w:after="160" w:line="259" w:lineRule="auto"/>
                                <w:ind w:left="0" w:right="0" w:firstLine="0"/>
                                <w:jc w:val="left"/>
                              </w:pPr>
                              <w:r>
                                <w:rPr>
                                  <w:w w:val="102"/>
                                </w:rPr>
                                <w:t>динамическое</w:t>
                              </w:r>
                              <w:r>
                                <w:rPr>
                                  <w:spacing w:val="-3"/>
                                  <w:w w:val="102"/>
                                </w:rPr>
                                <w:t xml:space="preserve"> </w:t>
                              </w:r>
                              <w:r>
                                <w:rPr>
                                  <w:w w:val="102"/>
                                </w:rPr>
                                <w:t>наблюдение</w:t>
                              </w:r>
                            </w:p>
                          </w:txbxContent>
                        </wps:txbx>
                        <wps:bodyPr horzOverflow="overflow" vert="horz" lIns="0" tIns="0" rIns="0" bIns="0" rtlCol="0">
                          <a:noAutofit/>
                        </wps:bodyPr>
                      </wps:wsp>
                      <wps:wsp>
                        <wps:cNvPr id="19274" name="Rectangle 19274"/>
                        <wps:cNvSpPr/>
                        <wps:spPr>
                          <a:xfrm>
                            <a:off x="2760996" y="949141"/>
                            <a:ext cx="35809" cy="203030"/>
                          </a:xfrm>
                          <a:prstGeom prst="rect">
                            <a:avLst/>
                          </a:prstGeom>
                          <a:ln>
                            <a:noFill/>
                          </a:ln>
                        </wps:spPr>
                        <wps:txbx>
                          <w:txbxContent>
                            <w:p w:rsidR="00D27BC6" w:rsidRDefault="004D5071">
                              <w:pPr>
                                <w:spacing w:after="160" w:line="259" w:lineRule="auto"/>
                                <w:ind w:left="0" w:right="0" w:firstLine="0"/>
                                <w:jc w:val="left"/>
                              </w:pPr>
                              <w:r>
                                <w:t xml:space="preserve"> </w:t>
                              </w:r>
                            </w:p>
                          </w:txbxContent>
                        </wps:txbx>
                        <wps:bodyPr horzOverflow="overflow" vert="horz" lIns="0" tIns="0" rIns="0" bIns="0" rtlCol="0">
                          <a:noAutofit/>
                        </wps:bodyPr>
                      </wps:wsp>
                      <wps:wsp>
                        <wps:cNvPr id="19275" name="Rectangle 19275"/>
                        <wps:cNvSpPr/>
                        <wps:spPr>
                          <a:xfrm>
                            <a:off x="2722006" y="949141"/>
                            <a:ext cx="51855" cy="203030"/>
                          </a:xfrm>
                          <a:prstGeom prst="rect">
                            <a:avLst/>
                          </a:prstGeom>
                          <a:ln>
                            <a:noFill/>
                          </a:ln>
                        </wps:spPr>
                        <wps:txbx>
                          <w:txbxContent>
                            <w:p w:rsidR="00D27BC6" w:rsidRDefault="004D5071">
                              <w:pPr>
                                <w:spacing w:after="160" w:line="259" w:lineRule="auto"/>
                                <w:ind w:left="0" w:right="0" w:firstLine="0"/>
                                <w:jc w:val="left"/>
                              </w:pPr>
                              <w:r>
                                <w:t>-</w:t>
                              </w:r>
                            </w:p>
                          </w:txbxContent>
                        </wps:txbx>
                        <wps:bodyPr horzOverflow="overflow" vert="horz" lIns="0" tIns="0" rIns="0" bIns="0" rtlCol="0">
                          <a:noAutofit/>
                        </wps:bodyPr>
                      </wps:wsp>
                      <wps:wsp>
                        <wps:cNvPr id="19395" name="Rectangle 19395"/>
                        <wps:cNvSpPr/>
                        <wps:spPr>
                          <a:xfrm>
                            <a:off x="2829956" y="949141"/>
                            <a:ext cx="1990233" cy="203030"/>
                          </a:xfrm>
                          <a:prstGeom prst="rect">
                            <a:avLst/>
                          </a:prstGeom>
                          <a:ln>
                            <a:noFill/>
                          </a:ln>
                        </wps:spPr>
                        <wps:txbx>
                          <w:txbxContent>
                            <w:p w:rsidR="00D27BC6" w:rsidRDefault="004D5071">
                              <w:pPr>
                                <w:spacing w:after="160" w:line="259" w:lineRule="auto"/>
                                <w:ind w:left="0" w:right="0" w:firstLine="0"/>
                                <w:jc w:val="left"/>
                              </w:pPr>
                              <w:r>
                                <w:rPr>
                                  <w:w w:val="104"/>
                                </w:rPr>
                                <w:t>транскутанная</w:t>
                              </w:r>
                              <w:r>
                                <w:rPr>
                                  <w:spacing w:val="-3"/>
                                  <w:w w:val="104"/>
                                </w:rPr>
                                <w:t xml:space="preserve"> </w:t>
                              </w:r>
                              <w:r>
                                <w:rPr>
                                  <w:w w:val="104"/>
                                </w:rPr>
                                <w:t>оксиметрия</w:t>
                              </w:r>
                            </w:p>
                          </w:txbxContent>
                        </wps:txbx>
                        <wps:bodyPr horzOverflow="overflow" vert="horz" lIns="0" tIns="0" rIns="0" bIns="0" rtlCol="0">
                          <a:noAutofit/>
                        </wps:bodyPr>
                      </wps:wsp>
                      <wps:wsp>
                        <wps:cNvPr id="281435" name="Rectangle 281435"/>
                        <wps:cNvSpPr/>
                        <wps:spPr>
                          <a:xfrm>
                            <a:off x="3513585" y="1076141"/>
                            <a:ext cx="34964" cy="203030"/>
                          </a:xfrm>
                          <a:prstGeom prst="rect">
                            <a:avLst/>
                          </a:prstGeom>
                          <a:ln>
                            <a:noFill/>
                          </a:ln>
                        </wps:spPr>
                        <wps:txbx>
                          <w:txbxContent>
                            <w:p w:rsidR="00D27BC6" w:rsidRDefault="004D5071">
                              <w:pPr>
                                <w:spacing w:after="160" w:line="259" w:lineRule="auto"/>
                                <w:ind w:left="0" w:right="0" w:firstLine="0"/>
                                <w:jc w:val="left"/>
                              </w:pPr>
                              <w:r>
                                <w:rPr>
                                  <w:w w:val="78"/>
                                </w:rPr>
                                <w:t>:</w:t>
                              </w:r>
                            </w:p>
                          </w:txbxContent>
                        </wps:txbx>
                        <wps:bodyPr horzOverflow="overflow" vert="horz" lIns="0" tIns="0" rIns="0" bIns="0" rtlCol="0">
                          <a:noAutofit/>
                        </wps:bodyPr>
                      </wps:wsp>
                      <wps:wsp>
                        <wps:cNvPr id="281434" name="Rectangle 281434"/>
                        <wps:cNvSpPr/>
                        <wps:spPr>
                          <a:xfrm>
                            <a:off x="2829956" y="1076141"/>
                            <a:ext cx="273972" cy="203030"/>
                          </a:xfrm>
                          <a:prstGeom prst="rect">
                            <a:avLst/>
                          </a:prstGeom>
                          <a:ln>
                            <a:noFill/>
                          </a:ln>
                        </wps:spPr>
                        <wps:txbx>
                          <w:txbxContent>
                            <w:p w:rsidR="00D27BC6" w:rsidRDefault="004D5071">
                              <w:pPr>
                                <w:spacing w:after="160" w:line="259" w:lineRule="auto"/>
                                <w:ind w:left="0" w:right="0" w:firstLine="0"/>
                                <w:jc w:val="left"/>
                              </w:pPr>
                              <w:r>
                                <w:rPr>
                                  <w:w w:val="107"/>
                                </w:rPr>
                                <w:t>&gt;30</w:t>
                              </w:r>
                            </w:p>
                          </w:txbxContent>
                        </wps:txbx>
                        <wps:bodyPr horzOverflow="overflow" vert="horz" lIns="0" tIns="0" rIns="0" bIns="0" rtlCol="0">
                          <a:noAutofit/>
                        </wps:bodyPr>
                      </wps:wsp>
                      <wps:wsp>
                        <wps:cNvPr id="281436" name="Rectangle 281436"/>
                        <wps:cNvSpPr/>
                        <wps:spPr>
                          <a:xfrm>
                            <a:off x="3035950" y="1076141"/>
                            <a:ext cx="635254" cy="203030"/>
                          </a:xfrm>
                          <a:prstGeom prst="rect">
                            <a:avLst/>
                          </a:prstGeom>
                          <a:ln>
                            <a:noFill/>
                          </a:ln>
                        </wps:spPr>
                        <wps:txbx>
                          <w:txbxContent>
                            <w:p w:rsidR="00D27BC6" w:rsidRDefault="004D5071">
                              <w:pPr>
                                <w:spacing w:after="160" w:line="259" w:lineRule="auto"/>
                                <w:ind w:left="0" w:right="0" w:firstLine="0"/>
                                <w:jc w:val="left"/>
                              </w:pPr>
                              <w:r>
                                <w:rPr>
                                  <w:spacing w:val="-3"/>
                                  <w:w w:val="102"/>
                                </w:rPr>
                                <w:t xml:space="preserve"> </w:t>
                              </w:r>
                              <w:r>
                                <w:rPr>
                                  <w:w w:val="102"/>
                                </w:rPr>
                                <w:t>мм</w:t>
                              </w:r>
                              <w:r>
                                <w:rPr>
                                  <w:spacing w:val="-3"/>
                                  <w:w w:val="102"/>
                                </w:rPr>
                                <w:t xml:space="preserve"> </w:t>
                              </w:r>
                              <w:r>
                                <w:rPr>
                                  <w:w w:val="102"/>
                                </w:rPr>
                                <w:t>рт</w:t>
                              </w:r>
                              <w:r>
                                <w:rPr>
                                  <w:spacing w:val="-3"/>
                                  <w:w w:val="102"/>
                                </w:rPr>
                                <w:t xml:space="preserve"> </w:t>
                              </w:r>
                              <w:r>
                                <w:rPr>
                                  <w:w w:val="102"/>
                                </w:rPr>
                                <w:t>ст</w:t>
                              </w:r>
                            </w:p>
                          </w:txbxContent>
                        </wps:txbx>
                        <wps:bodyPr horzOverflow="overflow" vert="horz" lIns="0" tIns="0" rIns="0" bIns="0" rtlCol="0">
                          <a:noAutofit/>
                        </wps:bodyPr>
                      </wps:wsp>
                      <wps:wsp>
                        <wps:cNvPr id="19278" name="Rectangle 19278"/>
                        <wps:cNvSpPr/>
                        <wps:spPr>
                          <a:xfrm>
                            <a:off x="2760996" y="1275150"/>
                            <a:ext cx="35809" cy="203030"/>
                          </a:xfrm>
                          <a:prstGeom prst="rect">
                            <a:avLst/>
                          </a:prstGeom>
                          <a:ln>
                            <a:noFill/>
                          </a:ln>
                        </wps:spPr>
                        <wps:txbx>
                          <w:txbxContent>
                            <w:p w:rsidR="00D27BC6" w:rsidRDefault="004D5071">
                              <w:pPr>
                                <w:spacing w:after="160" w:line="259" w:lineRule="auto"/>
                                <w:ind w:left="0" w:right="0" w:firstLine="0"/>
                                <w:jc w:val="left"/>
                              </w:pPr>
                              <w:r>
                                <w:t xml:space="preserve"> </w:t>
                              </w:r>
                            </w:p>
                          </w:txbxContent>
                        </wps:txbx>
                        <wps:bodyPr horzOverflow="overflow" vert="horz" lIns="0" tIns="0" rIns="0" bIns="0" rtlCol="0">
                          <a:noAutofit/>
                        </wps:bodyPr>
                      </wps:wsp>
                      <wps:wsp>
                        <wps:cNvPr id="19279" name="Rectangle 19279"/>
                        <wps:cNvSpPr/>
                        <wps:spPr>
                          <a:xfrm>
                            <a:off x="2722006" y="1275150"/>
                            <a:ext cx="51855" cy="203030"/>
                          </a:xfrm>
                          <a:prstGeom prst="rect">
                            <a:avLst/>
                          </a:prstGeom>
                          <a:ln>
                            <a:noFill/>
                          </a:ln>
                        </wps:spPr>
                        <wps:txbx>
                          <w:txbxContent>
                            <w:p w:rsidR="00D27BC6" w:rsidRDefault="004D5071">
                              <w:pPr>
                                <w:spacing w:after="160" w:line="259" w:lineRule="auto"/>
                                <w:ind w:left="0" w:right="0" w:firstLine="0"/>
                                <w:jc w:val="left"/>
                              </w:pPr>
                              <w:r>
                                <w:t>-</w:t>
                              </w:r>
                            </w:p>
                          </w:txbxContent>
                        </wps:txbx>
                        <wps:bodyPr horzOverflow="overflow" vert="horz" lIns="0" tIns="0" rIns="0" bIns="0" rtlCol="0">
                          <a:noAutofit/>
                        </wps:bodyPr>
                      </wps:wsp>
                      <wps:wsp>
                        <wps:cNvPr id="19280" name="Rectangle 19280"/>
                        <wps:cNvSpPr/>
                        <wps:spPr>
                          <a:xfrm>
                            <a:off x="2829956" y="1275150"/>
                            <a:ext cx="1190816" cy="203030"/>
                          </a:xfrm>
                          <a:prstGeom prst="rect">
                            <a:avLst/>
                          </a:prstGeom>
                          <a:ln>
                            <a:noFill/>
                          </a:ln>
                        </wps:spPr>
                        <wps:txbx>
                          <w:txbxContent>
                            <w:p w:rsidR="00D27BC6" w:rsidRDefault="004D5071">
                              <w:pPr>
                                <w:spacing w:after="160" w:line="259" w:lineRule="auto"/>
                                <w:ind w:left="0" w:right="0" w:firstLine="0"/>
                                <w:jc w:val="left"/>
                              </w:pPr>
                              <w:r>
                                <w:rPr>
                                  <w:w w:val="104"/>
                                </w:rPr>
                                <w:t>ультразвуковое</w:t>
                              </w:r>
                              <w:r>
                                <w:rPr>
                                  <w:spacing w:val="-3"/>
                                  <w:w w:val="104"/>
                                </w:rPr>
                                <w:t xml:space="preserve"> </w:t>
                              </w:r>
                            </w:p>
                          </w:txbxContent>
                        </wps:txbx>
                        <wps:bodyPr horzOverflow="overflow" vert="horz" lIns="0" tIns="0" rIns="0" bIns="0" rtlCol="0">
                          <a:noAutofit/>
                        </wps:bodyPr>
                      </wps:wsp>
                      <wps:wsp>
                        <wps:cNvPr id="19281" name="Rectangle 19281"/>
                        <wps:cNvSpPr/>
                        <wps:spPr>
                          <a:xfrm>
                            <a:off x="2829956" y="1402150"/>
                            <a:ext cx="891845" cy="203030"/>
                          </a:xfrm>
                          <a:prstGeom prst="rect">
                            <a:avLst/>
                          </a:prstGeom>
                          <a:ln>
                            <a:noFill/>
                          </a:ln>
                        </wps:spPr>
                        <wps:txbx>
                          <w:txbxContent>
                            <w:p w:rsidR="00D27BC6" w:rsidRDefault="004D5071">
                              <w:pPr>
                                <w:spacing w:after="160" w:line="259" w:lineRule="auto"/>
                                <w:ind w:left="0" w:right="0" w:firstLine="0"/>
                                <w:jc w:val="left"/>
                              </w:pPr>
                              <w:r>
                                <w:rPr>
                                  <w:w w:val="103"/>
                                </w:rPr>
                                <w:t>дуплексное</w:t>
                              </w:r>
                              <w:r>
                                <w:rPr>
                                  <w:spacing w:val="-3"/>
                                  <w:w w:val="103"/>
                                </w:rPr>
                                <w:t xml:space="preserve"> </w:t>
                              </w:r>
                            </w:p>
                          </w:txbxContent>
                        </wps:txbx>
                        <wps:bodyPr horzOverflow="overflow" vert="horz" lIns="0" tIns="0" rIns="0" bIns="0" rtlCol="0">
                          <a:noAutofit/>
                        </wps:bodyPr>
                      </wps:wsp>
                      <wps:wsp>
                        <wps:cNvPr id="19282" name="Rectangle 19282"/>
                        <wps:cNvSpPr/>
                        <wps:spPr>
                          <a:xfrm>
                            <a:off x="2829956" y="1529150"/>
                            <a:ext cx="1732325" cy="203030"/>
                          </a:xfrm>
                          <a:prstGeom prst="rect">
                            <a:avLst/>
                          </a:prstGeom>
                          <a:ln>
                            <a:noFill/>
                          </a:ln>
                        </wps:spPr>
                        <wps:txbx>
                          <w:txbxContent>
                            <w:p w:rsidR="00D27BC6" w:rsidRDefault="004D5071">
                              <w:pPr>
                                <w:spacing w:after="160" w:line="259" w:lineRule="auto"/>
                                <w:ind w:left="0" w:right="0" w:firstLine="0"/>
                                <w:jc w:val="left"/>
                              </w:pPr>
                              <w:r>
                                <w:rPr>
                                  <w:w w:val="104"/>
                                </w:rPr>
                                <w:t>сканирование</w:t>
                              </w:r>
                              <w:r>
                                <w:rPr>
                                  <w:spacing w:val="-3"/>
                                  <w:w w:val="104"/>
                                </w:rPr>
                                <w:t xml:space="preserve"> </w:t>
                              </w:r>
                              <w:r>
                                <w:rPr>
                                  <w:w w:val="104"/>
                                </w:rPr>
                                <w:t>артерий</w:t>
                              </w:r>
                              <w:r>
                                <w:rPr>
                                  <w:spacing w:val="-3"/>
                                  <w:w w:val="104"/>
                                </w:rPr>
                                <w:t xml:space="preserve"> </w:t>
                              </w:r>
                            </w:p>
                          </w:txbxContent>
                        </wps:txbx>
                        <wps:bodyPr horzOverflow="overflow" vert="horz" lIns="0" tIns="0" rIns="0" bIns="0" rtlCol="0">
                          <a:noAutofit/>
                        </wps:bodyPr>
                      </wps:wsp>
                      <wps:wsp>
                        <wps:cNvPr id="19283" name="Rectangle 19283"/>
                        <wps:cNvSpPr/>
                        <wps:spPr>
                          <a:xfrm>
                            <a:off x="2829956" y="1656150"/>
                            <a:ext cx="1577096" cy="203030"/>
                          </a:xfrm>
                          <a:prstGeom prst="rect">
                            <a:avLst/>
                          </a:prstGeom>
                          <a:ln>
                            <a:noFill/>
                          </a:ln>
                        </wps:spPr>
                        <wps:txbx>
                          <w:txbxContent>
                            <w:p w:rsidR="00D27BC6" w:rsidRDefault="004D5071">
                              <w:pPr>
                                <w:spacing w:after="160" w:line="259" w:lineRule="auto"/>
                                <w:ind w:left="0" w:right="0" w:firstLine="0"/>
                                <w:jc w:val="left"/>
                              </w:pPr>
                              <w:r>
                                <w:rPr>
                                  <w:w w:val="104"/>
                                </w:rPr>
                                <w:t>нижних</w:t>
                              </w:r>
                              <w:r>
                                <w:rPr>
                                  <w:spacing w:val="-3"/>
                                  <w:w w:val="104"/>
                                </w:rPr>
                                <w:t xml:space="preserve"> </w:t>
                              </w:r>
                              <w:r>
                                <w:rPr>
                                  <w:w w:val="104"/>
                                </w:rPr>
                                <w:t>конечностей</w:t>
                              </w:r>
                              <w:r>
                                <w:rPr>
                                  <w:spacing w:val="-3"/>
                                  <w:w w:val="104"/>
                                </w:rPr>
                                <w:t xml:space="preserve"> </w:t>
                              </w:r>
                            </w:p>
                          </w:txbxContent>
                        </wps:txbx>
                        <wps:bodyPr horzOverflow="overflow" vert="horz" lIns="0" tIns="0" rIns="0" bIns="0" rtlCol="0">
                          <a:noAutofit/>
                        </wps:bodyPr>
                      </wps:wsp>
                      <wps:wsp>
                        <wps:cNvPr id="19284" name="Rectangle 19284"/>
                        <wps:cNvSpPr/>
                        <wps:spPr>
                          <a:xfrm>
                            <a:off x="2829956" y="1783150"/>
                            <a:ext cx="1103303" cy="203030"/>
                          </a:xfrm>
                          <a:prstGeom prst="rect">
                            <a:avLst/>
                          </a:prstGeom>
                          <a:ln>
                            <a:noFill/>
                          </a:ln>
                        </wps:spPr>
                        <wps:txbx>
                          <w:txbxContent>
                            <w:p w:rsidR="00D27BC6" w:rsidRDefault="004D5071">
                              <w:pPr>
                                <w:spacing w:after="160" w:line="259" w:lineRule="auto"/>
                                <w:ind w:left="0" w:right="0" w:firstLine="0"/>
                                <w:jc w:val="left"/>
                              </w:pPr>
                              <w:r>
                                <w:rPr>
                                  <w:w w:val="103"/>
                                </w:rPr>
                                <w:t>без</w:t>
                              </w:r>
                              <w:r>
                                <w:rPr>
                                  <w:spacing w:val="-3"/>
                                  <w:w w:val="103"/>
                                </w:rPr>
                                <w:t xml:space="preserve"> </w:t>
                              </w:r>
                              <w:r>
                                <w:rPr>
                                  <w:w w:val="103"/>
                                </w:rPr>
                                <w:t>признаков</w:t>
                              </w:r>
                              <w:r>
                                <w:rPr>
                                  <w:spacing w:val="-3"/>
                                  <w:w w:val="103"/>
                                </w:rPr>
                                <w:t xml:space="preserve"> </w:t>
                              </w:r>
                            </w:p>
                          </w:txbxContent>
                        </wps:txbx>
                        <wps:bodyPr horzOverflow="overflow" vert="horz" lIns="0" tIns="0" rIns="0" bIns="0" rtlCol="0">
                          <a:noAutofit/>
                        </wps:bodyPr>
                      </wps:wsp>
                      <wps:wsp>
                        <wps:cNvPr id="19285" name="Rectangle 19285"/>
                        <wps:cNvSpPr/>
                        <wps:spPr>
                          <a:xfrm>
                            <a:off x="2829956" y="1910150"/>
                            <a:ext cx="1643309" cy="203030"/>
                          </a:xfrm>
                          <a:prstGeom prst="rect">
                            <a:avLst/>
                          </a:prstGeom>
                          <a:ln>
                            <a:noFill/>
                          </a:ln>
                        </wps:spPr>
                        <wps:txbx>
                          <w:txbxContent>
                            <w:p w:rsidR="00D27BC6" w:rsidRDefault="004D5071">
                              <w:pPr>
                                <w:spacing w:after="160" w:line="259" w:lineRule="auto"/>
                                <w:ind w:left="0" w:right="0" w:firstLine="0"/>
                                <w:jc w:val="left"/>
                              </w:pPr>
                              <w:r>
                                <w:rPr>
                                  <w:w w:val="104"/>
                                </w:rPr>
                                <w:t>критического</w:t>
                              </w:r>
                              <w:r>
                                <w:rPr>
                                  <w:spacing w:val="-3"/>
                                  <w:w w:val="104"/>
                                </w:rPr>
                                <w:t xml:space="preserve"> </w:t>
                              </w:r>
                              <w:r>
                                <w:rPr>
                                  <w:w w:val="104"/>
                                </w:rPr>
                                <w:t>стеноза;</w:t>
                              </w:r>
                            </w:p>
                          </w:txbxContent>
                        </wps:txbx>
                        <wps:bodyPr horzOverflow="overflow" vert="horz" lIns="0" tIns="0" rIns="0" bIns="0" rtlCol="0">
                          <a:noAutofit/>
                        </wps:bodyPr>
                      </wps:wsp>
                      <wps:wsp>
                        <wps:cNvPr id="19286" name="Rectangle 19286"/>
                        <wps:cNvSpPr/>
                        <wps:spPr>
                          <a:xfrm>
                            <a:off x="2760996" y="2109159"/>
                            <a:ext cx="35809" cy="203030"/>
                          </a:xfrm>
                          <a:prstGeom prst="rect">
                            <a:avLst/>
                          </a:prstGeom>
                          <a:ln>
                            <a:noFill/>
                          </a:ln>
                        </wps:spPr>
                        <wps:txbx>
                          <w:txbxContent>
                            <w:p w:rsidR="00D27BC6" w:rsidRDefault="004D5071">
                              <w:pPr>
                                <w:spacing w:after="160" w:line="259" w:lineRule="auto"/>
                                <w:ind w:left="0" w:right="0" w:firstLine="0"/>
                                <w:jc w:val="left"/>
                              </w:pPr>
                              <w:r>
                                <w:t xml:space="preserve"> </w:t>
                              </w:r>
                            </w:p>
                          </w:txbxContent>
                        </wps:txbx>
                        <wps:bodyPr horzOverflow="overflow" vert="horz" lIns="0" tIns="0" rIns="0" bIns="0" rtlCol="0">
                          <a:noAutofit/>
                        </wps:bodyPr>
                      </wps:wsp>
                      <wps:wsp>
                        <wps:cNvPr id="19287" name="Rectangle 19287"/>
                        <wps:cNvSpPr/>
                        <wps:spPr>
                          <a:xfrm>
                            <a:off x="2722006" y="2109159"/>
                            <a:ext cx="51855" cy="203030"/>
                          </a:xfrm>
                          <a:prstGeom prst="rect">
                            <a:avLst/>
                          </a:prstGeom>
                          <a:ln>
                            <a:noFill/>
                          </a:ln>
                        </wps:spPr>
                        <wps:txbx>
                          <w:txbxContent>
                            <w:p w:rsidR="00D27BC6" w:rsidRDefault="004D5071">
                              <w:pPr>
                                <w:spacing w:after="160" w:line="259" w:lineRule="auto"/>
                                <w:ind w:left="0" w:right="0" w:firstLine="0"/>
                                <w:jc w:val="left"/>
                              </w:pPr>
                              <w:r>
                                <w:t>-</w:t>
                              </w:r>
                            </w:p>
                          </w:txbxContent>
                        </wps:txbx>
                        <wps:bodyPr horzOverflow="overflow" vert="horz" lIns="0" tIns="0" rIns="0" bIns="0" rtlCol="0">
                          <a:noAutofit/>
                        </wps:bodyPr>
                      </wps:wsp>
                      <wps:wsp>
                        <wps:cNvPr id="19288" name="Rectangle 19288"/>
                        <wps:cNvSpPr/>
                        <wps:spPr>
                          <a:xfrm>
                            <a:off x="2829956" y="2109159"/>
                            <a:ext cx="1199582" cy="203030"/>
                          </a:xfrm>
                          <a:prstGeom prst="rect">
                            <a:avLst/>
                          </a:prstGeom>
                          <a:ln>
                            <a:noFill/>
                          </a:ln>
                        </wps:spPr>
                        <wps:txbx>
                          <w:txbxContent>
                            <w:p w:rsidR="00D27BC6" w:rsidRDefault="004D5071">
                              <w:pPr>
                                <w:spacing w:after="160" w:line="259" w:lineRule="auto"/>
                                <w:ind w:left="0" w:right="0" w:firstLine="0"/>
                                <w:jc w:val="left"/>
                              </w:pPr>
                              <w:r>
                                <w:rPr>
                                  <w:w w:val="105"/>
                                </w:rPr>
                                <w:t>рентгенография</w:t>
                              </w:r>
                            </w:p>
                          </w:txbxContent>
                        </wps:txbx>
                        <wps:bodyPr horzOverflow="overflow" vert="horz" lIns="0" tIns="0" rIns="0" bIns="0" rtlCol="0">
                          <a:noAutofit/>
                        </wps:bodyPr>
                      </wps:wsp>
                      <wps:wsp>
                        <wps:cNvPr id="19289" name="Rectangle 19289"/>
                        <wps:cNvSpPr/>
                        <wps:spPr>
                          <a:xfrm>
                            <a:off x="119776" y="3470853"/>
                            <a:ext cx="35809" cy="203030"/>
                          </a:xfrm>
                          <a:prstGeom prst="rect">
                            <a:avLst/>
                          </a:prstGeom>
                          <a:ln>
                            <a:noFill/>
                          </a:ln>
                        </wps:spPr>
                        <wps:txbx>
                          <w:txbxContent>
                            <w:p w:rsidR="00D27BC6" w:rsidRDefault="004D5071">
                              <w:pPr>
                                <w:spacing w:after="160" w:line="259" w:lineRule="auto"/>
                                <w:ind w:left="0" w:right="0" w:firstLine="0"/>
                                <w:jc w:val="left"/>
                              </w:pPr>
                              <w:r>
                                <w:t xml:space="preserve"> </w:t>
                              </w:r>
                            </w:p>
                          </w:txbxContent>
                        </wps:txbx>
                        <wps:bodyPr horzOverflow="overflow" vert="horz" lIns="0" tIns="0" rIns="0" bIns="0" rtlCol="0">
                          <a:noAutofit/>
                        </wps:bodyPr>
                      </wps:wsp>
                      <wps:wsp>
                        <wps:cNvPr id="19290" name="Rectangle 19290"/>
                        <wps:cNvSpPr/>
                        <wps:spPr>
                          <a:xfrm>
                            <a:off x="80787" y="3470853"/>
                            <a:ext cx="51855" cy="203030"/>
                          </a:xfrm>
                          <a:prstGeom prst="rect">
                            <a:avLst/>
                          </a:prstGeom>
                          <a:ln>
                            <a:noFill/>
                          </a:ln>
                        </wps:spPr>
                        <wps:txbx>
                          <w:txbxContent>
                            <w:p w:rsidR="00D27BC6" w:rsidRDefault="004D5071">
                              <w:pPr>
                                <w:spacing w:after="160" w:line="259" w:lineRule="auto"/>
                                <w:ind w:left="0" w:right="0" w:firstLine="0"/>
                                <w:jc w:val="left"/>
                              </w:pPr>
                              <w:r>
                                <w:t>-</w:t>
                              </w:r>
                            </w:p>
                          </w:txbxContent>
                        </wps:txbx>
                        <wps:bodyPr horzOverflow="overflow" vert="horz" lIns="0" tIns="0" rIns="0" bIns="0" rtlCol="0">
                          <a:noAutofit/>
                        </wps:bodyPr>
                      </wps:wsp>
                      <wps:wsp>
                        <wps:cNvPr id="19291" name="Rectangle 19291"/>
                        <wps:cNvSpPr/>
                        <wps:spPr>
                          <a:xfrm>
                            <a:off x="188737" y="3470853"/>
                            <a:ext cx="1700231" cy="203030"/>
                          </a:xfrm>
                          <a:prstGeom prst="rect">
                            <a:avLst/>
                          </a:prstGeom>
                          <a:ln>
                            <a:noFill/>
                          </a:ln>
                        </wps:spPr>
                        <wps:txbx>
                          <w:txbxContent>
                            <w:p w:rsidR="00D27BC6" w:rsidRDefault="004D5071">
                              <w:pPr>
                                <w:spacing w:after="160" w:line="259" w:lineRule="auto"/>
                                <w:ind w:left="0" w:right="0" w:firstLine="0"/>
                                <w:jc w:val="left"/>
                              </w:pPr>
                              <w:r>
                                <w:rPr>
                                  <w:w w:val="104"/>
                                </w:rPr>
                                <w:t>ортопедическая</w:t>
                              </w:r>
                              <w:r>
                                <w:rPr>
                                  <w:spacing w:val="-3"/>
                                  <w:w w:val="104"/>
                                </w:rPr>
                                <w:t xml:space="preserve"> </w:t>
                              </w:r>
                              <w:r>
                                <w:rPr>
                                  <w:w w:val="104"/>
                                </w:rPr>
                                <w:t>обувь</w:t>
                              </w:r>
                              <w:r>
                                <w:rPr>
                                  <w:spacing w:val="-3"/>
                                  <w:w w:val="104"/>
                                </w:rPr>
                                <w:t xml:space="preserve"> </w:t>
                              </w:r>
                            </w:p>
                          </w:txbxContent>
                        </wps:txbx>
                        <wps:bodyPr horzOverflow="overflow" vert="horz" lIns="0" tIns="0" rIns="0" bIns="0" rtlCol="0">
                          <a:noAutofit/>
                        </wps:bodyPr>
                      </wps:wsp>
                      <wps:wsp>
                        <wps:cNvPr id="19292" name="Rectangle 19292"/>
                        <wps:cNvSpPr/>
                        <wps:spPr>
                          <a:xfrm>
                            <a:off x="188737" y="3597853"/>
                            <a:ext cx="738475" cy="203030"/>
                          </a:xfrm>
                          <a:prstGeom prst="rect">
                            <a:avLst/>
                          </a:prstGeom>
                          <a:ln>
                            <a:noFill/>
                          </a:ln>
                        </wps:spPr>
                        <wps:txbx>
                          <w:txbxContent>
                            <w:p w:rsidR="00D27BC6" w:rsidRDefault="004D5071">
                              <w:pPr>
                                <w:spacing w:after="160" w:line="259" w:lineRule="auto"/>
                                <w:ind w:left="0" w:right="0" w:firstLine="0"/>
                                <w:jc w:val="left"/>
                              </w:pPr>
                              <w:r>
                                <w:rPr>
                                  <w:w w:val="102"/>
                                </w:rPr>
                                <w:t>и</w:t>
                              </w:r>
                              <w:r>
                                <w:rPr>
                                  <w:spacing w:val="-3"/>
                                  <w:w w:val="102"/>
                                </w:rPr>
                                <w:t xml:space="preserve"> </w:t>
                              </w:r>
                              <w:r>
                                <w:rPr>
                                  <w:w w:val="102"/>
                                </w:rPr>
                                <w:t>стельки;</w:t>
                              </w:r>
                            </w:p>
                          </w:txbxContent>
                        </wps:txbx>
                        <wps:bodyPr horzOverflow="overflow" vert="horz" lIns="0" tIns="0" rIns="0" bIns="0" rtlCol="0">
                          <a:noAutofit/>
                        </wps:bodyPr>
                      </wps:wsp>
                      <wps:wsp>
                        <wps:cNvPr id="19293" name="Rectangle 19293"/>
                        <wps:cNvSpPr/>
                        <wps:spPr>
                          <a:xfrm>
                            <a:off x="119776" y="3760794"/>
                            <a:ext cx="35809" cy="203030"/>
                          </a:xfrm>
                          <a:prstGeom prst="rect">
                            <a:avLst/>
                          </a:prstGeom>
                          <a:ln>
                            <a:noFill/>
                          </a:ln>
                        </wps:spPr>
                        <wps:txbx>
                          <w:txbxContent>
                            <w:p w:rsidR="00D27BC6" w:rsidRDefault="004D5071">
                              <w:pPr>
                                <w:spacing w:after="160" w:line="259" w:lineRule="auto"/>
                                <w:ind w:left="0" w:right="0" w:firstLine="0"/>
                                <w:jc w:val="left"/>
                              </w:pPr>
                              <w:r>
                                <w:t xml:space="preserve"> </w:t>
                              </w:r>
                            </w:p>
                          </w:txbxContent>
                        </wps:txbx>
                        <wps:bodyPr horzOverflow="overflow" vert="horz" lIns="0" tIns="0" rIns="0" bIns="0" rtlCol="0">
                          <a:noAutofit/>
                        </wps:bodyPr>
                      </wps:wsp>
                      <wps:wsp>
                        <wps:cNvPr id="19294" name="Rectangle 19294"/>
                        <wps:cNvSpPr/>
                        <wps:spPr>
                          <a:xfrm>
                            <a:off x="80787" y="3760794"/>
                            <a:ext cx="51855" cy="203030"/>
                          </a:xfrm>
                          <a:prstGeom prst="rect">
                            <a:avLst/>
                          </a:prstGeom>
                          <a:ln>
                            <a:noFill/>
                          </a:ln>
                        </wps:spPr>
                        <wps:txbx>
                          <w:txbxContent>
                            <w:p w:rsidR="00D27BC6" w:rsidRDefault="004D5071">
                              <w:pPr>
                                <w:spacing w:after="160" w:line="259" w:lineRule="auto"/>
                                <w:ind w:left="0" w:right="0" w:firstLine="0"/>
                                <w:jc w:val="left"/>
                              </w:pPr>
                              <w:r>
                                <w:t>-</w:t>
                              </w:r>
                            </w:p>
                          </w:txbxContent>
                        </wps:txbx>
                        <wps:bodyPr horzOverflow="overflow" vert="horz" lIns="0" tIns="0" rIns="0" bIns="0" rtlCol="0">
                          <a:noAutofit/>
                        </wps:bodyPr>
                      </wps:wsp>
                      <wps:wsp>
                        <wps:cNvPr id="19295" name="Rectangle 19295"/>
                        <wps:cNvSpPr/>
                        <wps:spPr>
                          <a:xfrm>
                            <a:off x="188737" y="3760794"/>
                            <a:ext cx="2007647" cy="203030"/>
                          </a:xfrm>
                          <a:prstGeom prst="rect">
                            <a:avLst/>
                          </a:prstGeom>
                          <a:ln>
                            <a:noFill/>
                          </a:ln>
                        </wps:spPr>
                        <wps:txbx>
                          <w:txbxContent>
                            <w:p w:rsidR="00D27BC6" w:rsidRDefault="004D5071">
                              <w:pPr>
                                <w:spacing w:after="160" w:line="259" w:lineRule="auto"/>
                                <w:ind w:left="0" w:right="0" w:firstLine="0"/>
                                <w:jc w:val="left"/>
                              </w:pPr>
                              <w:r>
                                <w:rPr>
                                  <w:w w:val="102"/>
                                </w:rPr>
                                <w:t>динамическое</w:t>
                              </w:r>
                              <w:r>
                                <w:rPr>
                                  <w:spacing w:val="-3"/>
                                  <w:w w:val="102"/>
                                </w:rPr>
                                <w:t xml:space="preserve"> </w:t>
                              </w:r>
                              <w:r>
                                <w:rPr>
                                  <w:w w:val="102"/>
                                </w:rPr>
                                <w:t>наблюдение</w:t>
                              </w:r>
                            </w:p>
                          </w:txbxContent>
                        </wps:txbx>
                        <wps:bodyPr horzOverflow="overflow" vert="horz" lIns="0" tIns="0" rIns="0" bIns="0" rtlCol="0">
                          <a:noAutofit/>
                        </wps:bodyPr>
                      </wps:wsp>
                      <wps:wsp>
                        <wps:cNvPr id="281438" name="Rectangle 281438"/>
                        <wps:cNvSpPr/>
                        <wps:spPr>
                          <a:xfrm>
                            <a:off x="1100851" y="1716856"/>
                            <a:ext cx="563636" cy="203030"/>
                          </a:xfrm>
                          <a:prstGeom prst="rect">
                            <a:avLst/>
                          </a:prstGeom>
                          <a:ln>
                            <a:noFill/>
                          </a:ln>
                        </wps:spPr>
                        <wps:txbx>
                          <w:txbxContent>
                            <w:p w:rsidR="00D27BC6" w:rsidRDefault="004D5071">
                              <w:pPr>
                                <w:spacing w:after="160" w:line="259" w:lineRule="auto"/>
                                <w:ind w:left="0" w:right="0" w:firstLine="0"/>
                                <w:jc w:val="left"/>
                              </w:pPr>
                              <w:r>
                                <w:rPr>
                                  <w:spacing w:val="-3"/>
                                  <w:w w:val="102"/>
                                </w:rPr>
                                <w:t xml:space="preserve"> </w:t>
                              </w:r>
                              <w:r>
                                <w:rPr>
                                  <w:w w:val="102"/>
                                </w:rPr>
                                <w:t>месяца</w:t>
                              </w:r>
                            </w:p>
                          </w:txbxContent>
                        </wps:txbx>
                        <wps:bodyPr horzOverflow="overflow" vert="horz" lIns="0" tIns="0" rIns="0" bIns="0" rtlCol="0">
                          <a:noAutofit/>
                        </wps:bodyPr>
                      </wps:wsp>
                      <wps:wsp>
                        <wps:cNvPr id="281437" name="Rectangle 281437"/>
                        <wps:cNvSpPr/>
                        <wps:spPr>
                          <a:xfrm>
                            <a:off x="1035700" y="1716856"/>
                            <a:ext cx="86651" cy="203030"/>
                          </a:xfrm>
                          <a:prstGeom prst="rect">
                            <a:avLst/>
                          </a:prstGeom>
                          <a:ln>
                            <a:noFill/>
                          </a:ln>
                        </wps:spPr>
                        <wps:txbx>
                          <w:txbxContent>
                            <w:p w:rsidR="00D27BC6" w:rsidRDefault="004D5071">
                              <w:pPr>
                                <w:spacing w:after="160" w:line="259" w:lineRule="auto"/>
                                <w:ind w:left="0" w:right="0" w:firstLine="0"/>
                                <w:jc w:val="left"/>
                              </w:pPr>
                              <w:r>
                                <w:rPr>
                                  <w:w w:val="101"/>
                                </w:rPr>
                                <w:t>2</w:t>
                              </w:r>
                            </w:p>
                          </w:txbxContent>
                        </wps:txbx>
                        <wps:bodyPr horzOverflow="overflow" vert="horz" lIns="0" tIns="0" rIns="0" bIns="0" rtlCol="0">
                          <a:noAutofit/>
                        </wps:bodyPr>
                      </wps:wsp>
                      <wps:wsp>
                        <wps:cNvPr id="19297" name="Rectangle 19297"/>
                        <wps:cNvSpPr/>
                        <wps:spPr>
                          <a:xfrm>
                            <a:off x="1742074" y="2513399"/>
                            <a:ext cx="857049" cy="203030"/>
                          </a:xfrm>
                          <a:prstGeom prst="rect">
                            <a:avLst/>
                          </a:prstGeom>
                          <a:ln>
                            <a:noFill/>
                          </a:ln>
                        </wps:spPr>
                        <wps:txbx>
                          <w:txbxContent>
                            <w:p w:rsidR="00D27BC6" w:rsidRDefault="004D5071">
                              <w:pPr>
                                <w:spacing w:after="160" w:line="259" w:lineRule="auto"/>
                                <w:ind w:left="0" w:right="0" w:firstLine="0"/>
                                <w:jc w:val="left"/>
                              </w:pPr>
                              <w:r>
                                <w:rPr>
                                  <w:color w:val="C51A1B"/>
                                  <w:w w:val="104"/>
                                </w:rPr>
                                <w:t>Отсутствие</w:t>
                              </w:r>
                              <w:r>
                                <w:rPr>
                                  <w:color w:val="C51A1B"/>
                                  <w:spacing w:val="-3"/>
                                  <w:w w:val="104"/>
                                </w:rPr>
                                <w:t xml:space="preserve"> </w:t>
                              </w:r>
                            </w:p>
                          </w:txbxContent>
                        </wps:txbx>
                        <wps:bodyPr horzOverflow="overflow" vert="horz" lIns="0" tIns="0" rIns="0" bIns="0" rtlCol="0">
                          <a:noAutofit/>
                        </wps:bodyPr>
                      </wps:wsp>
                      <wps:wsp>
                        <wps:cNvPr id="19298" name="Rectangle 19298"/>
                        <wps:cNvSpPr/>
                        <wps:spPr>
                          <a:xfrm>
                            <a:off x="1717563" y="2653099"/>
                            <a:ext cx="886592" cy="203030"/>
                          </a:xfrm>
                          <a:prstGeom prst="rect">
                            <a:avLst/>
                          </a:prstGeom>
                          <a:ln>
                            <a:noFill/>
                          </a:ln>
                        </wps:spPr>
                        <wps:txbx>
                          <w:txbxContent>
                            <w:p w:rsidR="00D27BC6" w:rsidRDefault="004D5071">
                              <w:pPr>
                                <w:spacing w:after="160" w:line="259" w:lineRule="auto"/>
                                <w:ind w:left="0" w:right="0" w:firstLine="0"/>
                                <w:jc w:val="left"/>
                              </w:pPr>
                              <w:r>
                                <w:rPr>
                                  <w:color w:val="C51A1B"/>
                                  <w:w w:val="103"/>
                                </w:rPr>
                                <w:t>заживления</w:t>
                              </w:r>
                            </w:p>
                          </w:txbxContent>
                        </wps:txbx>
                        <wps:bodyPr horzOverflow="overflow" vert="horz" lIns="0" tIns="0" rIns="0" bIns="0" rtlCol="0">
                          <a:noAutofit/>
                        </wps:bodyPr>
                      </wps:wsp>
                      <wps:wsp>
                        <wps:cNvPr id="19299" name="Rectangle 19299"/>
                        <wps:cNvSpPr/>
                        <wps:spPr>
                          <a:xfrm>
                            <a:off x="3518169" y="2987110"/>
                            <a:ext cx="1767289" cy="203030"/>
                          </a:xfrm>
                          <a:prstGeom prst="rect">
                            <a:avLst/>
                          </a:prstGeom>
                          <a:ln>
                            <a:noFill/>
                          </a:ln>
                        </wps:spPr>
                        <wps:txbx>
                          <w:txbxContent>
                            <w:p w:rsidR="00D27BC6" w:rsidRDefault="004D5071">
                              <w:pPr>
                                <w:spacing w:after="160" w:line="259" w:lineRule="auto"/>
                                <w:ind w:left="0" w:right="0" w:firstLine="0"/>
                                <w:jc w:val="left"/>
                              </w:pPr>
                              <w:r>
                                <w:rPr>
                                  <w:w w:val="105"/>
                                </w:rPr>
                                <w:t>Хирургическое</w:t>
                              </w:r>
                              <w:r>
                                <w:rPr>
                                  <w:spacing w:val="-3"/>
                                  <w:w w:val="105"/>
                                </w:rPr>
                                <w:t xml:space="preserve"> </w:t>
                              </w:r>
                              <w:r>
                                <w:rPr>
                                  <w:w w:val="105"/>
                                </w:rPr>
                                <w:t>лечение</w:t>
                              </w:r>
                            </w:p>
                          </w:txbxContent>
                        </wps:txbx>
                        <wps:bodyPr horzOverflow="overflow" vert="horz" lIns="0" tIns="0" rIns="0" bIns="0" rtlCol="0">
                          <a:noAutofit/>
                        </wps:bodyPr>
                      </wps:wsp>
                      <wps:wsp>
                        <wps:cNvPr id="19300" name="Rectangle 19300"/>
                        <wps:cNvSpPr/>
                        <wps:spPr>
                          <a:xfrm>
                            <a:off x="3554237" y="3842201"/>
                            <a:ext cx="1671348" cy="203030"/>
                          </a:xfrm>
                          <a:prstGeom prst="rect">
                            <a:avLst/>
                          </a:prstGeom>
                          <a:ln>
                            <a:noFill/>
                          </a:ln>
                        </wps:spPr>
                        <wps:txbx>
                          <w:txbxContent>
                            <w:p w:rsidR="00D27BC6" w:rsidRDefault="004D5071">
                              <w:pPr>
                                <w:spacing w:after="160" w:line="259" w:lineRule="auto"/>
                                <w:ind w:left="0" w:right="0" w:firstLine="0"/>
                                <w:jc w:val="left"/>
                              </w:pPr>
                              <w:r>
                                <w:rPr>
                                  <w:w w:val="104"/>
                                </w:rPr>
                                <w:t>Разгрузочный</w:t>
                              </w:r>
                              <w:r>
                                <w:rPr>
                                  <w:spacing w:val="-3"/>
                                  <w:w w:val="104"/>
                                </w:rPr>
                                <w:t xml:space="preserve"> </w:t>
                              </w:r>
                              <w:r>
                                <w:rPr>
                                  <w:w w:val="104"/>
                                </w:rPr>
                                <w:t>ботинок</w:t>
                              </w:r>
                            </w:p>
                          </w:txbxContent>
                        </wps:txbx>
                        <wps:bodyPr horzOverflow="overflow" vert="horz" lIns="0" tIns="0" rIns="0" bIns="0" rtlCol="0">
                          <a:noAutofit/>
                        </wps:bodyPr>
                      </wps:wsp>
                      <wps:wsp>
                        <wps:cNvPr id="19301" name="Rectangle 19301"/>
                        <wps:cNvSpPr/>
                        <wps:spPr>
                          <a:xfrm>
                            <a:off x="514111" y="4931988"/>
                            <a:ext cx="1012953" cy="203030"/>
                          </a:xfrm>
                          <a:prstGeom prst="rect">
                            <a:avLst/>
                          </a:prstGeom>
                          <a:ln>
                            <a:noFill/>
                          </a:ln>
                        </wps:spPr>
                        <wps:txbx>
                          <w:txbxContent>
                            <w:p w:rsidR="00D27BC6" w:rsidRDefault="004D5071">
                              <w:pPr>
                                <w:spacing w:after="160" w:line="259" w:lineRule="auto"/>
                                <w:ind w:left="0" w:right="0" w:firstLine="0"/>
                                <w:jc w:val="left"/>
                              </w:pPr>
                              <w:r>
                                <w:rPr>
                                  <w:color w:val="C51A1B"/>
                                  <w:w w:val="103"/>
                                </w:rPr>
                                <w:t>Рецидив</w:t>
                              </w:r>
                              <w:r>
                                <w:rPr>
                                  <w:color w:val="C51A1B"/>
                                  <w:spacing w:val="-3"/>
                                  <w:w w:val="103"/>
                                </w:rPr>
                                <w:t xml:space="preserve"> </w:t>
                              </w:r>
                              <w:r>
                                <w:rPr>
                                  <w:color w:val="C51A1B"/>
                                  <w:w w:val="103"/>
                                </w:rPr>
                                <w:t>язвы</w:t>
                              </w:r>
                            </w:p>
                          </w:txbxContent>
                        </wps:txbx>
                        <wps:bodyPr horzOverflow="overflow" vert="horz" lIns="0" tIns="0" rIns="0" bIns="0" rtlCol="0">
                          <a:noAutofit/>
                        </wps:bodyPr>
                      </wps:wsp>
                      <wps:wsp>
                        <wps:cNvPr id="19302" name="Rectangle 19302"/>
                        <wps:cNvSpPr/>
                        <wps:spPr>
                          <a:xfrm>
                            <a:off x="5103256" y="1973776"/>
                            <a:ext cx="1185056" cy="203030"/>
                          </a:xfrm>
                          <a:prstGeom prst="rect">
                            <a:avLst/>
                          </a:prstGeom>
                          <a:ln>
                            <a:noFill/>
                          </a:ln>
                        </wps:spPr>
                        <wps:txbx>
                          <w:txbxContent>
                            <w:p w:rsidR="00D27BC6" w:rsidRDefault="004D5071">
                              <w:pPr>
                                <w:spacing w:after="160" w:line="259" w:lineRule="auto"/>
                                <w:ind w:left="0" w:right="0" w:firstLine="0"/>
                                <w:jc w:val="left"/>
                              </w:pPr>
                              <w:r>
                                <w:rPr>
                                  <w:color w:val="C51A1B"/>
                                  <w:w w:val="102"/>
                                </w:rPr>
                                <w:t>Язва</w:t>
                              </w:r>
                              <w:r>
                                <w:rPr>
                                  <w:color w:val="C51A1B"/>
                                  <w:spacing w:val="-3"/>
                                  <w:w w:val="102"/>
                                </w:rPr>
                                <w:t xml:space="preserve"> </w:t>
                              </w:r>
                              <w:r>
                                <w:rPr>
                                  <w:color w:val="C51A1B"/>
                                  <w:w w:val="102"/>
                                </w:rPr>
                                <w:t>в</w:t>
                              </w:r>
                              <w:r>
                                <w:rPr>
                                  <w:color w:val="C51A1B"/>
                                  <w:spacing w:val="-3"/>
                                  <w:w w:val="102"/>
                                </w:rPr>
                                <w:t xml:space="preserve"> </w:t>
                              </w:r>
                              <w:r>
                                <w:rPr>
                                  <w:color w:val="C51A1B"/>
                                  <w:w w:val="102"/>
                                </w:rPr>
                                <w:t>анамнезе</w:t>
                              </w:r>
                            </w:p>
                          </w:txbxContent>
                        </wps:txbx>
                        <wps:bodyPr horzOverflow="overflow" vert="horz" lIns="0" tIns="0" rIns="0" bIns="0" rtlCol="0">
                          <a:noAutofit/>
                        </wps:bodyPr>
                      </wps:wsp>
                      <wps:wsp>
                        <wps:cNvPr id="19303" name="Shape 19303"/>
                        <wps:cNvSpPr/>
                        <wps:spPr>
                          <a:xfrm>
                            <a:off x="0" y="912306"/>
                            <a:ext cx="1763103" cy="546100"/>
                          </a:xfrm>
                          <a:custGeom>
                            <a:avLst/>
                            <a:gdLst/>
                            <a:ahLst/>
                            <a:cxnLst/>
                            <a:rect l="0" t="0" r="0" b="0"/>
                            <a:pathLst>
                              <a:path w="1763103" h="546100">
                                <a:moveTo>
                                  <a:pt x="0" y="546100"/>
                                </a:moveTo>
                                <a:lnTo>
                                  <a:pt x="1763103" y="546100"/>
                                </a:lnTo>
                                <a:lnTo>
                                  <a:pt x="176310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9304" name="Shape 19304"/>
                        <wps:cNvSpPr/>
                        <wps:spPr>
                          <a:xfrm>
                            <a:off x="0" y="3434044"/>
                            <a:ext cx="1763103" cy="546100"/>
                          </a:xfrm>
                          <a:custGeom>
                            <a:avLst/>
                            <a:gdLst/>
                            <a:ahLst/>
                            <a:cxnLst/>
                            <a:rect l="0" t="0" r="0" b="0"/>
                            <a:pathLst>
                              <a:path w="1763103" h="546100">
                                <a:moveTo>
                                  <a:pt x="0" y="546100"/>
                                </a:moveTo>
                                <a:lnTo>
                                  <a:pt x="1763103" y="546100"/>
                                </a:lnTo>
                                <a:lnTo>
                                  <a:pt x="176310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9305" name="Shape 19305"/>
                        <wps:cNvSpPr/>
                        <wps:spPr>
                          <a:xfrm>
                            <a:off x="2647010" y="912306"/>
                            <a:ext cx="1763103" cy="1447850"/>
                          </a:xfrm>
                          <a:custGeom>
                            <a:avLst/>
                            <a:gdLst/>
                            <a:ahLst/>
                            <a:cxnLst/>
                            <a:rect l="0" t="0" r="0" b="0"/>
                            <a:pathLst>
                              <a:path w="1763103" h="1447850">
                                <a:moveTo>
                                  <a:pt x="0" y="1447850"/>
                                </a:moveTo>
                                <a:lnTo>
                                  <a:pt x="1763103" y="1447850"/>
                                </a:lnTo>
                                <a:lnTo>
                                  <a:pt x="176310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9306" name="Shape 19306"/>
                        <wps:cNvSpPr/>
                        <wps:spPr>
                          <a:xfrm>
                            <a:off x="4708208" y="912306"/>
                            <a:ext cx="1763103" cy="546100"/>
                          </a:xfrm>
                          <a:custGeom>
                            <a:avLst/>
                            <a:gdLst/>
                            <a:ahLst/>
                            <a:cxnLst/>
                            <a:rect l="0" t="0" r="0" b="0"/>
                            <a:pathLst>
                              <a:path w="1763103" h="546100">
                                <a:moveTo>
                                  <a:pt x="0" y="546100"/>
                                </a:moveTo>
                                <a:lnTo>
                                  <a:pt x="1763103" y="546100"/>
                                </a:lnTo>
                                <a:lnTo>
                                  <a:pt x="176310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9307" name="Rectangle 19307"/>
                        <wps:cNvSpPr/>
                        <wps:spPr>
                          <a:xfrm>
                            <a:off x="3421169" y="4649802"/>
                            <a:ext cx="35809" cy="203030"/>
                          </a:xfrm>
                          <a:prstGeom prst="rect">
                            <a:avLst/>
                          </a:prstGeom>
                          <a:ln>
                            <a:noFill/>
                          </a:ln>
                        </wps:spPr>
                        <wps:txbx>
                          <w:txbxContent>
                            <w:p w:rsidR="00D27BC6" w:rsidRDefault="004D5071">
                              <w:pPr>
                                <w:spacing w:after="160" w:line="259" w:lineRule="auto"/>
                                <w:ind w:left="0" w:right="0" w:firstLine="0"/>
                                <w:jc w:val="left"/>
                              </w:pPr>
                              <w:r>
                                <w:t xml:space="preserve"> </w:t>
                              </w:r>
                            </w:p>
                          </w:txbxContent>
                        </wps:txbx>
                        <wps:bodyPr horzOverflow="overflow" vert="horz" lIns="0" tIns="0" rIns="0" bIns="0" rtlCol="0">
                          <a:noAutofit/>
                        </wps:bodyPr>
                      </wps:wsp>
                      <wps:wsp>
                        <wps:cNvPr id="19308" name="Rectangle 19308"/>
                        <wps:cNvSpPr/>
                        <wps:spPr>
                          <a:xfrm>
                            <a:off x="3382180" y="4649802"/>
                            <a:ext cx="51855" cy="203030"/>
                          </a:xfrm>
                          <a:prstGeom prst="rect">
                            <a:avLst/>
                          </a:prstGeom>
                          <a:ln>
                            <a:noFill/>
                          </a:ln>
                        </wps:spPr>
                        <wps:txbx>
                          <w:txbxContent>
                            <w:p w:rsidR="00D27BC6" w:rsidRDefault="004D5071">
                              <w:pPr>
                                <w:spacing w:after="160" w:line="259" w:lineRule="auto"/>
                                <w:ind w:left="0" w:right="0" w:firstLine="0"/>
                                <w:jc w:val="left"/>
                              </w:pPr>
                              <w:r>
                                <w:t>-</w:t>
                              </w:r>
                            </w:p>
                          </w:txbxContent>
                        </wps:txbx>
                        <wps:bodyPr horzOverflow="overflow" vert="horz" lIns="0" tIns="0" rIns="0" bIns="0" rtlCol="0">
                          <a:noAutofit/>
                        </wps:bodyPr>
                      </wps:wsp>
                      <wps:wsp>
                        <wps:cNvPr id="19309" name="Rectangle 19309"/>
                        <wps:cNvSpPr/>
                        <wps:spPr>
                          <a:xfrm>
                            <a:off x="3490130" y="4649802"/>
                            <a:ext cx="1700231" cy="203030"/>
                          </a:xfrm>
                          <a:prstGeom prst="rect">
                            <a:avLst/>
                          </a:prstGeom>
                          <a:ln>
                            <a:noFill/>
                          </a:ln>
                        </wps:spPr>
                        <wps:txbx>
                          <w:txbxContent>
                            <w:p w:rsidR="00D27BC6" w:rsidRDefault="004D5071">
                              <w:pPr>
                                <w:spacing w:after="160" w:line="259" w:lineRule="auto"/>
                                <w:ind w:left="0" w:right="0" w:firstLine="0"/>
                                <w:jc w:val="left"/>
                              </w:pPr>
                              <w:r>
                                <w:rPr>
                                  <w:w w:val="104"/>
                                </w:rPr>
                                <w:t>ортопедическая</w:t>
                              </w:r>
                              <w:r>
                                <w:rPr>
                                  <w:spacing w:val="-3"/>
                                  <w:w w:val="104"/>
                                </w:rPr>
                                <w:t xml:space="preserve"> </w:t>
                              </w:r>
                              <w:r>
                                <w:rPr>
                                  <w:w w:val="104"/>
                                </w:rPr>
                                <w:t>обувь</w:t>
                              </w:r>
                              <w:r>
                                <w:rPr>
                                  <w:spacing w:val="-3"/>
                                  <w:w w:val="104"/>
                                </w:rPr>
                                <w:t xml:space="preserve"> </w:t>
                              </w:r>
                            </w:p>
                          </w:txbxContent>
                        </wps:txbx>
                        <wps:bodyPr horzOverflow="overflow" vert="horz" lIns="0" tIns="0" rIns="0" bIns="0" rtlCol="0">
                          <a:noAutofit/>
                        </wps:bodyPr>
                      </wps:wsp>
                      <wps:wsp>
                        <wps:cNvPr id="19310" name="Rectangle 19310"/>
                        <wps:cNvSpPr/>
                        <wps:spPr>
                          <a:xfrm>
                            <a:off x="3490130" y="4776802"/>
                            <a:ext cx="738475" cy="203030"/>
                          </a:xfrm>
                          <a:prstGeom prst="rect">
                            <a:avLst/>
                          </a:prstGeom>
                          <a:ln>
                            <a:noFill/>
                          </a:ln>
                        </wps:spPr>
                        <wps:txbx>
                          <w:txbxContent>
                            <w:p w:rsidR="00D27BC6" w:rsidRDefault="004D5071">
                              <w:pPr>
                                <w:spacing w:after="160" w:line="259" w:lineRule="auto"/>
                                <w:ind w:left="0" w:right="0" w:firstLine="0"/>
                                <w:jc w:val="left"/>
                              </w:pPr>
                              <w:r>
                                <w:rPr>
                                  <w:w w:val="102"/>
                                </w:rPr>
                                <w:t>и</w:t>
                              </w:r>
                              <w:r>
                                <w:rPr>
                                  <w:spacing w:val="-3"/>
                                  <w:w w:val="102"/>
                                </w:rPr>
                                <w:t xml:space="preserve"> </w:t>
                              </w:r>
                              <w:r>
                                <w:rPr>
                                  <w:w w:val="102"/>
                                </w:rPr>
                                <w:t>стельки;</w:t>
                              </w:r>
                            </w:p>
                          </w:txbxContent>
                        </wps:txbx>
                        <wps:bodyPr horzOverflow="overflow" vert="horz" lIns="0" tIns="0" rIns="0" bIns="0" rtlCol="0">
                          <a:noAutofit/>
                        </wps:bodyPr>
                      </wps:wsp>
                      <wps:wsp>
                        <wps:cNvPr id="19311" name="Rectangle 19311"/>
                        <wps:cNvSpPr/>
                        <wps:spPr>
                          <a:xfrm>
                            <a:off x="3421169" y="4939743"/>
                            <a:ext cx="35809" cy="203030"/>
                          </a:xfrm>
                          <a:prstGeom prst="rect">
                            <a:avLst/>
                          </a:prstGeom>
                          <a:ln>
                            <a:noFill/>
                          </a:ln>
                        </wps:spPr>
                        <wps:txbx>
                          <w:txbxContent>
                            <w:p w:rsidR="00D27BC6" w:rsidRDefault="004D5071">
                              <w:pPr>
                                <w:spacing w:after="160" w:line="259" w:lineRule="auto"/>
                                <w:ind w:left="0" w:right="0" w:firstLine="0"/>
                                <w:jc w:val="left"/>
                              </w:pPr>
                              <w:r>
                                <w:t xml:space="preserve"> </w:t>
                              </w:r>
                            </w:p>
                          </w:txbxContent>
                        </wps:txbx>
                        <wps:bodyPr horzOverflow="overflow" vert="horz" lIns="0" tIns="0" rIns="0" bIns="0" rtlCol="0">
                          <a:noAutofit/>
                        </wps:bodyPr>
                      </wps:wsp>
                      <wps:wsp>
                        <wps:cNvPr id="19312" name="Rectangle 19312"/>
                        <wps:cNvSpPr/>
                        <wps:spPr>
                          <a:xfrm>
                            <a:off x="3382180" y="4939743"/>
                            <a:ext cx="51855" cy="203030"/>
                          </a:xfrm>
                          <a:prstGeom prst="rect">
                            <a:avLst/>
                          </a:prstGeom>
                          <a:ln>
                            <a:noFill/>
                          </a:ln>
                        </wps:spPr>
                        <wps:txbx>
                          <w:txbxContent>
                            <w:p w:rsidR="00D27BC6" w:rsidRDefault="004D5071">
                              <w:pPr>
                                <w:spacing w:after="160" w:line="259" w:lineRule="auto"/>
                                <w:ind w:left="0" w:right="0" w:firstLine="0"/>
                                <w:jc w:val="left"/>
                              </w:pPr>
                              <w:r>
                                <w:t>-</w:t>
                              </w:r>
                            </w:p>
                          </w:txbxContent>
                        </wps:txbx>
                        <wps:bodyPr horzOverflow="overflow" vert="horz" lIns="0" tIns="0" rIns="0" bIns="0" rtlCol="0">
                          <a:noAutofit/>
                        </wps:bodyPr>
                      </wps:wsp>
                      <wps:wsp>
                        <wps:cNvPr id="19313" name="Rectangle 19313"/>
                        <wps:cNvSpPr/>
                        <wps:spPr>
                          <a:xfrm>
                            <a:off x="3490130" y="4939743"/>
                            <a:ext cx="2007648" cy="203030"/>
                          </a:xfrm>
                          <a:prstGeom prst="rect">
                            <a:avLst/>
                          </a:prstGeom>
                          <a:ln>
                            <a:noFill/>
                          </a:ln>
                        </wps:spPr>
                        <wps:txbx>
                          <w:txbxContent>
                            <w:p w:rsidR="00D27BC6" w:rsidRDefault="004D5071">
                              <w:pPr>
                                <w:spacing w:after="160" w:line="259" w:lineRule="auto"/>
                                <w:ind w:left="0" w:right="0" w:firstLine="0"/>
                                <w:jc w:val="left"/>
                              </w:pPr>
                              <w:r>
                                <w:rPr>
                                  <w:w w:val="102"/>
                                </w:rPr>
                                <w:t>динамическое</w:t>
                              </w:r>
                              <w:r>
                                <w:rPr>
                                  <w:spacing w:val="-3"/>
                                  <w:w w:val="102"/>
                                </w:rPr>
                                <w:t xml:space="preserve"> </w:t>
                              </w:r>
                              <w:r>
                                <w:rPr>
                                  <w:w w:val="102"/>
                                </w:rPr>
                                <w:t>наблюдение</w:t>
                              </w:r>
                            </w:p>
                          </w:txbxContent>
                        </wps:txbx>
                        <wps:bodyPr horzOverflow="overflow" vert="horz" lIns="0" tIns="0" rIns="0" bIns="0" rtlCol="0">
                          <a:noAutofit/>
                        </wps:bodyPr>
                      </wps:wsp>
                      <wps:wsp>
                        <wps:cNvPr id="19314" name="Shape 19314"/>
                        <wps:cNvSpPr/>
                        <wps:spPr>
                          <a:xfrm>
                            <a:off x="3301187" y="4613010"/>
                            <a:ext cx="1763103" cy="546100"/>
                          </a:xfrm>
                          <a:custGeom>
                            <a:avLst/>
                            <a:gdLst/>
                            <a:ahLst/>
                            <a:cxnLst/>
                            <a:rect l="0" t="0" r="0" b="0"/>
                            <a:pathLst>
                              <a:path w="1763103" h="546100">
                                <a:moveTo>
                                  <a:pt x="0" y="546100"/>
                                </a:moveTo>
                                <a:lnTo>
                                  <a:pt x="1763103" y="546100"/>
                                </a:lnTo>
                                <a:lnTo>
                                  <a:pt x="176310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9315" name="Shape 19315"/>
                        <wps:cNvSpPr/>
                        <wps:spPr>
                          <a:xfrm>
                            <a:off x="3301187" y="3760776"/>
                            <a:ext cx="1763103" cy="309461"/>
                          </a:xfrm>
                          <a:custGeom>
                            <a:avLst/>
                            <a:gdLst/>
                            <a:ahLst/>
                            <a:cxnLst/>
                            <a:rect l="0" t="0" r="0" b="0"/>
                            <a:pathLst>
                              <a:path w="1763103" h="309461">
                                <a:moveTo>
                                  <a:pt x="0" y="309461"/>
                                </a:moveTo>
                                <a:lnTo>
                                  <a:pt x="1763103" y="309461"/>
                                </a:lnTo>
                                <a:lnTo>
                                  <a:pt x="176310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9316" name="Shape 19316"/>
                        <wps:cNvSpPr/>
                        <wps:spPr>
                          <a:xfrm>
                            <a:off x="3301187" y="2905711"/>
                            <a:ext cx="1763103" cy="309461"/>
                          </a:xfrm>
                          <a:custGeom>
                            <a:avLst/>
                            <a:gdLst/>
                            <a:ahLst/>
                            <a:cxnLst/>
                            <a:rect l="0" t="0" r="0" b="0"/>
                            <a:pathLst>
                              <a:path w="1763103" h="309461">
                                <a:moveTo>
                                  <a:pt x="0" y="309461"/>
                                </a:moveTo>
                                <a:lnTo>
                                  <a:pt x="1763103" y="309461"/>
                                </a:lnTo>
                                <a:lnTo>
                                  <a:pt x="176310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9317" name="Shape 19317"/>
                        <wps:cNvSpPr/>
                        <wps:spPr>
                          <a:xfrm>
                            <a:off x="1353604" y="2501838"/>
                            <a:ext cx="1395006" cy="309461"/>
                          </a:xfrm>
                          <a:custGeom>
                            <a:avLst/>
                            <a:gdLst/>
                            <a:ahLst/>
                            <a:cxnLst/>
                            <a:rect l="0" t="0" r="0" b="0"/>
                            <a:pathLst>
                              <a:path w="1395006" h="309461">
                                <a:moveTo>
                                  <a:pt x="0" y="309461"/>
                                </a:moveTo>
                                <a:lnTo>
                                  <a:pt x="1395006" y="309461"/>
                                </a:lnTo>
                                <a:lnTo>
                                  <a:pt x="1395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9318" name="Shape 19318"/>
                        <wps:cNvSpPr/>
                        <wps:spPr>
                          <a:xfrm>
                            <a:off x="4892256" y="1903947"/>
                            <a:ext cx="1395006" cy="309461"/>
                          </a:xfrm>
                          <a:custGeom>
                            <a:avLst/>
                            <a:gdLst/>
                            <a:ahLst/>
                            <a:cxnLst/>
                            <a:rect l="0" t="0" r="0" b="0"/>
                            <a:pathLst>
                              <a:path w="1395006" h="309461">
                                <a:moveTo>
                                  <a:pt x="0" y="309461"/>
                                </a:moveTo>
                                <a:lnTo>
                                  <a:pt x="1395006" y="309461"/>
                                </a:lnTo>
                                <a:lnTo>
                                  <a:pt x="1395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9319" name="Shape 19319"/>
                        <wps:cNvSpPr/>
                        <wps:spPr>
                          <a:xfrm>
                            <a:off x="971715" y="1685419"/>
                            <a:ext cx="617398" cy="209499"/>
                          </a:xfrm>
                          <a:custGeom>
                            <a:avLst/>
                            <a:gdLst/>
                            <a:ahLst/>
                            <a:cxnLst/>
                            <a:rect l="0" t="0" r="0" b="0"/>
                            <a:pathLst>
                              <a:path w="617398" h="209499">
                                <a:moveTo>
                                  <a:pt x="0" y="209499"/>
                                </a:moveTo>
                                <a:lnTo>
                                  <a:pt x="617398" y="209499"/>
                                </a:lnTo>
                                <a:lnTo>
                                  <a:pt x="6173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81439" name="Rectangle 281439"/>
                        <wps:cNvSpPr/>
                        <wps:spPr>
                          <a:xfrm>
                            <a:off x="4312229" y="4266968"/>
                            <a:ext cx="86651" cy="203030"/>
                          </a:xfrm>
                          <a:prstGeom prst="rect">
                            <a:avLst/>
                          </a:prstGeom>
                          <a:ln>
                            <a:noFill/>
                          </a:ln>
                        </wps:spPr>
                        <wps:txbx>
                          <w:txbxContent>
                            <w:p w:rsidR="00D27BC6" w:rsidRDefault="004D5071">
                              <w:pPr>
                                <w:spacing w:after="160" w:line="259" w:lineRule="auto"/>
                                <w:ind w:left="0" w:right="0" w:firstLine="0"/>
                                <w:jc w:val="left"/>
                              </w:pPr>
                              <w:r>
                                <w:rPr>
                                  <w:w w:val="101"/>
                                </w:rPr>
                                <w:t>2</w:t>
                              </w:r>
                            </w:p>
                          </w:txbxContent>
                        </wps:txbx>
                        <wps:bodyPr horzOverflow="overflow" vert="horz" lIns="0" tIns="0" rIns="0" bIns="0" rtlCol="0">
                          <a:noAutofit/>
                        </wps:bodyPr>
                      </wps:wsp>
                      <wps:wsp>
                        <wps:cNvPr id="281440" name="Rectangle 281440"/>
                        <wps:cNvSpPr/>
                        <wps:spPr>
                          <a:xfrm>
                            <a:off x="4377380" y="4266968"/>
                            <a:ext cx="563653" cy="203030"/>
                          </a:xfrm>
                          <a:prstGeom prst="rect">
                            <a:avLst/>
                          </a:prstGeom>
                          <a:ln>
                            <a:noFill/>
                          </a:ln>
                        </wps:spPr>
                        <wps:txbx>
                          <w:txbxContent>
                            <w:p w:rsidR="00D27BC6" w:rsidRDefault="004D5071">
                              <w:pPr>
                                <w:spacing w:after="160" w:line="259" w:lineRule="auto"/>
                                <w:ind w:left="0" w:right="0" w:firstLine="0"/>
                                <w:jc w:val="left"/>
                              </w:pPr>
                              <w:r>
                                <w:rPr>
                                  <w:spacing w:val="-3"/>
                                  <w:w w:val="102"/>
                                </w:rPr>
                                <w:t xml:space="preserve"> </w:t>
                              </w:r>
                              <w:r>
                                <w:rPr>
                                  <w:w w:val="102"/>
                                </w:rPr>
                                <w:t>месяца</w:t>
                              </w:r>
                            </w:p>
                          </w:txbxContent>
                        </wps:txbx>
                        <wps:bodyPr horzOverflow="overflow" vert="horz" lIns="0" tIns="0" rIns="0" bIns="0" rtlCol="0">
                          <a:noAutofit/>
                        </wps:bodyPr>
                      </wps:wsp>
                      <wps:wsp>
                        <wps:cNvPr id="19321" name="Shape 19321"/>
                        <wps:cNvSpPr/>
                        <wps:spPr>
                          <a:xfrm>
                            <a:off x="4247998" y="4235490"/>
                            <a:ext cx="617398" cy="209499"/>
                          </a:xfrm>
                          <a:custGeom>
                            <a:avLst/>
                            <a:gdLst/>
                            <a:ahLst/>
                            <a:cxnLst/>
                            <a:rect l="0" t="0" r="0" b="0"/>
                            <a:pathLst>
                              <a:path w="617398" h="209499">
                                <a:moveTo>
                                  <a:pt x="0" y="209499"/>
                                </a:moveTo>
                                <a:lnTo>
                                  <a:pt x="617398" y="209499"/>
                                </a:lnTo>
                                <a:lnTo>
                                  <a:pt x="61739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9322" name="Shape 19322"/>
                        <wps:cNvSpPr/>
                        <wps:spPr>
                          <a:xfrm>
                            <a:off x="197561" y="4849649"/>
                            <a:ext cx="1395006" cy="309461"/>
                          </a:xfrm>
                          <a:custGeom>
                            <a:avLst/>
                            <a:gdLst/>
                            <a:ahLst/>
                            <a:cxnLst/>
                            <a:rect l="0" t="0" r="0" b="0"/>
                            <a:pathLst>
                              <a:path w="1395006" h="309461">
                                <a:moveTo>
                                  <a:pt x="0" y="309461"/>
                                </a:moveTo>
                                <a:lnTo>
                                  <a:pt x="1395006" y="309461"/>
                                </a:lnTo>
                                <a:lnTo>
                                  <a:pt x="1395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19323" name="Shape 19323"/>
                        <wps:cNvSpPr/>
                        <wps:spPr>
                          <a:xfrm>
                            <a:off x="3440274" y="0"/>
                            <a:ext cx="0" cy="307086"/>
                          </a:xfrm>
                          <a:custGeom>
                            <a:avLst/>
                            <a:gdLst/>
                            <a:ahLst/>
                            <a:cxnLst/>
                            <a:rect l="0" t="0" r="0" b="0"/>
                            <a:pathLst>
                              <a:path h="307086">
                                <a:moveTo>
                                  <a:pt x="0" y="0"/>
                                </a:moveTo>
                                <a:lnTo>
                                  <a:pt x="0" y="307086"/>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9324" name="Shape 19324"/>
                        <wps:cNvSpPr/>
                        <wps:spPr>
                          <a:xfrm>
                            <a:off x="3411038" y="286845"/>
                            <a:ext cx="58471" cy="80327"/>
                          </a:xfrm>
                          <a:custGeom>
                            <a:avLst/>
                            <a:gdLst/>
                            <a:ahLst/>
                            <a:cxnLst/>
                            <a:rect l="0" t="0" r="0" b="0"/>
                            <a:pathLst>
                              <a:path w="58471" h="80327">
                                <a:moveTo>
                                  <a:pt x="0" y="0"/>
                                </a:moveTo>
                                <a:lnTo>
                                  <a:pt x="29235" y="20244"/>
                                </a:lnTo>
                                <a:lnTo>
                                  <a:pt x="58471" y="0"/>
                                </a:lnTo>
                                <a:lnTo>
                                  <a:pt x="29235" y="80327"/>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325" name="Shape 19325"/>
                        <wps:cNvSpPr/>
                        <wps:spPr>
                          <a:xfrm>
                            <a:off x="3440274" y="540631"/>
                            <a:ext cx="0" cy="307086"/>
                          </a:xfrm>
                          <a:custGeom>
                            <a:avLst/>
                            <a:gdLst/>
                            <a:ahLst/>
                            <a:cxnLst/>
                            <a:rect l="0" t="0" r="0" b="0"/>
                            <a:pathLst>
                              <a:path h="307086">
                                <a:moveTo>
                                  <a:pt x="0" y="0"/>
                                </a:moveTo>
                                <a:lnTo>
                                  <a:pt x="0" y="307086"/>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9326" name="Shape 19326"/>
                        <wps:cNvSpPr/>
                        <wps:spPr>
                          <a:xfrm>
                            <a:off x="3411038" y="827475"/>
                            <a:ext cx="58471" cy="80327"/>
                          </a:xfrm>
                          <a:custGeom>
                            <a:avLst/>
                            <a:gdLst/>
                            <a:ahLst/>
                            <a:cxnLst/>
                            <a:rect l="0" t="0" r="0" b="0"/>
                            <a:pathLst>
                              <a:path w="58471" h="80327">
                                <a:moveTo>
                                  <a:pt x="0" y="0"/>
                                </a:moveTo>
                                <a:lnTo>
                                  <a:pt x="29235" y="20244"/>
                                </a:lnTo>
                                <a:lnTo>
                                  <a:pt x="58471" y="0"/>
                                </a:lnTo>
                                <a:lnTo>
                                  <a:pt x="29235" y="80327"/>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327" name="Shape 19327"/>
                        <wps:cNvSpPr/>
                        <wps:spPr>
                          <a:xfrm>
                            <a:off x="5589762" y="540631"/>
                            <a:ext cx="0" cy="307086"/>
                          </a:xfrm>
                          <a:custGeom>
                            <a:avLst/>
                            <a:gdLst/>
                            <a:ahLst/>
                            <a:cxnLst/>
                            <a:rect l="0" t="0" r="0" b="0"/>
                            <a:pathLst>
                              <a:path h="307086">
                                <a:moveTo>
                                  <a:pt x="0" y="0"/>
                                </a:moveTo>
                                <a:lnTo>
                                  <a:pt x="0" y="307086"/>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9328" name="Shape 19328"/>
                        <wps:cNvSpPr/>
                        <wps:spPr>
                          <a:xfrm>
                            <a:off x="5560526" y="827475"/>
                            <a:ext cx="58471" cy="80327"/>
                          </a:xfrm>
                          <a:custGeom>
                            <a:avLst/>
                            <a:gdLst/>
                            <a:ahLst/>
                            <a:cxnLst/>
                            <a:rect l="0" t="0" r="0" b="0"/>
                            <a:pathLst>
                              <a:path w="58471" h="80327">
                                <a:moveTo>
                                  <a:pt x="0" y="0"/>
                                </a:moveTo>
                                <a:lnTo>
                                  <a:pt x="29235" y="20244"/>
                                </a:lnTo>
                                <a:lnTo>
                                  <a:pt x="58471" y="0"/>
                                </a:lnTo>
                                <a:lnTo>
                                  <a:pt x="29235" y="80327"/>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329" name="Shape 19329"/>
                        <wps:cNvSpPr/>
                        <wps:spPr>
                          <a:xfrm>
                            <a:off x="895077" y="540631"/>
                            <a:ext cx="0" cy="307086"/>
                          </a:xfrm>
                          <a:custGeom>
                            <a:avLst/>
                            <a:gdLst/>
                            <a:ahLst/>
                            <a:cxnLst/>
                            <a:rect l="0" t="0" r="0" b="0"/>
                            <a:pathLst>
                              <a:path h="307086">
                                <a:moveTo>
                                  <a:pt x="0" y="0"/>
                                </a:moveTo>
                                <a:lnTo>
                                  <a:pt x="0" y="307086"/>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9330" name="Shape 19330"/>
                        <wps:cNvSpPr/>
                        <wps:spPr>
                          <a:xfrm>
                            <a:off x="865842" y="827475"/>
                            <a:ext cx="58471" cy="80327"/>
                          </a:xfrm>
                          <a:custGeom>
                            <a:avLst/>
                            <a:gdLst/>
                            <a:ahLst/>
                            <a:cxnLst/>
                            <a:rect l="0" t="0" r="0" b="0"/>
                            <a:pathLst>
                              <a:path w="58471" h="80327">
                                <a:moveTo>
                                  <a:pt x="0" y="0"/>
                                </a:moveTo>
                                <a:lnTo>
                                  <a:pt x="29235" y="20244"/>
                                </a:lnTo>
                                <a:lnTo>
                                  <a:pt x="58471" y="0"/>
                                </a:lnTo>
                                <a:lnTo>
                                  <a:pt x="29235" y="80327"/>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331" name="Shape 19331"/>
                        <wps:cNvSpPr/>
                        <wps:spPr>
                          <a:xfrm>
                            <a:off x="895077" y="1462912"/>
                            <a:ext cx="0" cy="571665"/>
                          </a:xfrm>
                          <a:custGeom>
                            <a:avLst/>
                            <a:gdLst/>
                            <a:ahLst/>
                            <a:cxnLst/>
                            <a:rect l="0" t="0" r="0" b="0"/>
                            <a:pathLst>
                              <a:path h="571665">
                                <a:moveTo>
                                  <a:pt x="0" y="0"/>
                                </a:moveTo>
                                <a:lnTo>
                                  <a:pt x="0" y="571665"/>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9332" name="Shape 19332"/>
                        <wps:cNvSpPr/>
                        <wps:spPr>
                          <a:xfrm>
                            <a:off x="865842" y="2014333"/>
                            <a:ext cx="58471" cy="80328"/>
                          </a:xfrm>
                          <a:custGeom>
                            <a:avLst/>
                            <a:gdLst/>
                            <a:ahLst/>
                            <a:cxnLst/>
                            <a:rect l="0" t="0" r="0" b="0"/>
                            <a:pathLst>
                              <a:path w="58471" h="80328">
                                <a:moveTo>
                                  <a:pt x="0" y="0"/>
                                </a:moveTo>
                                <a:lnTo>
                                  <a:pt x="29235" y="20244"/>
                                </a:lnTo>
                                <a:lnTo>
                                  <a:pt x="58471" y="0"/>
                                </a:lnTo>
                                <a:lnTo>
                                  <a:pt x="29235" y="80328"/>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333" name="Shape 19333"/>
                        <wps:cNvSpPr/>
                        <wps:spPr>
                          <a:xfrm>
                            <a:off x="1767595" y="1188531"/>
                            <a:ext cx="289255" cy="1248702"/>
                          </a:xfrm>
                          <a:custGeom>
                            <a:avLst/>
                            <a:gdLst/>
                            <a:ahLst/>
                            <a:cxnLst/>
                            <a:rect l="0" t="0" r="0" b="0"/>
                            <a:pathLst>
                              <a:path w="289255" h="1248702">
                                <a:moveTo>
                                  <a:pt x="0" y="0"/>
                                </a:moveTo>
                                <a:lnTo>
                                  <a:pt x="289255" y="0"/>
                                </a:lnTo>
                                <a:lnTo>
                                  <a:pt x="289255" y="1248702"/>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9334" name="Shape 19334"/>
                        <wps:cNvSpPr/>
                        <wps:spPr>
                          <a:xfrm>
                            <a:off x="2027620" y="2416989"/>
                            <a:ext cx="58471" cy="80328"/>
                          </a:xfrm>
                          <a:custGeom>
                            <a:avLst/>
                            <a:gdLst/>
                            <a:ahLst/>
                            <a:cxnLst/>
                            <a:rect l="0" t="0" r="0" b="0"/>
                            <a:pathLst>
                              <a:path w="58471" h="80328">
                                <a:moveTo>
                                  <a:pt x="0" y="0"/>
                                </a:moveTo>
                                <a:lnTo>
                                  <a:pt x="29235" y="20244"/>
                                </a:lnTo>
                                <a:lnTo>
                                  <a:pt x="58471" y="0"/>
                                </a:lnTo>
                                <a:lnTo>
                                  <a:pt x="29235" y="80328"/>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335" name="Shape 19335"/>
                        <wps:cNvSpPr/>
                        <wps:spPr>
                          <a:xfrm>
                            <a:off x="895077" y="2364661"/>
                            <a:ext cx="0" cy="1016317"/>
                          </a:xfrm>
                          <a:custGeom>
                            <a:avLst/>
                            <a:gdLst/>
                            <a:ahLst/>
                            <a:cxnLst/>
                            <a:rect l="0" t="0" r="0" b="0"/>
                            <a:pathLst>
                              <a:path h="1016317">
                                <a:moveTo>
                                  <a:pt x="0" y="0"/>
                                </a:moveTo>
                                <a:lnTo>
                                  <a:pt x="0" y="1016317"/>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9336" name="Shape 19336"/>
                        <wps:cNvSpPr/>
                        <wps:spPr>
                          <a:xfrm>
                            <a:off x="865842" y="3360734"/>
                            <a:ext cx="58471" cy="80328"/>
                          </a:xfrm>
                          <a:custGeom>
                            <a:avLst/>
                            <a:gdLst/>
                            <a:ahLst/>
                            <a:cxnLst/>
                            <a:rect l="0" t="0" r="0" b="0"/>
                            <a:pathLst>
                              <a:path w="58471" h="80328">
                                <a:moveTo>
                                  <a:pt x="0" y="0"/>
                                </a:moveTo>
                                <a:lnTo>
                                  <a:pt x="29235" y="20244"/>
                                </a:lnTo>
                                <a:lnTo>
                                  <a:pt x="58471" y="0"/>
                                </a:lnTo>
                                <a:lnTo>
                                  <a:pt x="29235" y="80328"/>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337" name="Shape 19337"/>
                        <wps:cNvSpPr/>
                        <wps:spPr>
                          <a:xfrm>
                            <a:off x="895077" y="3990886"/>
                            <a:ext cx="0" cy="798703"/>
                          </a:xfrm>
                          <a:custGeom>
                            <a:avLst/>
                            <a:gdLst/>
                            <a:ahLst/>
                            <a:cxnLst/>
                            <a:rect l="0" t="0" r="0" b="0"/>
                            <a:pathLst>
                              <a:path h="798703">
                                <a:moveTo>
                                  <a:pt x="0" y="0"/>
                                </a:moveTo>
                                <a:lnTo>
                                  <a:pt x="0" y="798703"/>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9338" name="Shape 19338"/>
                        <wps:cNvSpPr/>
                        <wps:spPr>
                          <a:xfrm>
                            <a:off x="865842" y="4769351"/>
                            <a:ext cx="58471" cy="80328"/>
                          </a:xfrm>
                          <a:custGeom>
                            <a:avLst/>
                            <a:gdLst/>
                            <a:ahLst/>
                            <a:cxnLst/>
                            <a:rect l="0" t="0" r="0" b="0"/>
                            <a:pathLst>
                              <a:path w="58471" h="80328">
                                <a:moveTo>
                                  <a:pt x="0" y="0"/>
                                </a:moveTo>
                                <a:lnTo>
                                  <a:pt x="29235" y="20244"/>
                                </a:lnTo>
                                <a:lnTo>
                                  <a:pt x="58471" y="0"/>
                                </a:lnTo>
                                <a:lnTo>
                                  <a:pt x="29235" y="80328"/>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339" name="Shape 19339"/>
                        <wps:cNvSpPr/>
                        <wps:spPr>
                          <a:xfrm>
                            <a:off x="4182740" y="3219712"/>
                            <a:ext cx="0" cy="476479"/>
                          </a:xfrm>
                          <a:custGeom>
                            <a:avLst/>
                            <a:gdLst/>
                            <a:ahLst/>
                            <a:cxnLst/>
                            <a:rect l="0" t="0" r="0" b="0"/>
                            <a:pathLst>
                              <a:path h="476479">
                                <a:moveTo>
                                  <a:pt x="0" y="0"/>
                                </a:moveTo>
                                <a:lnTo>
                                  <a:pt x="0" y="476479"/>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9340" name="Shape 19340"/>
                        <wps:cNvSpPr/>
                        <wps:spPr>
                          <a:xfrm>
                            <a:off x="4153505" y="3675943"/>
                            <a:ext cx="58471" cy="80328"/>
                          </a:xfrm>
                          <a:custGeom>
                            <a:avLst/>
                            <a:gdLst/>
                            <a:ahLst/>
                            <a:cxnLst/>
                            <a:rect l="0" t="0" r="0" b="0"/>
                            <a:pathLst>
                              <a:path w="58471" h="80328">
                                <a:moveTo>
                                  <a:pt x="0" y="0"/>
                                </a:moveTo>
                                <a:lnTo>
                                  <a:pt x="29235" y="20244"/>
                                </a:lnTo>
                                <a:lnTo>
                                  <a:pt x="58471" y="0"/>
                                </a:lnTo>
                                <a:lnTo>
                                  <a:pt x="29235" y="80328"/>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341" name="Shape 19341"/>
                        <wps:cNvSpPr/>
                        <wps:spPr>
                          <a:xfrm>
                            <a:off x="4182740" y="4071967"/>
                            <a:ext cx="0" cy="476479"/>
                          </a:xfrm>
                          <a:custGeom>
                            <a:avLst/>
                            <a:gdLst/>
                            <a:ahLst/>
                            <a:cxnLst/>
                            <a:rect l="0" t="0" r="0" b="0"/>
                            <a:pathLst>
                              <a:path h="476479">
                                <a:moveTo>
                                  <a:pt x="0" y="0"/>
                                </a:moveTo>
                                <a:lnTo>
                                  <a:pt x="0" y="476479"/>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9342" name="Shape 19342"/>
                        <wps:cNvSpPr/>
                        <wps:spPr>
                          <a:xfrm>
                            <a:off x="4153505" y="4528199"/>
                            <a:ext cx="58471" cy="80328"/>
                          </a:xfrm>
                          <a:custGeom>
                            <a:avLst/>
                            <a:gdLst/>
                            <a:ahLst/>
                            <a:cxnLst/>
                            <a:rect l="0" t="0" r="0" b="0"/>
                            <a:pathLst>
                              <a:path w="58471" h="80328">
                                <a:moveTo>
                                  <a:pt x="0" y="0"/>
                                </a:moveTo>
                                <a:lnTo>
                                  <a:pt x="29235" y="20244"/>
                                </a:lnTo>
                                <a:lnTo>
                                  <a:pt x="58471" y="0"/>
                                </a:lnTo>
                                <a:lnTo>
                                  <a:pt x="29235" y="80328"/>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343" name="Shape 19343"/>
                        <wps:cNvSpPr/>
                        <wps:spPr>
                          <a:xfrm>
                            <a:off x="4182740" y="2364661"/>
                            <a:ext cx="0" cy="476479"/>
                          </a:xfrm>
                          <a:custGeom>
                            <a:avLst/>
                            <a:gdLst/>
                            <a:ahLst/>
                            <a:cxnLst/>
                            <a:rect l="0" t="0" r="0" b="0"/>
                            <a:pathLst>
                              <a:path h="476479">
                                <a:moveTo>
                                  <a:pt x="0" y="0"/>
                                </a:moveTo>
                                <a:lnTo>
                                  <a:pt x="0" y="476479"/>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9344" name="Shape 19344"/>
                        <wps:cNvSpPr/>
                        <wps:spPr>
                          <a:xfrm>
                            <a:off x="4153505" y="2820892"/>
                            <a:ext cx="58471" cy="80328"/>
                          </a:xfrm>
                          <a:custGeom>
                            <a:avLst/>
                            <a:gdLst/>
                            <a:ahLst/>
                            <a:cxnLst/>
                            <a:rect l="0" t="0" r="0" b="0"/>
                            <a:pathLst>
                              <a:path w="58471" h="80328">
                                <a:moveTo>
                                  <a:pt x="0" y="0"/>
                                </a:moveTo>
                                <a:lnTo>
                                  <a:pt x="29235" y="20244"/>
                                </a:lnTo>
                                <a:lnTo>
                                  <a:pt x="58471" y="0"/>
                                </a:lnTo>
                                <a:lnTo>
                                  <a:pt x="29235" y="80328"/>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345" name="Shape 19345"/>
                        <wps:cNvSpPr/>
                        <wps:spPr>
                          <a:xfrm>
                            <a:off x="1597067" y="2424745"/>
                            <a:ext cx="1510195" cy="2590838"/>
                          </a:xfrm>
                          <a:custGeom>
                            <a:avLst/>
                            <a:gdLst/>
                            <a:ahLst/>
                            <a:cxnLst/>
                            <a:rect l="0" t="0" r="0" b="0"/>
                            <a:pathLst>
                              <a:path w="1510195" h="2590838">
                                <a:moveTo>
                                  <a:pt x="0" y="2590838"/>
                                </a:moveTo>
                                <a:lnTo>
                                  <a:pt x="1510195" y="2590838"/>
                                </a:lnTo>
                                <a:lnTo>
                                  <a:pt x="1510195" y="0"/>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9346" name="Shape 19346"/>
                        <wps:cNvSpPr/>
                        <wps:spPr>
                          <a:xfrm>
                            <a:off x="3078032" y="2364657"/>
                            <a:ext cx="58471" cy="80328"/>
                          </a:xfrm>
                          <a:custGeom>
                            <a:avLst/>
                            <a:gdLst/>
                            <a:ahLst/>
                            <a:cxnLst/>
                            <a:rect l="0" t="0" r="0" b="0"/>
                            <a:pathLst>
                              <a:path w="58471" h="80328">
                                <a:moveTo>
                                  <a:pt x="29235" y="0"/>
                                </a:moveTo>
                                <a:lnTo>
                                  <a:pt x="58471" y="80328"/>
                                </a:lnTo>
                                <a:lnTo>
                                  <a:pt x="29235" y="60084"/>
                                </a:lnTo>
                                <a:lnTo>
                                  <a:pt x="0" y="80328"/>
                                </a:lnTo>
                                <a:lnTo>
                                  <a:pt x="29235"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347" name="Shape 19347"/>
                        <wps:cNvSpPr/>
                        <wps:spPr>
                          <a:xfrm>
                            <a:off x="2753100" y="2424745"/>
                            <a:ext cx="156172" cy="228638"/>
                          </a:xfrm>
                          <a:custGeom>
                            <a:avLst/>
                            <a:gdLst/>
                            <a:ahLst/>
                            <a:cxnLst/>
                            <a:rect l="0" t="0" r="0" b="0"/>
                            <a:pathLst>
                              <a:path w="156172" h="228638">
                                <a:moveTo>
                                  <a:pt x="0" y="228638"/>
                                </a:moveTo>
                                <a:lnTo>
                                  <a:pt x="156172" y="228638"/>
                                </a:lnTo>
                                <a:lnTo>
                                  <a:pt x="156172" y="0"/>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9348" name="Shape 19348"/>
                        <wps:cNvSpPr/>
                        <wps:spPr>
                          <a:xfrm>
                            <a:off x="2880032" y="2364657"/>
                            <a:ext cx="58471" cy="80328"/>
                          </a:xfrm>
                          <a:custGeom>
                            <a:avLst/>
                            <a:gdLst/>
                            <a:ahLst/>
                            <a:cxnLst/>
                            <a:rect l="0" t="0" r="0" b="0"/>
                            <a:pathLst>
                              <a:path w="58471" h="80328">
                                <a:moveTo>
                                  <a:pt x="29235" y="0"/>
                                </a:moveTo>
                                <a:lnTo>
                                  <a:pt x="58471" y="80328"/>
                                </a:lnTo>
                                <a:lnTo>
                                  <a:pt x="29235" y="60084"/>
                                </a:lnTo>
                                <a:lnTo>
                                  <a:pt x="0" y="80328"/>
                                </a:lnTo>
                                <a:lnTo>
                                  <a:pt x="29235"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349" name="Shape 19349"/>
                        <wps:cNvSpPr/>
                        <wps:spPr>
                          <a:xfrm>
                            <a:off x="4474705" y="2065438"/>
                            <a:ext cx="413055" cy="0"/>
                          </a:xfrm>
                          <a:custGeom>
                            <a:avLst/>
                            <a:gdLst/>
                            <a:ahLst/>
                            <a:cxnLst/>
                            <a:rect l="0" t="0" r="0" b="0"/>
                            <a:pathLst>
                              <a:path w="413055">
                                <a:moveTo>
                                  <a:pt x="413055" y="0"/>
                                </a:moveTo>
                                <a:lnTo>
                                  <a:pt x="0" y="0"/>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9350" name="Shape 19350"/>
                        <wps:cNvSpPr/>
                        <wps:spPr>
                          <a:xfrm>
                            <a:off x="4414617" y="2036203"/>
                            <a:ext cx="80328" cy="58471"/>
                          </a:xfrm>
                          <a:custGeom>
                            <a:avLst/>
                            <a:gdLst/>
                            <a:ahLst/>
                            <a:cxnLst/>
                            <a:rect l="0" t="0" r="0" b="0"/>
                            <a:pathLst>
                              <a:path w="80328" h="58471">
                                <a:moveTo>
                                  <a:pt x="80328" y="0"/>
                                </a:moveTo>
                                <a:lnTo>
                                  <a:pt x="60084" y="29235"/>
                                </a:lnTo>
                                <a:lnTo>
                                  <a:pt x="80328" y="58471"/>
                                </a:lnTo>
                                <a:lnTo>
                                  <a:pt x="0" y="29235"/>
                                </a:lnTo>
                                <a:lnTo>
                                  <a:pt x="80328"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351" name="Shape 19351"/>
                        <wps:cNvSpPr/>
                        <wps:spPr>
                          <a:xfrm>
                            <a:off x="916332" y="1836"/>
                            <a:ext cx="224498" cy="316344"/>
                          </a:xfrm>
                          <a:custGeom>
                            <a:avLst/>
                            <a:gdLst/>
                            <a:ahLst/>
                            <a:cxnLst/>
                            <a:rect l="0" t="0" r="0" b="0"/>
                            <a:pathLst>
                              <a:path w="224498" h="316344">
                                <a:moveTo>
                                  <a:pt x="224498" y="0"/>
                                </a:moveTo>
                                <a:lnTo>
                                  <a:pt x="0" y="316344"/>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9352" name="Shape 19352"/>
                        <wps:cNvSpPr/>
                        <wps:spPr>
                          <a:xfrm>
                            <a:off x="881546" y="284749"/>
                            <a:ext cx="70333" cy="82410"/>
                          </a:xfrm>
                          <a:custGeom>
                            <a:avLst/>
                            <a:gdLst/>
                            <a:ahLst/>
                            <a:cxnLst/>
                            <a:rect l="0" t="0" r="0" b="0"/>
                            <a:pathLst>
                              <a:path w="70333" h="82410">
                                <a:moveTo>
                                  <a:pt x="22657" y="0"/>
                                </a:moveTo>
                                <a:lnTo>
                                  <a:pt x="34785" y="33439"/>
                                </a:lnTo>
                                <a:lnTo>
                                  <a:pt x="70333" y="33833"/>
                                </a:lnTo>
                                <a:lnTo>
                                  <a:pt x="0" y="82410"/>
                                </a:lnTo>
                                <a:lnTo>
                                  <a:pt x="22657"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19353" name="Shape 19353"/>
                        <wps:cNvSpPr/>
                        <wps:spPr>
                          <a:xfrm>
                            <a:off x="5301246" y="1836"/>
                            <a:ext cx="224498" cy="316344"/>
                          </a:xfrm>
                          <a:custGeom>
                            <a:avLst/>
                            <a:gdLst/>
                            <a:ahLst/>
                            <a:cxnLst/>
                            <a:rect l="0" t="0" r="0" b="0"/>
                            <a:pathLst>
                              <a:path w="224498" h="316344">
                                <a:moveTo>
                                  <a:pt x="0" y="0"/>
                                </a:moveTo>
                                <a:lnTo>
                                  <a:pt x="224498" y="316344"/>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19354" name="Shape 19354"/>
                        <wps:cNvSpPr/>
                        <wps:spPr>
                          <a:xfrm>
                            <a:off x="5490197" y="284749"/>
                            <a:ext cx="70333" cy="82410"/>
                          </a:xfrm>
                          <a:custGeom>
                            <a:avLst/>
                            <a:gdLst/>
                            <a:ahLst/>
                            <a:cxnLst/>
                            <a:rect l="0" t="0" r="0" b="0"/>
                            <a:pathLst>
                              <a:path w="70333" h="82410">
                                <a:moveTo>
                                  <a:pt x="47676" y="0"/>
                                </a:moveTo>
                                <a:lnTo>
                                  <a:pt x="70333" y="82410"/>
                                </a:lnTo>
                                <a:lnTo>
                                  <a:pt x="0" y="33833"/>
                                </a:lnTo>
                                <a:lnTo>
                                  <a:pt x="35547" y="33439"/>
                                </a:lnTo>
                                <a:lnTo>
                                  <a:pt x="47676"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81632" style="width:509.552pt;height:406.229pt;mso-position-horizontal-relative:char;mso-position-vertical-relative:line" coordsize="64713,51591">
                <v:rect id="Rectangle 19256" style="position:absolute;width:10242;height:2030;left:5100;top:3842;" filled="f" stroked="f">
                  <v:textbox inset="0,0,0,0">
                    <w:txbxContent>
                      <w:p>
                        <w:pPr>
                          <w:spacing w:before="0" w:after="160" w:line="259" w:lineRule="auto"/>
                          <w:ind w:left="0" w:right="0" w:firstLine="0"/>
                          <w:jc w:val="left"/>
                        </w:pPr>
                        <w:r>
                          <w:rPr>
                            <w:w w:val="104"/>
                          </w:rPr>
                          <w:t xml:space="preserve">Наличие</w:t>
                        </w:r>
                        <w:r>
                          <w:rPr>
                            <w:spacing w:val="-3"/>
                            <w:w w:val="104"/>
                          </w:rPr>
                          <w:t xml:space="preserve"> </w:t>
                        </w:r>
                        <w:r>
                          <w:rPr>
                            <w:w w:val="104"/>
                          </w:rPr>
                          <w:t xml:space="preserve">язвы</w:t>
                        </w:r>
                      </w:p>
                    </w:txbxContent>
                  </v:textbox>
                </v:rect>
                <v:rect id="Rectangle 19257" style="position:absolute;width:8867;height:2030;left:5619;top:21443;" filled="f" stroked="f">
                  <v:textbox inset="0,0,0,0">
                    <w:txbxContent>
                      <w:p>
                        <w:pPr>
                          <w:spacing w:before="0" w:after="160" w:line="259" w:lineRule="auto"/>
                          <w:ind w:left="0" w:right="0" w:firstLine="0"/>
                          <w:jc w:val="left"/>
                        </w:pPr>
                        <w:r>
                          <w:rPr>
                            <w:w w:val="102"/>
                          </w:rPr>
                          <w:t xml:space="preserve">заживление</w:t>
                        </w:r>
                      </w:p>
                    </w:txbxContent>
                  </v:textbox>
                </v:rect>
                <v:rect id="Rectangle 19258" style="position:absolute;width:12104;height:2030;left:51347;top:3842;" filled="f" stroked="f">
                  <v:textbox inset="0,0,0,0">
                    <w:txbxContent>
                      <w:p>
                        <w:pPr>
                          <w:spacing w:before="0" w:after="160" w:line="259" w:lineRule="auto"/>
                          <w:ind w:left="0" w:right="0" w:firstLine="0"/>
                          <w:jc w:val="left"/>
                        </w:pPr>
                        <w:r>
                          <w:rPr>
                            <w:w w:val="104"/>
                          </w:rPr>
                          <w:t xml:space="preserve">Отсутствие</w:t>
                        </w:r>
                        <w:r>
                          <w:rPr>
                            <w:spacing w:val="-3"/>
                            <w:w w:val="104"/>
                          </w:rPr>
                          <w:t xml:space="preserve"> </w:t>
                        </w:r>
                        <w:r>
                          <w:rPr>
                            <w:w w:val="104"/>
                          </w:rPr>
                          <w:t xml:space="preserve">язвы</w:t>
                        </w:r>
                      </w:p>
                    </w:txbxContent>
                  </v:textbox>
                </v:rect>
                <v:rect id="Rectangle 19259" style="position:absolute;width:19699;height:2030;left:27880;top:3842;" filled="f" stroked="f">
                  <v:textbox inset="0,0,0,0">
                    <w:txbxContent>
                      <w:p>
                        <w:pPr>
                          <w:spacing w:before="0" w:after="160" w:line="259" w:lineRule="auto"/>
                          <w:ind w:left="0" w:right="0" w:firstLine="0"/>
                          <w:jc w:val="left"/>
                        </w:pPr>
                        <w:r>
                          <w:rPr>
                            <w:color w:val="c51a1b"/>
                            <w:w w:val="104"/>
                          </w:rPr>
                          <w:t xml:space="preserve">Хронический</w:t>
                        </w:r>
                        <w:r>
                          <w:rPr>
                            <w:color w:val="c51a1b"/>
                            <w:spacing w:val="-3"/>
                            <w:w w:val="104"/>
                          </w:rPr>
                          <w:t xml:space="preserve"> </w:t>
                        </w:r>
                        <w:r>
                          <w:rPr>
                            <w:color w:val="c51a1b"/>
                            <w:w w:val="104"/>
                          </w:rPr>
                          <w:t xml:space="preserve">остеомиелит</w:t>
                        </w:r>
                      </w:p>
                    </w:txbxContent>
                  </v:textbox>
                </v:rect>
                <v:rect id="Rectangle 19260" style="position:absolute;width:358;height:2030;left:1200;top:9491;" filled="f" stroked="f">
                  <v:textbox inset="0,0,0,0">
                    <w:txbxContent>
                      <w:p>
                        <w:pPr>
                          <w:spacing w:before="0" w:after="160" w:line="259" w:lineRule="auto"/>
                          <w:ind w:left="0" w:right="0" w:firstLine="0"/>
                          <w:jc w:val="left"/>
                        </w:pPr>
                        <w:r>
                          <w:rPr/>
                          <w:t xml:space="preserve"> </w:t>
                        </w:r>
                      </w:p>
                    </w:txbxContent>
                  </v:textbox>
                </v:rect>
                <v:rect id="Rectangle 19261" style="position:absolute;width:518;height:2030;left:810;top:9491;" filled="f" stroked="f">
                  <v:textbox inset="0,0,0,0">
                    <w:txbxContent>
                      <w:p>
                        <w:pPr>
                          <w:spacing w:before="0" w:after="160" w:line="259" w:lineRule="auto"/>
                          <w:ind w:left="0" w:right="0" w:firstLine="0"/>
                          <w:jc w:val="left"/>
                        </w:pPr>
                        <w:r>
                          <w:rPr>
                            <w:w w:val="100"/>
                          </w:rPr>
                          <w:t xml:space="preserve">-</w:t>
                        </w:r>
                      </w:p>
                    </w:txbxContent>
                  </v:textbox>
                </v:rect>
                <v:rect id="Rectangle 19262" style="position:absolute;width:12608;height:2030;left:1889;top:9491;" filled="f" stroked="f">
                  <v:textbox inset="0,0,0,0">
                    <w:txbxContent>
                      <w:p>
                        <w:pPr>
                          <w:spacing w:before="0" w:after="160" w:line="259" w:lineRule="auto"/>
                          <w:ind w:left="0" w:right="0" w:firstLine="0"/>
                          <w:jc w:val="left"/>
                        </w:pPr>
                        <w:r>
                          <w:rPr>
                            <w:w w:val="103"/>
                          </w:rPr>
                          <w:t xml:space="preserve">индивидуальная</w:t>
                        </w:r>
                        <w:r>
                          <w:rPr>
                            <w:spacing w:val="-3"/>
                            <w:w w:val="103"/>
                          </w:rPr>
                          <w:t xml:space="preserve"> </w:t>
                        </w:r>
                      </w:p>
                    </w:txbxContent>
                  </v:textbox>
                </v:rect>
                <v:rect id="Rectangle 19263" style="position:absolute;width:16591;height:2030;left:1889;top:10761;" filled="f" stroked="f">
                  <v:textbox inset="0,0,0,0">
                    <w:txbxContent>
                      <w:p>
                        <w:pPr>
                          <w:spacing w:before="0" w:after="160" w:line="259" w:lineRule="auto"/>
                          <w:ind w:left="0" w:right="0" w:firstLine="0"/>
                          <w:jc w:val="left"/>
                        </w:pPr>
                        <w:r>
                          <w:rPr>
                            <w:w w:val="104"/>
                          </w:rPr>
                          <w:t xml:space="preserve">разгрузочная</w:t>
                        </w:r>
                        <w:r>
                          <w:rPr>
                            <w:spacing w:val="-3"/>
                            <w:w w:val="104"/>
                          </w:rPr>
                          <w:t xml:space="preserve"> </w:t>
                        </w:r>
                        <w:r>
                          <w:rPr>
                            <w:w w:val="104"/>
                          </w:rPr>
                          <w:t xml:space="preserve">повязка;</w:t>
                        </w:r>
                      </w:p>
                    </w:txbxContent>
                  </v:textbox>
                </v:rect>
                <v:rect id="Rectangle 19264" style="position:absolute;width:358;height:2030;left:1200;top:12390;" filled="f" stroked="f">
                  <v:textbox inset="0,0,0,0">
                    <w:txbxContent>
                      <w:p>
                        <w:pPr>
                          <w:spacing w:before="0" w:after="160" w:line="259" w:lineRule="auto"/>
                          <w:ind w:left="0" w:right="0" w:firstLine="0"/>
                          <w:jc w:val="left"/>
                        </w:pPr>
                        <w:r>
                          <w:rPr/>
                          <w:t xml:space="preserve"> </w:t>
                        </w:r>
                      </w:p>
                    </w:txbxContent>
                  </v:textbox>
                </v:rect>
                <v:rect id="Rectangle 19265" style="position:absolute;width:518;height:2030;left:810;top:12390;" filled="f" stroked="f">
                  <v:textbox inset="0,0,0,0">
                    <w:txbxContent>
                      <w:p>
                        <w:pPr>
                          <w:spacing w:before="0" w:after="160" w:line="259" w:lineRule="auto"/>
                          <w:ind w:left="0" w:right="0" w:firstLine="0"/>
                          <w:jc w:val="left"/>
                        </w:pPr>
                        <w:r>
                          <w:rPr>
                            <w:w w:val="100"/>
                          </w:rPr>
                          <w:t xml:space="preserve">-</w:t>
                        </w:r>
                      </w:p>
                    </w:txbxContent>
                  </v:textbox>
                </v:rect>
                <v:rect id="Rectangle 19266" style="position:absolute;width:16819;height:2030;left:1889;top:12390;" filled="f" stroked="f">
                  <v:textbox inset="0,0,0,0">
                    <w:txbxContent>
                      <w:p>
                        <w:pPr>
                          <w:spacing w:before="0" w:after="160" w:line="259" w:lineRule="auto"/>
                          <w:ind w:left="0" w:right="0" w:firstLine="0"/>
                          <w:jc w:val="left"/>
                        </w:pPr>
                        <w:r>
                          <w:rPr>
                            <w:w w:val="104"/>
                          </w:rPr>
                          <w:t xml:space="preserve">разгрузочный</w:t>
                        </w:r>
                        <w:r>
                          <w:rPr>
                            <w:spacing w:val="-3"/>
                            <w:w w:val="104"/>
                          </w:rPr>
                          <w:t xml:space="preserve"> </w:t>
                        </w:r>
                        <w:r>
                          <w:rPr>
                            <w:w w:val="104"/>
                          </w:rPr>
                          <w:t xml:space="preserve">ботинок</w:t>
                        </w:r>
                      </w:p>
                    </w:txbxContent>
                  </v:textbox>
                </v:rect>
                <v:rect id="Rectangle 19267" style="position:absolute;width:358;height:2030;left:48064;top:9491;" filled="f" stroked="f">
                  <v:textbox inset="0,0,0,0">
                    <w:txbxContent>
                      <w:p>
                        <w:pPr>
                          <w:spacing w:before="0" w:after="160" w:line="259" w:lineRule="auto"/>
                          <w:ind w:left="0" w:right="0" w:firstLine="0"/>
                          <w:jc w:val="left"/>
                        </w:pPr>
                        <w:r>
                          <w:rPr/>
                          <w:t xml:space="preserve"> </w:t>
                        </w:r>
                      </w:p>
                    </w:txbxContent>
                  </v:textbox>
                </v:rect>
                <v:rect id="Rectangle 19268" style="position:absolute;width:518;height:2030;left:47674;top:9491;" filled="f" stroked="f">
                  <v:textbox inset="0,0,0,0">
                    <w:txbxContent>
                      <w:p>
                        <w:pPr>
                          <w:spacing w:before="0" w:after="160" w:line="259" w:lineRule="auto"/>
                          <w:ind w:left="0" w:right="0" w:firstLine="0"/>
                          <w:jc w:val="left"/>
                        </w:pPr>
                        <w:r>
                          <w:rPr>
                            <w:w w:val="100"/>
                          </w:rPr>
                          <w:t xml:space="preserve">-</w:t>
                        </w:r>
                      </w:p>
                    </w:txbxContent>
                  </v:textbox>
                </v:rect>
                <v:rect id="Rectangle 19269" style="position:absolute;width:17002;height:2030;left:48754;top:9491;" filled="f" stroked="f">
                  <v:textbox inset="0,0,0,0">
                    <w:txbxContent>
                      <w:p>
                        <w:pPr>
                          <w:spacing w:before="0" w:after="160" w:line="259" w:lineRule="auto"/>
                          <w:ind w:left="0" w:right="0" w:firstLine="0"/>
                          <w:jc w:val="left"/>
                        </w:pPr>
                        <w:r>
                          <w:rPr>
                            <w:w w:val="104"/>
                          </w:rPr>
                          <w:t xml:space="preserve">ортопедическая</w:t>
                        </w:r>
                        <w:r>
                          <w:rPr>
                            <w:spacing w:val="-3"/>
                            <w:w w:val="104"/>
                          </w:rPr>
                          <w:t xml:space="preserve"> </w:t>
                        </w:r>
                        <w:r>
                          <w:rPr>
                            <w:w w:val="104"/>
                          </w:rPr>
                          <w:t xml:space="preserve">обувь</w:t>
                        </w:r>
                        <w:r>
                          <w:rPr>
                            <w:spacing w:val="-3"/>
                            <w:w w:val="104"/>
                          </w:rPr>
                          <w:t xml:space="preserve"> </w:t>
                        </w:r>
                      </w:p>
                    </w:txbxContent>
                  </v:textbox>
                </v:rect>
                <v:rect id="Rectangle 19270" style="position:absolute;width:7384;height:2030;left:48754;top:10761;" filled="f" stroked="f">
                  <v:textbox inset="0,0,0,0">
                    <w:txbxContent>
                      <w:p>
                        <w:pPr>
                          <w:spacing w:before="0" w:after="160" w:line="259" w:lineRule="auto"/>
                          <w:ind w:left="0" w:right="0" w:firstLine="0"/>
                          <w:jc w:val="left"/>
                        </w:pPr>
                        <w:r>
                          <w:rPr>
                            <w:w w:val="102"/>
                          </w:rPr>
                          <w:t xml:space="preserve">и</w:t>
                        </w:r>
                        <w:r>
                          <w:rPr>
                            <w:spacing w:val="-3"/>
                            <w:w w:val="102"/>
                          </w:rPr>
                          <w:t xml:space="preserve"> </w:t>
                        </w:r>
                        <w:r>
                          <w:rPr>
                            <w:w w:val="102"/>
                          </w:rPr>
                          <w:t xml:space="preserve">стельки;</w:t>
                        </w:r>
                      </w:p>
                    </w:txbxContent>
                  </v:textbox>
                </v:rect>
                <v:rect id="Rectangle 19271" style="position:absolute;width:358;height:2030;left:48064;top:12390;" filled="f" stroked="f">
                  <v:textbox inset="0,0,0,0">
                    <w:txbxContent>
                      <w:p>
                        <w:pPr>
                          <w:spacing w:before="0" w:after="160" w:line="259" w:lineRule="auto"/>
                          <w:ind w:left="0" w:right="0" w:firstLine="0"/>
                          <w:jc w:val="left"/>
                        </w:pPr>
                        <w:r>
                          <w:rPr/>
                          <w:t xml:space="preserve"> </w:t>
                        </w:r>
                      </w:p>
                    </w:txbxContent>
                  </v:textbox>
                </v:rect>
                <v:rect id="Rectangle 19272" style="position:absolute;width:518;height:2030;left:47674;top:12390;" filled="f" stroked="f">
                  <v:textbox inset="0,0,0,0">
                    <w:txbxContent>
                      <w:p>
                        <w:pPr>
                          <w:spacing w:before="0" w:after="160" w:line="259" w:lineRule="auto"/>
                          <w:ind w:left="0" w:right="0" w:firstLine="0"/>
                          <w:jc w:val="left"/>
                        </w:pPr>
                        <w:r>
                          <w:rPr>
                            <w:w w:val="100"/>
                          </w:rPr>
                          <w:t xml:space="preserve">-</w:t>
                        </w:r>
                      </w:p>
                    </w:txbxContent>
                  </v:textbox>
                </v:rect>
                <v:rect id="Rectangle 19273" style="position:absolute;width:20076;height:2030;left:48754;top:12390;" filled="f" stroked="f">
                  <v:textbox inset="0,0,0,0">
                    <w:txbxContent>
                      <w:p>
                        <w:pPr>
                          <w:spacing w:before="0" w:after="160" w:line="259" w:lineRule="auto"/>
                          <w:ind w:left="0" w:right="0" w:firstLine="0"/>
                          <w:jc w:val="left"/>
                        </w:pPr>
                        <w:r>
                          <w:rPr>
                            <w:w w:val="102"/>
                          </w:rPr>
                          <w:t xml:space="preserve">динамическое</w:t>
                        </w:r>
                        <w:r>
                          <w:rPr>
                            <w:spacing w:val="-3"/>
                            <w:w w:val="102"/>
                          </w:rPr>
                          <w:t xml:space="preserve"> </w:t>
                        </w:r>
                        <w:r>
                          <w:rPr>
                            <w:w w:val="102"/>
                          </w:rPr>
                          <w:t xml:space="preserve">наблюдение</w:t>
                        </w:r>
                      </w:p>
                    </w:txbxContent>
                  </v:textbox>
                </v:rect>
                <v:rect id="Rectangle 19274" style="position:absolute;width:358;height:2030;left:27609;top:9491;" filled="f" stroked="f">
                  <v:textbox inset="0,0,0,0">
                    <w:txbxContent>
                      <w:p>
                        <w:pPr>
                          <w:spacing w:before="0" w:after="160" w:line="259" w:lineRule="auto"/>
                          <w:ind w:left="0" w:right="0" w:firstLine="0"/>
                          <w:jc w:val="left"/>
                        </w:pPr>
                        <w:r>
                          <w:rPr/>
                          <w:t xml:space="preserve"> </w:t>
                        </w:r>
                      </w:p>
                    </w:txbxContent>
                  </v:textbox>
                </v:rect>
                <v:rect id="Rectangle 19275" style="position:absolute;width:518;height:2030;left:27220;top:9491;" filled="f" stroked="f">
                  <v:textbox inset="0,0,0,0">
                    <w:txbxContent>
                      <w:p>
                        <w:pPr>
                          <w:spacing w:before="0" w:after="160" w:line="259" w:lineRule="auto"/>
                          <w:ind w:left="0" w:right="0" w:firstLine="0"/>
                          <w:jc w:val="left"/>
                        </w:pPr>
                        <w:r>
                          <w:rPr>
                            <w:w w:val="100"/>
                          </w:rPr>
                          <w:t xml:space="preserve">-</w:t>
                        </w:r>
                      </w:p>
                    </w:txbxContent>
                  </v:textbox>
                </v:rect>
                <v:rect id="Rectangle 19395" style="position:absolute;width:19902;height:2030;left:28299;top:9491;" filled="f" stroked="f">
                  <v:textbox inset="0,0,0,0">
                    <w:txbxContent>
                      <w:p>
                        <w:pPr>
                          <w:spacing w:before="0" w:after="160" w:line="259" w:lineRule="auto"/>
                          <w:ind w:left="0" w:right="0" w:firstLine="0"/>
                          <w:jc w:val="left"/>
                        </w:pPr>
                        <w:r>
                          <w:rPr>
                            <w:w w:val="104"/>
                          </w:rPr>
                          <w:t xml:space="preserve">транскутанная</w:t>
                        </w:r>
                        <w:r>
                          <w:rPr>
                            <w:spacing w:val="-3"/>
                            <w:w w:val="104"/>
                          </w:rPr>
                          <w:t xml:space="preserve"> </w:t>
                        </w:r>
                        <w:r>
                          <w:rPr>
                            <w:w w:val="104"/>
                          </w:rPr>
                          <w:t xml:space="preserve">оксиметрия</w:t>
                        </w:r>
                      </w:p>
                    </w:txbxContent>
                  </v:textbox>
                </v:rect>
                <v:rect id="Rectangle 281435" style="position:absolute;width:349;height:2030;left:35135;top:10761;" filled="f" stroked="f">
                  <v:textbox inset="0,0,0,0">
                    <w:txbxContent>
                      <w:p>
                        <w:pPr>
                          <w:spacing w:before="0" w:after="160" w:line="259" w:lineRule="auto"/>
                          <w:ind w:left="0" w:right="0" w:firstLine="0"/>
                          <w:jc w:val="left"/>
                        </w:pPr>
                        <w:r>
                          <w:rPr>
                            <w:w w:val="78"/>
                          </w:rPr>
                          <w:t xml:space="preserve">:</w:t>
                        </w:r>
                      </w:p>
                    </w:txbxContent>
                  </v:textbox>
                </v:rect>
                <v:rect id="Rectangle 281434" style="position:absolute;width:2739;height:2030;left:28299;top:10761;" filled="f" stroked="f">
                  <v:textbox inset="0,0,0,0">
                    <w:txbxContent>
                      <w:p>
                        <w:pPr>
                          <w:spacing w:before="0" w:after="160" w:line="259" w:lineRule="auto"/>
                          <w:ind w:left="0" w:right="0" w:firstLine="0"/>
                          <w:jc w:val="left"/>
                        </w:pPr>
                        <w:r>
                          <w:rPr>
                            <w:w w:val="107"/>
                          </w:rPr>
                          <w:t xml:space="preserve">&gt;30</w:t>
                        </w:r>
                      </w:p>
                    </w:txbxContent>
                  </v:textbox>
                </v:rect>
                <v:rect id="Rectangle 281436" style="position:absolute;width:6352;height:2030;left:30359;top:10761;" filled="f" stroked="f">
                  <v:textbox inset="0,0,0,0">
                    <w:txbxContent>
                      <w:p>
                        <w:pPr>
                          <w:spacing w:before="0" w:after="160" w:line="259" w:lineRule="auto"/>
                          <w:ind w:left="0" w:right="0" w:firstLine="0"/>
                          <w:jc w:val="left"/>
                        </w:pPr>
                        <w:r>
                          <w:rPr>
                            <w:spacing w:val="-3"/>
                            <w:w w:val="102"/>
                          </w:rPr>
                          <w:t xml:space="preserve"> </w:t>
                        </w:r>
                        <w:r>
                          <w:rPr>
                            <w:w w:val="102"/>
                          </w:rPr>
                          <w:t xml:space="preserve">мм</w:t>
                        </w:r>
                        <w:r>
                          <w:rPr>
                            <w:spacing w:val="-3"/>
                            <w:w w:val="102"/>
                          </w:rPr>
                          <w:t xml:space="preserve"> </w:t>
                        </w:r>
                        <w:r>
                          <w:rPr>
                            <w:w w:val="102"/>
                          </w:rPr>
                          <w:t xml:space="preserve">рт</w:t>
                        </w:r>
                        <w:r>
                          <w:rPr>
                            <w:spacing w:val="-3"/>
                            <w:w w:val="102"/>
                          </w:rPr>
                          <w:t xml:space="preserve"> </w:t>
                        </w:r>
                        <w:r>
                          <w:rPr>
                            <w:w w:val="102"/>
                          </w:rPr>
                          <w:t xml:space="preserve">ст</w:t>
                        </w:r>
                      </w:p>
                    </w:txbxContent>
                  </v:textbox>
                </v:rect>
                <v:rect id="Rectangle 19278" style="position:absolute;width:358;height:2030;left:27609;top:12751;" filled="f" stroked="f">
                  <v:textbox inset="0,0,0,0">
                    <w:txbxContent>
                      <w:p>
                        <w:pPr>
                          <w:spacing w:before="0" w:after="160" w:line="259" w:lineRule="auto"/>
                          <w:ind w:left="0" w:right="0" w:firstLine="0"/>
                          <w:jc w:val="left"/>
                        </w:pPr>
                        <w:r>
                          <w:rPr/>
                          <w:t xml:space="preserve"> </w:t>
                        </w:r>
                      </w:p>
                    </w:txbxContent>
                  </v:textbox>
                </v:rect>
                <v:rect id="Rectangle 19279" style="position:absolute;width:518;height:2030;left:27220;top:12751;" filled="f" stroked="f">
                  <v:textbox inset="0,0,0,0">
                    <w:txbxContent>
                      <w:p>
                        <w:pPr>
                          <w:spacing w:before="0" w:after="160" w:line="259" w:lineRule="auto"/>
                          <w:ind w:left="0" w:right="0" w:firstLine="0"/>
                          <w:jc w:val="left"/>
                        </w:pPr>
                        <w:r>
                          <w:rPr>
                            <w:w w:val="100"/>
                          </w:rPr>
                          <w:t xml:space="preserve">-</w:t>
                        </w:r>
                      </w:p>
                    </w:txbxContent>
                  </v:textbox>
                </v:rect>
                <v:rect id="Rectangle 19280" style="position:absolute;width:11908;height:2030;left:28299;top:12751;" filled="f" stroked="f">
                  <v:textbox inset="0,0,0,0">
                    <w:txbxContent>
                      <w:p>
                        <w:pPr>
                          <w:spacing w:before="0" w:after="160" w:line="259" w:lineRule="auto"/>
                          <w:ind w:left="0" w:right="0" w:firstLine="0"/>
                          <w:jc w:val="left"/>
                        </w:pPr>
                        <w:r>
                          <w:rPr>
                            <w:w w:val="104"/>
                          </w:rPr>
                          <w:t xml:space="preserve">ультразвуковое</w:t>
                        </w:r>
                        <w:r>
                          <w:rPr>
                            <w:spacing w:val="-3"/>
                            <w:w w:val="104"/>
                          </w:rPr>
                          <w:t xml:space="preserve"> </w:t>
                        </w:r>
                      </w:p>
                    </w:txbxContent>
                  </v:textbox>
                </v:rect>
                <v:rect id="Rectangle 19281" style="position:absolute;width:8918;height:2030;left:28299;top:14021;" filled="f" stroked="f">
                  <v:textbox inset="0,0,0,0">
                    <w:txbxContent>
                      <w:p>
                        <w:pPr>
                          <w:spacing w:before="0" w:after="160" w:line="259" w:lineRule="auto"/>
                          <w:ind w:left="0" w:right="0" w:firstLine="0"/>
                          <w:jc w:val="left"/>
                        </w:pPr>
                        <w:r>
                          <w:rPr>
                            <w:w w:val="103"/>
                          </w:rPr>
                          <w:t xml:space="preserve">дуплексное</w:t>
                        </w:r>
                        <w:r>
                          <w:rPr>
                            <w:spacing w:val="-3"/>
                            <w:w w:val="103"/>
                          </w:rPr>
                          <w:t xml:space="preserve"> </w:t>
                        </w:r>
                      </w:p>
                    </w:txbxContent>
                  </v:textbox>
                </v:rect>
                <v:rect id="Rectangle 19282" style="position:absolute;width:17323;height:2030;left:28299;top:15291;" filled="f" stroked="f">
                  <v:textbox inset="0,0,0,0">
                    <w:txbxContent>
                      <w:p>
                        <w:pPr>
                          <w:spacing w:before="0" w:after="160" w:line="259" w:lineRule="auto"/>
                          <w:ind w:left="0" w:right="0" w:firstLine="0"/>
                          <w:jc w:val="left"/>
                        </w:pPr>
                        <w:r>
                          <w:rPr>
                            <w:w w:val="104"/>
                          </w:rPr>
                          <w:t xml:space="preserve">сканирование</w:t>
                        </w:r>
                        <w:r>
                          <w:rPr>
                            <w:spacing w:val="-3"/>
                            <w:w w:val="104"/>
                          </w:rPr>
                          <w:t xml:space="preserve"> </w:t>
                        </w:r>
                        <w:r>
                          <w:rPr>
                            <w:w w:val="104"/>
                          </w:rPr>
                          <w:t xml:space="preserve">артерий</w:t>
                        </w:r>
                        <w:r>
                          <w:rPr>
                            <w:spacing w:val="-3"/>
                            <w:w w:val="104"/>
                          </w:rPr>
                          <w:t xml:space="preserve"> </w:t>
                        </w:r>
                      </w:p>
                    </w:txbxContent>
                  </v:textbox>
                </v:rect>
                <v:rect id="Rectangle 19283" style="position:absolute;width:15770;height:2030;left:28299;top:16561;" filled="f" stroked="f">
                  <v:textbox inset="0,0,0,0">
                    <w:txbxContent>
                      <w:p>
                        <w:pPr>
                          <w:spacing w:before="0" w:after="160" w:line="259" w:lineRule="auto"/>
                          <w:ind w:left="0" w:right="0" w:firstLine="0"/>
                          <w:jc w:val="left"/>
                        </w:pPr>
                        <w:r>
                          <w:rPr>
                            <w:w w:val="104"/>
                          </w:rPr>
                          <w:t xml:space="preserve">нижних</w:t>
                        </w:r>
                        <w:r>
                          <w:rPr>
                            <w:spacing w:val="-3"/>
                            <w:w w:val="104"/>
                          </w:rPr>
                          <w:t xml:space="preserve"> </w:t>
                        </w:r>
                        <w:r>
                          <w:rPr>
                            <w:w w:val="104"/>
                          </w:rPr>
                          <w:t xml:space="preserve">конечностей</w:t>
                        </w:r>
                        <w:r>
                          <w:rPr>
                            <w:spacing w:val="-3"/>
                            <w:w w:val="104"/>
                          </w:rPr>
                          <w:t xml:space="preserve"> </w:t>
                        </w:r>
                      </w:p>
                    </w:txbxContent>
                  </v:textbox>
                </v:rect>
                <v:rect id="Rectangle 19284" style="position:absolute;width:11033;height:2030;left:28299;top:17831;" filled="f" stroked="f">
                  <v:textbox inset="0,0,0,0">
                    <w:txbxContent>
                      <w:p>
                        <w:pPr>
                          <w:spacing w:before="0" w:after="160" w:line="259" w:lineRule="auto"/>
                          <w:ind w:left="0" w:right="0" w:firstLine="0"/>
                          <w:jc w:val="left"/>
                        </w:pPr>
                        <w:r>
                          <w:rPr>
                            <w:w w:val="103"/>
                          </w:rPr>
                          <w:t xml:space="preserve">без</w:t>
                        </w:r>
                        <w:r>
                          <w:rPr>
                            <w:spacing w:val="-3"/>
                            <w:w w:val="103"/>
                          </w:rPr>
                          <w:t xml:space="preserve"> </w:t>
                        </w:r>
                        <w:r>
                          <w:rPr>
                            <w:w w:val="103"/>
                          </w:rPr>
                          <w:t xml:space="preserve">признаков</w:t>
                        </w:r>
                        <w:r>
                          <w:rPr>
                            <w:spacing w:val="-3"/>
                            <w:w w:val="103"/>
                          </w:rPr>
                          <w:t xml:space="preserve"> </w:t>
                        </w:r>
                      </w:p>
                    </w:txbxContent>
                  </v:textbox>
                </v:rect>
                <v:rect id="Rectangle 19285" style="position:absolute;width:16433;height:2030;left:28299;top:19101;" filled="f" stroked="f">
                  <v:textbox inset="0,0,0,0">
                    <w:txbxContent>
                      <w:p>
                        <w:pPr>
                          <w:spacing w:before="0" w:after="160" w:line="259" w:lineRule="auto"/>
                          <w:ind w:left="0" w:right="0" w:firstLine="0"/>
                          <w:jc w:val="left"/>
                        </w:pPr>
                        <w:r>
                          <w:rPr>
                            <w:w w:val="104"/>
                          </w:rPr>
                          <w:t xml:space="preserve">критического</w:t>
                        </w:r>
                        <w:r>
                          <w:rPr>
                            <w:spacing w:val="-3"/>
                            <w:w w:val="104"/>
                          </w:rPr>
                          <w:t xml:space="preserve"> </w:t>
                        </w:r>
                        <w:r>
                          <w:rPr>
                            <w:w w:val="104"/>
                          </w:rPr>
                          <w:t xml:space="preserve">стеноза;</w:t>
                        </w:r>
                      </w:p>
                    </w:txbxContent>
                  </v:textbox>
                </v:rect>
                <v:rect id="Rectangle 19286" style="position:absolute;width:358;height:2030;left:27609;top:21091;" filled="f" stroked="f">
                  <v:textbox inset="0,0,0,0">
                    <w:txbxContent>
                      <w:p>
                        <w:pPr>
                          <w:spacing w:before="0" w:after="160" w:line="259" w:lineRule="auto"/>
                          <w:ind w:left="0" w:right="0" w:firstLine="0"/>
                          <w:jc w:val="left"/>
                        </w:pPr>
                        <w:r>
                          <w:rPr/>
                          <w:t xml:space="preserve"> </w:t>
                        </w:r>
                      </w:p>
                    </w:txbxContent>
                  </v:textbox>
                </v:rect>
                <v:rect id="Rectangle 19287" style="position:absolute;width:518;height:2030;left:27220;top:21091;" filled="f" stroked="f">
                  <v:textbox inset="0,0,0,0">
                    <w:txbxContent>
                      <w:p>
                        <w:pPr>
                          <w:spacing w:before="0" w:after="160" w:line="259" w:lineRule="auto"/>
                          <w:ind w:left="0" w:right="0" w:firstLine="0"/>
                          <w:jc w:val="left"/>
                        </w:pPr>
                        <w:r>
                          <w:rPr>
                            <w:w w:val="100"/>
                          </w:rPr>
                          <w:t xml:space="preserve">-</w:t>
                        </w:r>
                      </w:p>
                    </w:txbxContent>
                  </v:textbox>
                </v:rect>
                <v:rect id="Rectangle 19288" style="position:absolute;width:11995;height:2030;left:28299;top:21091;" filled="f" stroked="f">
                  <v:textbox inset="0,0,0,0">
                    <w:txbxContent>
                      <w:p>
                        <w:pPr>
                          <w:spacing w:before="0" w:after="160" w:line="259" w:lineRule="auto"/>
                          <w:ind w:left="0" w:right="0" w:firstLine="0"/>
                          <w:jc w:val="left"/>
                        </w:pPr>
                        <w:r>
                          <w:rPr>
                            <w:w w:val="105"/>
                          </w:rPr>
                          <w:t xml:space="preserve">рентгенография</w:t>
                        </w:r>
                      </w:p>
                    </w:txbxContent>
                  </v:textbox>
                </v:rect>
                <v:rect id="Rectangle 19289" style="position:absolute;width:358;height:2030;left:1197;top:34708;" filled="f" stroked="f">
                  <v:textbox inset="0,0,0,0">
                    <w:txbxContent>
                      <w:p>
                        <w:pPr>
                          <w:spacing w:before="0" w:after="160" w:line="259" w:lineRule="auto"/>
                          <w:ind w:left="0" w:right="0" w:firstLine="0"/>
                          <w:jc w:val="left"/>
                        </w:pPr>
                        <w:r>
                          <w:rPr/>
                          <w:t xml:space="preserve"> </w:t>
                        </w:r>
                      </w:p>
                    </w:txbxContent>
                  </v:textbox>
                </v:rect>
                <v:rect id="Rectangle 19290" style="position:absolute;width:518;height:2030;left:807;top:34708;" filled="f" stroked="f">
                  <v:textbox inset="0,0,0,0">
                    <w:txbxContent>
                      <w:p>
                        <w:pPr>
                          <w:spacing w:before="0" w:after="160" w:line="259" w:lineRule="auto"/>
                          <w:ind w:left="0" w:right="0" w:firstLine="0"/>
                          <w:jc w:val="left"/>
                        </w:pPr>
                        <w:r>
                          <w:rPr>
                            <w:w w:val="100"/>
                          </w:rPr>
                          <w:t xml:space="preserve">-</w:t>
                        </w:r>
                      </w:p>
                    </w:txbxContent>
                  </v:textbox>
                </v:rect>
                <v:rect id="Rectangle 19291" style="position:absolute;width:17002;height:2030;left:1887;top:34708;" filled="f" stroked="f">
                  <v:textbox inset="0,0,0,0">
                    <w:txbxContent>
                      <w:p>
                        <w:pPr>
                          <w:spacing w:before="0" w:after="160" w:line="259" w:lineRule="auto"/>
                          <w:ind w:left="0" w:right="0" w:firstLine="0"/>
                          <w:jc w:val="left"/>
                        </w:pPr>
                        <w:r>
                          <w:rPr>
                            <w:w w:val="104"/>
                          </w:rPr>
                          <w:t xml:space="preserve">ортопедическая</w:t>
                        </w:r>
                        <w:r>
                          <w:rPr>
                            <w:spacing w:val="-3"/>
                            <w:w w:val="104"/>
                          </w:rPr>
                          <w:t xml:space="preserve"> </w:t>
                        </w:r>
                        <w:r>
                          <w:rPr>
                            <w:w w:val="104"/>
                          </w:rPr>
                          <w:t xml:space="preserve">обувь</w:t>
                        </w:r>
                        <w:r>
                          <w:rPr>
                            <w:spacing w:val="-3"/>
                            <w:w w:val="104"/>
                          </w:rPr>
                          <w:t xml:space="preserve"> </w:t>
                        </w:r>
                      </w:p>
                    </w:txbxContent>
                  </v:textbox>
                </v:rect>
                <v:rect id="Rectangle 19292" style="position:absolute;width:7384;height:2030;left:1887;top:35978;" filled="f" stroked="f">
                  <v:textbox inset="0,0,0,0">
                    <w:txbxContent>
                      <w:p>
                        <w:pPr>
                          <w:spacing w:before="0" w:after="160" w:line="259" w:lineRule="auto"/>
                          <w:ind w:left="0" w:right="0" w:firstLine="0"/>
                          <w:jc w:val="left"/>
                        </w:pPr>
                        <w:r>
                          <w:rPr>
                            <w:w w:val="102"/>
                          </w:rPr>
                          <w:t xml:space="preserve">и</w:t>
                        </w:r>
                        <w:r>
                          <w:rPr>
                            <w:spacing w:val="-3"/>
                            <w:w w:val="102"/>
                          </w:rPr>
                          <w:t xml:space="preserve"> </w:t>
                        </w:r>
                        <w:r>
                          <w:rPr>
                            <w:w w:val="102"/>
                          </w:rPr>
                          <w:t xml:space="preserve">стельки;</w:t>
                        </w:r>
                      </w:p>
                    </w:txbxContent>
                  </v:textbox>
                </v:rect>
                <v:rect id="Rectangle 19293" style="position:absolute;width:358;height:2030;left:1197;top:37607;" filled="f" stroked="f">
                  <v:textbox inset="0,0,0,0">
                    <w:txbxContent>
                      <w:p>
                        <w:pPr>
                          <w:spacing w:before="0" w:after="160" w:line="259" w:lineRule="auto"/>
                          <w:ind w:left="0" w:right="0" w:firstLine="0"/>
                          <w:jc w:val="left"/>
                        </w:pPr>
                        <w:r>
                          <w:rPr/>
                          <w:t xml:space="preserve"> </w:t>
                        </w:r>
                      </w:p>
                    </w:txbxContent>
                  </v:textbox>
                </v:rect>
                <v:rect id="Rectangle 19294" style="position:absolute;width:518;height:2030;left:807;top:37607;" filled="f" stroked="f">
                  <v:textbox inset="0,0,0,0">
                    <w:txbxContent>
                      <w:p>
                        <w:pPr>
                          <w:spacing w:before="0" w:after="160" w:line="259" w:lineRule="auto"/>
                          <w:ind w:left="0" w:right="0" w:firstLine="0"/>
                          <w:jc w:val="left"/>
                        </w:pPr>
                        <w:r>
                          <w:rPr>
                            <w:w w:val="100"/>
                          </w:rPr>
                          <w:t xml:space="preserve">-</w:t>
                        </w:r>
                      </w:p>
                    </w:txbxContent>
                  </v:textbox>
                </v:rect>
                <v:rect id="Rectangle 19295" style="position:absolute;width:20076;height:2030;left:1887;top:37607;" filled="f" stroked="f">
                  <v:textbox inset="0,0,0,0">
                    <w:txbxContent>
                      <w:p>
                        <w:pPr>
                          <w:spacing w:before="0" w:after="160" w:line="259" w:lineRule="auto"/>
                          <w:ind w:left="0" w:right="0" w:firstLine="0"/>
                          <w:jc w:val="left"/>
                        </w:pPr>
                        <w:r>
                          <w:rPr>
                            <w:w w:val="102"/>
                          </w:rPr>
                          <w:t xml:space="preserve">динамическое</w:t>
                        </w:r>
                        <w:r>
                          <w:rPr>
                            <w:spacing w:val="-3"/>
                            <w:w w:val="102"/>
                          </w:rPr>
                          <w:t xml:space="preserve"> </w:t>
                        </w:r>
                        <w:r>
                          <w:rPr>
                            <w:w w:val="102"/>
                          </w:rPr>
                          <w:t xml:space="preserve">наблюдение</w:t>
                        </w:r>
                      </w:p>
                    </w:txbxContent>
                  </v:textbox>
                </v:rect>
                <v:rect id="Rectangle 281438" style="position:absolute;width:5636;height:2030;left:11008;top:17168;" filled="f" stroked="f">
                  <v:textbox inset="0,0,0,0">
                    <w:txbxContent>
                      <w:p>
                        <w:pPr>
                          <w:spacing w:before="0" w:after="160" w:line="259" w:lineRule="auto"/>
                          <w:ind w:left="0" w:right="0" w:firstLine="0"/>
                          <w:jc w:val="left"/>
                        </w:pPr>
                        <w:r>
                          <w:rPr>
                            <w:spacing w:val="-3"/>
                            <w:w w:val="102"/>
                          </w:rPr>
                          <w:t xml:space="preserve"> </w:t>
                        </w:r>
                        <w:r>
                          <w:rPr>
                            <w:w w:val="102"/>
                          </w:rPr>
                          <w:t xml:space="preserve">месяца</w:t>
                        </w:r>
                      </w:p>
                    </w:txbxContent>
                  </v:textbox>
                </v:rect>
                <v:rect id="Rectangle 281437" style="position:absolute;width:866;height:2030;left:10357;top:17168;" filled="f" stroked="f">
                  <v:textbox inset="0,0,0,0">
                    <w:txbxContent>
                      <w:p>
                        <w:pPr>
                          <w:spacing w:before="0" w:after="160" w:line="259" w:lineRule="auto"/>
                          <w:ind w:left="0" w:right="0" w:firstLine="0"/>
                          <w:jc w:val="left"/>
                        </w:pPr>
                        <w:r>
                          <w:rPr>
                            <w:w w:val="101"/>
                          </w:rPr>
                          <w:t xml:space="preserve">2</w:t>
                        </w:r>
                      </w:p>
                    </w:txbxContent>
                  </v:textbox>
                </v:rect>
                <v:rect id="Rectangle 19297" style="position:absolute;width:8570;height:2030;left:17420;top:25133;" filled="f" stroked="f">
                  <v:textbox inset="0,0,0,0">
                    <w:txbxContent>
                      <w:p>
                        <w:pPr>
                          <w:spacing w:before="0" w:after="160" w:line="259" w:lineRule="auto"/>
                          <w:ind w:left="0" w:right="0" w:firstLine="0"/>
                          <w:jc w:val="left"/>
                        </w:pPr>
                        <w:r>
                          <w:rPr>
                            <w:color w:val="c51a1b"/>
                            <w:w w:val="104"/>
                          </w:rPr>
                          <w:t xml:space="preserve">Отсутствие</w:t>
                        </w:r>
                        <w:r>
                          <w:rPr>
                            <w:color w:val="c51a1b"/>
                            <w:spacing w:val="-3"/>
                            <w:w w:val="104"/>
                          </w:rPr>
                          <w:t xml:space="preserve"> </w:t>
                        </w:r>
                      </w:p>
                    </w:txbxContent>
                  </v:textbox>
                </v:rect>
                <v:rect id="Rectangle 19298" style="position:absolute;width:8865;height:2030;left:17175;top:26530;" filled="f" stroked="f">
                  <v:textbox inset="0,0,0,0">
                    <w:txbxContent>
                      <w:p>
                        <w:pPr>
                          <w:spacing w:before="0" w:after="160" w:line="259" w:lineRule="auto"/>
                          <w:ind w:left="0" w:right="0" w:firstLine="0"/>
                          <w:jc w:val="left"/>
                        </w:pPr>
                        <w:r>
                          <w:rPr>
                            <w:color w:val="c51a1b"/>
                            <w:w w:val="103"/>
                          </w:rPr>
                          <w:t xml:space="preserve">заживления</w:t>
                        </w:r>
                      </w:p>
                    </w:txbxContent>
                  </v:textbox>
                </v:rect>
                <v:rect id="Rectangle 19299" style="position:absolute;width:17672;height:2030;left:35181;top:29871;" filled="f" stroked="f">
                  <v:textbox inset="0,0,0,0">
                    <w:txbxContent>
                      <w:p>
                        <w:pPr>
                          <w:spacing w:before="0" w:after="160" w:line="259" w:lineRule="auto"/>
                          <w:ind w:left="0" w:right="0" w:firstLine="0"/>
                          <w:jc w:val="left"/>
                        </w:pPr>
                        <w:r>
                          <w:rPr>
                            <w:w w:val="105"/>
                          </w:rPr>
                          <w:t xml:space="preserve">Хирургическое</w:t>
                        </w:r>
                        <w:r>
                          <w:rPr>
                            <w:spacing w:val="-3"/>
                            <w:w w:val="105"/>
                          </w:rPr>
                          <w:t xml:space="preserve"> </w:t>
                        </w:r>
                        <w:r>
                          <w:rPr>
                            <w:w w:val="105"/>
                          </w:rPr>
                          <w:t xml:space="preserve">лечение</w:t>
                        </w:r>
                      </w:p>
                    </w:txbxContent>
                  </v:textbox>
                </v:rect>
                <v:rect id="Rectangle 19300" style="position:absolute;width:16713;height:2030;left:35542;top:38422;" filled="f" stroked="f">
                  <v:textbox inset="0,0,0,0">
                    <w:txbxContent>
                      <w:p>
                        <w:pPr>
                          <w:spacing w:before="0" w:after="160" w:line="259" w:lineRule="auto"/>
                          <w:ind w:left="0" w:right="0" w:firstLine="0"/>
                          <w:jc w:val="left"/>
                        </w:pPr>
                        <w:r>
                          <w:rPr>
                            <w:w w:val="104"/>
                          </w:rPr>
                          <w:t xml:space="preserve">Разгрузочный</w:t>
                        </w:r>
                        <w:r>
                          <w:rPr>
                            <w:spacing w:val="-3"/>
                            <w:w w:val="104"/>
                          </w:rPr>
                          <w:t xml:space="preserve"> </w:t>
                        </w:r>
                        <w:r>
                          <w:rPr>
                            <w:w w:val="104"/>
                          </w:rPr>
                          <w:t xml:space="preserve">ботинок</w:t>
                        </w:r>
                      </w:p>
                    </w:txbxContent>
                  </v:textbox>
                </v:rect>
                <v:rect id="Rectangle 19301" style="position:absolute;width:10129;height:2030;left:5141;top:49319;" filled="f" stroked="f">
                  <v:textbox inset="0,0,0,0">
                    <w:txbxContent>
                      <w:p>
                        <w:pPr>
                          <w:spacing w:before="0" w:after="160" w:line="259" w:lineRule="auto"/>
                          <w:ind w:left="0" w:right="0" w:firstLine="0"/>
                          <w:jc w:val="left"/>
                        </w:pPr>
                        <w:r>
                          <w:rPr>
                            <w:color w:val="c51a1b"/>
                            <w:w w:val="103"/>
                          </w:rPr>
                          <w:t xml:space="preserve">Рецидив</w:t>
                        </w:r>
                        <w:r>
                          <w:rPr>
                            <w:color w:val="c51a1b"/>
                            <w:spacing w:val="-3"/>
                            <w:w w:val="103"/>
                          </w:rPr>
                          <w:t xml:space="preserve"> </w:t>
                        </w:r>
                        <w:r>
                          <w:rPr>
                            <w:color w:val="c51a1b"/>
                            <w:w w:val="103"/>
                          </w:rPr>
                          <w:t xml:space="preserve">язвы</w:t>
                        </w:r>
                      </w:p>
                    </w:txbxContent>
                  </v:textbox>
                </v:rect>
                <v:rect id="Rectangle 19302" style="position:absolute;width:11850;height:2030;left:51032;top:19737;" filled="f" stroked="f">
                  <v:textbox inset="0,0,0,0">
                    <w:txbxContent>
                      <w:p>
                        <w:pPr>
                          <w:spacing w:before="0" w:after="160" w:line="259" w:lineRule="auto"/>
                          <w:ind w:left="0" w:right="0" w:firstLine="0"/>
                          <w:jc w:val="left"/>
                        </w:pPr>
                        <w:r>
                          <w:rPr>
                            <w:color w:val="c51a1b"/>
                            <w:w w:val="102"/>
                          </w:rPr>
                          <w:t xml:space="preserve">Язва</w:t>
                        </w:r>
                        <w:r>
                          <w:rPr>
                            <w:color w:val="c51a1b"/>
                            <w:spacing w:val="-3"/>
                            <w:w w:val="102"/>
                          </w:rPr>
                          <w:t xml:space="preserve"> </w:t>
                        </w:r>
                        <w:r>
                          <w:rPr>
                            <w:color w:val="c51a1b"/>
                            <w:w w:val="102"/>
                          </w:rPr>
                          <w:t xml:space="preserve">в</w:t>
                        </w:r>
                        <w:r>
                          <w:rPr>
                            <w:color w:val="c51a1b"/>
                            <w:spacing w:val="-3"/>
                            <w:w w:val="102"/>
                          </w:rPr>
                          <w:t xml:space="preserve"> </w:t>
                        </w:r>
                        <w:r>
                          <w:rPr>
                            <w:color w:val="c51a1b"/>
                            <w:w w:val="102"/>
                          </w:rPr>
                          <w:t xml:space="preserve">анамнезе</w:t>
                        </w:r>
                      </w:p>
                    </w:txbxContent>
                  </v:textbox>
                </v:rect>
                <v:shape id="Shape 19303" style="position:absolute;width:17631;height:5461;left:0;top:9123;" coordsize="1763103,546100" path="m0,546100l1763103,546100l1763103,0l0,0x">
                  <v:stroke weight="0.709pt" endcap="flat" joinstyle="miter" miterlimit="4" on="true" color="#000000"/>
                  <v:fill on="false" color="#000000" opacity="0"/>
                </v:shape>
                <v:shape id="Shape 19304" style="position:absolute;width:17631;height:5461;left:0;top:34340;" coordsize="1763103,546100" path="m0,546100l1763103,546100l1763103,0l0,0x">
                  <v:stroke weight="0.709pt" endcap="flat" joinstyle="miter" miterlimit="4" on="true" color="#000000"/>
                  <v:fill on="false" color="#000000" opacity="0"/>
                </v:shape>
                <v:shape id="Shape 19305" style="position:absolute;width:17631;height:14478;left:26470;top:9123;" coordsize="1763103,1447850" path="m0,1447850l1763103,1447850l1763103,0l0,0x">
                  <v:stroke weight="0.709pt" endcap="flat" joinstyle="miter" miterlimit="4" on="true" color="#000000"/>
                  <v:fill on="false" color="#000000" opacity="0"/>
                </v:shape>
                <v:shape id="Shape 19306" style="position:absolute;width:17631;height:5461;left:47082;top:9123;" coordsize="1763103,546100" path="m0,546100l1763103,546100l1763103,0l0,0x">
                  <v:stroke weight="0.709pt" endcap="flat" joinstyle="miter" miterlimit="4" on="true" color="#000000"/>
                  <v:fill on="false" color="#000000" opacity="0"/>
                </v:shape>
                <v:rect id="Rectangle 19307" style="position:absolute;width:358;height:2030;left:34211;top:46498;" filled="f" stroked="f">
                  <v:textbox inset="0,0,0,0">
                    <w:txbxContent>
                      <w:p>
                        <w:pPr>
                          <w:spacing w:before="0" w:after="160" w:line="259" w:lineRule="auto"/>
                          <w:ind w:left="0" w:right="0" w:firstLine="0"/>
                          <w:jc w:val="left"/>
                        </w:pPr>
                        <w:r>
                          <w:rPr/>
                          <w:t xml:space="preserve"> </w:t>
                        </w:r>
                      </w:p>
                    </w:txbxContent>
                  </v:textbox>
                </v:rect>
                <v:rect id="Rectangle 19308" style="position:absolute;width:518;height:2030;left:33821;top:46498;" filled="f" stroked="f">
                  <v:textbox inset="0,0,0,0">
                    <w:txbxContent>
                      <w:p>
                        <w:pPr>
                          <w:spacing w:before="0" w:after="160" w:line="259" w:lineRule="auto"/>
                          <w:ind w:left="0" w:right="0" w:firstLine="0"/>
                          <w:jc w:val="left"/>
                        </w:pPr>
                        <w:r>
                          <w:rPr>
                            <w:w w:val="100"/>
                          </w:rPr>
                          <w:t xml:space="preserve">-</w:t>
                        </w:r>
                      </w:p>
                    </w:txbxContent>
                  </v:textbox>
                </v:rect>
                <v:rect id="Rectangle 19309" style="position:absolute;width:17002;height:2030;left:34901;top:46498;" filled="f" stroked="f">
                  <v:textbox inset="0,0,0,0">
                    <w:txbxContent>
                      <w:p>
                        <w:pPr>
                          <w:spacing w:before="0" w:after="160" w:line="259" w:lineRule="auto"/>
                          <w:ind w:left="0" w:right="0" w:firstLine="0"/>
                          <w:jc w:val="left"/>
                        </w:pPr>
                        <w:r>
                          <w:rPr>
                            <w:w w:val="104"/>
                          </w:rPr>
                          <w:t xml:space="preserve">ортопедическая</w:t>
                        </w:r>
                        <w:r>
                          <w:rPr>
                            <w:spacing w:val="-3"/>
                            <w:w w:val="104"/>
                          </w:rPr>
                          <w:t xml:space="preserve"> </w:t>
                        </w:r>
                        <w:r>
                          <w:rPr>
                            <w:w w:val="104"/>
                          </w:rPr>
                          <w:t xml:space="preserve">обувь</w:t>
                        </w:r>
                        <w:r>
                          <w:rPr>
                            <w:spacing w:val="-3"/>
                            <w:w w:val="104"/>
                          </w:rPr>
                          <w:t xml:space="preserve"> </w:t>
                        </w:r>
                      </w:p>
                    </w:txbxContent>
                  </v:textbox>
                </v:rect>
                <v:rect id="Rectangle 19310" style="position:absolute;width:7384;height:2030;left:34901;top:47768;" filled="f" stroked="f">
                  <v:textbox inset="0,0,0,0">
                    <w:txbxContent>
                      <w:p>
                        <w:pPr>
                          <w:spacing w:before="0" w:after="160" w:line="259" w:lineRule="auto"/>
                          <w:ind w:left="0" w:right="0" w:firstLine="0"/>
                          <w:jc w:val="left"/>
                        </w:pPr>
                        <w:r>
                          <w:rPr>
                            <w:w w:val="102"/>
                          </w:rPr>
                          <w:t xml:space="preserve">и</w:t>
                        </w:r>
                        <w:r>
                          <w:rPr>
                            <w:spacing w:val="-3"/>
                            <w:w w:val="102"/>
                          </w:rPr>
                          <w:t xml:space="preserve"> </w:t>
                        </w:r>
                        <w:r>
                          <w:rPr>
                            <w:w w:val="102"/>
                          </w:rPr>
                          <w:t xml:space="preserve">стельки;</w:t>
                        </w:r>
                      </w:p>
                    </w:txbxContent>
                  </v:textbox>
                </v:rect>
                <v:rect id="Rectangle 19311" style="position:absolute;width:358;height:2030;left:34211;top:49397;" filled="f" stroked="f">
                  <v:textbox inset="0,0,0,0">
                    <w:txbxContent>
                      <w:p>
                        <w:pPr>
                          <w:spacing w:before="0" w:after="160" w:line="259" w:lineRule="auto"/>
                          <w:ind w:left="0" w:right="0" w:firstLine="0"/>
                          <w:jc w:val="left"/>
                        </w:pPr>
                        <w:r>
                          <w:rPr/>
                          <w:t xml:space="preserve"> </w:t>
                        </w:r>
                      </w:p>
                    </w:txbxContent>
                  </v:textbox>
                </v:rect>
                <v:rect id="Rectangle 19312" style="position:absolute;width:518;height:2030;left:33821;top:49397;" filled="f" stroked="f">
                  <v:textbox inset="0,0,0,0">
                    <w:txbxContent>
                      <w:p>
                        <w:pPr>
                          <w:spacing w:before="0" w:after="160" w:line="259" w:lineRule="auto"/>
                          <w:ind w:left="0" w:right="0" w:firstLine="0"/>
                          <w:jc w:val="left"/>
                        </w:pPr>
                        <w:r>
                          <w:rPr>
                            <w:w w:val="100"/>
                          </w:rPr>
                          <w:t xml:space="preserve">-</w:t>
                        </w:r>
                      </w:p>
                    </w:txbxContent>
                  </v:textbox>
                </v:rect>
                <v:rect id="Rectangle 19313" style="position:absolute;width:20076;height:2030;left:34901;top:49397;" filled="f" stroked="f">
                  <v:textbox inset="0,0,0,0">
                    <w:txbxContent>
                      <w:p>
                        <w:pPr>
                          <w:spacing w:before="0" w:after="160" w:line="259" w:lineRule="auto"/>
                          <w:ind w:left="0" w:right="0" w:firstLine="0"/>
                          <w:jc w:val="left"/>
                        </w:pPr>
                        <w:r>
                          <w:rPr>
                            <w:w w:val="102"/>
                          </w:rPr>
                          <w:t xml:space="preserve">динамическое</w:t>
                        </w:r>
                        <w:r>
                          <w:rPr>
                            <w:spacing w:val="-3"/>
                            <w:w w:val="102"/>
                          </w:rPr>
                          <w:t xml:space="preserve"> </w:t>
                        </w:r>
                        <w:r>
                          <w:rPr>
                            <w:w w:val="102"/>
                          </w:rPr>
                          <w:t xml:space="preserve">наблюдение</w:t>
                        </w:r>
                      </w:p>
                    </w:txbxContent>
                  </v:textbox>
                </v:rect>
                <v:shape id="Shape 19314" style="position:absolute;width:17631;height:5461;left:33011;top:46130;" coordsize="1763103,546100" path="m0,546100l1763103,546100l1763103,0l0,0x">
                  <v:stroke weight="0.709pt" endcap="flat" joinstyle="miter" miterlimit="4" on="true" color="#000000"/>
                  <v:fill on="false" color="#000000" opacity="0"/>
                </v:shape>
                <v:shape id="Shape 19315" style="position:absolute;width:17631;height:3094;left:33011;top:37607;" coordsize="1763103,309461" path="m0,309461l1763103,309461l1763103,0l0,0x">
                  <v:stroke weight="0.709pt" endcap="flat" joinstyle="miter" miterlimit="4" on="true" color="#000000"/>
                  <v:fill on="false" color="#000000" opacity="0"/>
                </v:shape>
                <v:shape id="Shape 19316" style="position:absolute;width:17631;height:3094;left:33011;top:29057;" coordsize="1763103,309461" path="m0,309461l1763103,309461l1763103,0l0,0x">
                  <v:stroke weight="0.709pt" endcap="flat" joinstyle="miter" miterlimit="4" on="true" color="#000000"/>
                  <v:fill on="false" color="#000000" opacity="0"/>
                </v:shape>
                <v:shape id="Shape 19317" style="position:absolute;width:13950;height:3094;left:13536;top:25018;" coordsize="1395006,309461" path="m0,309461l1395006,309461l1395006,0l0,0x">
                  <v:stroke weight="0.709pt" endcap="flat" joinstyle="miter" miterlimit="4" on="true" color="#000000"/>
                  <v:fill on="false" color="#000000" opacity="0"/>
                </v:shape>
                <v:shape id="Shape 19318" style="position:absolute;width:13950;height:3094;left:48922;top:19039;" coordsize="1395006,309461" path="m0,309461l1395006,309461l1395006,0l0,0x">
                  <v:stroke weight="0.709pt" endcap="flat" joinstyle="miter" miterlimit="4" on="true" color="#000000"/>
                  <v:fill on="false" color="#000000" opacity="0"/>
                </v:shape>
                <v:shape id="Shape 19319" style="position:absolute;width:6173;height:2094;left:9717;top:16854;" coordsize="617398,209499" path="m0,209499l617398,209499l617398,0l0,0x">
                  <v:stroke weight="0.709pt" endcap="flat" joinstyle="miter" miterlimit="4" on="true" color="#000000"/>
                  <v:fill on="false" color="#000000" opacity="0"/>
                </v:shape>
                <v:rect id="Rectangle 281439" style="position:absolute;width:866;height:2030;left:43122;top:42669;" filled="f" stroked="f">
                  <v:textbox inset="0,0,0,0">
                    <w:txbxContent>
                      <w:p>
                        <w:pPr>
                          <w:spacing w:before="0" w:after="160" w:line="259" w:lineRule="auto"/>
                          <w:ind w:left="0" w:right="0" w:firstLine="0"/>
                          <w:jc w:val="left"/>
                        </w:pPr>
                        <w:r>
                          <w:rPr>
                            <w:w w:val="101"/>
                          </w:rPr>
                          <w:t xml:space="preserve">2</w:t>
                        </w:r>
                      </w:p>
                    </w:txbxContent>
                  </v:textbox>
                </v:rect>
                <v:rect id="Rectangle 281440" style="position:absolute;width:5636;height:2030;left:43773;top:42669;" filled="f" stroked="f">
                  <v:textbox inset="0,0,0,0">
                    <w:txbxContent>
                      <w:p>
                        <w:pPr>
                          <w:spacing w:before="0" w:after="160" w:line="259" w:lineRule="auto"/>
                          <w:ind w:left="0" w:right="0" w:firstLine="0"/>
                          <w:jc w:val="left"/>
                        </w:pPr>
                        <w:r>
                          <w:rPr>
                            <w:spacing w:val="-3"/>
                            <w:w w:val="102"/>
                          </w:rPr>
                          <w:t xml:space="preserve"> </w:t>
                        </w:r>
                        <w:r>
                          <w:rPr>
                            <w:w w:val="102"/>
                          </w:rPr>
                          <w:t xml:space="preserve">месяца</w:t>
                        </w:r>
                      </w:p>
                    </w:txbxContent>
                  </v:textbox>
                </v:rect>
                <v:shape id="Shape 19321" style="position:absolute;width:6173;height:2094;left:42479;top:42354;" coordsize="617398,209499" path="m0,209499l617398,209499l617398,0l0,0x">
                  <v:stroke weight="0.709pt" endcap="flat" joinstyle="miter" miterlimit="4" on="true" color="#000000"/>
                  <v:fill on="false" color="#000000" opacity="0"/>
                </v:shape>
                <v:shape id="Shape 19322" style="position:absolute;width:13950;height:3094;left:1975;top:48496;" coordsize="1395006,309461" path="m0,309461l1395006,309461l1395006,0l0,0x">
                  <v:stroke weight="0.709pt" endcap="flat" joinstyle="miter" miterlimit="4" on="true" color="#000000"/>
                  <v:fill on="false" color="#000000" opacity="0"/>
                </v:shape>
                <v:shape id="Shape 19323" style="position:absolute;width:0;height:3070;left:34402;top:0;" coordsize="0,307086" path="m0,0l0,307086">
                  <v:stroke weight="0.5pt" endcap="flat" joinstyle="miter" miterlimit="4" on="true" color="#000000"/>
                  <v:fill on="false" color="#000000" opacity="0"/>
                </v:shape>
                <v:shape id="Shape 19324" style="position:absolute;width:584;height:803;left:34110;top:2868;" coordsize="58471,80327" path="m0,0l29235,20244l58471,0l29235,80327l0,0x">
                  <v:stroke weight="0pt" endcap="flat" joinstyle="miter" miterlimit="4" on="false" color="#000000" opacity="0"/>
                  <v:fill on="true" color="#000000"/>
                </v:shape>
                <v:shape id="Shape 19325" style="position:absolute;width:0;height:3070;left:34402;top:5406;" coordsize="0,307086" path="m0,0l0,307086">
                  <v:stroke weight="0.5pt" endcap="flat" joinstyle="miter" miterlimit="4" on="true" color="#000000"/>
                  <v:fill on="false" color="#000000" opacity="0"/>
                </v:shape>
                <v:shape id="Shape 19326" style="position:absolute;width:584;height:803;left:34110;top:8274;" coordsize="58471,80327" path="m0,0l29235,20244l58471,0l29235,80327l0,0x">
                  <v:stroke weight="0pt" endcap="flat" joinstyle="miter" miterlimit="4" on="false" color="#000000" opacity="0"/>
                  <v:fill on="true" color="#000000"/>
                </v:shape>
                <v:shape id="Shape 19327" style="position:absolute;width:0;height:3070;left:55897;top:5406;" coordsize="0,307086" path="m0,0l0,307086">
                  <v:stroke weight="0.5pt" endcap="flat" joinstyle="miter" miterlimit="4" on="true" color="#000000"/>
                  <v:fill on="false" color="#000000" opacity="0"/>
                </v:shape>
                <v:shape id="Shape 19328" style="position:absolute;width:584;height:803;left:55605;top:8274;" coordsize="58471,80327" path="m0,0l29235,20244l58471,0l29235,80327l0,0x">
                  <v:stroke weight="0pt" endcap="flat" joinstyle="miter" miterlimit="4" on="false" color="#000000" opacity="0"/>
                  <v:fill on="true" color="#000000"/>
                </v:shape>
                <v:shape id="Shape 19329" style="position:absolute;width:0;height:3070;left:8950;top:5406;" coordsize="0,307086" path="m0,0l0,307086">
                  <v:stroke weight="0.5pt" endcap="flat" joinstyle="miter" miterlimit="4" on="true" color="#000000"/>
                  <v:fill on="false" color="#000000" opacity="0"/>
                </v:shape>
                <v:shape id="Shape 19330" style="position:absolute;width:584;height:803;left:8658;top:8274;" coordsize="58471,80327" path="m0,0l29235,20244l58471,0l29235,80327l0,0x">
                  <v:stroke weight="0pt" endcap="flat" joinstyle="miter" miterlimit="4" on="false" color="#000000" opacity="0"/>
                  <v:fill on="true" color="#000000"/>
                </v:shape>
                <v:shape id="Shape 19331" style="position:absolute;width:0;height:5716;left:8950;top:14629;" coordsize="0,571665" path="m0,0l0,571665">
                  <v:stroke weight="0.5pt" endcap="flat" joinstyle="miter" miterlimit="4" on="true" color="#000000"/>
                  <v:fill on="false" color="#000000" opacity="0"/>
                </v:shape>
                <v:shape id="Shape 19332" style="position:absolute;width:584;height:803;left:8658;top:20143;" coordsize="58471,80328" path="m0,0l29235,20244l58471,0l29235,80328l0,0x">
                  <v:stroke weight="0pt" endcap="flat" joinstyle="miter" miterlimit="4" on="false" color="#000000" opacity="0"/>
                  <v:fill on="true" color="#000000"/>
                </v:shape>
                <v:shape id="Shape 19333" style="position:absolute;width:2892;height:12487;left:17675;top:11885;" coordsize="289255,1248702" path="m0,0l289255,0l289255,1248702">
                  <v:stroke weight="0.5pt" endcap="flat" joinstyle="miter" miterlimit="4" on="true" color="#000000"/>
                  <v:fill on="false" color="#000000" opacity="0"/>
                </v:shape>
                <v:shape id="Shape 19334" style="position:absolute;width:584;height:803;left:20276;top:24169;" coordsize="58471,80328" path="m0,0l29235,20244l58471,0l29235,80328l0,0x">
                  <v:stroke weight="0pt" endcap="flat" joinstyle="miter" miterlimit="4" on="false" color="#000000" opacity="0"/>
                  <v:fill on="true" color="#000000"/>
                </v:shape>
                <v:shape id="Shape 19335" style="position:absolute;width:0;height:10163;left:8950;top:23646;" coordsize="0,1016317" path="m0,0l0,1016317">
                  <v:stroke weight="0.5pt" endcap="flat" joinstyle="miter" miterlimit="4" on="true" color="#000000"/>
                  <v:fill on="false" color="#000000" opacity="0"/>
                </v:shape>
                <v:shape id="Shape 19336" style="position:absolute;width:584;height:803;left:8658;top:33607;" coordsize="58471,80328" path="m0,0l29235,20244l58471,0l29235,80328l0,0x">
                  <v:stroke weight="0pt" endcap="flat" joinstyle="miter" miterlimit="4" on="false" color="#000000" opacity="0"/>
                  <v:fill on="true" color="#000000"/>
                </v:shape>
                <v:shape id="Shape 19337" style="position:absolute;width:0;height:7987;left:8950;top:39908;" coordsize="0,798703" path="m0,0l0,798703">
                  <v:stroke weight="0.5pt" endcap="flat" joinstyle="miter" miterlimit="4" on="true" color="#000000"/>
                  <v:fill on="false" color="#000000" opacity="0"/>
                </v:shape>
                <v:shape id="Shape 19338" style="position:absolute;width:584;height:803;left:8658;top:47693;" coordsize="58471,80328" path="m0,0l29235,20244l58471,0l29235,80328l0,0x">
                  <v:stroke weight="0pt" endcap="flat" joinstyle="miter" miterlimit="4" on="false" color="#000000" opacity="0"/>
                  <v:fill on="true" color="#000000"/>
                </v:shape>
                <v:shape id="Shape 19339" style="position:absolute;width:0;height:4764;left:41827;top:32197;" coordsize="0,476479" path="m0,0l0,476479">
                  <v:stroke weight="0.5pt" endcap="flat" joinstyle="miter" miterlimit="4" on="true" color="#000000"/>
                  <v:fill on="false" color="#000000" opacity="0"/>
                </v:shape>
                <v:shape id="Shape 19340" style="position:absolute;width:584;height:803;left:41535;top:36759;" coordsize="58471,80328" path="m0,0l29235,20244l58471,0l29235,80328l0,0x">
                  <v:stroke weight="0pt" endcap="flat" joinstyle="miter" miterlimit="4" on="false" color="#000000" opacity="0"/>
                  <v:fill on="true" color="#000000"/>
                </v:shape>
                <v:shape id="Shape 19341" style="position:absolute;width:0;height:4764;left:41827;top:40719;" coordsize="0,476479" path="m0,0l0,476479">
                  <v:stroke weight="0.5pt" endcap="flat" joinstyle="miter" miterlimit="4" on="true" color="#000000"/>
                  <v:fill on="false" color="#000000" opacity="0"/>
                </v:shape>
                <v:shape id="Shape 19342" style="position:absolute;width:584;height:803;left:41535;top:45281;" coordsize="58471,80328" path="m0,0l29235,20244l58471,0l29235,80328l0,0x">
                  <v:stroke weight="0pt" endcap="flat" joinstyle="miter" miterlimit="4" on="false" color="#000000" opacity="0"/>
                  <v:fill on="true" color="#000000"/>
                </v:shape>
                <v:shape id="Shape 19343" style="position:absolute;width:0;height:4764;left:41827;top:23646;" coordsize="0,476479" path="m0,0l0,476479">
                  <v:stroke weight="0.5pt" endcap="flat" joinstyle="miter" miterlimit="4" on="true" color="#000000"/>
                  <v:fill on="false" color="#000000" opacity="0"/>
                </v:shape>
                <v:shape id="Shape 19344" style="position:absolute;width:584;height:803;left:41535;top:28208;" coordsize="58471,80328" path="m0,0l29235,20244l58471,0l29235,80328l0,0x">
                  <v:stroke weight="0pt" endcap="flat" joinstyle="miter" miterlimit="4" on="false" color="#000000" opacity="0"/>
                  <v:fill on="true" color="#000000"/>
                </v:shape>
                <v:shape id="Shape 19345" style="position:absolute;width:15101;height:25908;left:15970;top:24247;" coordsize="1510195,2590838" path="m0,2590838l1510195,2590838l1510195,0">
                  <v:stroke weight="0.5pt" endcap="flat" joinstyle="miter" miterlimit="4" on="true" color="#000000"/>
                  <v:fill on="false" color="#000000" opacity="0"/>
                </v:shape>
                <v:shape id="Shape 19346" style="position:absolute;width:584;height:803;left:30780;top:23646;" coordsize="58471,80328" path="m29235,0l58471,80328l29235,60084l0,80328l29235,0x">
                  <v:stroke weight="0pt" endcap="flat" joinstyle="miter" miterlimit="4" on="false" color="#000000" opacity="0"/>
                  <v:fill on="true" color="#000000"/>
                </v:shape>
                <v:shape id="Shape 19347" style="position:absolute;width:1561;height:2286;left:27531;top:24247;" coordsize="156172,228638" path="m0,228638l156172,228638l156172,0">
                  <v:stroke weight="0.5pt" endcap="flat" joinstyle="miter" miterlimit="4" on="true" color="#000000"/>
                  <v:fill on="false" color="#000000" opacity="0"/>
                </v:shape>
                <v:shape id="Shape 19348" style="position:absolute;width:584;height:803;left:28800;top:23646;" coordsize="58471,80328" path="m29235,0l58471,80328l29235,60084l0,80328l29235,0x">
                  <v:stroke weight="0pt" endcap="flat" joinstyle="miter" miterlimit="4" on="false" color="#000000" opacity="0"/>
                  <v:fill on="true" color="#000000"/>
                </v:shape>
                <v:shape id="Shape 19349" style="position:absolute;width:4130;height:0;left:44747;top:20654;" coordsize="413055,0" path="m413055,0l0,0">
                  <v:stroke weight="0.5pt" endcap="flat" joinstyle="miter" miterlimit="4" on="true" color="#000000"/>
                  <v:fill on="false" color="#000000" opacity="0"/>
                </v:shape>
                <v:shape id="Shape 19350" style="position:absolute;width:803;height:584;left:44146;top:20362;" coordsize="80328,58471" path="m80328,0l60084,29235l80328,58471l0,29235l80328,0x">
                  <v:stroke weight="0pt" endcap="flat" joinstyle="miter" miterlimit="4" on="false" color="#000000" opacity="0"/>
                  <v:fill on="true" color="#000000"/>
                </v:shape>
                <v:shape id="Shape 19351" style="position:absolute;width:2244;height:3163;left:9163;top:18;" coordsize="224498,316344" path="m224498,0l0,316344">
                  <v:stroke weight="0.5pt" endcap="flat" joinstyle="miter" miterlimit="4" on="true" color="#000000"/>
                  <v:fill on="false" color="#000000" opacity="0"/>
                </v:shape>
                <v:shape id="Shape 19352" style="position:absolute;width:703;height:824;left:8815;top:2847;" coordsize="70333,82410" path="m22657,0l34785,33439l70333,33833l0,82410l22657,0x">
                  <v:stroke weight="0pt" endcap="flat" joinstyle="miter" miterlimit="4" on="false" color="#000000" opacity="0"/>
                  <v:fill on="true" color="#000000"/>
                </v:shape>
                <v:shape id="Shape 19353" style="position:absolute;width:2244;height:3163;left:53012;top:18;" coordsize="224498,316344" path="m0,0l224498,316344">
                  <v:stroke weight="0.5pt" endcap="flat" joinstyle="miter" miterlimit="4" on="true" color="#000000"/>
                  <v:fill on="false" color="#000000" opacity="0"/>
                </v:shape>
                <v:shape id="Shape 19354" style="position:absolute;width:703;height:824;left:54901;top:2847;" coordsize="70333,82410" path="m47676,0l70333,82410l0,33833l35547,33439l47676,0x">
                  <v:stroke weight="0pt" endcap="flat" joinstyle="miter" miterlimit="4" on="false" color="#000000" opacity="0"/>
                  <v:fill on="true" color="#000000"/>
                </v:shape>
              </v:group>
            </w:pict>
          </mc:Fallback>
        </mc:AlternateContent>
      </w:r>
    </w:p>
    <w:p w:rsidR="00D27BC6" w:rsidRDefault="004D5071">
      <w:pPr>
        <w:tabs>
          <w:tab w:val="center" w:pos="1318"/>
        </w:tabs>
        <w:ind w:left="-13" w:right="0" w:firstLine="0"/>
        <w:jc w:val="left"/>
      </w:pPr>
      <w:r>
        <w:rPr>
          <w:b/>
        </w:rPr>
        <w:t xml:space="preserve">• </w:t>
      </w:r>
      <w:r>
        <w:rPr>
          <w:b/>
        </w:rPr>
        <w:tab/>
        <w:t>Устранение инфекции</w:t>
      </w:r>
    </w:p>
    <w:p w:rsidR="00D27BC6" w:rsidRDefault="004D5071">
      <w:pPr>
        <w:ind w:left="295" w:right="0"/>
      </w:pPr>
      <w:r>
        <w:t>Наличие инфекции в ране устанавливается по двум или более из указанных клинических признаков:</w:t>
      </w:r>
    </w:p>
    <w:p w:rsidR="00D27BC6" w:rsidRDefault="004D5071">
      <w:pPr>
        <w:numPr>
          <w:ilvl w:val="0"/>
          <w:numId w:val="120"/>
        </w:numPr>
        <w:ind w:left="568" w:right="3054" w:hanging="283"/>
        <w:jc w:val="left"/>
      </w:pPr>
      <w:r>
        <w:t>местный отёк или уплотнение тканей</w:t>
      </w:r>
    </w:p>
    <w:p w:rsidR="00D27BC6" w:rsidRDefault="004D5071">
      <w:pPr>
        <w:numPr>
          <w:ilvl w:val="0"/>
          <w:numId w:val="120"/>
        </w:numPr>
        <w:ind w:left="568" w:right="3054" w:hanging="283"/>
        <w:jc w:val="left"/>
      </w:pPr>
      <w:r>
        <w:t>локальная гиперемия</w:t>
      </w:r>
    </w:p>
    <w:p w:rsidR="00D27BC6" w:rsidRDefault="004D5071">
      <w:pPr>
        <w:numPr>
          <w:ilvl w:val="0"/>
          <w:numId w:val="120"/>
        </w:numPr>
        <w:spacing w:after="8" w:line="231" w:lineRule="auto"/>
        <w:ind w:left="568" w:right="3054" w:hanging="283"/>
        <w:jc w:val="left"/>
      </w:pPr>
      <w:r>
        <w:t xml:space="preserve">повышенная чувствительность или боль </w:t>
      </w:r>
      <w:r>
        <w:rPr>
          <w:rFonts w:ascii="Wingdings" w:eastAsia="Wingdings" w:hAnsi="Wingdings" w:cs="Wingdings"/>
        </w:rPr>
        <w:t></w:t>
      </w:r>
      <w:r>
        <w:t xml:space="preserve"> </w:t>
      </w:r>
      <w:r>
        <w:tab/>
        <w:t xml:space="preserve">локальная гипертермия </w:t>
      </w:r>
      <w:r>
        <w:rPr>
          <w:rFonts w:ascii="Wingdings" w:eastAsia="Wingdings" w:hAnsi="Wingdings" w:cs="Wingdings"/>
        </w:rPr>
        <w:t></w:t>
      </w:r>
      <w:r>
        <w:t xml:space="preserve"> </w:t>
      </w:r>
      <w:r>
        <w:tab/>
        <w:t>гнойное отделяемое.</w:t>
      </w:r>
    </w:p>
    <w:p w:rsidR="00D27BC6" w:rsidRDefault="004D5071">
      <w:pPr>
        <w:ind w:left="-11" w:right="0" w:firstLine="283"/>
      </w:pPr>
      <w:r>
        <w:t>Периферическая нейропатия или заболевание периферических артерий могут маскировать симптомы и признаки инфекции. В таких случаях распознать ее наличие можно опираясь на сл</w:t>
      </w:r>
      <w:r>
        <w:t xml:space="preserve">едующие косвенные признаки: </w:t>
      </w:r>
      <w:r>
        <w:rPr>
          <w:rFonts w:ascii="Wingdings" w:eastAsia="Wingdings" w:hAnsi="Wingdings" w:cs="Wingdings"/>
        </w:rPr>
        <w:t></w:t>
      </w:r>
      <w:r>
        <w:t xml:space="preserve"> увеличение количества раневого экссудата </w:t>
      </w:r>
    </w:p>
    <w:p w:rsidR="00D27BC6" w:rsidRDefault="004D5071">
      <w:pPr>
        <w:numPr>
          <w:ilvl w:val="0"/>
          <w:numId w:val="120"/>
        </w:numPr>
        <w:spacing w:after="8" w:line="231" w:lineRule="auto"/>
        <w:ind w:left="568" w:right="3054" w:hanging="283"/>
        <w:jc w:val="left"/>
      </w:pPr>
      <w:r>
        <w:t xml:space="preserve">рыхлая, бледная грануляционная ткань </w:t>
      </w:r>
      <w:r>
        <w:rPr>
          <w:rFonts w:ascii="Wingdings" w:eastAsia="Wingdings" w:hAnsi="Wingdings" w:cs="Wingdings"/>
        </w:rPr>
        <w:t></w:t>
      </w:r>
      <w:r>
        <w:t xml:space="preserve"> </w:t>
      </w:r>
      <w:r>
        <w:tab/>
        <w:t xml:space="preserve">рыхлые «подрытые» края раны </w:t>
      </w:r>
      <w:r>
        <w:rPr>
          <w:rFonts w:ascii="Wingdings" w:eastAsia="Wingdings" w:hAnsi="Wingdings" w:cs="Wingdings"/>
        </w:rPr>
        <w:t></w:t>
      </w:r>
      <w:r>
        <w:t xml:space="preserve"> </w:t>
      </w:r>
      <w:r>
        <w:tab/>
        <w:t>неприятный запах.</w:t>
      </w:r>
    </w:p>
    <w:p w:rsidR="00D27BC6" w:rsidRDefault="004D5071">
      <w:pPr>
        <w:ind w:left="-11" w:right="0" w:firstLine="283"/>
      </w:pPr>
      <w:r>
        <w:t>Основным методом диагностики инфекционного процесса в ране является бактериологическое исследов</w:t>
      </w:r>
      <w:r>
        <w:t>ание. Для анализа необходимо брать образцы тканей из разных участков, так как микрофлора может различаться в разных областях дефекта. У пациентов с нейроишемической и ишемической формой СДС необходимо выявлять не только аэробные, но и анаэробные микроорган</w:t>
      </w:r>
      <w:r>
        <w:t>измы и определять их чувствительность к современным антибактериальным препаратам. Клинически значимым считается содержание бактериальных тел выше 1х106 на грамм ткани или обнаружение β-гемолитического стрептококка. Материал для исследования может быть полу</w:t>
      </w:r>
      <w:r>
        <w:t>чен при биопсии или кюретаже дна раны. Менее информативно исследование раневого экссудата или мазка с предварительно очищенного и промытого стерильным физиологическим раствором дна раны.</w:t>
      </w:r>
    </w:p>
    <w:p w:rsidR="00D27BC6" w:rsidRDefault="004D5071">
      <w:pPr>
        <w:pStyle w:val="Heading2"/>
        <w:ind w:left="-3"/>
      </w:pPr>
      <w:r>
        <w:t>Принципы назначения антибактериальной терапии</w:t>
      </w:r>
    </w:p>
    <w:tbl>
      <w:tblPr>
        <w:tblStyle w:val="TableGrid"/>
        <w:tblW w:w="10195" w:type="dxa"/>
        <w:tblInd w:w="9" w:type="dxa"/>
        <w:tblCellMar>
          <w:top w:w="9" w:type="dxa"/>
          <w:left w:w="57" w:type="dxa"/>
          <w:bottom w:w="0" w:type="dxa"/>
          <w:right w:w="14" w:type="dxa"/>
        </w:tblCellMar>
        <w:tblLook w:val="04A0" w:firstRow="1" w:lastRow="0" w:firstColumn="1" w:lastColumn="0" w:noHBand="0" w:noVBand="1"/>
      </w:tblPr>
      <w:tblGrid>
        <w:gridCol w:w="1146"/>
        <w:gridCol w:w="3016"/>
        <w:gridCol w:w="3016"/>
        <w:gridCol w:w="3016"/>
      </w:tblGrid>
      <w:tr w:rsidR="00D27BC6">
        <w:trPr>
          <w:trHeight w:val="560"/>
        </w:trPr>
        <w:tc>
          <w:tcPr>
            <w:tcW w:w="1146"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Тяжесть инфекции</w:t>
            </w:r>
          </w:p>
        </w:tc>
        <w:tc>
          <w:tcPr>
            <w:tcW w:w="3016"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43" w:firstLine="0"/>
              <w:jc w:val="center"/>
            </w:pPr>
            <w:r>
              <w:rPr>
                <w:b/>
              </w:rPr>
              <w:t>Сопутс</w:t>
            </w:r>
            <w:r>
              <w:rPr>
                <w:b/>
              </w:rPr>
              <w:t>твующие факторы</w:t>
            </w:r>
          </w:p>
        </w:tc>
        <w:tc>
          <w:tcPr>
            <w:tcW w:w="3016"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42" w:firstLine="0"/>
              <w:jc w:val="center"/>
            </w:pPr>
            <w:r>
              <w:rPr>
                <w:b/>
              </w:rPr>
              <w:t>Обычные возбудители</w:t>
            </w:r>
          </w:p>
        </w:tc>
        <w:tc>
          <w:tcPr>
            <w:tcW w:w="3016"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Потенциальная эмпирическая антибактериальная терапия</w:t>
            </w:r>
          </w:p>
        </w:tc>
      </w:tr>
      <w:tr w:rsidR="00D27BC6">
        <w:trPr>
          <w:trHeight w:val="321"/>
        </w:trPr>
        <w:tc>
          <w:tcPr>
            <w:tcW w:w="1146"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Легкая </w:t>
            </w:r>
          </w:p>
        </w:tc>
        <w:tc>
          <w:tcPr>
            <w:tcW w:w="301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Без осложнений</w:t>
            </w:r>
          </w:p>
        </w:tc>
        <w:tc>
          <w:tcPr>
            <w:tcW w:w="301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ГПК</w:t>
            </w:r>
          </w:p>
        </w:tc>
        <w:tc>
          <w:tcPr>
            <w:tcW w:w="301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S-S pen; цеф 1-го поколения</w:t>
            </w:r>
          </w:p>
        </w:tc>
      </w:tr>
      <w:tr w:rsidR="00D27BC6">
        <w:trPr>
          <w:trHeight w:val="56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301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Аллергия или непереносимость β-лактамов </w:t>
            </w:r>
          </w:p>
        </w:tc>
        <w:tc>
          <w:tcPr>
            <w:tcW w:w="301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ГОП</w:t>
            </w:r>
          </w:p>
        </w:tc>
        <w:tc>
          <w:tcPr>
            <w:tcW w:w="301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Клиндамицин; ФХ; Т/S; макролид; докси</w:t>
            </w:r>
          </w:p>
        </w:tc>
      </w:tr>
      <w:tr w:rsidR="00D27BC6">
        <w:trPr>
          <w:trHeight w:val="56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301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Недавно проведенная антибактериальная терапия</w:t>
            </w:r>
          </w:p>
        </w:tc>
        <w:tc>
          <w:tcPr>
            <w:tcW w:w="301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ГПК + ГОП</w:t>
            </w:r>
          </w:p>
        </w:tc>
        <w:tc>
          <w:tcPr>
            <w:tcW w:w="301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β-L-ase 1; Т/S; докси; макролид; </w:t>
            </w:r>
          </w:p>
          <w:p w:rsidR="00D27BC6" w:rsidRDefault="004D5071">
            <w:pPr>
              <w:spacing w:after="0" w:line="259" w:lineRule="auto"/>
              <w:ind w:left="0" w:right="0" w:firstLine="0"/>
              <w:jc w:val="left"/>
            </w:pPr>
            <w:r>
              <w:t>ФХ</w:t>
            </w:r>
          </w:p>
        </w:tc>
      </w:tr>
      <w:tr w:rsidR="00D27BC6">
        <w:trPr>
          <w:trHeight w:val="56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301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Высокий риск МРЗС</w:t>
            </w:r>
          </w:p>
        </w:tc>
        <w:tc>
          <w:tcPr>
            <w:tcW w:w="301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МРЗС</w:t>
            </w:r>
          </w:p>
        </w:tc>
        <w:tc>
          <w:tcPr>
            <w:tcW w:w="301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pPr>
            <w:r>
              <w:t xml:space="preserve">Линезолид; Т/S; докси; макролид; </w:t>
            </w:r>
          </w:p>
          <w:p w:rsidR="00D27BC6" w:rsidRDefault="004D5071">
            <w:pPr>
              <w:spacing w:after="0" w:line="259" w:lineRule="auto"/>
              <w:ind w:left="0" w:right="0" w:firstLine="0"/>
              <w:jc w:val="left"/>
            </w:pPr>
            <w:r>
              <w:t>ФХ</w:t>
            </w:r>
          </w:p>
        </w:tc>
      </w:tr>
      <w:tr w:rsidR="00D27BC6">
        <w:trPr>
          <w:trHeight w:val="676"/>
        </w:trPr>
        <w:tc>
          <w:tcPr>
            <w:tcW w:w="1146"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Средняя и тяжелая</w:t>
            </w:r>
          </w:p>
        </w:tc>
        <w:tc>
          <w:tcPr>
            <w:tcW w:w="301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Без осложнений</w:t>
            </w:r>
          </w:p>
        </w:tc>
        <w:tc>
          <w:tcPr>
            <w:tcW w:w="301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ГПК ± ГОП </w:t>
            </w:r>
          </w:p>
        </w:tc>
        <w:tc>
          <w:tcPr>
            <w:tcW w:w="301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β-L-ase 1; цеф 2/3 поколения </w:t>
            </w:r>
          </w:p>
        </w:tc>
      </w:tr>
      <w:tr w:rsidR="00D27BC6">
        <w:trPr>
          <w:trHeight w:val="128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301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Недавно проведенная антибактериальная терапия</w:t>
            </w:r>
          </w:p>
        </w:tc>
        <w:tc>
          <w:tcPr>
            <w:tcW w:w="301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ГПК ± ГОП</w:t>
            </w:r>
          </w:p>
        </w:tc>
        <w:tc>
          <w:tcPr>
            <w:tcW w:w="301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β-L-ase 2; цеф 3 поколения, карбапенемы 1 группы (зависит от прежней терапии, нужна консультация клинического фармаколога)</w:t>
            </w:r>
          </w:p>
        </w:tc>
      </w:tr>
      <w:tr w:rsidR="00D27BC6">
        <w:trPr>
          <w:trHeight w:val="80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301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Размягчение (мацерация) язвенного дефекта</w:t>
            </w:r>
          </w:p>
        </w:tc>
        <w:tc>
          <w:tcPr>
            <w:tcW w:w="301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ГОП, включая Pseudomonas </w:t>
            </w:r>
          </w:p>
        </w:tc>
        <w:tc>
          <w:tcPr>
            <w:tcW w:w="301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β-L-ase 2; S-S pen + цефтазидим, </w:t>
            </w:r>
          </w:p>
          <w:p w:rsidR="00D27BC6" w:rsidRDefault="004D5071">
            <w:pPr>
              <w:spacing w:after="0" w:line="259" w:lineRule="auto"/>
              <w:ind w:left="0" w:right="253" w:firstLine="0"/>
              <w:jc w:val="left"/>
            </w:pPr>
            <w:r>
              <w:t>S-S pen + Cipro, карбапенемы 2 группы</w:t>
            </w:r>
          </w:p>
        </w:tc>
      </w:tr>
      <w:tr w:rsidR="00D27BC6">
        <w:trPr>
          <w:trHeight w:val="80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301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Ишемия конечности/ некроз/ газообразование</w:t>
            </w:r>
          </w:p>
        </w:tc>
        <w:tc>
          <w:tcPr>
            <w:tcW w:w="301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ГПК ± ГОП ± анаэробы</w:t>
            </w:r>
          </w:p>
        </w:tc>
        <w:tc>
          <w:tcPr>
            <w:tcW w:w="301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β-L-ase 1 или 2; карбапенем 1 или 2 группы; цеф 2/3 поколения + клиндамицин + метронидазол</w:t>
            </w:r>
          </w:p>
        </w:tc>
      </w:tr>
      <w:tr w:rsidR="00D27BC6">
        <w:trPr>
          <w:trHeight w:val="128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301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Факторы риска МРЗС</w:t>
            </w:r>
          </w:p>
        </w:tc>
        <w:tc>
          <w:tcPr>
            <w:tcW w:w="301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МРЗС</w:t>
            </w:r>
          </w:p>
        </w:tc>
        <w:tc>
          <w:tcPr>
            <w:tcW w:w="301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36" w:lineRule="auto"/>
              <w:ind w:left="0" w:right="0" w:firstLine="0"/>
              <w:jc w:val="left"/>
            </w:pPr>
            <w:r>
              <w:t xml:space="preserve">Рассмотреть добавление или заменить на: гликопептиды; линезолид; даптомицин; </w:t>
            </w:r>
          </w:p>
          <w:p w:rsidR="00D27BC6" w:rsidRDefault="004D5071">
            <w:pPr>
              <w:spacing w:after="0" w:line="259" w:lineRule="auto"/>
              <w:ind w:left="0" w:right="0" w:firstLine="0"/>
            </w:pPr>
            <w:r>
              <w:t xml:space="preserve">фузидиевая к-та; T/S (± rif); докси; </w:t>
            </w:r>
          </w:p>
          <w:p w:rsidR="00D27BC6" w:rsidRDefault="004D5071">
            <w:pPr>
              <w:spacing w:after="0" w:line="259" w:lineRule="auto"/>
              <w:ind w:left="0" w:right="0" w:firstLine="0"/>
              <w:jc w:val="left"/>
            </w:pPr>
            <w:r>
              <w:t>ФХ</w:t>
            </w:r>
          </w:p>
        </w:tc>
      </w:tr>
      <w:tr w:rsidR="00D27BC6">
        <w:trPr>
          <w:trHeight w:val="56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301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Факторы риска резистентных ГОП </w:t>
            </w:r>
          </w:p>
        </w:tc>
        <w:tc>
          <w:tcPr>
            <w:tcW w:w="301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ESBL</w:t>
            </w:r>
          </w:p>
        </w:tc>
        <w:tc>
          <w:tcPr>
            <w:tcW w:w="301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Карбапенемы, ФХ, аминогликозид, колистин</w:t>
            </w:r>
          </w:p>
        </w:tc>
      </w:tr>
    </w:tbl>
    <w:p w:rsidR="00D27BC6" w:rsidRDefault="004D5071">
      <w:pPr>
        <w:spacing w:after="4"/>
        <w:ind w:left="-3" w:right="0"/>
      </w:pPr>
      <w:r>
        <w:rPr>
          <w:b/>
          <w:sz w:val="16"/>
        </w:rPr>
        <w:t xml:space="preserve">Примечания: </w:t>
      </w:r>
      <w:r>
        <w:rPr>
          <w:sz w:val="16"/>
        </w:rPr>
        <w:t>ГПК – грамположительные кокки (стафилококки, стрептококки); ГОП – грамотрицательные палочки; МРЗС- метициллинрезистентный золотистый стафилококк; ESBL – организм, продуцирующий бета-лактамазу расширенного спектра; S-S pen полусинтетический пенициллиназоуст</w:t>
      </w:r>
      <w:r>
        <w:rPr>
          <w:sz w:val="16"/>
        </w:rPr>
        <w:t xml:space="preserve">ойчивый пенициллин; β-L-ase – ингибитор β-лактама, β-лактамазы; β-L-ase 1 – амоксициллин/клавунат, ампициллин/сульбактам; β-L-ase 2 – тикарциллин/клавуланат, пиперациллин/тазобактам; докси – доксициклин; карбапенем 1 группы – эрапенем; карбапенем 2 группы </w:t>
      </w:r>
      <w:r>
        <w:rPr>
          <w:sz w:val="16"/>
        </w:rPr>
        <w:t>– имипинем, меропенем, дорипенем; цеф – цефалоспорин; ФХ – фторхинолон с высокой активностью против аэробных грамположительных кокков (например, левофлоксацин или моксифлоксацин; Cipro – противосинегнойный фторхинолон (например, ципрофлоксацин; T/S – триме</w:t>
      </w:r>
      <w:r>
        <w:rPr>
          <w:sz w:val="16"/>
        </w:rPr>
        <w:t>топрим/сульфаметоксазол; T/S (± rif) – триметоприм/сульфаметоксазол независимо от сочетания с рифампицином (в настоящее время считается, что рифампицин следует использовать только при остеомиелите)).</w:t>
      </w:r>
    </w:p>
    <w:p w:rsidR="00D27BC6" w:rsidRDefault="004D5071">
      <w:pPr>
        <w:spacing w:after="190"/>
        <w:ind w:left="-3" w:right="0"/>
      </w:pPr>
      <w:r>
        <w:rPr>
          <w:sz w:val="16"/>
        </w:rPr>
        <w:t>При выявлении остеомиелита – удаление пораженной кости с</w:t>
      </w:r>
      <w:r>
        <w:rPr>
          <w:sz w:val="16"/>
        </w:rPr>
        <w:t xml:space="preserve"> последующей антибактериальной терапией.</w:t>
      </w:r>
    </w:p>
    <w:p w:rsidR="00D27BC6" w:rsidRDefault="004D5071">
      <w:pPr>
        <w:pStyle w:val="Heading2"/>
        <w:ind w:left="-3"/>
      </w:pPr>
      <w:r>
        <w:t>Современные средства закрытия ран</w:t>
      </w:r>
    </w:p>
    <w:tbl>
      <w:tblPr>
        <w:tblStyle w:val="TableGrid"/>
        <w:tblW w:w="10191" w:type="dxa"/>
        <w:tblInd w:w="9" w:type="dxa"/>
        <w:tblCellMar>
          <w:top w:w="9" w:type="dxa"/>
          <w:left w:w="57" w:type="dxa"/>
          <w:bottom w:w="0" w:type="dxa"/>
          <w:right w:w="58" w:type="dxa"/>
        </w:tblCellMar>
        <w:tblLook w:val="04A0" w:firstRow="1" w:lastRow="0" w:firstColumn="1" w:lastColumn="0" w:noHBand="0" w:noVBand="1"/>
      </w:tblPr>
      <w:tblGrid>
        <w:gridCol w:w="2842"/>
        <w:gridCol w:w="7349"/>
      </w:tblGrid>
      <w:tr w:rsidR="00D27BC6">
        <w:trPr>
          <w:trHeight w:val="320"/>
        </w:trPr>
        <w:tc>
          <w:tcPr>
            <w:tcW w:w="284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1" w:right="0" w:firstLine="0"/>
              <w:jc w:val="center"/>
            </w:pPr>
            <w:r>
              <w:rPr>
                <w:b/>
              </w:rPr>
              <w:t>Категория</w:t>
            </w:r>
          </w:p>
        </w:tc>
        <w:tc>
          <w:tcPr>
            <w:tcW w:w="734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1" w:right="0" w:firstLine="0"/>
              <w:jc w:val="center"/>
            </w:pPr>
            <w:r>
              <w:rPr>
                <w:b/>
              </w:rPr>
              <w:t>Характеристики</w:t>
            </w:r>
          </w:p>
        </w:tc>
      </w:tr>
      <w:tr w:rsidR="00D27BC6">
        <w:trPr>
          <w:trHeight w:val="800"/>
        </w:trPr>
        <w:tc>
          <w:tcPr>
            <w:tcW w:w="284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Влажные марлевые салфетки</w:t>
            </w:r>
          </w:p>
        </w:tc>
        <w:tc>
          <w:tcPr>
            <w:tcW w:w="734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8" w:firstLine="0"/>
              <w:jc w:val="left"/>
            </w:pPr>
            <w:r>
              <w:t>Салфетки, смоченные физиологическим или гипертоническим раствором. При длительном использовании вызывают мацерацию окружающей рану здоровой кожи</w:t>
            </w:r>
          </w:p>
        </w:tc>
      </w:tr>
      <w:tr w:rsidR="00D27BC6">
        <w:trPr>
          <w:trHeight w:val="800"/>
        </w:trPr>
        <w:tc>
          <w:tcPr>
            <w:tcW w:w="284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Нетканые абсорбирующие композиционные повязки</w:t>
            </w:r>
          </w:p>
        </w:tc>
        <w:tc>
          <w:tcPr>
            <w:tcW w:w="734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Многослойные раневые покрытия, полностью исключающие или значительно уменьшающие прилипание, содержащие такие впитывающие волокна как целлюлоза, хлопок или вискозу.</w:t>
            </w:r>
          </w:p>
        </w:tc>
      </w:tr>
      <w:tr w:rsidR="00D27BC6">
        <w:trPr>
          <w:trHeight w:val="651"/>
        </w:trPr>
        <w:tc>
          <w:tcPr>
            <w:tcW w:w="284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Пленки</w:t>
            </w:r>
          </w:p>
        </w:tc>
        <w:tc>
          <w:tcPr>
            <w:tcW w:w="734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Поддерживают влажную среду, прозрачные, водоустойчивые, плотно фиксируются к ране. </w:t>
            </w:r>
          </w:p>
        </w:tc>
      </w:tr>
      <w:tr w:rsidR="00D27BC6">
        <w:trPr>
          <w:trHeight w:val="651"/>
        </w:trPr>
        <w:tc>
          <w:tcPr>
            <w:tcW w:w="284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Пены</w:t>
            </w:r>
          </w:p>
        </w:tc>
        <w:tc>
          <w:tcPr>
            <w:tcW w:w="734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77" w:firstLine="0"/>
              <w:jc w:val="left"/>
            </w:pPr>
            <w:r>
              <w:t xml:space="preserve">Пенообразующие растворы полимеров, впитывающая способность зависит от толщины повязки. </w:t>
            </w:r>
          </w:p>
        </w:tc>
      </w:tr>
      <w:tr w:rsidR="00D27BC6">
        <w:trPr>
          <w:trHeight w:val="560"/>
        </w:trPr>
        <w:tc>
          <w:tcPr>
            <w:tcW w:w="284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Гидроколлоиды</w:t>
            </w:r>
          </w:p>
        </w:tc>
        <w:tc>
          <w:tcPr>
            <w:tcW w:w="734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 состав входят желатин и пектин. Абсорбирующая способность низкая и зависит от толщины повязки. Плотно фиксируются к коже, непроницаемы для воздуха и воды.</w:t>
            </w:r>
          </w:p>
        </w:tc>
      </w:tr>
      <w:tr w:rsidR="00D27BC6">
        <w:trPr>
          <w:trHeight w:val="320"/>
        </w:trPr>
        <w:tc>
          <w:tcPr>
            <w:tcW w:w="284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Категория</w:t>
            </w:r>
          </w:p>
        </w:tc>
        <w:tc>
          <w:tcPr>
            <w:tcW w:w="734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Характеристики</w:t>
            </w:r>
          </w:p>
        </w:tc>
      </w:tr>
      <w:tr w:rsidR="00D27BC6">
        <w:trPr>
          <w:trHeight w:val="540"/>
        </w:trPr>
        <w:tc>
          <w:tcPr>
            <w:tcW w:w="284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Гидрогели</w:t>
            </w:r>
          </w:p>
        </w:tc>
        <w:tc>
          <w:tcPr>
            <w:tcW w:w="734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Полимерные соединения, набухающие при взаимодействии с экссудатом раны, обладающие высокой впитывающей способностью </w:t>
            </w:r>
          </w:p>
        </w:tc>
      </w:tr>
      <w:tr w:rsidR="00D27BC6">
        <w:trPr>
          <w:trHeight w:val="540"/>
        </w:trPr>
        <w:tc>
          <w:tcPr>
            <w:tcW w:w="284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Аморфные гидрогели</w:t>
            </w:r>
          </w:p>
        </w:tc>
        <w:tc>
          <w:tcPr>
            <w:tcW w:w="734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802" w:firstLine="0"/>
              <w:jc w:val="left"/>
            </w:pPr>
            <w:r>
              <w:t xml:space="preserve">Вода, полимеры и другие ингредиенты, соединенные таким образом, что способны поддержать влажность раны. </w:t>
            </w:r>
          </w:p>
        </w:tc>
      </w:tr>
      <w:tr w:rsidR="00D27BC6">
        <w:trPr>
          <w:trHeight w:val="540"/>
        </w:trPr>
        <w:tc>
          <w:tcPr>
            <w:tcW w:w="284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Альгинаты</w:t>
            </w:r>
          </w:p>
        </w:tc>
        <w:tc>
          <w:tcPr>
            <w:tcW w:w="734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686" w:firstLine="0"/>
              <w:jc w:val="left"/>
            </w:pPr>
            <w:r>
              <w:t>Нетканая повязка, созданная на основе альгината кальция. При контакте с экссудатом превращается в гель</w:t>
            </w:r>
          </w:p>
        </w:tc>
      </w:tr>
      <w:tr w:rsidR="00D27BC6">
        <w:trPr>
          <w:trHeight w:val="540"/>
        </w:trPr>
        <w:tc>
          <w:tcPr>
            <w:tcW w:w="284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83" w:firstLine="0"/>
              <w:jc w:val="left"/>
            </w:pPr>
            <w:r>
              <w:t>Комбинация гидрогелей и гидрополимеров</w:t>
            </w:r>
          </w:p>
        </w:tc>
        <w:tc>
          <w:tcPr>
            <w:tcW w:w="734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Содержат волокна с высокой абсорбирующей способностью, посредством которых экссудат отводится от раны</w:t>
            </w:r>
          </w:p>
        </w:tc>
      </w:tr>
      <w:tr w:rsidR="00D27BC6">
        <w:trPr>
          <w:trHeight w:val="540"/>
        </w:trPr>
        <w:tc>
          <w:tcPr>
            <w:tcW w:w="284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Повязки, содержащие антибиотики и антисептики</w:t>
            </w:r>
          </w:p>
        </w:tc>
        <w:tc>
          <w:tcPr>
            <w:tcW w:w="734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Повязки, способные постепенно отдавать в рану содержащиеся противомикробные препараты</w:t>
            </w:r>
          </w:p>
        </w:tc>
      </w:tr>
      <w:tr w:rsidR="00D27BC6">
        <w:trPr>
          <w:trHeight w:val="540"/>
        </w:trPr>
        <w:tc>
          <w:tcPr>
            <w:tcW w:w="284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left"/>
            </w:pPr>
            <w:r>
              <w:t>Комбинированные и импрегнированные повязки</w:t>
            </w:r>
          </w:p>
        </w:tc>
        <w:tc>
          <w:tcPr>
            <w:tcW w:w="734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Марлевые и нетканые повязки, импрегнированные солями цинка или антисептиками </w:t>
            </w:r>
          </w:p>
        </w:tc>
      </w:tr>
      <w:tr w:rsidR="00D27BC6">
        <w:trPr>
          <w:trHeight w:val="540"/>
        </w:trPr>
        <w:tc>
          <w:tcPr>
            <w:tcW w:w="284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Коллагенсодержащие повязки</w:t>
            </w:r>
          </w:p>
        </w:tc>
        <w:tc>
          <w:tcPr>
            <w:tcW w:w="734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Повязки на основе свиного, бычьего, человеческого коллагена с добавлением окисленной целлюлозы или альгината</w:t>
            </w:r>
          </w:p>
        </w:tc>
      </w:tr>
    </w:tbl>
    <w:p w:rsidR="00D27BC6" w:rsidRDefault="004D5071">
      <w:pPr>
        <w:spacing w:after="12"/>
        <w:ind w:left="290" w:right="0"/>
        <w:jc w:val="center"/>
      </w:pPr>
      <w:r>
        <w:rPr>
          <w:b/>
        </w:rPr>
        <w:t xml:space="preserve">Выбор повязки осуществляется только врачом  </w:t>
      </w:r>
    </w:p>
    <w:p w:rsidR="00D27BC6" w:rsidRDefault="004D5071">
      <w:pPr>
        <w:spacing w:after="227"/>
        <w:ind w:left="290" w:right="284"/>
        <w:jc w:val="center"/>
      </w:pPr>
      <w:r>
        <w:rPr>
          <w:b/>
        </w:rPr>
        <w:t>(хирургом или специалистом отделения/кабинета диабетической стопы)!</w:t>
      </w:r>
    </w:p>
    <w:p w:rsidR="00D27BC6" w:rsidRDefault="004D5071">
      <w:pPr>
        <w:spacing w:after="243" w:line="259" w:lineRule="auto"/>
        <w:ind w:left="10" w:right="4"/>
        <w:jc w:val="center"/>
      </w:pPr>
      <w:r>
        <w:rPr>
          <w:b/>
          <w:color w:val="6F6F6E"/>
          <w:sz w:val="18"/>
          <w:u w:val="single" w:color="6F6F6E"/>
        </w:rPr>
        <w:t>ПРОФИЛАКТИКА</w:t>
      </w:r>
    </w:p>
    <w:p w:rsidR="00D27BC6" w:rsidRDefault="004D5071">
      <w:pPr>
        <w:numPr>
          <w:ilvl w:val="0"/>
          <w:numId w:val="121"/>
        </w:numPr>
        <w:ind w:right="0" w:hanging="283"/>
      </w:pPr>
      <w:r>
        <w:t>Достижение и поддержание индивидуальных целевых показателей гликемического контроля</w:t>
      </w:r>
    </w:p>
    <w:p w:rsidR="00D27BC6" w:rsidRDefault="004D5071">
      <w:pPr>
        <w:numPr>
          <w:ilvl w:val="0"/>
          <w:numId w:val="121"/>
        </w:numPr>
        <w:ind w:right="0" w:hanging="283"/>
      </w:pPr>
      <w:r>
        <w:t>Обучение больных и их родственников правилам ухода за ногами (см. приложение 10) и выбора обуви (см. приложение 11)</w:t>
      </w:r>
    </w:p>
    <w:p w:rsidR="00D27BC6" w:rsidRDefault="004D5071">
      <w:pPr>
        <w:numPr>
          <w:ilvl w:val="0"/>
          <w:numId w:val="121"/>
        </w:numPr>
        <w:ind w:right="0" w:hanging="283"/>
      </w:pPr>
      <w:r>
        <w:t>Раннее выявление больных, входящих в группу</w:t>
      </w:r>
      <w:r>
        <w:t xml:space="preserve"> риска СДС </w:t>
      </w:r>
    </w:p>
    <w:p w:rsidR="00D27BC6" w:rsidRDefault="004D5071">
      <w:pPr>
        <w:numPr>
          <w:ilvl w:val="0"/>
          <w:numId w:val="121"/>
        </w:numPr>
        <w:ind w:right="0" w:hanging="283"/>
      </w:pPr>
      <w:r>
        <w:t>Адекватная ортопедическая помощь больным с деформациями стоп, перенесшим ампутации в пределах стопы (см. приложение 11)</w:t>
      </w:r>
    </w:p>
    <w:p w:rsidR="00D27BC6" w:rsidRDefault="004D5071">
      <w:pPr>
        <w:numPr>
          <w:ilvl w:val="0"/>
          <w:numId w:val="121"/>
        </w:numPr>
        <w:spacing w:after="74"/>
        <w:ind w:right="0" w:hanging="283"/>
      </w:pPr>
      <w:r>
        <w:t>Регулярное посещение кабинета диабетической стопы для осмотра и подиатрического ухода*</w:t>
      </w:r>
    </w:p>
    <w:p w:rsidR="00D27BC6" w:rsidRDefault="004D5071">
      <w:pPr>
        <w:spacing w:after="4"/>
        <w:ind w:left="-3" w:right="0"/>
      </w:pPr>
      <w:r>
        <w:rPr>
          <w:b/>
        </w:rPr>
        <w:t>*</w:t>
      </w:r>
      <w:r>
        <w:rPr>
          <w:b/>
          <w:sz w:val="16"/>
          <w:vertAlign w:val="superscript"/>
        </w:rPr>
        <w:t xml:space="preserve"> </w:t>
      </w:r>
      <w:r>
        <w:rPr>
          <w:sz w:val="16"/>
        </w:rPr>
        <w:t xml:space="preserve">Кратность визитов в кабинет диабетической стопы в зависимости от категории риска развития СДС </w:t>
      </w:r>
    </w:p>
    <w:tbl>
      <w:tblPr>
        <w:tblStyle w:val="TableGrid"/>
        <w:tblW w:w="10191" w:type="dxa"/>
        <w:tblInd w:w="9" w:type="dxa"/>
        <w:tblCellMar>
          <w:top w:w="9" w:type="dxa"/>
          <w:left w:w="56" w:type="dxa"/>
          <w:bottom w:w="0" w:type="dxa"/>
          <w:right w:w="115" w:type="dxa"/>
        </w:tblCellMar>
        <w:tblLook w:val="04A0" w:firstRow="1" w:lastRow="0" w:firstColumn="1" w:lastColumn="0" w:noHBand="0" w:noVBand="1"/>
      </w:tblPr>
      <w:tblGrid>
        <w:gridCol w:w="1996"/>
        <w:gridCol w:w="6009"/>
        <w:gridCol w:w="2185"/>
      </w:tblGrid>
      <w:tr w:rsidR="00D27BC6">
        <w:trPr>
          <w:trHeight w:val="320"/>
        </w:trPr>
        <w:tc>
          <w:tcPr>
            <w:tcW w:w="1996"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Категория риска</w:t>
            </w:r>
          </w:p>
        </w:tc>
        <w:tc>
          <w:tcPr>
            <w:tcW w:w="600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Характеристика</w:t>
            </w:r>
          </w:p>
        </w:tc>
        <w:tc>
          <w:tcPr>
            <w:tcW w:w="218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Частота визитов</w:t>
            </w:r>
          </w:p>
        </w:tc>
      </w:tr>
      <w:tr w:rsidR="00D27BC6">
        <w:trPr>
          <w:trHeight w:val="320"/>
        </w:trPr>
        <w:tc>
          <w:tcPr>
            <w:tcW w:w="1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Низкий</w:t>
            </w:r>
          </w:p>
        </w:tc>
        <w:tc>
          <w:tcPr>
            <w:tcW w:w="600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нет нейропатии и ЗАНК</w:t>
            </w:r>
          </w:p>
        </w:tc>
        <w:tc>
          <w:tcPr>
            <w:tcW w:w="218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1 раз в год</w:t>
            </w:r>
          </w:p>
        </w:tc>
      </w:tr>
      <w:tr w:rsidR="00D27BC6">
        <w:trPr>
          <w:trHeight w:val="320"/>
        </w:trPr>
        <w:tc>
          <w:tcPr>
            <w:tcW w:w="1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Умеренный</w:t>
            </w:r>
          </w:p>
        </w:tc>
        <w:tc>
          <w:tcPr>
            <w:tcW w:w="600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есть нарушение чувствительности или ЗАНК</w:t>
            </w:r>
          </w:p>
        </w:tc>
        <w:tc>
          <w:tcPr>
            <w:tcW w:w="218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раз в 6 мес.</w:t>
            </w:r>
          </w:p>
        </w:tc>
      </w:tr>
      <w:tr w:rsidR="00D27BC6">
        <w:trPr>
          <w:trHeight w:val="560"/>
        </w:trPr>
        <w:tc>
          <w:tcPr>
            <w:tcW w:w="199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Высокий</w:t>
            </w:r>
          </w:p>
        </w:tc>
        <w:tc>
          <w:tcPr>
            <w:tcW w:w="600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есть нарушение чувствительности в сочетании с признаками нарушения магистрального кровотока и/или деформациями стоп</w:t>
            </w:r>
          </w:p>
        </w:tc>
        <w:tc>
          <w:tcPr>
            <w:tcW w:w="218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1 раз в 3 мес.</w:t>
            </w:r>
          </w:p>
        </w:tc>
      </w:tr>
      <w:tr w:rsidR="00D27BC6">
        <w:trPr>
          <w:trHeight w:val="320"/>
        </w:trPr>
        <w:tc>
          <w:tcPr>
            <w:tcW w:w="199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Очень высокий</w:t>
            </w:r>
          </w:p>
        </w:tc>
        <w:tc>
          <w:tcPr>
            <w:tcW w:w="600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язвы и ампутации в анамнезе</w:t>
            </w:r>
          </w:p>
        </w:tc>
        <w:tc>
          <w:tcPr>
            <w:tcW w:w="218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раз в 1–3 мес.</w:t>
            </w:r>
          </w:p>
        </w:tc>
      </w:tr>
    </w:tbl>
    <w:p w:rsidR="00D27BC6" w:rsidRDefault="004D5071">
      <w:pPr>
        <w:pStyle w:val="Heading1"/>
        <w:spacing w:after="210"/>
        <w:ind w:left="313" w:right="309"/>
      </w:pPr>
      <w:r>
        <w:t>15. САХАРНЫЙ ДИАБЕТ И АРТЕРИАЛЬНАЯ ГИПЕРТЕНЗИЯ</w:t>
      </w:r>
    </w:p>
    <w:p w:rsidR="00D27BC6" w:rsidRDefault="004D5071">
      <w:pPr>
        <w:spacing w:after="233"/>
        <w:ind w:left="-11" w:right="0" w:firstLine="283"/>
      </w:pPr>
      <w:r>
        <w:t xml:space="preserve">Распространенность артериальной гипертензии (АГ) среди пациентов с СД достаточно высока. АГ развивается у 67% больных СД 1 типа с длительностью заболевания 30 лет и у 60% пациентов с СД 2 типа. </w:t>
      </w:r>
    </w:p>
    <w:p w:rsidR="00D27BC6" w:rsidRDefault="004D5071">
      <w:pPr>
        <w:pStyle w:val="Heading2"/>
        <w:ind w:left="-3"/>
      </w:pPr>
      <w:r>
        <w:t>Классификация артериальной гипертензии по уровню АД (</w:t>
      </w:r>
      <w:r>
        <w:t xml:space="preserve">EHS/ESC </w:t>
      </w:r>
      <w:r>
        <w:t>2024)</w:t>
      </w:r>
    </w:p>
    <w:tbl>
      <w:tblPr>
        <w:tblStyle w:val="TableGrid"/>
        <w:tblW w:w="10195" w:type="dxa"/>
        <w:tblInd w:w="9" w:type="dxa"/>
        <w:tblCellMar>
          <w:top w:w="9" w:type="dxa"/>
          <w:left w:w="56" w:type="dxa"/>
          <w:bottom w:w="0" w:type="dxa"/>
          <w:right w:w="115" w:type="dxa"/>
        </w:tblCellMar>
        <w:tblLook w:val="04A0" w:firstRow="1" w:lastRow="0" w:firstColumn="1" w:lastColumn="0" w:noHBand="0" w:noVBand="1"/>
      </w:tblPr>
      <w:tblGrid>
        <w:gridCol w:w="3413"/>
        <w:gridCol w:w="2261"/>
        <w:gridCol w:w="2261"/>
        <w:gridCol w:w="2261"/>
      </w:tblGrid>
      <w:tr w:rsidR="00D27BC6">
        <w:trPr>
          <w:trHeight w:val="320"/>
        </w:trPr>
        <w:tc>
          <w:tcPr>
            <w:tcW w:w="3413"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Категории АД</w:t>
            </w:r>
          </w:p>
        </w:tc>
        <w:tc>
          <w:tcPr>
            <w:tcW w:w="2261"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САД (мм рт.ст.)</w:t>
            </w:r>
          </w:p>
        </w:tc>
        <w:tc>
          <w:tcPr>
            <w:tcW w:w="2261"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D27BC6">
            <w:pPr>
              <w:spacing w:after="160" w:line="259" w:lineRule="auto"/>
              <w:ind w:left="0" w:right="0" w:firstLine="0"/>
              <w:jc w:val="left"/>
            </w:pPr>
          </w:p>
        </w:tc>
        <w:tc>
          <w:tcPr>
            <w:tcW w:w="2261"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ДАД (мм рт.ст.)</w:t>
            </w:r>
          </w:p>
        </w:tc>
      </w:tr>
      <w:tr w:rsidR="00D27BC6">
        <w:trPr>
          <w:trHeight w:val="320"/>
        </w:trPr>
        <w:tc>
          <w:tcPr>
            <w:tcW w:w="341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Оптимальное</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&lt; 120</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и</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&lt; 80</w:t>
            </w:r>
          </w:p>
        </w:tc>
      </w:tr>
      <w:tr w:rsidR="00D27BC6">
        <w:trPr>
          <w:trHeight w:val="320"/>
        </w:trPr>
        <w:tc>
          <w:tcPr>
            <w:tcW w:w="341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Нормальное</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120–129</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и/или</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80–84</w:t>
            </w:r>
          </w:p>
        </w:tc>
      </w:tr>
      <w:tr w:rsidR="00D27BC6">
        <w:trPr>
          <w:trHeight w:val="320"/>
        </w:trPr>
        <w:tc>
          <w:tcPr>
            <w:tcW w:w="341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Высокое нормальное</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130–139</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и/или</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85–89</w:t>
            </w:r>
          </w:p>
        </w:tc>
      </w:tr>
      <w:tr w:rsidR="00D27BC6">
        <w:trPr>
          <w:trHeight w:val="320"/>
        </w:trPr>
        <w:tc>
          <w:tcPr>
            <w:tcW w:w="341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АГ 1-й степени </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140–159</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и/или</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90–99</w:t>
            </w:r>
          </w:p>
        </w:tc>
      </w:tr>
      <w:tr w:rsidR="00D27BC6">
        <w:trPr>
          <w:trHeight w:val="320"/>
        </w:trPr>
        <w:tc>
          <w:tcPr>
            <w:tcW w:w="341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АГ 2-й степени </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160–179</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и/или</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100–109</w:t>
            </w:r>
          </w:p>
        </w:tc>
      </w:tr>
      <w:tr w:rsidR="00D27BC6">
        <w:trPr>
          <w:trHeight w:val="320"/>
        </w:trPr>
        <w:tc>
          <w:tcPr>
            <w:tcW w:w="341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АГ 3-й степени </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 180</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и/или</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 110</w:t>
            </w:r>
          </w:p>
        </w:tc>
      </w:tr>
      <w:tr w:rsidR="00D27BC6">
        <w:trPr>
          <w:trHeight w:val="320"/>
        </w:trPr>
        <w:tc>
          <w:tcPr>
            <w:tcW w:w="341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Изолированная систолическая АГ</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 140</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и</w:t>
            </w:r>
          </w:p>
        </w:tc>
        <w:tc>
          <w:tcPr>
            <w:tcW w:w="226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&lt; 90</w:t>
            </w:r>
          </w:p>
        </w:tc>
      </w:tr>
    </w:tbl>
    <w:p w:rsidR="00D27BC6" w:rsidRDefault="004D5071">
      <w:pPr>
        <w:spacing w:after="4"/>
        <w:ind w:left="-3" w:right="0"/>
      </w:pPr>
      <w:r>
        <w:rPr>
          <w:b/>
          <w:sz w:val="16"/>
        </w:rPr>
        <w:t xml:space="preserve">Примечания: </w:t>
      </w:r>
      <w:r>
        <w:rPr>
          <w:sz w:val="16"/>
        </w:rPr>
        <w:t xml:space="preserve">АГ – артериальная гипертензия, АД – артериальное давление, САД – систолическое артериальное давление, ДАД диастолическое артериальное давление. </w:t>
      </w:r>
      <w:r>
        <w:t>EHS</w:t>
      </w:r>
      <w:r>
        <w:rPr>
          <w:sz w:val="16"/>
        </w:rPr>
        <w:t xml:space="preserve"> – Европейское общество гипертонии. </w:t>
      </w:r>
      <w:r>
        <w:t>ESC</w:t>
      </w:r>
      <w:r>
        <w:rPr>
          <w:sz w:val="16"/>
        </w:rPr>
        <w:t xml:space="preserve"> – Европейское общество кардиологов.</w:t>
      </w:r>
    </w:p>
    <w:p w:rsidR="00D27BC6" w:rsidRDefault="004D5071">
      <w:pPr>
        <w:numPr>
          <w:ilvl w:val="0"/>
          <w:numId w:val="122"/>
        </w:numPr>
        <w:ind w:right="0" w:hanging="283"/>
      </w:pPr>
      <w:r>
        <w:t>Если уровни САД и ДАД пациента попадают в разные категории, то диагностируется более высокая степень АГ.</w:t>
      </w:r>
    </w:p>
    <w:p w:rsidR="00D27BC6" w:rsidRDefault="004D5071">
      <w:pPr>
        <w:numPr>
          <w:ilvl w:val="0"/>
          <w:numId w:val="122"/>
        </w:numPr>
        <w:spacing w:after="230"/>
        <w:ind w:right="0" w:hanging="283"/>
      </w:pPr>
      <w:r>
        <w:t>Изолированная систолическая АГ также может подразделяться на степени в соответствии с уровнем повышения САД.</w:t>
      </w:r>
    </w:p>
    <w:p w:rsidR="00D27BC6" w:rsidRDefault="004D5071">
      <w:pPr>
        <w:pStyle w:val="Heading2"/>
        <w:ind w:left="-3"/>
      </w:pPr>
      <w:r>
        <w:t>Диагн</w:t>
      </w:r>
      <w:r>
        <w:t xml:space="preserve">остика АГ </w:t>
      </w:r>
    </w:p>
    <w:tbl>
      <w:tblPr>
        <w:tblStyle w:val="TableGrid"/>
        <w:tblW w:w="10185" w:type="dxa"/>
        <w:tblInd w:w="9" w:type="dxa"/>
        <w:tblCellMar>
          <w:top w:w="0" w:type="dxa"/>
          <w:left w:w="0" w:type="dxa"/>
          <w:bottom w:w="0" w:type="dxa"/>
          <w:right w:w="15" w:type="dxa"/>
        </w:tblCellMar>
        <w:tblLook w:val="04A0" w:firstRow="1" w:lastRow="0" w:firstColumn="1" w:lastColumn="0" w:noHBand="0" w:noVBand="1"/>
      </w:tblPr>
      <w:tblGrid>
        <w:gridCol w:w="2263"/>
        <w:gridCol w:w="2833"/>
        <w:gridCol w:w="5089"/>
      </w:tblGrid>
      <w:tr w:rsidR="00D27BC6">
        <w:trPr>
          <w:trHeight w:val="4954"/>
        </w:trPr>
        <w:tc>
          <w:tcPr>
            <w:tcW w:w="2263"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57" w:right="215" w:firstLine="0"/>
              <w:jc w:val="left"/>
            </w:pPr>
            <w:r>
              <w:rPr>
                <w:b/>
              </w:rPr>
              <w:t>Клиническое измерение АД по методу Короткова офисное и домашнее</w:t>
            </w:r>
          </w:p>
        </w:tc>
        <w:tc>
          <w:tcPr>
            <w:tcW w:w="7922"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90" w:line="259" w:lineRule="auto"/>
              <w:ind w:left="57" w:right="0" w:firstLine="0"/>
              <w:jc w:val="left"/>
            </w:pPr>
            <w:r>
              <w:rPr>
                <w:b/>
                <w:i/>
              </w:rPr>
              <w:t>Правила измерения:</w:t>
            </w:r>
          </w:p>
          <w:p w:rsidR="00D27BC6" w:rsidRDefault="004D5071">
            <w:pPr>
              <w:numPr>
                <w:ilvl w:val="0"/>
                <w:numId w:val="299"/>
              </w:numPr>
              <w:spacing w:after="113" w:line="236" w:lineRule="auto"/>
              <w:ind w:right="0" w:hanging="170"/>
              <w:jc w:val="left"/>
            </w:pPr>
            <w:r>
              <w:t>После ≥ 5 мин отдыха и не ранее, чем через 1 ч после употребления кофе, крепкого чая и 30 мин после курения.</w:t>
            </w:r>
          </w:p>
          <w:p w:rsidR="00D27BC6" w:rsidRDefault="004D5071">
            <w:pPr>
              <w:numPr>
                <w:ilvl w:val="0"/>
                <w:numId w:val="299"/>
              </w:numPr>
              <w:spacing w:after="113" w:line="236" w:lineRule="auto"/>
              <w:ind w:right="0" w:hanging="170"/>
              <w:jc w:val="left"/>
            </w:pPr>
            <w:r>
              <w:t>В положении сидя с опорой спины, манжетка на уровне сердца (нижний край на 2 см выше локтевого сгиба).</w:t>
            </w:r>
          </w:p>
          <w:p w:rsidR="00D27BC6" w:rsidRDefault="004D5071">
            <w:pPr>
              <w:numPr>
                <w:ilvl w:val="0"/>
                <w:numId w:val="299"/>
              </w:numPr>
              <w:spacing w:after="113" w:line="236" w:lineRule="auto"/>
              <w:ind w:right="0" w:hanging="170"/>
              <w:jc w:val="left"/>
            </w:pPr>
            <w:r>
              <w:t>Нагнетание воздуха в манжетку быстро до уровня, превышающего исчезновение тонов Короткова примерно на 20 мм рт.ст.</w:t>
            </w:r>
          </w:p>
          <w:p w:rsidR="00D27BC6" w:rsidRDefault="004D5071">
            <w:pPr>
              <w:numPr>
                <w:ilvl w:val="0"/>
                <w:numId w:val="299"/>
              </w:numPr>
              <w:spacing w:after="90" w:line="259" w:lineRule="auto"/>
              <w:ind w:right="0" w:hanging="170"/>
              <w:jc w:val="left"/>
            </w:pPr>
            <w:r>
              <w:t xml:space="preserve">Скорость снижения давления в манжетке </w:t>
            </w:r>
            <w:r>
              <w:t>– не более 2 мм рт.ст. в сек.</w:t>
            </w:r>
          </w:p>
          <w:p w:rsidR="00D27BC6" w:rsidRDefault="004D5071">
            <w:pPr>
              <w:numPr>
                <w:ilvl w:val="0"/>
                <w:numId w:val="299"/>
              </w:numPr>
              <w:spacing w:after="113" w:line="236" w:lineRule="auto"/>
              <w:ind w:right="0" w:hanging="170"/>
              <w:jc w:val="left"/>
            </w:pPr>
            <w:r>
              <w:t>Измерения не менее 2 раз с интервалом не менее 1 мин на каждой руке. При разнице САД на двух руках более 10 мм рт.ст. следует ориентироваться на результаты измерения на руке с более высокими значениями АД. Оценивают среднее зн</w:t>
            </w:r>
            <w:r>
              <w:t>ачение всех измерений.</w:t>
            </w:r>
          </w:p>
          <w:p w:rsidR="00D27BC6" w:rsidRDefault="004D5071">
            <w:pPr>
              <w:numPr>
                <w:ilvl w:val="0"/>
                <w:numId w:val="299"/>
              </w:numPr>
              <w:spacing w:after="90" w:line="259" w:lineRule="auto"/>
              <w:ind w:right="0" w:hanging="170"/>
              <w:jc w:val="left"/>
            </w:pPr>
            <w:r>
              <w:t>При окружности плеча &gt; 32 см следует пользоваться широкой манжетой.</w:t>
            </w:r>
          </w:p>
          <w:p w:rsidR="00D27BC6" w:rsidRDefault="004D5071">
            <w:pPr>
              <w:numPr>
                <w:ilvl w:val="0"/>
                <w:numId w:val="299"/>
              </w:numPr>
              <w:spacing w:after="0" w:line="259" w:lineRule="auto"/>
              <w:ind w:right="0" w:hanging="170"/>
              <w:jc w:val="left"/>
            </w:pPr>
            <w:r>
              <w:t>С целью диагностики ортостатической гипотензии у пациентов с СД рекомендовано измерять АД через 2 минуты пребывания в вертикальном положении. Снижение САД более 20 м</w:t>
            </w:r>
            <w:r>
              <w:t>м рт.ст. или ДАД более 10 мм рт.ст. через 2 минуты после пребывания в положении стоя свидетельствует о наличии ортостатической гипотензии.</w:t>
            </w:r>
          </w:p>
        </w:tc>
      </w:tr>
      <w:tr w:rsidR="00D27BC6">
        <w:trPr>
          <w:trHeight w:val="5575"/>
        </w:trPr>
        <w:tc>
          <w:tcPr>
            <w:tcW w:w="2263" w:type="dxa"/>
            <w:tcBorders>
              <w:top w:val="single" w:sz="6" w:space="0" w:color="000000"/>
              <w:left w:val="single" w:sz="6" w:space="0" w:color="000000"/>
              <w:bottom w:val="nil"/>
              <w:right w:val="single" w:sz="6" w:space="0" w:color="000000"/>
            </w:tcBorders>
            <w:shd w:val="clear" w:color="auto" w:fill="DADAD9"/>
            <w:vAlign w:val="bottom"/>
          </w:tcPr>
          <w:p w:rsidR="00D27BC6" w:rsidRDefault="004D5071">
            <w:pPr>
              <w:spacing w:after="0" w:line="259" w:lineRule="auto"/>
              <w:ind w:left="57" w:right="0" w:firstLine="0"/>
              <w:jc w:val="left"/>
            </w:pPr>
            <w:r>
              <w:rPr>
                <w:b/>
              </w:rPr>
              <w:t xml:space="preserve">Суточное мониторирование АД </w:t>
            </w:r>
          </w:p>
        </w:tc>
        <w:tc>
          <w:tcPr>
            <w:tcW w:w="7922" w:type="dxa"/>
            <w:gridSpan w:val="2"/>
            <w:tcBorders>
              <w:top w:val="single" w:sz="6" w:space="0" w:color="000000"/>
              <w:left w:val="single" w:sz="6" w:space="0" w:color="000000"/>
              <w:bottom w:val="nil"/>
              <w:right w:val="single" w:sz="6" w:space="0" w:color="000000"/>
            </w:tcBorders>
          </w:tcPr>
          <w:p w:rsidR="00D27BC6" w:rsidRDefault="004D5071">
            <w:pPr>
              <w:spacing w:after="90" w:line="259" w:lineRule="auto"/>
              <w:ind w:left="57" w:right="0" w:firstLine="0"/>
              <w:jc w:val="left"/>
            </w:pPr>
            <w:r>
              <w:rPr>
                <w:b/>
                <w:i/>
              </w:rPr>
              <w:t xml:space="preserve">Целесообразно назначать при: </w:t>
            </w:r>
          </w:p>
          <w:p w:rsidR="00D27BC6" w:rsidRDefault="004D5071">
            <w:pPr>
              <w:numPr>
                <w:ilvl w:val="0"/>
                <w:numId w:val="300"/>
              </w:numPr>
              <w:spacing w:after="113" w:line="236" w:lineRule="auto"/>
              <w:ind w:right="0" w:hanging="170"/>
              <w:jc w:val="left"/>
            </w:pPr>
            <w:r>
              <w:t xml:space="preserve">высоком нормальном АД по данным неоднократных клинических измерений с целью диагностики скрытой АГ </w:t>
            </w:r>
          </w:p>
          <w:p w:rsidR="00D27BC6" w:rsidRDefault="004D5071">
            <w:pPr>
              <w:numPr>
                <w:ilvl w:val="0"/>
                <w:numId w:val="300"/>
              </w:numPr>
              <w:spacing w:after="90" w:line="259" w:lineRule="auto"/>
              <w:ind w:right="0" w:hanging="170"/>
              <w:jc w:val="left"/>
            </w:pPr>
            <w:r>
              <w:t xml:space="preserve">существенной разнице офисного и домашнего АД </w:t>
            </w:r>
          </w:p>
          <w:p w:rsidR="00D27BC6" w:rsidRDefault="004D5071">
            <w:pPr>
              <w:numPr>
                <w:ilvl w:val="0"/>
                <w:numId w:val="300"/>
              </w:numPr>
              <w:spacing w:after="90" w:line="259" w:lineRule="auto"/>
              <w:ind w:right="0" w:hanging="170"/>
              <w:jc w:val="left"/>
            </w:pPr>
            <w:r>
              <w:t xml:space="preserve">подозрении на АГ «белого халата» </w:t>
            </w:r>
          </w:p>
          <w:p w:rsidR="00D27BC6" w:rsidRDefault="004D5071">
            <w:pPr>
              <w:numPr>
                <w:ilvl w:val="0"/>
                <w:numId w:val="300"/>
              </w:numPr>
              <w:spacing w:after="90" w:line="259" w:lineRule="auto"/>
              <w:ind w:right="0" w:hanging="170"/>
              <w:jc w:val="left"/>
            </w:pPr>
            <w:r>
              <w:t>значительных колебаниях офисного АД в ходе одного или разных посещений врача</w:t>
            </w:r>
          </w:p>
          <w:p w:rsidR="00D27BC6" w:rsidRDefault="004D5071">
            <w:pPr>
              <w:numPr>
                <w:ilvl w:val="0"/>
                <w:numId w:val="300"/>
              </w:numPr>
              <w:spacing w:after="90" w:line="259" w:lineRule="auto"/>
              <w:ind w:right="0" w:hanging="170"/>
              <w:jc w:val="left"/>
            </w:pPr>
            <w:r>
              <w:t>резистентной к терапии АГ</w:t>
            </w:r>
          </w:p>
          <w:p w:rsidR="00D27BC6" w:rsidRDefault="004D5071">
            <w:pPr>
              <w:numPr>
                <w:ilvl w:val="0"/>
                <w:numId w:val="300"/>
              </w:numPr>
              <w:spacing w:after="90" w:line="259" w:lineRule="auto"/>
              <w:ind w:right="0" w:hanging="170"/>
              <w:jc w:val="left"/>
            </w:pPr>
            <w:r>
              <w:t>эпизодах гипотензии</w:t>
            </w:r>
          </w:p>
          <w:p w:rsidR="00D27BC6" w:rsidRDefault="004D5071">
            <w:pPr>
              <w:numPr>
                <w:ilvl w:val="0"/>
                <w:numId w:val="300"/>
              </w:numPr>
              <w:spacing w:after="90" w:line="259" w:lineRule="auto"/>
              <w:ind w:right="0" w:hanging="170"/>
              <w:jc w:val="left"/>
            </w:pPr>
            <w:r>
              <w:t>для оценки «диппинга» – степени снижения ночного АД</w:t>
            </w:r>
          </w:p>
          <w:p w:rsidR="00D27BC6" w:rsidRDefault="004D5071">
            <w:pPr>
              <w:numPr>
                <w:ilvl w:val="0"/>
                <w:numId w:val="300"/>
              </w:numPr>
              <w:spacing w:after="90" w:line="259" w:lineRule="auto"/>
              <w:ind w:right="0" w:hanging="170"/>
              <w:jc w:val="left"/>
            </w:pPr>
            <w:r>
              <w:t>для оценки вариабельности АД, утреннего пика АД.</w:t>
            </w:r>
          </w:p>
          <w:p w:rsidR="00D27BC6" w:rsidRDefault="004D5071">
            <w:pPr>
              <w:spacing w:after="0" w:line="236" w:lineRule="auto"/>
              <w:ind w:left="57" w:right="0" w:firstLine="0"/>
              <w:jc w:val="left"/>
            </w:pPr>
            <w:r>
              <w:t>В норме отмечается снижение ночного АД. Степень снижения ночного АД характеризует суточный индекс.</w:t>
            </w:r>
          </w:p>
          <w:p w:rsidR="00D27BC6" w:rsidRDefault="004D5071">
            <w:pPr>
              <w:spacing w:after="271" w:line="259" w:lineRule="auto"/>
              <w:ind w:left="57" w:right="0" w:firstLine="0"/>
              <w:jc w:val="left"/>
            </w:pPr>
            <w:r>
              <w:rPr>
                <w:noProof/>
              </w:rPr>
              <w:drawing>
                <wp:inline distT="0" distB="0" distL="0" distR="0">
                  <wp:extent cx="3374225" cy="451771"/>
                  <wp:effectExtent l="0" t="0" r="0" b="0"/>
                  <wp:docPr id="20034" name="Picture 20034"/>
                  <wp:cNvGraphicFramePr/>
                  <a:graphic xmlns:a="http://schemas.openxmlformats.org/drawingml/2006/main">
                    <a:graphicData uri="http://schemas.openxmlformats.org/drawingml/2006/picture">
                      <pic:pic xmlns:pic="http://schemas.openxmlformats.org/drawingml/2006/picture">
                        <pic:nvPicPr>
                          <pic:cNvPr id="20034" name="Picture 20034"/>
                          <pic:cNvPicPr/>
                        </pic:nvPicPr>
                        <pic:blipFill>
                          <a:blip r:embed="rId79"/>
                          <a:stretch>
                            <a:fillRect/>
                          </a:stretch>
                        </pic:blipFill>
                        <pic:spPr>
                          <a:xfrm>
                            <a:off x="0" y="0"/>
                            <a:ext cx="3374225" cy="451771"/>
                          </a:xfrm>
                          <a:prstGeom prst="rect">
                            <a:avLst/>
                          </a:prstGeom>
                        </pic:spPr>
                      </pic:pic>
                    </a:graphicData>
                  </a:graphic>
                </wp:inline>
              </w:drawing>
            </w:r>
          </w:p>
          <w:p w:rsidR="00D27BC6" w:rsidRDefault="004D5071">
            <w:pPr>
              <w:spacing w:after="46" w:line="259" w:lineRule="auto"/>
              <w:ind w:left="57" w:right="0" w:firstLine="0"/>
              <w:jc w:val="left"/>
            </w:pPr>
            <w:r>
              <w:t>Типы суточных кривых в зависимости от величины СИ:</w:t>
            </w:r>
          </w:p>
          <w:p w:rsidR="00D27BC6" w:rsidRDefault="004D5071">
            <w:pPr>
              <w:numPr>
                <w:ilvl w:val="0"/>
                <w:numId w:val="300"/>
              </w:numPr>
              <w:spacing w:after="0" w:line="259" w:lineRule="auto"/>
              <w:ind w:right="0" w:hanging="170"/>
              <w:jc w:val="left"/>
            </w:pPr>
            <w:r>
              <w:t>Диппер» 10–20%</w:t>
            </w:r>
            <w:r>
              <w:tab/>
              <w:t>благоприятный прогноз.</w:t>
            </w:r>
          </w:p>
        </w:tc>
      </w:tr>
      <w:tr w:rsidR="00D27BC6">
        <w:trPr>
          <w:trHeight w:val="515"/>
        </w:trPr>
        <w:tc>
          <w:tcPr>
            <w:tcW w:w="2263" w:type="dxa"/>
            <w:tcBorders>
              <w:top w:val="nil"/>
              <w:left w:val="single" w:sz="6" w:space="0" w:color="000000"/>
              <w:bottom w:val="nil"/>
              <w:right w:val="single" w:sz="6" w:space="0" w:color="000000"/>
            </w:tcBorders>
            <w:shd w:val="clear" w:color="auto" w:fill="DADAD9"/>
          </w:tcPr>
          <w:p w:rsidR="00D27BC6" w:rsidRDefault="00D27BC6">
            <w:pPr>
              <w:spacing w:after="160" w:line="259" w:lineRule="auto"/>
              <w:ind w:left="0" w:right="0" w:firstLine="0"/>
              <w:jc w:val="left"/>
            </w:pPr>
          </w:p>
        </w:tc>
        <w:tc>
          <w:tcPr>
            <w:tcW w:w="2833" w:type="dxa"/>
            <w:tcBorders>
              <w:top w:val="nil"/>
              <w:left w:val="single" w:sz="6" w:space="0" w:color="000000"/>
              <w:bottom w:val="nil"/>
              <w:right w:val="nil"/>
            </w:tcBorders>
          </w:tcPr>
          <w:p w:rsidR="00D27BC6" w:rsidRDefault="004D5071">
            <w:pPr>
              <w:spacing w:after="0" w:line="259" w:lineRule="auto"/>
              <w:ind w:left="137" w:right="0" w:firstLine="0"/>
              <w:jc w:val="left"/>
            </w:pPr>
            <w:r>
              <w:t>• «Нон-диппер» &lt; 10%</w:t>
            </w:r>
          </w:p>
        </w:tc>
        <w:tc>
          <w:tcPr>
            <w:tcW w:w="5089" w:type="dxa"/>
            <w:tcBorders>
              <w:top w:val="nil"/>
              <w:left w:val="nil"/>
              <w:bottom w:val="nil"/>
              <w:right w:val="single" w:sz="6" w:space="0" w:color="000000"/>
            </w:tcBorders>
          </w:tcPr>
          <w:p w:rsidR="00D27BC6" w:rsidRDefault="004D5071">
            <w:pPr>
              <w:spacing w:after="0" w:line="259" w:lineRule="auto"/>
              <w:ind w:left="0" w:right="2715" w:firstLine="0"/>
              <w:jc w:val="left"/>
            </w:pPr>
            <w:r>
              <w:t>неблагоприятный прогноз:</w:t>
            </w:r>
          </w:p>
        </w:tc>
      </w:tr>
      <w:tr w:rsidR="00D27BC6">
        <w:trPr>
          <w:trHeight w:val="515"/>
        </w:trPr>
        <w:tc>
          <w:tcPr>
            <w:tcW w:w="2263" w:type="dxa"/>
            <w:tcBorders>
              <w:top w:val="nil"/>
              <w:left w:val="single" w:sz="6" w:space="0" w:color="000000"/>
              <w:bottom w:val="nil"/>
              <w:right w:val="single" w:sz="6" w:space="0" w:color="000000"/>
            </w:tcBorders>
            <w:shd w:val="clear" w:color="auto" w:fill="DADAD9"/>
          </w:tcPr>
          <w:p w:rsidR="00D27BC6" w:rsidRDefault="00D27BC6">
            <w:pPr>
              <w:spacing w:after="160" w:line="259" w:lineRule="auto"/>
              <w:ind w:left="0" w:right="0" w:firstLine="0"/>
              <w:jc w:val="left"/>
            </w:pPr>
          </w:p>
        </w:tc>
        <w:tc>
          <w:tcPr>
            <w:tcW w:w="2833" w:type="dxa"/>
            <w:tcBorders>
              <w:top w:val="nil"/>
              <w:left w:val="single" w:sz="6" w:space="0" w:color="000000"/>
              <w:bottom w:val="nil"/>
              <w:right w:val="nil"/>
            </w:tcBorders>
          </w:tcPr>
          <w:p w:rsidR="00D27BC6" w:rsidRDefault="004D5071">
            <w:pPr>
              <w:tabs>
                <w:tab w:val="right" w:pos="2818"/>
              </w:tabs>
              <w:spacing w:after="0" w:line="259" w:lineRule="auto"/>
              <w:ind w:left="0" w:right="0" w:firstLine="0"/>
              <w:jc w:val="left"/>
            </w:pPr>
            <w:r>
              <w:t>• «Найт-пикер» &lt; 0%</w:t>
            </w:r>
            <w:r>
              <w:tab/>
            </w:r>
            <w:r>
              <w:rPr>
                <w:noProof/>
                <w:sz w:val="22"/>
              </w:rPr>
              <mc:AlternateContent>
                <mc:Choice Requires="wpg">
                  <w:drawing>
                    <wp:inline distT="0" distB="0" distL="0" distR="0">
                      <wp:extent cx="171272" cy="996328"/>
                      <wp:effectExtent l="0" t="0" r="0" b="0"/>
                      <wp:docPr id="297412" name="Group 297412"/>
                      <wp:cNvGraphicFramePr/>
                      <a:graphic xmlns:a="http://schemas.openxmlformats.org/drawingml/2006/main">
                        <a:graphicData uri="http://schemas.microsoft.com/office/word/2010/wordprocessingGroup">
                          <wpg:wgp>
                            <wpg:cNvGrpSpPr/>
                            <wpg:grpSpPr>
                              <a:xfrm>
                                <a:off x="0" y="0"/>
                                <a:ext cx="171272" cy="996328"/>
                                <a:chOff x="0" y="0"/>
                                <a:chExt cx="171272" cy="996328"/>
                              </a:xfrm>
                            </wpg:grpSpPr>
                            <wps:wsp>
                              <wps:cNvPr id="20041" name="Shape 20041"/>
                              <wps:cNvSpPr/>
                              <wps:spPr>
                                <a:xfrm>
                                  <a:off x="0" y="0"/>
                                  <a:ext cx="171272" cy="996328"/>
                                </a:xfrm>
                                <a:custGeom>
                                  <a:avLst/>
                                  <a:gdLst/>
                                  <a:ahLst/>
                                  <a:cxnLst/>
                                  <a:rect l="0" t="0" r="0" b="0"/>
                                  <a:pathLst>
                                    <a:path w="171272" h="996328">
                                      <a:moveTo>
                                        <a:pt x="0" y="0"/>
                                      </a:moveTo>
                                      <a:lnTo>
                                        <a:pt x="59906" y="0"/>
                                      </a:lnTo>
                                      <a:cubicBezTo>
                                        <a:pt x="93116" y="0"/>
                                        <a:pt x="117259" y="9372"/>
                                        <a:pt x="117259" y="51397"/>
                                      </a:cubicBezTo>
                                      <a:lnTo>
                                        <a:pt x="117259" y="449085"/>
                                      </a:lnTo>
                                      <a:cubicBezTo>
                                        <a:pt x="117259" y="472351"/>
                                        <a:pt x="139370" y="515760"/>
                                        <a:pt x="171272" y="518299"/>
                                      </a:cubicBezTo>
                                      <a:cubicBezTo>
                                        <a:pt x="139649" y="523354"/>
                                        <a:pt x="117259" y="564261"/>
                                        <a:pt x="117259" y="587528"/>
                                      </a:cubicBezTo>
                                      <a:lnTo>
                                        <a:pt x="117259" y="944931"/>
                                      </a:lnTo>
                                      <a:cubicBezTo>
                                        <a:pt x="117259" y="986955"/>
                                        <a:pt x="93116" y="996328"/>
                                        <a:pt x="59906" y="996328"/>
                                      </a:cubicBezTo>
                                      <a:lnTo>
                                        <a:pt x="0" y="996328"/>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97412" style="width:13.486pt;height:78.451pt;mso-position-horizontal-relative:char;mso-position-vertical-relative:line" coordsize="1712,9963">
                      <v:shape id="Shape 20041" style="position:absolute;width:1712;height:9963;left:0;top:0;" coordsize="171272,996328" path="m0,0l59906,0c93116,0,117259,9372,117259,51397l117259,449085c117259,472351,139370,515760,171272,518299c139649,523354,117259,564261,117259,587528l117259,944931c117259,986955,93116,996328,59906,996328l0,996328">
                        <v:stroke weight="0.709pt" endcap="flat" joinstyle="miter" miterlimit="4" on="true" color="#000000"/>
                        <v:fill on="false" color="#000000" opacity="0"/>
                      </v:shape>
                    </v:group>
                  </w:pict>
                </mc:Fallback>
              </mc:AlternateContent>
            </w:r>
          </w:p>
        </w:tc>
        <w:tc>
          <w:tcPr>
            <w:tcW w:w="5089" w:type="dxa"/>
            <w:tcBorders>
              <w:top w:val="nil"/>
              <w:left w:val="nil"/>
              <w:bottom w:val="nil"/>
              <w:right w:val="single" w:sz="6" w:space="0" w:color="000000"/>
            </w:tcBorders>
          </w:tcPr>
          <w:p w:rsidR="00D27BC6" w:rsidRDefault="004D5071">
            <w:pPr>
              <w:spacing w:after="0" w:line="259" w:lineRule="auto"/>
              <w:ind w:left="0" w:right="1571" w:firstLine="0"/>
              <w:jc w:val="left"/>
            </w:pPr>
            <w:r>
              <w:t>риск сердечно-сосудистых осложнений,</w:t>
            </w:r>
          </w:p>
        </w:tc>
      </w:tr>
      <w:tr w:rsidR="00D27BC6">
        <w:trPr>
          <w:trHeight w:val="899"/>
        </w:trPr>
        <w:tc>
          <w:tcPr>
            <w:tcW w:w="2263" w:type="dxa"/>
            <w:tcBorders>
              <w:top w:val="nil"/>
              <w:left w:val="single" w:sz="6" w:space="0" w:color="000000"/>
              <w:bottom w:val="single" w:sz="6" w:space="0" w:color="000000"/>
              <w:right w:val="single" w:sz="6" w:space="0" w:color="000000"/>
            </w:tcBorders>
            <w:shd w:val="clear" w:color="auto" w:fill="DADAD9"/>
          </w:tcPr>
          <w:p w:rsidR="00D27BC6" w:rsidRDefault="00D27BC6">
            <w:pPr>
              <w:spacing w:after="160" w:line="259" w:lineRule="auto"/>
              <w:ind w:left="0" w:right="0" w:firstLine="0"/>
              <w:jc w:val="left"/>
            </w:pPr>
          </w:p>
        </w:tc>
        <w:tc>
          <w:tcPr>
            <w:tcW w:w="2833" w:type="dxa"/>
            <w:tcBorders>
              <w:top w:val="nil"/>
              <w:left w:val="single" w:sz="6" w:space="0" w:color="000000"/>
              <w:bottom w:val="single" w:sz="6" w:space="0" w:color="000000"/>
              <w:right w:val="nil"/>
            </w:tcBorders>
          </w:tcPr>
          <w:p w:rsidR="00D27BC6" w:rsidRDefault="004D5071">
            <w:pPr>
              <w:spacing w:after="0" w:line="259" w:lineRule="auto"/>
              <w:ind w:left="137" w:right="0" w:firstLine="0"/>
              <w:jc w:val="left"/>
            </w:pPr>
            <w:r>
              <w:t>• «Овер-диппер» &gt; 20%</w:t>
            </w:r>
          </w:p>
        </w:tc>
        <w:tc>
          <w:tcPr>
            <w:tcW w:w="5089" w:type="dxa"/>
            <w:tcBorders>
              <w:top w:val="nil"/>
              <w:left w:val="nil"/>
              <w:bottom w:val="single" w:sz="6" w:space="0" w:color="000000"/>
              <w:right w:val="single" w:sz="6" w:space="0" w:color="000000"/>
            </w:tcBorders>
          </w:tcPr>
          <w:p w:rsidR="00D27BC6" w:rsidRDefault="004D5071">
            <w:pPr>
              <w:spacing w:after="0" w:line="259" w:lineRule="auto"/>
              <w:ind w:left="0" w:right="3011" w:firstLine="0"/>
              <w:jc w:val="left"/>
            </w:pPr>
            <w:r>
              <w:t>риск ночной гипоперфузии сердца и головного мозга</w:t>
            </w:r>
          </w:p>
        </w:tc>
      </w:tr>
    </w:tbl>
    <w:p w:rsidR="00D27BC6" w:rsidRDefault="004D5071">
      <w:pPr>
        <w:spacing w:after="4"/>
        <w:ind w:left="-3" w:right="0"/>
      </w:pPr>
      <w:r>
        <w:rPr>
          <w:b/>
          <w:sz w:val="16"/>
        </w:rPr>
        <w:t xml:space="preserve">Примечания: </w:t>
      </w:r>
      <w:r>
        <w:rPr>
          <w:sz w:val="16"/>
        </w:rPr>
        <w:t>АД – артериальное давление, АГ – артериальная гипертензия, САД – систолическое артериальное давление, ДАД – диастолическое артериальное давление.</w:t>
      </w:r>
    </w:p>
    <w:p w:rsidR="00D27BC6" w:rsidRDefault="004D5071">
      <w:pPr>
        <w:pStyle w:val="Heading2"/>
        <w:ind w:left="-3"/>
      </w:pPr>
      <w:r>
        <w:t>Определение АГ по офисным и внеофисным значениям АД (EHS/ESC2024)</w:t>
      </w:r>
    </w:p>
    <w:tbl>
      <w:tblPr>
        <w:tblStyle w:val="TableGrid"/>
        <w:tblW w:w="10191" w:type="dxa"/>
        <w:tblInd w:w="9" w:type="dxa"/>
        <w:tblCellMar>
          <w:top w:w="9" w:type="dxa"/>
          <w:left w:w="56" w:type="dxa"/>
          <w:bottom w:w="0" w:type="dxa"/>
          <w:right w:w="115" w:type="dxa"/>
        </w:tblCellMar>
        <w:tblLook w:val="04A0" w:firstRow="1" w:lastRow="0" w:firstColumn="1" w:lastColumn="0" w:noHBand="0" w:noVBand="1"/>
      </w:tblPr>
      <w:tblGrid>
        <w:gridCol w:w="3413"/>
        <w:gridCol w:w="2259"/>
        <w:gridCol w:w="2259"/>
        <w:gridCol w:w="2259"/>
      </w:tblGrid>
      <w:tr w:rsidR="00D27BC6">
        <w:trPr>
          <w:trHeight w:val="320"/>
        </w:trPr>
        <w:tc>
          <w:tcPr>
            <w:tcW w:w="3413"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Категории</w:t>
            </w:r>
          </w:p>
        </w:tc>
        <w:tc>
          <w:tcPr>
            <w:tcW w:w="225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САД (мм рт.ст.)</w:t>
            </w:r>
          </w:p>
        </w:tc>
        <w:tc>
          <w:tcPr>
            <w:tcW w:w="225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D27BC6">
            <w:pPr>
              <w:spacing w:after="160" w:line="259" w:lineRule="auto"/>
              <w:ind w:left="0" w:right="0" w:firstLine="0"/>
              <w:jc w:val="left"/>
            </w:pPr>
          </w:p>
        </w:tc>
        <w:tc>
          <w:tcPr>
            <w:tcW w:w="225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ДАД (мм рт.ст.)</w:t>
            </w:r>
          </w:p>
        </w:tc>
      </w:tr>
      <w:tr w:rsidR="00D27BC6">
        <w:trPr>
          <w:trHeight w:val="320"/>
        </w:trPr>
        <w:tc>
          <w:tcPr>
            <w:tcW w:w="341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Офисное АД</w:t>
            </w:r>
          </w:p>
        </w:tc>
        <w:tc>
          <w:tcPr>
            <w:tcW w:w="22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≥140</w:t>
            </w:r>
          </w:p>
        </w:tc>
        <w:tc>
          <w:tcPr>
            <w:tcW w:w="22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и/или</w:t>
            </w:r>
          </w:p>
        </w:tc>
        <w:tc>
          <w:tcPr>
            <w:tcW w:w="22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≥90</w:t>
            </w:r>
          </w:p>
        </w:tc>
      </w:tr>
      <w:tr w:rsidR="00D27BC6">
        <w:trPr>
          <w:trHeight w:val="320"/>
        </w:trPr>
        <w:tc>
          <w:tcPr>
            <w:tcW w:w="341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Амбулаторное АД</w:t>
            </w:r>
          </w:p>
        </w:tc>
        <w:tc>
          <w:tcPr>
            <w:tcW w:w="2259"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2259"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2259"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320"/>
        </w:trPr>
        <w:tc>
          <w:tcPr>
            <w:tcW w:w="341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1" w:right="0" w:firstLine="0"/>
              <w:jc w:val="left"/>
            </w:pPr>
            <w:r>
              <w:t>• Дневное (бодрствование)</w:t>
            </w:r>
          </w:p>
        </w:tc>
        <w:tc>
          <w:tcPr>
            <w:tcW w:w="22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≥135</w:t>
            </w:r>
          </w:p>
        </w:tc>
        <w:tc>
          <w:tcPr>
            <w:tcW w:w="22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и/или</w:t>
            </w:r>
          </w:p>
        </w:tc>
        <w:tc>
          <w:tcPr>
            <w:tcW w:w="22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≥85</w:t>
            </w:r>
          </w:p>
        </w:tc>
      </w:tr>
      <w:tr w:rsidR="00D27BC6">
        <w:trPr>
          <w:trHeight w:val="320"/>
        </w:trPr>
        <w:tc>
          <w:tcPr>
            <w:tcW w:w="341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firstLine="0"/>
              <w:jc w:val="left"/>
            </w:pPr>
            <w:r>
              <w:t>• Ночное (сон)</w:t>
            </w:r>
          </w:p>
        </w:tc>
        <w:tc>
          <w:tcPr>
            <w:tcW w:w="22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≥120</w:t>
            </w:r>
          </w:p>
        </w:tc>
        <w:tc>
          <w:tcPr>
            <w:tcW w:w="22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и/или</w:t>
            </w:r>
          </w:p>
        </w:tc>
        <w:tc>
          <w:tcPr>
            <w:tcW w:w="22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≥70</w:t>
            </w:r>
          </w:p>
        </w:tc>
      </w:tr>
      <w:tr w:rsidR="00D27BC6">
        <w:trPr>
          <w:trHeight w:val="320"/>
        </w:trPr>
        <w:tc>
          <w:tcPr>
            <w:tcW w:w="341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firstLine="0"/>
              <w:jc w:val="left"/>
            </w:pPr>
            <w:r>
              <w:t xml:space="preserve">• Суточное </w:t>
            </w:r>
          </w:p>
        </w:tc>
        <w:tc>
          <w:tcPr>
            <w:tcW w:w="22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≥130</w:t>
            </w:r>
          </w:p>
        </w:tc>
        <w:tc>
          <w:tcPr>
            <w:tcW w:w="22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и/или</w:t>
            </w:r>
          </w:p>
        </w:tc>
        <w:tc>
          <w:tcPr>
            <w:tcW w:w="22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≥80</w:t>
            </w:r>
          </w:p>
        </w:tc>
      </w:tr>
      <w:tr w:rsidR="00D27BC6">
        <w:trPr>
          <w:trHeight w:val="320"/>
        </w:trPr>
        <w:tc>
          <w:tcPr>
            <w:tcW w:w="341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Домашнее АД</w:t>
            </w:r>
          </w:p>
        </w:tc>
        <w:tc>
          <w:tcPr>
            <w:tcW w:w="22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≥130</w:t>
            </w:r>
          </w:p>
        </w:tc>
        <w:tc>
          <w:tcPr>
            <w:tcW w:w="22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и/или</w:t>
            </w:r>
          </w:p>
        </w:tc>
        <w:tc>
          <w:tcPr>
            <w:tcW w:w="22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≥85</w:t>
            </w:r>
          </w:p>
        </w:tc>
      </w:tr>
    </w:tbl>
    <w:p w:rsidR="00D27BC6" w:rsidRDefault="004D5071">
      <w:pPr>
        <w:spacing w:after="295"/>
        <w:ind w:left="-3" w:right="0"/>
      </w:pPr>
      <w:r>
        <w:rPr>
          <w:b/>
          <w:sz w:val="16"/>
        </w:rPr>
        <w:t>Примечания:</w:t>
      </w:r>
      <w:r>
        <w:rPr>
          <w:sz w:val="16"/>
        </w:rPr>
        <w:t xml:space="preserve"> АГ- артериальная гипертензия, АД – артериальное давление, САД – систолическое артериальное давление, ДАД -диастолическое артериальное давление.</w:t>
      </w:r>
    </w:p>
    <w:p w:rsidR="00D27BC6" w:rsidRDefault="004D5071">
      <w:pPr>
        <w:pStyle w:val="Heading3"/>
        <w:spacing w:after="439"/>
        <w:ind w:left="162" w:right="156"/>
      </w:pPr>
      <w:r>
        <w:t>Стратегия лечения АГ при СД</w:t>
      </w:r>
    </w:p>
    <w:p w:rsidR="00D27BC6" w:rsidRDefault="004D5071">
      <w:pPr>
        <w:ind w:left="2268" w:right="2180" w:firstLine="376"/>
      </w:pPr>
      <w:r>
        <w:rPr>
          <w:noProof/>
          <w:sz w:val="22"/>
        </w:rPr>
        <mc:AlternateContent>
          <mc:Choice Requires="wpg">
            <w:drawing>
              <wp:anchor distT="0" distB="0" distL="114300" distR="114300" simplePos="0" relativeHeight="251664384" behindDoc="1" locked="0" layoutInCell="1" allowOverlap="1">
                <wp:simplePos x="0" y="0"/>
                <wp:positionH relativeFrom="column">
                  <wp:posOffset>1177508</wp:posOffset>
                </wp:positionH>
                <wp:positionV relativeFrom="paragraph">
                  <wp:posOffset>-118880</wp:posOffset>
                </wp:positionV>
                <wp:extent cx="1836001" cy="698500"/>
                <wp:effectExtent l="0" t="0" r="0" b="0"/>
                <wp:wrapNone/>
                <wp:docPr id="303213" name="Group 303213"/>
                <wp:cNvGraphicFramePr/>
                <a:graphic xmlns:a="http://schemas.openxmlformats.org/drawingml/2006/main">
                  <a:graphicData uri="http://schemas.microsoft.com/office/word/2010/wordprocessingGroup">
                    <wpg:wgp>
                      <wpg:cNvGrpSpPr/>
                      <wpg:grpSpPr>
                        <a:xfrm>
                          <a:off x="0" y="0"/>
                          <a:ext cx="1836001" cy="698500"/>
                          <a:chOff x="0" y="0"/>
                          <a:chExt cx="1836001" cy="698500"/>
                        </a:xfrm>
                      </wpg:grpSpPr>
                      <wps:wsp>
                        <wps:cNvPr id="20165" name="Shape 20165"/>
                        <wps:cNvSpPr/>
                        <wps:spPr>
                          <a:xfrm>
                            <a:off x="0" y="0"/>
                            <a:ext cx="1836001" cy="698500"/>
                          </a:xfrm>
                          <a:custGeom>
                            <a:avLst/>
                            <a:gdLst/>
                            <a:ahLst/>
                            <a:cxnLst/>
                            <a:rect l="0" t="0" r="0" b="0"/>
                            <a:pathLst>
                              <a:path w="1836001" h="698500">
                                <a:moveTo>
                                  <a:pt x="152400" y="0"/>
                                </a:moveTo>
                                <a:cubicBezTo>
                                  <a:pt x="68237" y="0"/>
                                  <a:pt x="0" y="68237"/>
                                  <a:pt x="0" y="152400"/>
                                </a:cubicBezTo>
                                <a:lnTo>
                                  <a:pt x="0" y="546100"/>
                                </a:lnTo>
                                <a:cubicBezTo>
                                  <a:pt x="0" y="630263"/>
                                  <a:pt x="68237" y="698500"/>
                                  <a:pt x="152400" y="698500"/>
                                </a:cubicBezTo>
                                <a:lnTo>
                                  <a:pt x="1683601" y="698500"/>
                                </a:lnTo>
                                <a:cubicBezTo>
                                  <a:pt x="1767764" y="698500"/>
                                  <a:pt x="1836001" y="630263"/>
                                  <a:pt x="1836001" y="546100"/>
                                </a:cubicBezTo>
                                <a:lnTo>
                                  <a:pt x="1836001" y="152400"/>
                                </a:lnTo>
                                <a:cubicBezTo>
                                  <a:pt x="1836001" y="68237"/>
                                  <a:pt x="1767764" y="0"/>
                                  <a:pt x="1683601" y="0"/>
                                </a:cubicBezTo>
                                <a:lnTo>
                                  <a:pt x="15240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03213" style="width:144.567pt;height:55pt;position:absolute;z-index:-2147483541;mso-position-horizontal-relative:text;mso-position-horizontal:absolute;margin-left:92.7171pt;mso-position-vertical-relative:text;margin-top:-9.36069pt;" coordsize="18360,6985">
                <v:shape id="Shape 20165" style="position:absolute;width:18360;height:6985;left:0;top:0;" coordsize="1836001,698500" path="m152400,0c68237,0,0,68237,0,152400l0,546100c0,630263,68237,698500,152400,698500l1683601,698500c1767764,698500,1836001,630263,1836001,546100l1836001,152400c1836001,68237,1767764,0,1683601,0l152400,0x">
                  <v:stroke weight="0.709pt" endcap="flat" joinstyle="miter" miterlimit="4" on="true" color="#000000"/>
                  <v:fill on="false" color="#000000" opacity="0"/>
                </v:shape>
              </v:group>
            </w:pict>
          </mc:Fallback>
        </mc:AlternateContent>
      </w:r>
      <w:r>
        <w:rPr>
          <w:noProof/>
          <w:sz w:val="22"/>
        </w:rPr>
        <mc:AlternateContent>
          <mc:Choice Requires="wpg">
            <w:drawing>
              <wp:anchor distT="0" distB="0" distL="114300" distR="114300" simplePos="0" relativeHeight="251665408" behindDoc="1" locked="0" layoutInCell="1" allowOverlap="1">
                <wp:simplePos x="0" y="0"/>
                <wp:positionH relativeFrom="column">
                  <wp:posOffset>3468908</wp:posOffset>
                </wp:positionH>
                <wp:positionV relativeFrom="paragraph">
                  <wp:posOffset>-118880</wp:posOffset>
                </wp:positionV>
                <wp:extent cx="1836001" cy="698500"/>
                <wp:effectExtent l="0" t="0" r="0" b="0"/>
                <wp:wrapNone/>
                <wp:docPr id="303214" name="Group 303214"/>
                <wp:cNvGraphicFramePr/>
                <a:graphic xmlns:a="http://schemas.openxmlformats.org/drawingml/2006/main">
                  <a:graphicData uri="http://schemas.microsoft.com/office/word/2010/wordprocessingGroup">
                    <wpg:wgp>
                      <wpg:cNvGrpSpPr/>
                      <wpg:grpSpPr>
                        <a:xfrm>
                          <a:off x="0" y="0"/>
                          <a:ext cx="1836001" cy="698500"/>
                          <a:chOff x="0" y="0"/>
                          <a:chExt cx="1836001" cy="698500"/>
                        </a:xfrm>
                      </wpg:grpSpPr>
                      <wps:wsp>
                        <wps:cNvPr id="20169" name="Shape 20169"/>
                        <wps:cNvSpPr/>
                        <wps:spPr>
                          <a:xfrm>
                            <a:off x="0" y="0"/>
                            <a:ext cx="1836001" cy="698500"/>
                          </a:xfrm>
                          <a:custGeom>
                            <a:avLst/>
                            <a:gdLst/>
                            <a:ahLst/>
                            <a:cxnLst/>
                            <a:rect l="0" t="0" r="0" b="0"/>
                            <a:pathLst>
                              <a:path w="1836001" h="698500">
                                <a:moveTo>
                                  <a:pt x="152400" y="0"/>
                                </a:moveTo>
                                <a:cubicBezTo>
                                  <a:pt x="68237" y="0"/>
                                  <a:pt x="0" y="68237"/>
                                  <a:pt x="0" y="152400"/>
                                </a:cubicBezTo>
                                <a:lnTo>
                                  <a:pt x="0" y="546100"/>
                                </a:lnTo>
                                <a:cubicBezTo>
                                  <a:pt x="0" y="630263"/>
                                  <a:pt x="68237" y="698500"/>
                                  <a:pt x="152400" y="698500"/>
                                </a:cubicBezTo>
                                <a:lnTo>
                                  <a:pt x="1683601" y="698500"/>
                                </a:lnTo>
                                <a:cubicBezTo>
                                  <a:pt x="1767764" y="698500"/>
                                  <a:pt x="1836001" y="630263"/>
                                  <a:pt x="1836001" y="546100"/>
                                </a:cubicBezTo>
                                <a:lnTo>
                                  <a:pt x="1836001" y="152400"/>
                                </a:lnTo>
                                <a:cubicBezTo>
                                  <a:pt x="1836001" y="68237"/>
                                  <a:pt x="1767764" y="0"/>
                                  <a:pt x="1683601" y="0"/>
                                </a:cubicBezTo>
                                <a:lnTo>
                                  <a:pt x="15240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03214" style="width:144.567pt;height:55pt;position:absolute;z-index:-2147483537;mso-position-horizontal-relative:text;mso-position-horizontal:absolute;margin-left:273.142pt;mso-position-vertical-relative:text;margin-top:-9.36069pt;" coordsize="18360,6985">
                <v:shape id="Shape 20169" style="position:absolute;width:18360;height:6985;left:0;top:0;" coordsize="1836001,698500" path="m152400,0c68237,0,0,68237,0,152400l0,546100c0,630263,68237,698500,152400,698500l1683601,698500c1767764,698500,1836001,630263,1836001,546100l1836001,152400c1836001,68237,1767764,0,1683601,0l152400,0x">
                  <v:stroke weight="0.709pt" endcap="flat" joinstyle="miter" miterlimit="4" on="true" color="#000000"/>
                  <v:fill on="false" color="#000000" opacity="0"/>
                </v:shape>
              </v:group>
            </w:pict>
          </mc:Fallback>
        </mc:AlternateContent>
      </w:r>
      <w:r>
        <w:rPr>
          <w:b/>
        </w:rPr>
        <w:t xml:space="preserve">Мероприятия  Медикаментозная по изменению образа  </w:t>
      </w:r>
      <w:r>
        <w:rPr>
          <w:b/>
          <w:sz w:val="28"/>
        </w:rPr>
        <w:t xml:space="preserve">+ </w:t>
      </w:r>
      <w:r>
        <w:rPr>
          <w:b/>
        </w:rPr>
        <w:t xml:space="preserve">комбинированная </w:t>
      </w:r>
    </w:p>
    <w:p w:rsidR="00D27BC6" w:rsidRDefault="004D5071">
      <w:pPr>
        <w:tabs>
          <w:tab w:val="center" w:pos="3292"/>
          <w:tab w:val="center" w:pos="6900"/>
        </w:tabs>
        <w:spacing w:after="493"/>
        <w:ind w:left="0" w:right="0" w:firstLine="0"/>
        <w:jc w:val="left"/>
      </w:pPr>
      <w:r>
        <w:rPr>
          <w:sz w:val="22"/>
        </w:rPr>
        <w:tab/>
      </w:r>
      <w:r>
        <w:rPr>
          <w:b/>
        </w:rPr>
        <w:t>жизни</w:t>
      </w:r>
      <w:r>
        <w:rPr>
          <w:b/>
        </w:rPr>
        <w:tab/>
        <w:t>лекарственная терапия</w:t>
      </w:r>
    </w:p>
    <w:p w:rsidR="00D27BC6" w:rsidRDefault="004D5071">
      <w:pPr>
        <w:ind w:left="281" w:right="51"/>
        <w:jc w:val="left"/>
      </w:pPr>
      <w:r>
        <w:rPr>
          <w:b/>
        </w:rPr>
        <w:t xml:space="preserve">Мероприятия по изменению образа жизни </w:t>
      </w:r>
    </w:p>
    <w:p w:rsidR="00D27BC6" w:rsidRDefault="004D5071">
      <w:pPr>
        <w:numPr>
          <w:ilvl w:val="0"/>
          <w:numId w:val="123"/>
        </w:numPr>
        <w:ind w:right="0" w:hanging="283"/>
      </w:pPr>
      <w:r>
        <w:t>Ограничение употребления поваренной соли до 5 г/сут.</w:t>
      </w:r>
    </w:p>
    <w:p w:rsidR="00D27BC6" w:rsidRDefault="004D5071">
      <w:pPr>
        <w:numPr>
          <w:ilvl w:val="0"/>
          <w:numId w:val="123"/>
        </w:numPr>
        <w:ind w:right="0" w:hanging="283"/>
      </w:pPr>
      <w:r>
        <w:t>Увеличение потребления овощей до 300 г в сутки, орехов, ненасыщенных жирных кислот – оливкового масла; низкое потребление красного мяса; потребление молочных продуктов с низким содержанием жира; употребление рыбы не реже 2 раз в неделю.</w:t>
      </w:r>
    </w:p>
    <w:p w:rsidR="00D27BC6" w:rsidRDefault="004D5071">
      <w:pPr>
        <w:numPr>
          <w:ilvl w:val="0"/>
          <w:numId w:val="123"/>
        </w:numPr>
        <w:ind w:right="0" w:hanging="283"/>
      </w:pPr>
      <w:r>
        <w:t>Контроль массы тела</w:t>
      </w:r>
      <w:r>
        <w:t xml:space="preserve"> (поддерживать ИМТ 20–25 кг/м², окружность талии менее 102 см у мужчин и менее 88 см у женщин).</w:t>
      </w:r>
    </w:p>
    <w:p w:rsidR="00D27BC6" w:rsidRDefault="004D5071">
      <w:pPr>
        <w:numPr>
          <w:ilvl w:val="0"/>
          <w:numId w:val="123"/>
        </w:numPr>
        <w:ind w:right="0" w:hanging="283"/>
      </w:pPr>
      <w:r>
        <w:t>Употребление алкоголя не более 14 единиц в неделю для мужчин и 7 единиц в неделю для женщин (1 единица = 125 мл вина или 250 мл пива).</w:t>
      </w:r>
    </w:p>
    <w:p w:rsidR="00D27BC6" w:rsidRDefault="004D5071">
      <w:pPr>
        <w:numPr>
          <w:ilvl w:val="0"/>
          <w:numId w:val="123"/>
        </w:numPr>
        <w:ind w:right="0" w:hanging="283"/>
      </w:pPr>
      <w:r>
        <w:t>Отказ от курения.</w:t>
      </w:r>
    </w:p>
    <w:p w:rsidR="00D27BC6" w:rsidRDefault="004D5071">
      <w:pPr>
        <w:numPr>
          <w:ilvl w:val="0"/>
          <w:numId w:val="123"/>
        </w:numPr>
        <w:spacing w:after="100" w:line="472" w:lineRule="auto"/>
        <w:ind w:right="0" w:hanging="283"/>
      </w:pPr>
      <w:r>
        <w:t>Регуляр</w:t>
      </w:r>
      <w:r>
        <w:t xml:space="preserve">ные аэробные физические нагрузки по 30–40 минут 5–7 дней в неделю. </w:t>
      </w:r>
      <w:r>
        <w:rPr>
          <w:b/>
          <w:color w:val="1E5D99"/>
        </w:rPr>
        <w:t>Алгоритм медикаментозного лечения АГ при СД</w:t>
      </w:r>
    </w:p>
    <w:p w:rsidR="00D27BC6" w:rsidRDefault="004D5071">
      <w:pPr>
        <w:tabs>
          <w:tab w:val="center" w:pos="1455"/>
          <w:tab w:val="center" w:pos="5820"/>
          <w:tab w:val="center" w:pos="8828"/>
        </w:tabs>
        <w:spacing w:after="122"/>
        <w:ind w:left="0" w:right="0" w:firstLine="0"/>
        <w:jc w:val="left"/>
      </w:pPr>
      <w:r>
        <w:rPr>
          <w:sz w:val="22"/>
        </w:rPr>
        <w:tab/>
      </w:r>
      <w:r>
        <w:rPr>
          <w:b/>
        </w:rPr>
        <w:t>Шаг 1</w:t>
      </w:r>
      <w:r>
        <w:t xml:space="preserve"> </w:t>
      </w:r>
      <w:r>
        <w:tab/>
      </w:r>
      <w:r>
        <w:rPr>
          <w:sz w:val="18"/>
          <w:vertAlign w:val="superscript"/>
        </w:rPr>
        <w:t>1</w:t>
      </w:r>
      <w:r>
        <w:t xml:space="preserve"> + ТД/ТПД</w:t>
      </w:r>
      <w:r>
        <w:rPr>
          <w:sz w:val="18"/>
          <w:vertAlign w:val="superscript"/>
        </w:rPr>
        <w:footnoteReference w:id="20"/>
      </w:r>
      <w:r>
        <w:rPr>
          <w:sz w:val="18"/>
          <w:vertAlign w:val="superscript"/>
        </w:rPr>
        <w:t xml:space="preserve"> </w:t>
      </w:r>
      <w:r>
        <w:t>или АК</w:t>
      </w:r>
      <w:r>
        <w:tab/>
        <w:t xml:space="preserve">монотерапии у пациентов Возможно назначение </w:t>
      </w:r>
    </w:p>
    <w:p w:rsidR="00D27BC6" w:rsidRDefault="004D5071">
      <w:pPr>
        <w:spacing w:after="0" w:line="414" w:lineRule="auto"/>
        <w:ind w:left="248" w:right="193"/>
        <w:jc w:val="right"/>
      </w:pPr>
      <w:r>
        <w:rPr>
          <w:noProof/>
          <w:sz w:val="22"/>
        </w:rPr>
        <mc:AlternateContent>
          <mc:Choice Requires="wpg">
            <w:drawing>
              <wp:anchor distT="0" distB="0" distL="114300" distR="114300" simplePos="0" relativeHeight="251666432" behindDoc="1" locked="0" layoutInCell="1" allowOverlap="1">
                <wp:simplePos x="0" y="0"/>
                <wp:positionH relativeFrom="column">
                  <wp:posOffset>2187314</wp:posOffset>
                </wp:positionH>
                <wp:positionV relativeFrom="paragraph">
                  <wp:posOffset>-213048</wp:posOffset>
                </wp:positionV>
                <wp:extent cx="4295229" cy="1823300"/>
                <wp:effectExtent l="0" t="0" r="0" b="0"/>
                <wp:wrapNone/>
                <wp:docPr id="303215" name="Group 303215"/>
                <wp:cNvGraphicFramePr/>
                <a:graphic xmlns:a="http://schemas.openxmlformats.org/drawingml/2006/main">
                  <a:graphicData uri="http://schemas.microsoft.com/office/word/2010/wordprocessingGroup">
                    <wpg:wgp>
                      <wpg:cNvGrpSpPr/>
                      <wpg:grpSpPr>
                        <a:xfrm>
                          <a:off x="0" y="0"/>
                          <a:ext cx="4295229" cy="1823300"/>
                          <a:chOff x="0" y="0"/>
                          <a:chExt cx="4295229" cy="1823300"/>
                        </a:xfrm>
                      </wpg:grpSpPr>
                      <wps:wsp>
                        <wps:cNvPr id="20189" name="Shape 20189"/>
                        <wps:cNvSpPr/>
                        <wps:spPr>
                          <a:xfrm>
                            <a:off x="1116003" y="394411"/>
                            <a:ext cx="0" cy="120066"/>
                          </a:xfrm>
                          <a:custGeom>
                            <a:avLst/>
                            <a:gdLst/>
                            <a:ahLst/>
                            <a:cxnLst/>
                            <a:rect l="0" t="0" r="0" b="0"/>
                            <a:pathLst>
                              <a:path h="120066">
                                <a:moveTo>
                                  <a:pt x="0" y="0"/>
                                </a:moveTo>
                                <a:lnTo>
                                  <a:pt x="0" y="120066"/>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0190" name="Shape 20190"/>
                        <wps:cNvSpPr/>
                        <wps:spPr>
                          <a:xfrm>
                            <a:off x="1085447" y="494464"/>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80268" name="Shape 380268"/>
                        <wps:cNvSpPr/>
                        <wps:spPr>
                          <a:xfrm>
                            <a:off x="0" y="3175"/>
                            <a:ext cx="2232000" cy="392824"/>
                          </a:xfrm>
                          <a:custGeom>
                            <a:avLst/>
                            <a:gdLst/>
                            <a:ahLst/>
                            <a:cxnLst/>
                            <a:rect l="0" t="0" r="0" b="0"/>
                            <a:pathLst>
                              <a:path w="2232000" h="392824">
                                <a:moveTo>
                                  <a:pt x="0" y="0"/>
                                </a:moveTo>
                                <a:lnTo>
                                  <a:pt x="2232000" y="0"/>
                                </a:lnTo>
                                <a:lnTo>
                                  <a:pt x="2232000" y="392824"/>
                                </a:lnTo>
                                <a:lnTo>
                                  <a:pt x="0" y="392824"/>
                                </a:lnTo>
                                <a:lnTo>
                                  <a:pt x="0" y="0"/>
                                </a:lnTo>
                              </a:path>
                            </a:pathLst>
                          </a:custGeom>
                          <a:ln w="0" cap="flat">
                            <a:miter lim="100000"/>
                          </a:ln>
                        </wps:spPr>
                        <wps:style>
                          <a:lnRef idx="0">
                            <a:srgbClr val="000000">
                              <a:alpha val="0"/>
                            </a:srgbClr>
                          </a:lnRef>
                          <a:fillRef idx="1">
                            <a:srgbClr val="FBD9CA"/>
                          </a:fillRef>
                          <a:effectRef idx="0">
                            <a:scrgbClr r="0" g="0" b="0"/>
                          </a:effectRef>
                          <a:fontRef idx="none"/>
                        </wps:style>
                        <wps:bodyPr/>
                      </wps:wsp>
                      <wps:wsp>
                        <wps:cNvPr id="20213" name="Shape 20213"/>
                        <wps:cNvSpPr/>
                        <wps:spPr>
                          <a:xfrm>
                            <a:off x="0" y="3175"/>
                            <a:ext cx="2232000" cy="392824"/>
                          </a:xfrm>
                          <a:custGeom>
                            <a:avLst/>
                            <a:gdLst/>
                            <a:ahLst/>
                            <a:cxnLst/>
                            <a:rect l="0" t="0" r="0" b="0"/>
                            <a:pathLst>
                              <a:path w="2232000" h="392824">
                                <a:moveTo>
                                  <a:pt x="0" y="392824"/>
                                </a:moveTo>
                                <a:lnTo>
                                  <a:pt x="2232000" y="392824"/>
                                </a:lnTo>
                                <a:lnTo>
                                  <a:pt x="2232000"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0269" name="Shape 380269"/>
                        <wps:cNvSpPr/>
                        <wps:spPr>
                          <a:xfrm>
                            <a:off x="0" y="580021"/>
                            <a:ext cx="2232000" cy="392824"/>
                          </a:xfrm>
                          <a:custGeom>
                            <a:avLst/>
                            <a:gdLst/>
                            <a:ahLst/>
                            <a:cxnLst/>
                            <a:rect l="0" t="0" r="0" b="0"/>
                            <a:pathLst>
                              <a:path w="2232000" h="392824">
                                <a:moveTo>
                                  <a:pt x="0" y="0"/>
                                </a:moveTo>
                                <a:lnTo>
                                  <a:pt x="2232000" y="0"/>
                                </a:lnTo>
                                <a:lnTo>
                                  <a:pt x="2232000" y="392824"/>
                                </a:lnTo>
                                <a:lnTo>
                                  <a:pt x="0" y="392824"/>
                                </a:lnTo>
                                <a:lnTo>
                                  <a:pt x="0" y="0"/>
                                </a:lnTo>
                              </a:path>
                            </a:pathLst>
                          </a:custGeom>
                          <a:ln w="0" cap="flat">
                            <a:miter lim="100000"/>
                          </a:ln>
                        </wps:spPr>
                        <wps:style>
                          <a:lnRef idx="0">
                            <a:srgbClr val="000000">
                              <a:alpha val="0"/>
                            </a:srgbClr>
                          </a:lnRef>
                          <a:fillRef idx="1">
                            <a:srgbClr val="FBD9CA"/>
                          </a:fillRef>
                          <a:effectRef idx="0">
                            <a:scrgbClr r="0" g="0" b="0"/>
                          </a:effectRef>
                          <a:fontRef idx="none"/>
                        </wps:style>
                        <wps:bodyPr/>
                      </wps:wsp>
                      <wps:wsp>
                        <wps:cNvPr id="20219" name="Shape 20219"/>
                        <wps:cNvSpPr/>
                        <wps:spPr>
                          <a:xfrm>
                            <a:off x="0" y="580021"/>
                            <a:ext cx="2232000" cy="392824"/>
                          </a:xfrm>
                          <a:custGeom>
                            <a:avLst/>
                            <a:gdLst/>
                            <a:ahLst/>
                            <a:cxnLst/>
                            <a:rect l="0" t="0" r="0" b="0"/>
                            <a:pathLst>
                              <a:path w="2232000" h="392824">
                                <a:moveTo>
                                  <a:pt x="0" y="392824"/>
                                </a:moveTo>
                                <a:lnTo>
                                  <a:pt x="2232000" y="392824"/>
                                </a:lnTo>
                                <a:lnTo>
                                  <a:pt x="2232000"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0270" name="Shape 380270"/>
                        <wps:cNvSpPr/>
                        <wps:spPr>
                          <a:xfrm>
                            <a:off x="3175" y="1160056"/>
                            <a:ext cx="2225650" cy="663245"/>
                          </a:xfrm>
                          <a:custGeom>
                            <a:avLst/>
                            <a:gdLst/>
                            <a:ahLst/>
                            <a:cxnLst/>
                            <a:rect l="0" t="0" r="0" b="0"/>
                            <a:pathLst>
                              <a:path w="2225650" h="663245">
                                <a:moveTo>
                                  <a:pt x="0" y="0"/>
                                </a:moveTo>
                                <a:lnTo>
                                  <a:pt x="2225650" y="0"/>
                                </a:lnTo>
                                <a:lnTo>
                                  <a:pt x="2225650" y="663245"/>
                                </a:lnTo>
                                <a:lnTo>
                                  <a:pt x="0" y="663245"/>
                                </a:lnTo>
                                <a:lnTo>
                                  <a:pt x="0" y="0"/>
                                </a:lnTo>
                              </a:path>
                            </a:pathLst>
                          </a:custGeom>
                          <a:ln w="0" cap="flat">
                            <a:miter lim="100000"/>
                          </a:ln>
                        </wps:spPr>
                        <wps:style>
                          <a:lnRef idx="0">
                            <a:srgbClr val="000000">
                              <a:alpha val="0"/>
                            </a:srgbClr>
                          </a:lnRef>
                          <a:fillRef idx="1">
                            <a:srgbClr val="FBD9CA"/>
                          </a:fillRef>
                          <a:effectRef idx="0">
                            <a:scrgbClr r="0" g="0" b="0"/>
                          </a:effectRef>
                          <a:fontRef idx="none"/>
                        </wps:style>
                        <wps:bodyPr/>
                      </wps:wsp>
                      <wps:wsp>
                        <wps:cNvPr id="20231" name="Shape 20231"/>
                        <wps:cNvSpPr/>
                        <wps:spPr>
                          <a:xfrm>
                            <a:off x="3175" y="1160056"/>
                            <a:ext cx="2225650" cy="663245"/>
                          </a:xfrm>
                          <a:custGeom>
                            <a:avLst/>
                            <a:gdLst/>
                            <a:ahLst/>
                            <a:cxnLst/>
                            <a:rect l="0" t="0" r="0" b="0"/>
                            <a:pathLst>
                              <a:path w="2225650" h="663245">
                                <a:moveTo>
                                  <a:pt x="0" y="663245"/>
                                </a:moveTo>
                                <a:lnTo>
                                  <a:pt x="2225650" y="663245"/>
                                </a:lnTo>
                                <a:lnTo>
                                  <a:pt x="2225650"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0238" name="Shape 20238"/>
                        <wps:cNvSpPr/>
                        <wps:spPr>
                          <a:xfrm>
                            <a:off x="2541600" y="0"/>
                            <a:ext cx="1753628" cy="811251"/>
                          </a:xfrm>
                          <a:custGeom>
                            <a:avLst/>
                            <a:gdLst/>
                            <a:ahLst/>
                            <a:cxnLst/>
                            <a:rect l="0" t="0" r="0" b="0"/>
                            <a:pathLst>
                              <a:path w="1753628" h="811251">
                                <a:moveTo>
                                  <a:pt x="0" y="811251"/>
                                </a:moveTo>
                                <a:lnTo>
                                  <a:pt x="1753628" y="811251"/>
                                </a:lnTo>
                                <a:lnTo>
                                  <a:pt x="175362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0242" name="Shape 20242"/>
                        <wps:cNvSpPr/>
                        <wps:spPr>
                          <a:xfrm>
                            <a:off x="2541600" y="1163231"/>
                            <a:ext cx="1753628" cy="660070"/>
                          </a:xfrm>
                          <a:custGeom>
                            <a:avLst/>
                            <a:gdLst/>
                            <a:ahLst/>
                            <a:cxnLst/>
                            <a:rect l="0" t="0" r="0" b="0"/>
                            <a:pathLst>
                              <a:path w="1753628" h="660070">
                                <a:moveTo>
                                  <a:pt x="0" y="660070"/>
                                </a:moveTo>
                                <a:lnTo>
                                  <a:pt x="1753628" y="660070"/>
                                </a:lnTo>
                                <a:lnTo>
                                  <a:pt x="1753628"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0248" name="Shape 20248"/>
                        <wps:cNvSpPr/>
                        <wps:spPr>
                          <a:xfrm>
                            <a:off x="1116003" y="971262"/>
                            <a:ext cx="0" cy="120066"/>
                          </a:xfrm>
                          <a:custGeom>
                            <a:avLst/>
                            <a:gdLst/>
                            <a:ahLst/>
                            <a:cxnLst/>
                            <a:rect l="0" t="0" r="0" b="0"/>
                            <a:pathLst>
                              <a:path h="120066">
                                <a:moveTo>
                                  <a:pt x="0" y="0"/>
                                </a:moveTo>
                                <a:lnTo>
                                  <a:pt x="0" y="120066"/>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0249" name="Shape 20249"/>
                        <wps:cNvSpPr/>
                        <wps:spPr>
                          <a:xfrm>
                            <a:off x="1085447" y="1071315"/>
                            <a:ext cx="61113" cy="83972"/>
                          </a:xfrm>
                          <a:custGeom>
                            <a:avLst/>
                            <a:gdLst/>
                            <a:ahLst/>
                            <a:cxnLst/>
                            <a:rect l="0" t="0" r="0" b="0"/>
                            <a:pathLst>
                              <a:path w="61113" h="83972">
                                <a:moveTo>
                                  <a:pt x="0" y="0"/>
                                </a:moveTo>
                                <a:lnTo>
                                  <a:pt x="30556" y="20015"/>
                                </a:lnTo>
                                <a:lnTo>
                                  <a:pt x="61113" y="0"/>
                                </a:lnTo>
                                <a:lnTo>
                                  <a:pt x="30556" y="83972"/>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250" name="Shape 20250"/>
                        <wps:cNvSpPr/>
                        <wps:spPr>
                          <a:xfrm>
                            <a:off x="2297538" y="228834"/>
                            <a:ext cx="242469" cy="0"/>
                          </a:xfrm>
                          <a:custGeom>
                            <a:avLst/>
                            <a:gdLst/>
                            <a:ahLst/>
                            <a:cxnLst/>
                            <a:rect l="0" t="0" r="0" b="0"/>
                            <a:pathLst>
                              <a:path w="242469">
                                <a:moveTo>
                                  <a:pt x="242469" y="0"/>
                                </a:move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0251" name="Shape 20251"/>
                        <wps:cNvSpPr/>
                        <wps:spPr>
                          <a:xfrm>
                            <a:off x="2233582" y="198277"/>
                            <a:ext cx="83972" cy="61113"/>
                          </a:xfrm>
                          <a:custGeom>
                            <a:avLst/>
                            <a:gdLst/>
                            <a:ahLst/>
                            <a:cxnLst/>
                            <a:rect l="0" t="0" r="0" b="0"/>
                            <a:pathLst>
                              <a:path w="83972" h="61113">
                                <a:moveTo>
                                  <a:pt x="83972" y="0"/>
                                </a:moveTo>
                                <a:lnTo>
                                  <a:pt x="63957" y="30556"/>
                                </a:lnTo>
                                <a:lnTo>
                                  <a:pt x="83972" y="61113"/>
                                </a:lnTo>
                                <a:lnTo>
                                  <a:pt x="0" y="30556"/>
                                </a:lnTo>
                                <a:lnTo>
                                  <a:pt x="83972"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0252" name="Shape 20252"/>
                        <wps:cNvSpPr/>
                        <wps:spPr>
                          <a:xfrm>
                            <a:off x="2297538" y="1493265"/>
                            <a:ext cx="242469" cy="0"/>
                          </a:xfrm>
                          <a:custGeom>
                            <a:avLst/>
                            <a:gdLst/>
                            <a:ahLst/>
                            <a:cxnLst/>
                            <a:rect l="0" t="0" r="0" b="0"/>
                            <a:pathLst>
                              <a:path w="242469">
                                <a:moveTo>
                                  <a:pt x="242469" y="0"/>
                                </a:move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0253" name="Shape 20253"/>
                        <wps:cNvSpPr/>
                        <wps:spPr>
                          <a:xfrm>
                            <a:off x="2233582" y="1462708"/>
                            <a:ext cx="83972" cy="61113"/>
                          </a:xfrm>
                          <a:custGeom>
                            <a:avLst/>
                            <a:gdLst/>
                            <a:ahLst/>
                            <a:cxnLst/>
                            <a:rect l="0" t="0" r="0" b="0"/>
                            <a:pathLst>
                              <a:path w="83972" h="61113">
                                <a:moveTo>
                                  <a:pt x="83972" y="0"/>
                                </a:moveTo>
                                <a:lnTo>
                                  <a:pt x="63957" y="30556"/>
                                </a:lnTo>
                                <a:lnTo>
                                  <a:pt x="83972" y="61113"/>
                                </a:lnTo>
                                <a:lnTo>
                                  <a:pt x="0" y="30556"/>
                                </a:lnTo>
                                <a:lnTo>
                                  <a:pt x="83972"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xmlns:a="http://schemas.openxmlformats.org/drawingml/2006/main">
            <w:pict>
              <v:group id="Group 303215" style="width:338.207pt;height:143.567pt;position:absolute;z-index:-2147483472;mso-position-horizontal-relative:text;mso-position-horizontal:absolute;margin-left:172.229pt;mso-position-vertical-relative:text;margin-top:-16.7755pt;" coordsize="42952,18233">
                <v:shape id="Shape 20189" style="position:absolute;width:0;height:1200;left:11160;top:3944;" coordsize="0,120066" path="m0,0l0,120066">
                  <v:stroke weight="0.709pt" endcap="flat" joinstyle="miter" miterlimit="4" on="true" color="#000000"/>
                  <v:fill on="false" color="#000000" opacity="0"/>
                </v:shape>
                <v:shape id="Shape 20190" style="position:absolute;width:611;height:839;left:10854;top:4944;" coordsize="61113,83972" path="m0,0l30556,20015l61113,0l30556,83972l0,0x">
                  <v:stroke weight="0pt" endcap="flat" joinstyle="miter" miterlimit="4" on="false" color="#000000" opacity="0"/>
                  <v:fill on="true" color="#000000"/>
                </v:shape>
                <v:shape id="Shape 380271" style="position:absolute;width:22320;height:3928;left:0;top:31;" coordsize="2232000,392824" path="m0,0l2232000,0l2232000,392824l0,392824l0,0">
                  <v:stroke weight="0pt" endcap="flat" joinstyle="miter" miterlimit="4" on="false" color="#000000" opacity="0"/>
                  <v:fill on="true" color="#fbd9ca"/>
                </v:shape>
                <v:shape id="Shape 20213" style="position:absolute;width:22320;height:3928;left:0;top:31;" coordsize="2232000,392824" path="m0,392824l2232000,392824l2232000,0l0,0x">
                  <v:stroke weight="0.709pt" endcap="flat" joinstyle="miter" miterlimit="4" on="true" color="#000000"/>
                  <v:fill on="false" color="#000000" opacity="0"/>
                </v:shape>
                <v:shape id="Shape 380272" style="position:absolute;width:22320;height:3928;left:0;top:5800;" coordsize="2232000,392824" path="m0,0l2232000,0l2232000,392824l0,392824l0,0">
                  <v:stroke weight="0pt" endcap="flat" joinstyle="miter" miterlimit="4" on="false" color="#000000" opacity="0"/>
                  <v:fill on="true" color="#fbd9ca"/>
                </v:shape>
                <v:shape id="Shape 20219" style="position:absolute;width:22320;height:3928;left:0;top:5800;" coordsize="2232000,392824" path="m0,392824l2232000,392824l2232000,0l0,0x">
                  <v:stroke weight="0.709pt" endcap="flat" joinstyle="miter" miterlimit="4" on="true" color="#000000"/>
                  <v:fill on="false" color="#000000" opacity="0"/>
                </v:shape>
                <v:shape id="Shape 380273" style="position:absolute;width:22256;height:6632;left:31;top:11600;" coordsize="2225650,663245" path="m0,0l2225650,0l2225650,663245l0,663245l0,0">
                  <v:stroke weight="0pt" endcap="flat" joinstyle="miter" miterlimit="4" on="false" color="#000000" opacity="0"/>
                  <v:fill on="true" color="#fbd9ca"/>
                </v:shape>
                <v:shape id="Shape 20231" style="position:absolute;width:22256;height:6632;left:31;top:11600;" coordsize="2225650,663245" path="m0,663245l2225650,663245l2225650,0l0,0x">
                  <v:stroke weight="0.709pt" endcap="flat" joinstyle="miter" miterlimit="4" on="true" color="#000000"/>
                  <v:fill on="false" color="#000000" opacity="0"/>
                </v:shape>
                <v:shape id="Shape 20238" style="position:absolute;width:17536;height:8112;left:25416;top:0;" coordsize="1753628,811251" path="m0,811251l1753628,811251l1753628,0l0,0x">
                  <v:stroke weight="0.709pt" endcap="flat" joinstyle="miter" miterlimit="4" on="true" color="#000000"/>
                  <v:fill on="false" color="#000000" opacity="0"/>
                </v:shape>
                <v:shape id="Shape 20242" style="position:absolute;width:17536;height:6600;left:25416;top:11632;" coordsize="1753628,660070" path="m0,660070l1753628,660070l1753628,0l0,0x">
                  <v:stroke weight="0.709pt" endcap="flat" joinstyle="miter" miterlimit="4" on="true" color="#000000"/>
                  <v:fill on="false" color="#000000" opacity="0"/>
                </v:shape>
                <v:shape id="Shape 20248" style="position:absolute;width:0;height:1200;left:11160;top:9712;" coordsize="0,120066" path="m0,0l0,120066">
                  <v:stroke weight="0.709pt" endcap="flat" joinstyle="miter" miterlimit="4" on="true" color="#000000"/>
                  <v:fill on="false" color="#000000" opacity="0"/>
                </v:shape>
                <v:shape id="Shape 20249" style="position:absolute;width:611;height:839;left:10854;top:10713;" coordsize="61113,83972" path="m0,0l30556,20015l61113,0l30556,83972l0,0x">
                  <v:stroke weight="0pt" endcap="flat" joinstyle="miter" miterlimit="4" on="false" color="#000000" opacity="0"/>
                  <v:fill on="true" color="#000000"/>
                </v:shape>
                <v:shape id="Shape 20250" style="position:absolute;width:2424;height:0;left:22975;top:2288;" coordsize="242469,0" path="m242469,0l0,0">
                  <v:stroke weight="0.709pt" endcap="flat" joinstyle="miter" miterlimit="4" on="true" color="#000000"/>
                  <v:fill on="false" color="#000000" opacity="0"/>
                </v:shape>
                <v:shape id="Shape 20251" style="position:absolute;width:839;height:611;left:22335;top:1982;" coordsize="83972,61113" path="m83972,0l63957,30556l83972,61113l0,30556l83972,0x">
                  <v:stroke weight="0pt" endcap="flat" joinstyle="miter" miterlimit="4" on="false" color="#000000" opacity="0"/>
                  <v:fill on="true" color="#000000"/>
                </v:shape>
                <v:shape id="Shape 20252" style="position:absolute;width:2424;height:0;left:22975;top:14932;" coordsize="242469,0" path="m242469,0l0,0">
                  <v:stroke weight="0.709pt" endcap="flat" joinstyle="miter" miterlimit="4" on="true" color="#000000"/>
                  <v:fill on="false" color="#000000" opacity="0"/>
                </v:shape>
                <v:shape id="Shape 20253" style="position:absolute;width:839;height:611;left:22335;top:14627;" coordsize="83972,61113" path="m83972,0l63957,30556l83972,61113l0,30556l83972,0x">
                  <v:stroke weight="0pt" endcap="flat" joinstyle="miter" miterlimit="4" on="false" color="#000000" opacity="0"/>
                  <v:fill on="true" color="#000000"/>
                </v:shape>
              </v:group>
            </w:pict>
          </mc:Fallback>
        </mc:AlternateContent>
      </w:r>
      <w:r>
        <w:t>Двойная комбинация</w:t>
      </w:r>
      <w:r>
        <w:tab/>
        <w:t>иАПФ или БРА</w:t>
      </w:r>
      <w:r>
        <w:tab/>
        <w:t>с САД &lt;150 мм рт.ст., очень пожилых боль</w:t>
      </w:r>
      <w:r>
        <w:t xml:space="preserve">ных (&gt;80 лет) </w:t>
      </w:r>
    </w:p>
    <w:p w:rsidR="00D27BC6" w:rsidRDefault="004D5071">
      <w:pPr>
        <w:spacing w:after="39" w:line="259" w:lineRule="auto"/>
        <w:ind w:left="248" w:right="211"/>
        <w:jc w:val="right"/>
      </w:pPr>
      <w:r>
        <w:t xml:space="preserve">и пациентов со старческой </w:t>
      </w:r>
    </w:p>
    <w:p w:rsidR="00D27BC6" w:rsidRDefault="004D5071">
      <w:pPr>
        <w:tabs>
          <w:tab w:val="center" w:pos="1455"/>
          <w:tab w:val="center" w:pos="5202"/>
          <w:tab w:val="center" w:pos="8828"/>
        </w:tabs>
        <w:ind w:left="0" w:right="0" w:firstLine="0"/>
        <w:jc w:val="left"/>
      </w:pPr>
      <w:r>
        <w:rPr>
          <w:sz w:val="22"/>
        </w:rPr>
        <w:tab/>
      </w:r>
      <w:r>
        <w:rPr>
          <w:b/>
        </w:rPr>
        <w:t>Шаг 2</w:t>
      </w:r>
      <w:r>
        <w:t xml:space="preserve"> </w:t>
      </w:r>
      <w:r>
        <w:tab/>
        <w:t>иАПФ или БРА</w:t>
      </w:r>
      <w:r>
        <w:rPr>
          <w:sz w:val="18"/>
          <w:vertAlign w:val="superscript"/>
        </w:rPr>
        <w:t>1</w:t>
      </w:r>
      <w:r>
        <w:t xml:space="preserve"> + АК + ТД/ТПД</w:t>
      </w:r>
      <w:r>
        <w:rPr>
          <w:sz w:val="18"/>
          <w:vertAlign w:val="superscript"/>
        </w:rPr>
        <w:t>2</w:t>
      </w:r>
      <w:r>
        <w:rPr>
          <w:sz w:val="18"/>
          <w:vertAlign w:val="superscript"/>
        </w:rPr>
        <w:tab/>
      </w:r>
      <w:r>
        <w:rPr>
          <w:sz w:val="31"/>
          <w:vertAlign w:val="superscript"/>
        </w:rPr>
        <w:t>астенией</w:t>
      </w:r>
    </w:p>
    <w:p w:rsidR="00D27BC6" w:rsidRDefault="004D5071">
      <w:pPr>
        <w:pBdr>
          <w:top w:val="single" w:sz="6" w:space="0" w:color="000000"/>
          <w:left w:val="single" w:sz="6" w:space="0" w:color="000000"/>
          <w:bottom w:val="single" w:sz="6" w:space="0" w:color="000000"/>
          <w:right w:val="single" w:sz="6" w:space="0" w:color="000000"/>
        </w:pBdr>
        <w:spacing w:after="492" w:line="259" w:lineRule="auto"/>
        <w:ind w:left="533" w:right="0" w:firstLine="0"/>
        <w:jc w:val="left"/>
      </w:pPr>
      <w:r>
        <w:t>Тройная комбинация</w:t>
      </w:r>
    </w:p>
    <w:p w:rsidR="00D27BC6" w:rsidRDefault="004D5071">
      <w:pPr>
        <w:tabs>
          <w:tab w:val="center" w:pos="1455"/>
          <w:tab w:val="center" w:pos="5202"/>
          <w:tab w:val="center" w:pos="8828"/>
        </w:tabs>
        <w:spacing w:after="34"/>
        <w:ind w:left="0" w:right="0" w:firstLine="0"/>
        <w:jc w:val="left"/>
      </w:pPr>
      <w:r>
        <w:rPr>
          <w:sz w:val="22"/>
        </w:rPr>
        <w:tab/>
      </w:r>
      <w:r>
        <w:rPr>
          <w:b/>
        </w:rPr>
        <w:t>Шаг 3</w:t>
      </w:r>
      <w:r>
        <w:rPr>
          <w:sz w:val="18"/>
          <w:vertAlign w:val="superscript"/>
        </w:rPr>
        <w:t>4</w:t>
      </w:r>
      <w:r>
        <w:t xml:space="preserve"> </w:t>
      </w:r>
      <w:r>
        <w:tab/>
        <w:t>иАПФ или БРА</w:t>
      </w:r>
      <w:r>
        <w:rPr>
          <w:sz w:val="18"/>
          <w:vertAlign w:val="superscript"/>
        </w:rPr>
        <w:t>1</w:t>
      </w:r>
      <w:r>
        <w:t xml:space="preserve"> + АК + ТД/ТПД</w:t>
      </w:r>
      <w:r>
        <w:rPr>
          <w:sz w:val="18"/>
          <w:vertAlign w:val="superscript"/>
        </w:rPr>
        <w:t xml:space="preserve">2 </w:t>
      </w:r>
      <w:r>
        <w:t>+</w:t>
      </w:r>
      <w:r>
        <w:rPr>
          <w:sz w:val="18"/>
          <w:vertAlign w:val="superscript"/>
        </w:rPr>
        <w:t xml:space="preserve"> </w:t>
      </w:r>
      <w:r>
        <w:rPr>
          <w:sz w:val="18"/>
          <w:vertAlign w:val="superscript"/>
        </w:rPr>
        <w:tab/>
      </w:r>
      <w:r>
        <w:t xml:space="preserve">Подбор терапии </w:t>
      </w:r>
    </w:p>
    <w:p w:rsidR="00D27BC6" w:rsidRDefault="004D5071">
      <w:pPr>
        <w:spacing w:after="399"/>
        <w:ind w:left="10" w:right="0"/>
        <w:jc w:val="center"/>
      </w:pPr>
      <w:r>
        <w:t xml:space="preserve">Тройная комбинация + </w:t>
      </w:r>
      <w:r>
        <w:tab/>
        <w:t>Спиронолактон</w:t>
      </w:r>
      <w:r>
        <w:rPr>
          <w:sz w:val="18"/>
          <w:vertAlign w:val="superscript"/>
        </w:rPr>
        <w:footnoteReference w:id="21"/>
      </w:r>
      <w:r>
        <w:rPr>
          <w:sz w:val="18"/>
          <w:vertAlign w:val="superscript"/>
        </w:rPr>
        <w:footnoteReference w:id="22"/>
      </w:r>
      <w:r>
        <w:t xml:space="preserve"> или ББ или АБ </w:t>
      </w:r>
      <w:r>
        <w:tab/>
        <w:t>целесообразно проводить спиронолактон</w:t>
      </w:r>
      <w:r>
        <w:rPr>
          <w:sz w:val="18"/>
          <w:vertAlign w:val="superscript"/>
        </w:rPr>
        <w:t xml:space="preserve">3 </w:t>
      </w:r>
      <w:r>
        <w:t>или другие ЛС</w:t>
      </w:r>
      <w:r>
        <w:tab/>
        <w:t>агонисты имидазолиновых рецепторов</w:t>
      </w:r>
      <w:r>
        <w:tab/>
        <w:t xml:space="preserve">под руководством кардиолога </w:t>
      </w:r>
    </w:p>
    <w:p w:rsidR="00D27BC6" w:rsidRDefault="004D5071">
      <w:pPr>
        <w:pBdr>
          <w:top w:val="single" w:sz="6" w:space="0" w:color="000000"/>
          <w:left w:val="single" w:sz="6" w:space="0" w:color="000000"/>
          <w:bottom w:val="single" w:sz="6" w:space="0" w:color="000000"/>
          <w:right w:val="single" w:sz="6" w:space="0" w:color="000000"/>
        </w:pBdr>
        <w:spacing w:after="0" w:line="216" w:lineRule="auto"/>
        <w:ind w:left="3399" w:right="146"/>
        <w:jc w:val="center"/>
      </w:pPr>
      <w:r>
        <w:t xml:space="preserve">Назначение ББ возможно рассмотреть на любом этапе терапии при наличии следующих клинических ситуаций: у пациентов с ИБС (перенесенный </w:t>
      </w:r>
    </w:p>
    <w:p w:rsidR="00D27BC6" w:rsidRDefault="004D5071">
      <w:pPr>
        <w:pBdr>
          <w:top w:val="single" w:sz="6" w:space="0" w:color="000000"/>
          <w:left w:val="single" w:sz="6" w:space="0" w:color="000000"/>
          <w:bottom w:val="single" w:sz="6" w:space="0" w:color="000000"/>
          <w:right w:val="single" w:sz="6" w:space="0" w:color="000000"/>
        </w:pBdr>
        <w:spacing w:after="159" w:line="216" w:lineRule="auto"/>
        <w:ind w:left="3399" w:right="146"/>
        <w:jc w:val="center"/>
      </w:pPr>
      <w:r>
        <w:t xml:space="preserve">инфаркт миокарда, стенокардия), ХСН, фибрилляции предсердий, при беременности или ее планировании </w:t>
      </w:r>
    </w:p>
    <w:p w:rsidR="00D27BC6" w:rsidRDefault="004D5071">
      <w:pPr>
        <w:spacing w:after="4"/>
        <w:ind w:left="-3" w:right="0"/>
      </w:pPr>
      <w:r>
        <w:rPr>
          <w:b/>
          <w:sz w:val="16"/>
        </w:rPr>
        <w:t xml:space="preserve">Примечания: </w:t>
      </w:r>
      <w:r>
        <w:rPr>
          <w:sz w:val="16"/>
        </w:rPr>
        <w:t>АГ – артериальная гипертензия; ЛС – лекарственные средства; иАПФ – ингибитор ангиотензинпревращающего фермента; БРА – блокатор рецепторов ангиоте</w:t>
      </w:r>
      <w:r>
        <w:rPr>
          <w:sz w:val="16"/>
        </w:rPr>
        <w:t xml:space="preserve">нзина II; ТД – тиазидный диуретик; ТПД – тиазидоподобный диуретик; АК – антагонист кальция; ББ – бета-блокатор; АБ – альфа-блокатор; ИБС- ишемическая болезнь сердца; ХСН – хроническая сердечная недостаточность, САД – систолическое артериальное давление. </w:t>
      </w:r>
      <w:r>
        <w:rPr>
          <w:sz w:val="16"/>
          <w:vertAlign w:val="superscript"/>
        </w:rPr>
        <w:t>1</w:t>
      </w:r>
      <w:r>
        <w:rPr>
          <w:b/>
        </w:rPr>
        <w:t xml:space="preserve"> </w:t>
      </w:r>
      <w:r>
        <w:rPr>
          <w:sz w:val="16"/>
        </w:rPr>
        <w:t>При рСКФ &lt; 45 мл/мин/1,73 м</w:t>
      </w:r>
      <w:r>
        <w:rPr>
          <w:sz w:val="16"/>
          <w:vertAlign w:val="superscript"/>
        </w:rPr>
        <w:t>2</w:t>
      </w:r>
      <w:r>
        <w:rPr>
          <w:sz w:val="16"/>
        </w:rPr>
        <w:t xml:space="preserve"> начинать с более низких доз, контроль рСКФ и калия плазмы через 1 неделю после инициирования терапии или увеличения дозы.</w:t>
      </w:r>
    </w:p>
    <w:p w:rsidR="00D27BC6" w:rsidRDefault="004D5071">
      <w:pPr>
        <w:pStyle w:val="Heading2"/>
        <w:ind w:left="-3"/>
      </w:pPr>
      <w:r>
        <w:t>Целевые значения АД на фоне терапии АГ у пациентов с СД (при условии хорошей переносимости)</w:t>
      </w:r>
    </w:p>
    <w:tbl>
      <w:tblPr>
        <w:tblStyle w:val="TableGrid"/>
        <w:tblW w:w="10195" w:type="dxa"/>
        <w:tblInd w:w="9" w:type="dxa"/>
        <w:tblCellMar>
          <w:top w:w="9" w:type="dxa"/>
          <w:left w:w="115" w:type="dxa"/>
          <w:bottom w:w="0" w:type="dxa"/>
          <w:right w:w="115" w:type="dxa"/>
        </w:tblCellMar>
        <w:tblLook w:val="04A0" w:firstRow="1" w:lastRow="0" w:firstColumn="1" w:lastColumn="0" w:noHBand="0" w:noVBand="1"/>
      </w:tblPr>
      <w:tblGrid>
        <w:gridCol w:w="3398"/>
        <w:gridCol w:w="3398"/>
        <w:gridCol w:w="3398"/>
      </w:tblGrid>
      <w:tr w:rsidR="00D27BC6">
        <w:trPr>
          <w:trHeight w:val="320"/>
        </w:trPr>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Возраст</w:t>
            </w:r>
          </w:p>
        </w:tc>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Систо</w:t>
            </w:r>
            <w:r>
              <w:rPr>
                <w:b/>
              </w:rPr>
              <w:t>лическое АД, мм рт.ст.</w:t>
            </w:r>
          </w:p>
        </w:tc>
        <w:tc>
          <w:tcPr>
            <w:tcW w:w="339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Диастолическое АД, мм рт.ст.</w:t>
            </w:r>
          </w:p>
        </w:tc>
      </w:tr>
      <w:tr w:rsidR="00D27BC6">
        <w:trPr>
          <w:trHeight w:val="320"/>
        </w:trPr>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rPr>
                <w:b/>
              </w:rPr>
              <w:t>18–65 лет</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 120 и &lt; 130</w:t>
            </w:r>
          </w:p>
        </w:tc>
        <w:tc>
          <w:tcPr>
            <w:tcW w:w="3398"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center"/>
            </w:pPr>
            <w:r>
              <w:t xml:space="preserve">≥ 70 и &lt; 80 </w:t>
            </w:r>
          </w:p>
        </w:tc>
      </w:tr>
      <w:tr w:rsidR="00D27BC6">
        <w:trPr>
          <w:trHeight w:val="320"/>
        </w:trPr>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rPr>
                <w:b/>
              </w:rPr>
              <w:t>&gt; 65 лет</w:t>
            </w:r>
          </w:p>
        </w:tc>
        <w:tc>
          <w:tcPr>
            <w:tcW w:w="339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 xml:space="preserve">≥ 130 и &lt; 140 </w:t>
            </w: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bl>
    <w:p w:rsidR="00D27BC6" w:rsidRDefault="004D5071">
      <w:pPr>
        <w:pStyle w:val="Heading3"/>
        <w:ind w:left="162" w:right="156"/>
      </w:pPr>
      <w:r>
        <w:t>Характеристики антигипертензивных препаратов</w:t>
      </w:r>
    </w:p>
    <w:p w:rsidR="00D27BC6" w:rsidRDefault="004D5071">
      <w:pPr>
        <w:ind w:left="281" w:right="51"/>
        <w:jc w:val="left"/>
      </w:pPr>
      <w:r>
        <w:rPr>
          <w:b/>
        </w:rPr>
        <w:t xml:space="preserve">Тремя основными классами антигипертензивных препаратов являются: </w:t>
      </w:r>
    </w:p>
    <w:p w:rsidR="00D27BC6" w:rsidRDefault="004D5071">
      <w:pPr>
        <w:numPr>
          <w:ilvl w:val="0"/>
          <w:numId w:val="124"/>
        </w:numPr>
        <w:ind w:right="0" w:hanging="283"/>
      </w:pPr>
      <w:r>
        <w:t xml:space="preserve">ингибиторы ангиотензинпревращающего фермента (иАПФ)/ блокаторы рецепторов ангиотензина II (БРА)/ сакубитрил-валсартан, </w:t>
      </w:r>
    </w:p>
    <w:p w:rsidR="00D27BC6" w:rsidRDefault="004D5071">
      <w:pPr>
        <w:numPr>
          <w:ilvl w:val="0"/>
          <w:numId w:val="124"/>
        </w:numPr>
        <w:ind w:right="0" w:hanging="283"/>
      </w:pPr>
      <w:r>
        <w:t xml:space="preserve">диуретики, </w:t>
      </w:r>
    </w:p>
    <w:p w:rsidR="00D27BC6" w:rsidRDefault="004D5071">
      <w:pPr>
        <w:numPr>
          <w:ilvl w:val="0"/>
          <w:numId w:val="124"/>
        </w:numPr>
        <w:spacing w:after="226"/>
        <w:ind w:right="0" w:hanging="283"/>
      </w:pPr>
      <w:r>
        <w:t>антагонисты кальция (АК)</w:t>
      </w:r>
    </w:p>
    <w:p w:rsidR="00D27BC6" w:rsidRDefault="004D5071">
      <w:pPr>
        <w:ind w:left="2" w:right="51" w:firstLine="283"/>
        <w:jc w:val="left"/>
      </w:pPr>
      <w:r>
        <w:rPr>
          <w:b/>
        </w:rPr>
        <w:t xml:space="preserve">Препараты, блокирующие ренин-ангиотензиновую систему: ингибиторы ангиотензинпревращающего фермента </w:t>
      </w:r>
      <w:r>
        <w:rPr>
          <w:b/>
        </w:rPr>
        <w:t xml:space="preserve">(иАПФ), блокаторы рецепторов ангиотензина II (БРА), сакубитрил-валсартан. </w:t>
      </w:r>
    </w:p>
    <w:p w:rsidR="00D27BC6" w:rsidRDefault="004D5071">
      <w:pPr>
        <w:numPr>
          <w:ilvl w:val="0"/>
          <w:numId w:val="125"/>
        </w:numPr>
        <w:ind w:right="0" w:hanging="283"/>
      </w:pPr>
      <w:r>
        <w:t>Не оказывают негативного воздействия на углеводный и липидный обмен, снижают инсулинорезистентность периферических тканей;</w:t>
      </w:r>
    </w:p>
    <w:p w:rsidR="00D27BC6" w:rsidRDefault="004D5071">
      <w:pPr>
        <w:numPr>
          <w:ilvl w:val="0"/>
          <w:numId w:val="125"/>
        </w:numPr>
        <w:ind w:right="0" w:hanging="283"/>
      </w:pPr>
      <w:r>
        <w:t>Обладают нефропротективным действием, которое не зависит о</w:t>
      </w:r>
      <w:r>
        <w:t>т их антигипертензивного эффекта. Больным СД 1 и 2 типов их назначают с целью нефропротекции при выявлении микроальбуминурии и протеинурии даже при нормальном уровне АД.</w:t>
      </w:r>
    </w:p>
    <w:p w:rsidR="00D27BC6" w:rsidRDefault="004D5071">
      <w:pPr>
        <w:numPr>
          <w:ilvl w:val="0"/>
          <w:numId w:val="125"/>
        </w:numPr>
        <w:ind w:right="0" w:hanging="283"/>
      </w:pPr>
      <w:r>
        <w:t xml:space="preserve">Терапию следует проводить под контролем уровня креатинина и калия сыворотки (особенно </w:t>
      </w:r>
      <w:r>
        <w:t>при наличии ХБП С3-5).</w:t>
      </w:r>
    </w:p>
    <w:p w:rsidR="00D27BC6" w:rsidRDefault="004D5071">
      <w:pPr>
        <w:numPr>
          <w:ilvl w:val="0"/>
          <w:numId w:val="125"/>
        </w:numPr>
        <w:ind w:right="0" w:hanging="283"/>
      </w:pPr>
      <w:r>
        <w:t>При гиперкалиемии &gt; 6 ммоль/л или повышении креатинина сыворотки &gt; 30% от исходных значений через 2 недели после инициации терапию этими препаратами следует отменить.</w:t>
      </w:r>
    </w:p>
    <w:p w:rsidR="00D27BC6" w:rsidRDefault="004D5071">
      <w:pPr>
        <w:numPr>
          <w:ilvl w:val="0"/>
          <w:numId w:val="125"/>
        </w:numPr>
        <w:spacing w:after="226"/>
        <w:ind w:right="0" w:hanging="283"/>
      </w:pPr>
      <w:r>
        <w:t>Противопоказаны при беременности и лактации.</w:t>
      </w:r>
    </w:p>
    <w:p w:rsidR="00D27BC6" w:rsidRDefault="004D5071">
      <w:pPr>
        <w:ind w:left="281" w:right="51"/>
        <w:jc w:val="left"/>
      </w:pPr>
      <w:r>
        <w:rPr>
          <w:b/>
        </w:rPr>
        <w:t>Диуретики</w:t>
      </w:r>
    </w:p>
    <w:p w:rsidR="00D27BC6" w:rsidRDefault="004D5071">
      <w:pPr>
        <w:numPr>
          <w:ilvl w:val="0"/>
          <w:numId w:val="125"/>
        </w:numPr>
        <w:ind w:right="0" w:hanging="283"/>
      </w:pPr>
      <w:r>
        <w:t>Тиазидные диуретики (ТД) в дозах 12,5–25 мг/сут не вызывают значимых метаболических нарушений (гипергликемии, дислипидемии, гипокалиемии).</w:t>
      </w:r>
    </w:p>
    <w:p w:rsidR="00D27BC6" w:rsidRDefault="004D5071">
      <w:pPr>
        <w:numPr>
          <w:ilvl w:val="0"/>
          <w:numId w:val="125"/>
        </w:numPr>
        <w:ind w:right="0" w:hanging="283"/>
      </w:pPr>
      <w:r>
        <w:t>ТД и тиазидоподобные диуретики противопоказаны больным с рСКФ &lt; 30 мл/мин/1,73 м</w:t>
      </w:r>
      <w:r>
        <w:rPr>
          <w:sz w:val="18"/>
          <w:vertAlign w:val="superscript"/>
        </w:rPr>
        <w:t>2</w:t>
      </w:r>
      <w:r>
        <w:t xml:space="preserve"> и пациентам с подагрой.</w:t>
      </w:r>
    </w:p>
    <w:p w:rsidR="00D27BC6" w:rsidRDefault="004D5071">
      <w:pPr>
        <w:numPr>
          <w:ilvl w:val="0"/>
          <w:numId w:val="125"/>
        </w:numPr>
        <w:ind w:right="0" w:hanging="283"/>
      </w:pPr>
      <w:r>
        <w:t>Пациентам с АГ при СД петлевые диуретики назначают при наличии ХСН, а также пациентам с АГ при рСКФ &lt; 30 мл/мин /1,73 м</w:t>
      </w:r>
      <w:r>
        <w:rPr>
          <w:sz w:val="18"/>
          <w:vertAlign w:val="superscript"/>
        </w:rPr>
        <w:t>2</w:t>
      </w:r>
      <w:r>
        <w:t>.</w:t>
      </w:r>
    </w:p>
    <w:p w:rsidR="00D27BC6" w:rsidRDefault="004D5071">
      <w:pPr>
        <w:numPr>
          <w:ilvl w:val="0"/>
          <w:numId w:val="125"/>
        </w:numPr>
        <w:ind w:right="0" w:hanging="283"/>
      </w:pPr>
      <w:r>
        <w:t>Назначение калийсберегающих диуретиков можно рассмотреть при резистентной АГ в схеме с использованием более 3-х антигипертензивных пре</w:t>
      </w:r>
      <w:r>
        <w:t>паратов, если рСКФ &gt;60 мл/мин/1,73 м</w:t>
      </w:r>
      <w:r>
        <w:rPr>
          <w:sz w:val="18"/>
          <w:vertAlign w:val="superscript"/>
        </w:rPr>
        <w:t>2</w:t>
      </w:r>
      <w:r>
        <w:t>. При рСКФ &lt;60 мл/мин/1,73 м</w:t>
      </w:r>
      <w:r>
        <w:rPr>
          <w:sz w:val="18"/>
          <w:vertAlign w:val="superscript"/>
        </w:rPr>
        <w:t>2</w:t>
      </w:r>
      <w:r>
        <w:t xml:space="preserve"> назначение спиронолактона и эплеренона сопряжено с высоким риском ухудшения функции почек и развития гиперкалиемии.</w:t>
      </w:r>
    </w:p>
    <w:p w:rsidR="00D27BC6" w:rsidRDefault="004D5071">
      <w:pPr>
        <w:numPr>
          <w:ilvl w:val="0"/>
          <w:numId w:val="125"/>
        </w:numPr>
        <w:ind w:right="0" w:hanging="283"/>
      </w:pPr>
      <w:r>
        <w:t>Назначение калийсберегающих диуретиков целесообразно при ХСН и для коррек</w:t>
      </w:r>
      <w:r>
        <w:t>ции АД у пациентов с первичным гиперальдостеронизмом.</w:t>
      </w:r>
    </w:p>
    <w:p w:rsidR="00D27BC6" w:rsidRDefault="004D5071">
      <w:pPr>
        <w:numPr>
          <w:ilvl w:val="0"/>
          <w:numId w:val="125"/>
        </w:numPr>
        <w:spacing w:after="226"/>
        <w:ind w:right="0" w:hanging="283"/>
      </w:pPr>
      <w:r>
        <w:t>Осмотические диуретики не применяются для лечения АГ при СД.</w:t>
      </w:r>
    </w:p>
    <w:p w:rsidR="00D27BC6" w:rsidRDefault="004D5071">
      <w:pPr>
        <w:ind w:left="281" w:right="51"/>
        <w:jc w:val="left"/>
      </w:pPr>
      <w:r>
        <w:rPr>
          <w:b/>
        </w:rPr>
        <w:t>Антагонисты кальция (АК)</w:t>
      </w:r>
    </w:p>
    <w:p w:rsidR="00D27BC6" w:rsidRDefault="004D5071">
      <w:pPr>
        <w:numPr>
          <w:ilvl w:val="0"/>
          <w:numId w:val="125"/>
        </w:numPr>
        <w:ind w:right="0" w:hanging="283"/>
      </w:pPr>
      <w:r>
        <w:t>Все АК метаболически нейтральны, не влияют на углеводный, липидный и пуриновый обмен и не повышают риска развития СД</w:t>
      </w:r>
      <w:r>
        <w:t xml:space="preserve"> 2 типа.</w:t>
      </w:r>
    </w:p>
    <w:p w:rsidR="00D27BC6" w:rsidRDefault="004D5071">
      <w:pPr>
        <w:numPr>
          <w:ilvl w:val="0"/>
          <w:numId w:val="125"/>
        </w:numPr>
        <w:ind w:right="0" w:hanging="283"/>
      </w:pPr>
      <w:r>
        <w:t xml:space="preserve">АК обладают нефропротективным эффектом, снижают выраженность микроальбуминурии, замедляют прогрессирование диабетической нефропатии. </w:t>
      </w:r>
    </w:p>
    <w:p w:rsidR="00D27BC6" w:rsidRDefault="004D5071">
      <w:pPr>
        <w:numPr>
          <w:ilvl w:val="0"/>
          <w:numId w:val="125"/>
        </w:numPr>
        <w:spacing w:after="233"/>
        <w:ind w:right="0" w:hanging="283"/>
      </w:pPr>
      <w:r>
        <w:t>Дигидропиримидиновые АК длительного действия – препараты выбора для лечения изолированной систолической АГ.</w:t>
      </w:r>
    </w:p>
    <w:p w:rsidR="00D27BC6" w:rsidRDefault="004D5071">
      <w:pPr>
        <w:ind w:left="295" w:right="0"/>
      </w:pPr>
      <w:r>
        <w:rPr>
          <w:b/>
        </w:rPr>
        <w:t>Бета</w:t>
      </w:r>
      <w:r>
        <w:t>-</w:t>
      </w:r>
      <w:r>
        <w:t xml:space="preserve">блокаторы (ББ) (используют только </w:t>
      </w:r>
      <w:r>
        <w:rPr>
          <w:b/>
        </w:rPr>
        <w:t>при наличии других показаний</w:t>
      </w:r>
      <w:r>
        <w:t>, помимо лечения АГ)</w:t>
      </w:r>
    </w:p>
    <w:p w:rsidR="00D27BC6" w:rsidRDefault="004D5071">
      <w:pPr>
        <w:numPr>
          <w:ilvl w:val="0"/>
          <w:numId w:val="125"/>
        </w:numPr>
        <w:ind w:right="0" w:hanging="283"/>
      </w:pPr>
      <w:r>
        <w:t>ББ – назначают пациентам с АГ и СД в следующих клинических ситуациях: пациентам с ИБС (перенесенный инфаркт миокарда, стенокардия), хронической сердечной недостаточностью, н</w:t>
      </w:r>
      <w:r>
        <w:t>арушениями ритма сердца.</w:t>
      </w:r>
    </w:p>
    <w:p w:rsidR="00D27BC6" w:rsidRDefault="004D5071">
      <w:pPr>
        <w:numPr>
          <w:ilvl w:val="0"/>
          <w:numId w:val="125"/>
        </w:numPr>
        <w:spacing w:after="230"/>
        <w:ind w:right="0" w:hanging="283"/>
      </w:pPr>
      <w:r>
        <w:t>Пациентам с АГ и СД рекомендовано назначение кардиоселективных ББ (бисопролол, метопролол) и ББ с вазодилатирующим эффектом (карведилол, небиволол). Последние не оказывают отрицательного влияния на углеводный и липидный обмен, спос</w:t>
      </w:r>
      <w:r>
        <w:t>обны повышать чувствительность тканей к инсулину.</w:t>
      </w:r>
    </w:p>
    <w:p w:rsidR="00D27BC6" w:rsidRDefault="004D5071">
      <w:pPr>
        <w:ind w:left="281" w:right="51"/>
        <w:jc w:val="left"/>
      </w:pPr>
      <w:r>
        <w:rPr>
          <w:b/>
        </w:rPr>
        <w:t>Дополнительные препараты в лечении АГ</w:t>
      </w:r>
    </w:p>
    <w:p w:rsidR="00D27BC6" w:rsidRDefault="004D5071">
      <w:pPr>
        <w:numPr>
          <w:ilvl w:val="0"/>
          <w:numId w:val="125"/>
        </w:numPr>
        <w:ind w:right="0" w:hanging="283"/>
      </w:pPr>
      <w:r>
        <w:t xml:space="preserve">Препараты центрального действия из группы </w:t>
      </w:r>
      <w:r>
        <w:rPr>
          <w:b/>
        </w:rPr>
        <w:t>агонистов II-имидазолиновых рецепторов (моксонидин)</w:t>
      </w:r>
      <w:r>
        <w:t xml:space="preserve"> обладают благоприятным метаболическим профилем: снижают инсулинорезистентн</w:t>
      </w:r>
      <w:r>
        <w:t xml:space="preserve">ость, гипергликемию, нейтральны по отношению к липидному обмену. Их рекомендуется назначать в составе комбинированной терапии </w:t>
      </w:r>
    </w:p>
    <w:p w:rsidR="00D27BC6" w:rsidRDefault="004D5071">
      <w:pPr>
        <w:ind w:left="295" w:right="0"/>
      </w:pPr>
      <w:r>
        <w:t xml:space="preserve">у  пациентов с </w:t>
      </w:r>
      <w:r>
        <w:rPr>
          <w:b/>
        </w:rPr>
        <w:t>отсутствием контроля АД и ожирением</w:t>
      </w:r>
      <w:r>
        <w:t>. У данных пациентов возможно рассмотреть комбинированную терапию блокатором ре</w:t>
      </w:r>
      <w:r>
        <w:t>нин-ангиотензин-альдостероновой системы (иАПФ или БРА), моксонидином и АК или диуретиком.</w:t>
      </w:r>
    </w:p>
    <w:p w:rsidR="00D27BC6" w:rsidRDefault="004D5071">
      <w:pPr>
        <w:numPr>
          <w:ilvl w:val="0"/>
          <w:numId w:val="125"/>
        </w:numPr>
        <w:ind w:right="0" w:hanging="283"/>
      </w:pPr>
      <w:r>
        <w:rPr>
          <w:b/>
        </w:rPr>
        <w:t>Альфа-блокаторы (АБ)</w:t>
      </w:r>
      <w:r>
        <w:t xml:space="preserve"> следует применять в составе комбинированной терапии АГ у больных СД с доброкачественной гиперплазией предстательной железы. АБ следует с осторожн</w:t>
      </w:r>
      <w:r>
        <w:t>остью назначать больным СД с выраженной автономной нейропатией, проявляющейся ортостатической гипотензией, которую может провоцировать прием данной группы препаратов.</w:t>
      </w:r>
    </w:p>
    <w:p w:rsidR="00D27BC6" w:rsidRDefault="004D5071">
      <w:pPr>
        <w:numPr>
          <w:ilvl w:val="0"/>
          <w:numId w:val="125"/>
        </w:numPr>
        <w:spacing w:after="226"/>
        <w:ind w:right="0" w:hanging="283"/>
      </w:pPr>
      <w:r>
        <w:t xml:space="preserve">Беременным женщинам с АГ в качестве препарата первой линии рекомендуется назначение </w:t>
      </w:r>
      <w:r>
        <w:rPr>
          <w:b/>
        </w:rPr>
        <w:t>метил</w:t>
      </w:r>
      <w:r>
        <w:rPr>
          <w:b/>
        </w:rPr>
        <w:t>допы</w:t>
      </w:r>
      <w:r>
        <w:t xml:space="preserve">. </w:t>
      </w:r>
    </w:p>
    <w:p w:rsidR="00D27BC6" w:rsidRDefault="004D5071">
      <w:pPr>
        <w:spacing w:after="243" w:line="259" w:lineRule="auto"/>
        <w:ind w:left="10" w:right="2"/>
        <w:jc w:val="center"/>
      </w:pPr>
      <w:r>
        <w:rPr>
          <w:b/>
          <w:color w:val="6F6F6E"/>
          <w:sz w:val="18"/>
          <w:u w:val="single" w:color="6F6F6E"/>
        </w:rPr>
        <w:t>ОСНОВНЫЕ ПОЛОЖЕНИЯ:</w:t>
      </w:r>
    </w:p>
    <w:p w:rsidR="00D27BC6" w:rsidRDefault="004D5071">
      <w:pPr>
        <w:numPr>
          <w:ilvl w:val="0"/>
          <w:numId w:val="126"/>
        </w:numPr>
        <w:ind w:right="0" w:hanging="284"/>
      </w:pPr>
      <w:r>
        <w:t>Диагностика и определение степени АГ у больных с СД проводится по тем же принципам, что и в общей популяции.</w:t>
      </w:r>
    </w:p>
    <w:p w:rsidR="00D27BC6" w:rsidRDefault="004D5071">
      <w:pPr>
        <w:numPr>
          <w:ilvl w:val="0"/>
          <w:numId w:val="126"/>
        </w:numPr>
        <w:ind w:right="0" w:hanging="284"/>
      </w:pPr>
      <w:r>
        <w:t>Медикаментозная терапия АГ при СД предполагает применение антигипертензивных лекарственных средств прежде всего обладающих ангио- и нефропротекцией, это препараты из группы блокаторов ренин-ангиотензиновой системы.</w:t>
      </w:r>
    </w:p>
    <w:p w:rsidR="00D27BC6" w:rsidRDefault="004D5071">
      <w:pPr>
        <w:numPr>
          <w:ilvl w:val="0"/>
          <w:numId w:val="126"/>
        </w:numPr>
        <w:ind w:right="0" w:hanging="284"/>
      </w:pPr>
      <w:r>
        <w:t>Пациентам с АГ и СД целесообразно назначе</w:t>
      </w:r>
      <w:r>
        <w:t>ние метаболически нейтральных лекарственных средств.</w:t>
      </w:r>
    </w:p>
    <w:p w:rsidR="00D27BC6" w:rsidRDefault="004D5071">
      <w:pPr>
        <w:numPr>
          <w:ilvl w:val="0"/>
          <w:numId w:val="126"/>
        </w:numPr>
        <w:ind w:right="0" w:hanging="284"/>
      </w:pPr>
      <w:r>
        <w:t>Выбор антигипертензивной терапии и режим дозирования проводят в соответствии с показателями функции почек.</w:t>
      </w:r>
    </w:p>
    <w:p w:rsidR="00D27BC6" w:rsidRDefault="004D5071">
      <w:pPr>
        <w:numPr>
          <w:ilvl w:val="0"/>
          <w:numId w:val="126"/>
        </w:numPr>
        <w:ind w:right="0" w:hanging="284"/>
      </w:pPr>
      <w:r>
        <w:t>Старт медикаментозной терапии АГ следует проводить с назначения допустимой комбинации двух лекар</w:t>
      </w:r>
      <w:r>
        <w:t>ственных средств, преимущественно в одной таблетке.</w:t>
      </w:r>
    </w:p>
    <w:p w:rsidR="00D27BC6" w:rsidRDefault="004D5071">
      <w:pPr>
        <w:numPr>
          <w:ilvl w:val="0"/>
          <w:numId w:val="126"/>
        </w:numPr>
        <w:spacing w:after="322"/>
        <w:ind w:right="0" w:hanging="284"/>
      </w:pPr>
      <w:r>
        <w:t>При резистентной АГ к основной трехкомпонентной терапии добавляют лекарственные средства дополнительного ряда – агонисты имидазолиновых рецепторов, или спиронолактон, или АБ, или ББ.</w:t>
      </w:r>
    </w:p>
    <w:p w:rsidR="00D27BC6" w:rsidRDefault="004D5071">
      <w:pPr>
        <w:spacing w:after="285"/>
        <w:ind w:left="313" w:right="303"/>
        <w:jc w:val="center"/>
      </w:pPr>
      <w:r>
        <w:rPr>
          <w:b/>
          <w:sz w:val="24"/>
        </w:rPr>
        <w:t>16. НЕАЛКОГОЛЬНАЯ (МЕ</w:t>
      </w:r>
      <w:r>
        <w:rPr>
          <w:b/>
          <w:sz w:val="24"/>
        </w:rPr>
        <w:t xml:space="preserve">ТАБОЛИЧЕСКИ АССОЦИИРОВАННАЯ) ЖИРОВАЯ БОЛЕЗНЬ </w:t>
      </w:r>
    </w:p>
    <w:p w:rsidR="00D27BC6" w:rsidRDefault="004D5071">
      <w:pPr>
        <w:pStyle w:val="Heading1"/>
        <w:spacing w:after="285"/>
        <w:ind w:left="313" w:right="303"/>
      </w:pPr>
      <w:r>
        <w:t>ПЕЧЕНИ ПРИ САХАРНОМ ДИАБЕТЕ</w:t>
      </w:r>
    </w:p>
    <w:p w:rsidR="00D27BC6" w:rsidRDefault="004D5071">
      <w:pPr>
        <w:spacing w:after="230"/>
        <w:ind w:left="-11" w:right="0" w:firstLine="283"/>
      </w:pPr>
      <w:r>
        <w:rPr>
          <w:b/>
        </w:rPr>
        <w:t>Неалкогольная жировая болезнь печени (НАЖБП)</w:t>
      </w:r>
      <w:r>
        <w:t xml:space="preserve"> – хроническое заболевание печени, связанное с метаболической дисфункцией, при котором более чем в 5% гепатоцитов определяется макровезику</w:t>
      </w:r>
      <w:r>
        <w:t>лярный стеатоз.</w:t>
      </w:r>
    </w:p>
    <w:p w:rsidR="00D27BC6" w:rsidRDefault="004D5071">
      <w:pPr>
        <w:ind w:left="281" w:right="51"/>
        <w:jc w:val="left"/>
      </w:pPr>
      <w:r>
        <w:rPr>
          <w:b/>
        </w:rPr>
        <w:t xml:space="preserve">Формы НАЖБП: </w:t>
      </w:r>
    </w:p>
    <w:p w:rsidR="00D27BC6" w:rsidRDefault="004D5071">
      <w:pPr>
        <w:numPr>
          <w:ilvl w:val="0"/>
          <w:numId w:val="127"/>
        </w:numPr>
        <w:ind w:right="0" w:hanging="283"/>
      </w:pPr>
      <w:r>
        <w:t>простой стеатоз – доброкачественное состояние, при котором отсутствует воспаление, нет прогрессирования патологического процесса в печени, но, согласно последним данным, стеатоз – самостоятельный фактор риска развития ССЗ и их</w:t>
      </w:r>
      <w:r>
        <w:t xml:space="preserve"> осложнений;</w:t>
      </w:r>
    </w:p>
    <w:p w:rsidR="00D27BC6" w:rsidRDefault="004D5071">
      <w:pPr>
        <w:numPr>
          <w:ilvl w:val="0"/>
          <w:numId w:val="127"/>
        </w:numPr>
        <w:spacing w:after="230"/>
        <w:ind w:right="0" w:hanging="283"/>
      </w:pPr>
      <w:r>
        <w:t>неалкогольный стеатогепатит (НАСГ), который, кроме стеатоза, характеризуется лобулярным воспалением, баллонной дегенерацией и возможным наличием фиброза с риском прогрессирования в цирроз печени и развития гепатоцеллюлярного рака.</w:t>
      </w:r>
    </w:p>
    <w:p w:rsidR="00D27BC6" w:rsidRDefault="004D5071">
      <w:pPr>
        <w:spacing w:after="230"/>
        <w:ind w:left="-11" w:right="0" w:firstLine="283"/>
      </w:pPr>
      <w:r>
        <w:t>Общая распро</w:t>
      </w:r>
      <w:r>
        <w:t>страненность НАЖБП среди больных СД 2 типа составляет 55,5%, тогда как распространенность НАСГ среди больных СД2 и НАЖБП составляет 37,3%. По последним данным от 12 до 20% людей с СД 2 типа имеют тяжелую степень фиброза печени.</w:t>
      </w:r>
    </w:p>
    <w:p w:rsidR="00D27BC6" w:rsidRDefault="004D5071">
      <w:pPr>
        <w:ind w:left="281" w:right="51"/>
        <w:jc w:val="left"/>
      </w:pPr>
      <w:r>
        <w:rPr>
          <w:b/>
        </w:rPr>
        <w:t>Новая номенклатура</w:t>
      </w:r>
    </w:p>
    <w:p w:rsidR="00D27BC6" w:rsidRDefault="004D5071">
      <w:pPr>
        <w:spacing w:after="230"/>
        <w:ind w:left="-11" w:right="0" w:firstLine="283"/>
      </w:pPr>
      <w:r>
        <w:t>В 2023 г. была опубликована новая номенклатура жировой болезни печени. Международные эксперты предложили новое название для НАЖБП – метаболически ассоциированная жировая болезнь печени, МАЖБП) и оптимизировали диагностические критерии этого заболевания. Од</w:t>
      </w:r>
      <w:r>
        <w:t>нако для работы с официальной медицинской документацией рекомендуется продолжать использовать уже привычные термины «НАЖБП» и «НАСГ» ввиду необходимости применения МКБ-10; в научных целях можно применять новые термины. Например, МАЖБП – для НАЖБП, метаболи</w:t>
      </w:r>
      <w:r>
        <w:t>чески ассоциированный стеатогепатит (МАСГ) – для НАСГ.</w:t>
      </w:r>
    </w:p>
    <w:p w:rsidR="00D27BC6" w:rsidRDefault="004D5071">
      <w:pPr>
        <w:ind w:left="281" w:right="51"/>
        <w:jc w:val="left"/>
      </w:pPr>
      <w:r>
        <w:rPr>
          <w:b/>
        </w:rPr>
        <w:t>Диагностические критерии</w:t>
      </w:r>
    </w:p>
    <w:p w:rsidR="00D27BC6" w:rsidRDefault="004D5071">
      <w:pPr>
        <w:numPr>
          <w:ilvl w:val="0"/>
          <w:numId w:val="128"/>
        </w:numPr>
        <w:ind w:right="0" w:hanging="283"/>
      </w:pPr>
      <w:r>
        <w:t>подтверждение стеатоза печени (по данным визуализирующих исследований или гистологического исследования ткани печени);</w:t>
      </w:r>
    </w:p>
    <w:p w:rsidR="00D27BC6" w:rsidRDefault="004D5071">
      <w:pPr>
        <w:numPr>
          <w:ilvl w:val="0"/>
          <w:numId w:val="128"/>
        </w:numPr>
        <w:ind w:right="0" w:hanging="283"/>
      </w:pPr>
      <w:r>
        <w:t>наличие 1 и более факторов кардиометаболического риска:</w:t>
      </w:r>
    </w:p>
    <w:p w:rsidR="00D27BC6" w:rsidRDefault="004D5071">
      <w:pPr>
        <w:numPr>
          <w:ilvl w:val="1"/>
          <w:numId w:val="128"/>
        </w:numPr>
        <w:ind w:left="568" w:right="0" w:hanging="283"/>
      </w:pPr>
      <w:r>
        <w:t>И</w:t>
      </w:r>
      <w:r>
        <w:t>МТ&gt; 25 кг/м</w:t>
      </w:r>
      <w:r>
        <w:rPr>
          <w:sz w:val="18"/>
          <w:vertAlign w:val="superscript"/>
        </w:rPr>
        <w:t>2</w:t>
      </w:r>
      <w:r>
        <w:t xml:space="preserve"> или окружность талии&gt; 94 см у мужчин, &gt; 80 см у женщин (либо выше верхней границы нормы, если пациент относится к этнической группе, для которой приняты другие нормы ИМТ и/или окружности талии);</w:t>
      </w:r>
    </w:p>
    <w:p w:rsidR="00D27BC6" w:rsidRDefault="004D5071">
      <w:pPr>
        <w:numPr>
          <w:ilvl w:val="1"/>
          <w:numId w:val="128"/>
        </w:numPr>
        <w:ind w:left="568" w:right="0" w:hanging="283"/>
      </w:pPr>
      <w:r>
        <w:t>наличие или впервые выявленный СД 2 типа / преди</w:t>
      </w:r>
      <w:r>
        <w:t>абет (в том числе на сахароснижающей терапии);</w:t>
      </w:r>
    </w:p>
    <w:p w:rsidR="00D27BC6" w:rsidRDefault="004D5071">
      <w:pPr>
        <w:numPr>
          <w:ilvl w:val="1"/>
          <w:numId w:val="128"/>
        </w:numPr>
        <w:ind w:left="568" w:right="0" w:hanging="283"/>
      </w:pPr>
      <w:r>
        <w:t>артериальное давление ≥130/85 мм рт. ст. или лечение уже диагностированной АГ;</w:t>
      </w:r>
    </w:p>
    <w:p w:rsidR="00D27BC6" w:rsidRDefault="004D5071">
      <w:pPr>
        <w:numPr>
          <w:ilvl w:val="1"/>
          <w:numId w:val="128"/>
        </w:numPr>
        <w:ind w:left="568" w:right="0" w:hanging="283"/>
      </w:pPr>
      <w:r>
        <w:t>ТГ в плазме ≥ 1,70 ммоль/л или терапия дислипидемии;</w:t>
      </w:r>
    </w:p>
    <w:p w:rsidR="00D27BC6" w:rsidRDefault="004D5071">
      <w:pPr>
        <w:numPr>
          <w:ilvl w:val="1"/>
          <w:numId w:val="128"/>
        </w:numPr>
        <w:ind w:left="568" w:right="0" w:hanging="283"/>
      </w:pPr>
      <w:r>
        <w:t>ХЛВП в плазме &lt;1,0 ммоль/л у мужчин и &lt;1,3 ммоль/л у женщин или терапия дисли</w:t>
      </w:r>
      <w:r>
        <w:t xml:space="preserve">пидемии; </w:t>
      </w:r>
    </w:p>
    <w:p w:rsidR="00D27BC6" w:rsidRDefault="004D5071">
      <w:pPr>
        <w:numPr>
          <w:ilvl w:val="0"/>
          <w:numId w:val="128"/>
        </w:numPr>
        <w:spacing w:after="230"/>
        <w:ind w:right="0" w:hanging="283"/>
      </w:pPr>
      <w:r>
        <w:t xml:space="preserve">исключение других ведущих причин развития жировой болезни печени (избыточное употребление алкоголя, моногенные заболевания, лекарственные поражения печени, токсины окружающей среды, вирус гепатита С (генотип 3), ВИЧ-инфекция, резкая потеря массы </w:t>
      </w:r>
      <w:r>
        <w:t>тела вследствие проведения бариатрической операции, голодания; недоедание, полное парентеральное питание, синдром короткой кишки, избыточный бактериальный рост в тонкой кишке и изменения микробиома, целиакия, воспалительные заболевания кишечника, панкреатэ</w:t>
      </w:r>
      <w:r>
        <w:t>ктомия, острая жировая дистрофия печени при беременности, гипотиреоз, синдром поликистозных яичников, дисфункция гипоталамуса/гипофиза, дефицит гормона роста.</w:t>
      </w:r>
    </w:p>
    <w:p w:rsidR="00D27BC6" w:rsidRDefault="004D5071">
      <w:pPr>
        <w:ind w:left="281" w:right="51"/>
        <w:jc w:val="left"/>
      </w:pPr>
      <w:r>
        <w:rPr>
          <w:b/>
        </w:rPr>
        <w:t xml:space="preserve">Диагностика НАЖБП у пациентов с СД 2 типа / предиабетом </w:t>
      </w:r>
    </w:p>
    <w:p w:rsidR="00D27BC6" w:rsidRDefault="004D5071">
      <w:pPr>
        <w:spacing w:after="0" w:line="259" w:lineRule="auto"/>
        <w:ind w:left="248" w:right="-9"/>
        <w:jc w:val="right"/>
      </w:pPr>
      <w:r>
        <w:rPr>
          <w:b/>
        </w:rPr>
        <w:t>Первая линия</w:t>
      </w:r>
      <w:r>
        <w:t xml:space="preserve"> диагностики стеатоза – УЗИ </w:t>
      </w:r>
      <w:r>
        <w:t>органов брюшной полости (рекомендовано проводить всем пациен-</w:t>
      </w:r>
    </w:p>
    <w:p w:rsidR="00D27BC6" w:rsidRDefault="004D5071">
      <w:pPr>
        <w:ind w:left="-1" w:right="0"/>
      </w:pPr>
      <w:r>
        <w:t>там с СД 2 типа, вне зависимости от уровня трансаминаз).</w:t>
      </w:r>
    </w:p>
    <w:p w:rsidR="00D27BC6" w:rsidRDefault="004D5071">
      <w:pPr>
        <w:ind w:left="295" w:right="0"/>
      </w:pPr>
      <w:r>
        <w:t xml:space="preserve">Ультразвуковыми признаками НАЖБП можно считать: </w:t>
      </w:r>
    </w:p>
    <w:p w:rsidR="00D27BC6" w:rsidRDefault="004D5071">
      <w:pPr>
        <w:numPr>
          <w:ilvl w:val="0"/>
          <w:numId w:val="129"/>
        </w:numPr>
        <w:ind w:right="0" w:hanging="283"/>
      </w:pPr>
      <w:r>
        <w:t xml:space="preserve">диффузную гиперэхогенность паренхимы печени и неоднородность ее структуры; • </w:t>
      </w:r>
      <w:r>
        <w:tab/>
      </w:r>
      <w:r>
        <w:t xml:space="preserve">нечеткость и (или) подчеркнутость сосудистого рисунка; </w:t>
      </w:r>
    </w:p>
    <w:p w:rsidR="00D27BC6" w:rsidRDefault="004D5071">
      <w:pPr>
        <w:numPr>
          <w:ilvl w:val="0"/>
          <w:numId w:val="129"/>
        </w:numPr>
        <w:spacing w:after="232"/>
        <w:ind w:right="0" w:hanging="283"/>
      </w:pPr>
      <w:r>
        <w:t>дистальное затухание эхосигнала.</w:t>
      </w:r>
    </w:p>
    <w:p w:rsidR="00D27BC6" w:rsidRDefault="004D5071">
      <w:pPr>
        <w:ind w:left="295" w:right="0"/>
      </w:pPr>
      <w:r>
        <w:rPr>
          <w:b/>
        </w:rPr>
        <w:t xml:space="preserve">Вторая линия </w:t>
      </w:r>
      <w:r>
        <w:t>диагностики стеатоза и его количественной оценки:</w:t>
      </w:r>
    </w:p>
    <w:p w:rsidR="00D27BC6" w:rsidRDefault="004D5071">
      <w:pPr>
        <w:numPr>
          <w:ilvl w:val="0"/>
          <w:numId w:val="129"/>
        </w:numPr>
        <w:ind w:right="0" w:hanging="283"/>
      </w:pPr>
      <w:r>
        <w:t>эластография печени: оценка параметра контролируемого затухания (Controlled Attenuation Parameter – CAP)</w:t>
      </w:r>
      <w:r>
        <w:t xml:space="preserve"> ультразвука (при доступности метода эластографии в ЛПУ).</w:t>
      </w:r>
    </w:p>
    <w:p w:rsidR="00D27BC6" w:rsidRDefault="004D5071">
      <w:pPr>
        <w:numPr>
          <w:ilvl w:val="0"/>
          <w:numId w:val="129"/>
        </w:numPr>
        <w:spacing w:after="230"/>
        <w:ind w:right="0" w:hanging="283"/>
      </w:pPr>
      <w:r>
        <w:t>магнитно-резонансная томография органов брюшной полости (с определением фракции жира в печени – МРТ PDFF) (применение ограничено из-за высокой стоимости и доступности метода в ЛПУ).</w:t>
      </w:r>
    </w:p>
    <w:p w:rsidR="00D27BC6" w:rsidRDefault="004D5071">
      <w:pPr>
        <w:spacing w:after="235"/>
        <w:ind w:left="-11" w:right="0" w:firstLine="283"/>
      </w:pPr>
      <w:r>
        <w:t>Подтверждение на</w:t>
      </w:r>
      <w:r>
        <w:t>личия кардиометаболических рисков проводится на основании объективного осмотра, сбора анамнеза, биохимического анализа крови и специфических анализов крови при необходимости для исключения других ведущих причин развития жировой болезни печени.</w:t>
      </w:r>
    </w:p>
    <w:p w:rsidR="00D27BC6" w:rsidRDefault="004D5071">
      <w:pPr>
        <w:spacing w:after="230"/>
        <w:ind w:left="-11" w:right="0" w:firstLine="283"/>
      </w:pPr>
      <w:r>
        <w:t>Для исключен</w:t>
      </w:r>
      <w:r>
        <w:t xml:space="preserve">ия наличия НАЖБП с </w:t>
      </w:r>
      <w:r>
        <w:rPr>
          <w:b/>
        </w:rPr>
        <w:t>выраженным фиброзом или циррозом</w:t>
      </w:r>
      <w:r>
        <w:t xml:space="preserve"> у пациентов с СД 2 типа / предиабетом используется индекс фиброза FIB-4 (незапатентованный тест, находится в свободном доступе), особенно с сопутствующими ожирением/сердечно-сосудистыми заболеваниями, с ц</w:t>
      </w:r>
      <w:r>
        <w:t>елью дальнейшей маршрутизации пациента.</w:t>
      </w:r>
    </w:p>
    <w:p w:rsidR="00D27BC6" w:rsidRDefault="004D5071">
      <w:pPr>
        <w:spacing w:after="226"/>
        <w:ind w:left="2137" w:right="0"/>
      </w:pPr>
      <w:r>
        <w:t>FIB-4 (Fibrosis-4) = возраст (лет) × АСТ / (n тромбоциты (109 / л) × √(АЛТ))</w:t>
      </w:r>
    </w:p>
    <w:p w:rsidR="00D27BC6" w:rsidRDefault="004D5071">
      <w:pPr>
        <w:ind w:left="-11" w:right="0" w:firstLine="283"/>
      </w:pPr>
      <w:r>
        <w:t>Показатель менее 1,3 предполагает низкий риск развития тяжелого фиброза, тогда как показатель более 2,67 предполагает высокую вероятность р</w:t>
      </w:r>
      <w:r>
        <w:t>азвития/наличия тяжелого фиброза и других тяжелых печеночных исходов.</w:t>
      </w:r>
    </w:p>
    <w:p w:rsidR="00D27BC6" w:rsidRDefault="004D5071">
      <w:pPr>
        <w:spacing w:after="236"/>
        <w:ind w:left="-11" w:right="0" w:firstLine="283"/>
      </w:pPr>
      <w:r>
        <w:t>При получении сомнительных результатов (серая зона) или высокого риска значительного фиброза печени (по данным FIB4 или инструментальных/визуализирующих методов диагностики) пациента с С</w:t>
      </w:r>
      <w:r>
        <w:t xml:space="preserve">Д 2 типа / предиабетом необходимо направить </w:t>
      </w:r>
      <w:r>
        <w:rPr>
          <w:b/>
        </w:rPr>
        <w:t>на консультацию к гастроэнтерологу</w:t>
      </w:r>
      <w:r>
        <w:t xml:space="preserve"> для определения дальнейшей тактики лечения.</w:t>
      </w:r>
    </w:p>
    <w:p w:rsidR="00D27BC6" w:rsidRDefault="004D5071">
      <w:pPr>
        <w:spacing w:after="230"/>
        <w:ind w:left="-11" w:right="0" w:firstLine="283"/>
      </w:pPr>
      <w:r>
        <w:rPr>
          <w:b/>
        </w:rPr>
        <w:t>Диагноз НАСГ</w:t>
      </w:r>
      <w:r>
        <w:t xml:space="preserve"> может быть поставлен только на основании проведения биопсии печени с целью определения признаков воспаления (стеатоз, ба</w:t>
      </w:r>
      <w:r>
        <w:t>ллонная дистрофия, лобулярное воспаление), а также в диагностически неясных случаях. При морфологическом исследовании ткани печени также оценивается степень выраженности стеатоза и фиброза</w:t>
      </w:r>
    </w:p>
    <w:p w:rsidR="00D27BC6" w:rsidRDefault="004D5071">
      <w:pPr>
        <w:spacing w:after="0" w:line="259" w:lineRule="auto"/>
        <w:ind w:left="-3" w:right="0"/>
        <w:jc w:val="left"/>
      </w:pPr>
      <w:r>
        <w:rPr>
          <w:b/>
          <w:color w:val="6F6F6E"/>
        </w:rPr>
        <w:t>Диагностический алгоритм стратификации тяжелого фиброза у пациентов</w:t>
      </w:r>
      <w:r>
        <w:rPr>
          <w:b/>
          <w:color w:val="6F6F6E"/>
        </w:rPr>
        <w:t xml:space="preserve"> с СД 2 типа и НАЖБП.</w:t>
      </w:r>
    </w:p>
    <w:p w:rsidR="00D27BC6" w:rsidRDefault="004D5071">
      <w:pPr>
        <w:spacing w:after="0" w:line="259" w:lineRule="auto"/>
        <w:ind w:left="275" w:right="0" w:firstLine="0"/>
        <w:jc w:val="left"/>
      </w:pPr>
      <w:r>
        <w:rPr>
          <w:noProof/>
          <w:sz w:val="22"/>
        </w:rPr>
        <mc:AlternateContent>
          <mc:Choice Requires="wpg">
            <w:drawing>
              <wp:inline distT="0" distB="0" distL="0" distR="0">
                <wp:extent cx="6133631" cy="2429396"/>
                <wp:effectExtent l="0" t="0" r="0" b="0"/>
                <wp:docPr id="284530" name="Group 284530"/>
                <wp:cNvGraphicFramePr/>
                <a:graphic xmlns:a="http://schemas.openxmlformats.org/drawingml/2006/main">
                  <a:graphicData uri="http://schemas.microsoft.com/office/word/2010/wordprocessingGroup">
                    <wpg:wgp>
                      <wpg:cNvGrpSpPr/>
                      <wpg:grpSpPr>
                        <a:xfrm>
                          <a:off x="0" y="0"/>
                          <a:ext cx="6133631" cy="2429396"/>
                          <a:chOff x="0" y="0"/>
                          <a:chExt cx="6133631" cy="2429396"/>
                        </a:xfrm>
                      </wpg:grpSpPr>
                      <wps:wsp>
                        <wps:cNvPr id="380274" name="Shape 380274"/>
                        <wps:cNvSpPr/>
                        <wps:spPr>
                          <a:xfrm>
                            <a:off x="918312" y="0"/>
                            <a:ext cx="2129396" cy="230327"/>
                          </a:xfrm>
                          <a:custGeom>
                            <a:avLst/>
                            <a:gdLst/>
                            <a:ahLst/>
                            <a:cxnLst/>
                            <a:rect l="0" t="0" r="0" b="0"/>
                            <a:pathLst>
                              <a:path w="2129396" h="230327">
                                <a:moveTo>
                                  <a:pt x="0" y="0"/>
                                </a:moveTo>
                                <a:lnTo>
                                  <a:pt x="2129396" y="0"/>
                                </a:lnTo>
                                <a:lnTo>
                                  <a:pt x="2129396" y="230327"/>
                                </a:lnTo>
                                <a:lnTo>
                                  <a:pt x="0" y="230327"/>
                                </a:lnTo>
                                <a:lnTo>
                                  <a:pt x="0" y="0"/>
                                </a:lnTo>
                              </a:path>
                            </a:pathLst>
                          </a:custGeom>
                          <a:ln w="0" cap="flat">
                            <a:miter lim="127000"/>
                          </a:ln>
                        </wps:spPr>
                        <wps:style>
                          <a:lnRef idx="0">
                            <a:srgbClr val="000000">
                              <a:alpha val="0"/>
                            </a:srgbClr>
                          </a:lnRef>
                          <a:fillRef idx="1">
                            <a:srgbClr val="DADAD9"/>
                          </a:fillRef>
                          <a:effectRef idx="0">
                            <a:scrgbClr r="0" g="0" b="0"/>
                          </a:effectRef>
                          <a:fontRef idx="none"/>
                        </wps:style>
                        <wps:bodyPr/>
                      </wps:wsp>
                      <wps:wsp>
                        <wps:cNvPr id="20581" name="Rectangle 20581"/>
                        <wps:cNvSpPr/>
                        <wps:spPr>
                          <a:xfrm>
                            <a:off x="1180890" y="37182"/>
                            <a:ext cx="2133637" cy="209279"/>
                          </a:xfrm>
                          <a:prstGeom prst="rect">
                            <a:avLst/>
                          </a:prstGeom>
                          <a:ln>
                            <a:noFill/>
                          </a:ln>
                        </wps:spPr>
                        <wps:txbx>
                          <w:txbxContent>
                            <w:p w:rsidR="00D27BC6" w:rsidRDefault="004D5071">
                              <w:pPr>
                                <w:spacing w:after="160" w:line="259" w:lineRule="auto"/>
                                <w:ind w:left="0" w:right="0" w:firstLine="0"/>
                                <w:jc w:val="left"/>
                              </w:pPr>
                              <w:r>
                                <w:rPr>
                                  <w:b/>
                                  <w:w w:val="111"/>
                                </w:rPr>
                                <w:t>УЗИ</w:t>
                              </w:r>
                              <w:r>
                                <w:rPr>
                                  <w:b/>
                                  <w:spacing w:val="-5"/>
                                  <w:w w:val="111"/>
                                </w:rPr>
                                <w:t xml:space="preserve"> </w:t>
                              </w:r>
                              <w:r>
                                <w:rPr>
                                  <w:b/>
                                  <w:w w:val="111"/>
                                </w:rPr>
                                <w:t>ОБП</w:t>
                              </w:r>
                              <w:r>
                                <w:rPr>
                                  <w:b/>
                                  <w:spacing w:val="-5"/>
                                  <w:w w:val="111"/>
                                </w:rPr>
                                <w:t xml:space="preserve"> </w:t>
                              </w:r>
                              <w:r>
                                <w:rPr>
                                  <w:b/>
                                  <w:w w:val="111"/>
                                </w:rPr>
                                <w:t>у</w:t>
                              </w:r>
                              <w:r>
                                <w:rPr>
                                  <w:b/>
                                  <w:spacing w:val="-5"/>
                                  <w:w w:val="111"/>
                                </w:rPr>
                                <w:t xml:space="preserve"> </w:t>
                              </w:r>
                              <w:r>
                                <w:rPr>
                                  <w:b/>
                                  <w:w w:val="111"/>
                                </w:rPr>
                                <w:t>пациентов</w:t>
                              </w:r>
                              <w:r>
                                <w:rPr>
                                  <w:b/>
                                  <w:spacing w:val="-5"/>
                                  <w:w w:val="111"/>
                                </w:rPr>
                                <w:t xml:space="preserve"> </w:t>
                              </w:r>
                              <w:r>
                                <w:rPr>
                                  <w:b/>
                                  <w:w w:val="111"/>
                                </w:rPr>
                                <w:t>с</w:t>
                              </w:r>
                              <w:r>
                                <w:rPr>
                                  <w:b/>
                                  <w:spacing w:val="-5"/>
                                  <w:w w:val="111"/>
                                </w:rPr>
                                <w:t xml:space="preserve"> </w:t>
                              </w:r>
                              <w:r>
                                <w:rPr>
                                  <w:b/>
                                  <w:w w:val="111"/>
                                </w:rPr>
                                <w:t>СД2</w:t>
                              </w:r>
                            </w:p>
                          </w:txbxContent>
                        </wps:txbx>
                        <wps:bodyPr horzOverflow="overflow" vert="horz" lIns="0" tIns="0" rIns="0" bIns="0" rtlCol="0">
                          <a:noAutofit/>
                        </wps:bodyPr>
                      </wps:wsp>
                      <wps:wsp>
                        <wps:cNvPr id="20582" name="Shape 20582"/>
                        <wps:cNvSpPr/>
                        <wps:spPr>
                          <a:xfrm>
                            <a:off x="918312" y="0"/>
                            <a:ext cx="2129396" cy="230327"/>
                          </a:xfrm>
                          <a:custGeom>
                            <a:avLst/>
                            <a:gdLst/>
                            <a:ahLst/>
                            <a:cxnLst/>
                            <a:rect l="0" t="0" r="0" b="0"/>
                            <a:pathLst>
                              <a:path w="2129396" h="230327">
                                <a:moveTo>
                                  <a:pt x="0" y="230327"/>
                                </a:moveTo>
                                <a:lnTo>
                                  <a:pt x="2129396" y="230327"/>
                                </a:lnTo>
                                <a:lnTo>
                                  <a:pt x="212939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0287" name="Shape 380287"/>
                        <wps:cNvSpPr/>
                        <wps:spPr>
                          <a:xfrm>
                            <a:off x="918312" y="412801"/>
                            <a:ext cx="2129396" cy="230327"/>
                          </a:xfrm>
                          <a:custGeom>
                            <a:avLst/>
                            <a:gdLst/>
                            <a:ahLst/>
                            <a:cxnLst/>
                            <a:rect l="0" t="0" r="0" b="0"/>
                            <a:pathLst>
                              <a:path w="2129396" h="230327">
                                <a:moveTo>
                                  <a:pt x="0" y="0"/>
                                </a:moveTo>
                                <a:lnTo>
                                  <a:pt x="2129396" y="0"/>
                                </a:lnTo>
                                <a:lnTo>
                                  <a:pt x="2129396" y="230327"/>
                                </a:lnTo>
                                <a:lnTo>
                                  <a:pt x="0" y="230327"/>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0584" name="Rectangle 20584"/>
                        <wps:cNvSpPr/>
                        <wps:spPr>
                          <a:xfrm>
                            <a:off x="1062209" y="449982"/>
                            <a:ext cx="2449330" cy="209279"/>
                          </a:xfrm>
                          <a:prstGeom prst="rect">
                            <a:avLst/>
                          </a:prstGeom>
                          <a:ln>
                            <a:noFill/>
                          </a:ln>
                        </wps:spPr>
                        <wps:txbx>
                          <w:txbxContent>
                            <w:p w:rsidR="00D27BC6" w:rsidRDefault="004D5071">
                              <w:pPr>
                                <w:spacing w:after="160" w:line="259" w:lineRule="auto"/>
                                <w:ind w:left="0" w:right="0" w:firstLine="0"/>
                                <w:jc w:val="left"/>
                              </w:pPr>
                              <w:r>
                                <w:rPr>
                                  <w:b/>
                                  <w:w w:val="112"/>
                                </w:rPr>
                                <w:t>Пациенты</w:t>
                              </w:r>
                              <w:r>
                                <w:rPr>
                                  <w:b/>
                                  <w:spacing w:val="-5"/>
                                  <w:w w:val="112"/>
                                </w:rPr>
                                <w:t xml:space="preserve"> </w:t>
                              </w:r>
                              <w:r>
                                <w:rPr>
                                  <w:b/>
                                  <w:w w:val="112"/>
                                </w:rPr>
                                <w:t>с</w:t>
                              </w:r>
                              <w:r>
                                <w:rPr>
                                  <w:b/>
                                  <w:spacing w:val="-5"/>
                                  <w:w w:val="112"/>
                                </w:rPr>
                                <w:t xml:space="preserve"> </w:t>
                              </w:r>
                              <w:r>
                                <w:rPr>
                                  <w:b/>
                                  <w:w w:val="112"/>
                                </w:rPr>
                                <w:t>СД</w:t>
                              </w:r>
                              <w:r>
                                <w:rPr>
                                  <w:b/>
                                  <w:spacing w:val="-5"/>
                                  <w:w w:val="112"/>
                                </w:rPr>
                                <w:t xml:space="preserve"> </w:t>
                              </w:r>
                              <w:r>
                                <w:rPr>
                                  <w:b/>
                                  <w:w w:val="112"/>
                                </w:rPr>
                                <w:t>2</w:t>
                              </w:r>
                              <w:r>
                                <w:rPr>
                                  <w:b/>
                                  <w:spacing w:val="-5"/>
                                  <w:w w:val="112"/>
                                </w:rPr>
                                <w:t xml:space="preserve"> </w:t>
                              </w:r>
                              <w:r>
                                <w:rPr>
                                  <w:b/>
                                  <w:w w:val="112"/>
                                </w:rPr>
                                <w:t>типа</w:t>
                              </w:r>
                              <w:r>
                                <w:rPr>
                                  <w:b/>
                                  <w:spacing w:val="-5"/>
                                  <w:w w:val="112"/>
                                </w:rPr>
                                <w:t xml:space="preserve"> </w:t>
                              </w:r>
                              <w:r>
                                <w:rPr>
                                  <w:b/>
                                  <w:w w:val="112"/>
                                </w:rPr>
                                <w:t>и</w:t>
                              </w:r>
                              <w:r>
                                <w:rPr>
                                  <w:b/>
                                  <w:spacing w:val="-5"/>
                                  <w:w w:val="112"/>
                                </w:rPr>
                                <w:t xml:space="preserve"> </w:t>
                              </w:r>
                              <w:r>
                                <w:rPr>
                                  <w:b/>
                                  <w:w w:val="112"/>
                                </w:rPr>
                                <w:t>НАЖБП</w:t>
                              </w:r>
                            </w:p>
                          </w:txbxContent>
                        </wps:txbx>
                        <wps:bodyPr horzOverflow="overflow" vert="horz" lIns="0" tIns="0" rIns="0" bIns="0" rtlCol="0">
                          <a:noAutofit/>
                        </wps:bodyPr>
                      </wps:wsp>
                      <wps:wsp>
                        <wps:cNvPr id="20585" name="Shape 20585"/>
                        <wps:cNvSpPr/>
                        <wps:spPr>
                          <a:xfrm>
                            <a:off x="918312" y="412801"/>
                            <a:ext cx="2129396" cy="230327"/>
                          </a:xfrm>
                          <a:custGeom>
                            <a:avLst/>
                            <a:gdLst/>
                            <a:ahLst/>
                            <a:cxnLst/>
                            <a:rect l="0" t="0" r="0" b="0"/>
                            <a:pathLst>
                              <a:path w="2129396" h="230327">
                                <a:moveTo>
                                  <a:pt x="0" y="230327"/>
                                </a:moveTo>
                                <a:lnTo>
                                  <a:pt x="2129396" y="230327"/>
                                </a:lnTo>
                                <a:lnTo>
                                  <a:pt x="212939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0302" name="Shape 380302"/>
                        <wps:cNvSpPr/>
                        <wps:spPr>
                          <a:xfrm>
                            <a:off x="918312" y="825602"/>
                            <a:ext cx="2129396" cy="230327"/>
                          </a:xfrm>
                          <a:custGeom>
                            <a:avLst/>
                            <a:gdLst/>
                            <a:ahLst/>
                            <a:cxnLst/>
                            <a:rect l="0" t="0" r="0" b="0"/>
                            <a:pathLst>
                              <a:path w="2129396" h="230327">
                                <a:moveTo>
                                  <a:pt x="0" y="0"/>
                                </a:moveTo>
                                <a:lnTo>
                                  <a:pt x="2129396" y="0"/>
                                </a:lnTo>
                                <a:lnTo>
                                  <a:pt x="2129396" y="230327"/>
                                </a:lnTo>
                                <a:lnTo>
                                  <a:pt x="0" y="230327"/>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0587" name="Rectangle 20587"/>
                        <wps:cNvSpPr/>
                        <wps:spPr>
                          <a:xfrm>
                            <a:off x="1013883" y="862782"/>
                            <a:ext cx="2577871" cy="209280"/>
                          </a:xfrm>
                          <a:prstGeom prst="rect">
                            <a:avLst/>
                          </a:prstGeom>
                          <a:ln>
                            <a:noFill/>
                          </a:ln>
                        </wps:spPr>
                        <wps:txbx>
                          <w:txbxContent>
                            <w:p w:rsidR="00D27BC6" w:rsidRDefault="004D5071">
                              <w:pPr>
                                <w:spacing w:after="160" w:line="259" w:lineRule="auto"/>
                                <w:ind w:left="0" w:right="0" w:firstLine="0"/>
                                <w:jc w:val="left"/>
                              </w:pPr>
                              <w:r>
                                <w:rPr>
                                  <w:b/>
                                  <w:w w:val="112"/>
                                </w:rPr>
                                <w:t>Оценка</w:t>
                              </w:r>
                              <w:r>
                                <w:rPr>
                                  <w:b/>
                                  <w:spacing w:val="-5"/>
                                  <w:w w:val="112"/>
                                </w:rPr>
                                <w:t xml:space="preserve"> </w:t>
                              </w:r>
                              <w:r>
                                <w:rPr>
                                  <w:b/>
                                  <w:w w:val="112"/>
                                </w:rPr>
                                <w:t>риска</w:t>
                              </w:r>
                              <w:r>
                                <w:rPr>
                                  <w:b/>
                                  <w:spacing w:val="-5"/>
                                  <w:w w:val="112"/>
                                </w:rPr>
                                <w:t xml:space="preserve"> </w:t>
                              </w:r>
                              <w:r>
                                <w:rPr>
                                  <w:b/>
                                  <w:w w:val="112"/>
                                </w:rPr>
                                <w:t>тяжелого</w:t>
                              </w:r>
                              <w:r>
                                <w:rPr>
                                  <w:b/>
                                  <w:spacing w:val="-5"/>
                                  <w:w w:val="112"/>
                                </w:rPr>
                                <w:t xml:space="preserve"> </w:t>
                              </w:r>
                              <w:r>
                                <w:rPr>
                                  <w:b/>
                                  <w:w w:val="112"/>
                                </w:rPr>
                                <w:t>фиброза</w:t>
                              </w:r>
                            </w:p>
                          </w:txbxContent>
                        </wps:txbx>
                        <wps:bodyPr horzOverflow="overflow" vert="horz" lIns="0" tIns="0" rIns="0" bIns="0" rtlCol="0">
                          <a:noAutofit/>
                        </wps:bodyPr>
                      </wps:wsp>
                      <wps:wsp>
                        <wps:cNvPr id="20588" name="Shape 20588"/>
                        <wps:cNvSpPr/>
                        <wps:spPr>
                          <a:xfrm>
                            <a:off x="918312" y="825602"/>
                            <a:ext cx="2129396" cy="230327"/>
                          </a:xfrm>
                          <a:custGeom>
                            <a:avLst/>
                            <a:gdLst/>
                            <a:ahLst/>
                            <a:cxnLst/>
                            <a:rect l="0" t="0" r="0" b="0"/>
                            <a:pathLst>
                              <a:path w="2129396" h="230327">
                                <a:moveTo>
                                  <a:pt x="0" y="230327"/>
                                </a:moveTo>
                                <a:lnTo>
                                  <a:pt x="2129396" y="230327"/>
                                </a:lnTo>
                                <a:lnTo>
                                  <a:pt x="212939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0311" name="Shape 380311"/>
                        <wps:cNvSpPr/>
                        <wps:spPr>
                          <a:xfrm>
                            <a:off x="918312" y="1238402"/>
                            <a:ext cx="2129396" cy="230328"/>
                          </a:xfrm>
                          <a:custGeom>
                            <a:avLst/>
                            <a:gdLst/>
                            <a:ahLst/>
                            <a:cxnLst/>
                            <a:rect l="0" t="0" r="0" b="0"/>
                            <a:pathLst>
                              <a:path w="2129396" h="230328">
                                <a:moveTo>
                                  <a:pt x="0" y="0"/>
                                </a:moveTo>
                                <a:lnTo>
                                  <a:pt x="2129396" y="0"/>
                                </a:lnTo>
                                <a:lnTo>
                                  <a:pt x="2129396" y="230328"/>
                                </a:lnTo>
                                <a:lnTo>
                                  <a:pt x="0" y="230328"/>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0590" name="Rectangle 20590"/>
                        <wps:cNvSpPr/>
                        <wps:spPr>
                          <a:xfrm>
                            <a:off x="1836646" y="1275582"/>
                            <a:ext cx="389338" cy="209279"/>
                          </a:xfrm>
                          <a:prstGeom prst="rect">
                            <a:avLst/>
                          </a:prstGeom>
                          <a:ln>
                            <a:noFill/>
                          </a:ln>
                        </wps:spPr>
                        <wps:txbx>
                          <w:txbxContent>
                            <w:p w:rsidR="00D27BC6" w:rsidRDefault="004D5071">
                              <w:pPr>
                                <w:spacing w:after="160" w:line="259" w:lineRule="auto"/>
                                <w:ind w:left="0" w:right="0" w:firstLine="0"/>
                                <w:jc w:val="left"/>
                              </w:pPr>
                              <w:r>
                                <w:rPr>
                                  <w:b/>
                                  <w:w w:val="111"/>
                                </w:rPr>
                                <w:t>FIB-4</w:t>
                              </w:r>
                            </w:p>
                          </w:txbxContent>
                        </wps:txbx>
                        <wps:bodyPr horzOverflow="overflow" vert="horz" lIns="0" tIns="0" rIns="0" bIns="0" rtlCol="0">
                          <a:noAutofit/>
                        </wps:bodyPr>
                      </wps:wsp>
                      <wps:wsp>
                        <wps:cNvPr id="20591" name="Shape 20591"/>
                        <wps:cNvSpPr/>
                        <wps:spPr>
                          <a:xfrm>
                            <a:off x="918312" y="1238402"/>
                            <a:ext cx="2129396" cy="230328"/>
                          </a:xfrm>
                          <a:custGeom>
                            <a:avLst/>
                            <a:gdLst/>
                            <a:ahLst/>
                            <a:cxnLst/>
                            <a:rect l="0" t="0" r="0" b="0"/>
                            <a:pathLst>
                              <a:path w="2129396" h="230328">
                                <a:moveTo>
                                  <a:pt x="0" y="230328"/>
                                </a:moveTo>
                                <a:lnTo>
                                  <a:pt x="2129396" y="230328"/>
                                </a:lnTo>
                                <a:lnTo>
                                  <a:pt x="212939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0314" name="Shape 380314"/>
                        <wps:cNvSpPr/>
                        <wps:spPr>
                          <a:xfrm>
                            <a:off x="0" y="2063991"/>
                            <a:ext cx="1824622" cy="365405"/>
                          </a:xfrm>
                          <a:custGeom>
                            <a:avLst/>
                            <a:gdLst/>
                            <a:ahLst/>
                            <a:cxnLst/>
                            <a:rect l="0" t="0" r="0" b="0"/>
                            <a:pathLst>
                              <a:path w="1824622" h="365405">
                                <a:moveTo>
                                  <a:pt x="0" y="0"/>
                                </a:moveTo>
                                <a:lnTo>
                                  <a:pt x="1824622" y="0"/>
                                </a:lnTo>
                                <a:lnTo>
                                  <a:pt x="1824622" y="365405"/>
                                </a:lnTo>
                                <a:lnTo>
                                  <a:pt x="0" y="365405"/>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0593" name="Rectangle 20593"/>
                        <wps:cNvSpPr/>
                        <wps:spPr>
                          <a:xfrm>
                            <a:off x="103207" y="2168716"/>
                            <a:ext cx="2152235" cy="209280"/>
                          </a:xfrm>
                          <a:prstGeom prst="rect">
                            <a:avLst/>
                          </a:prstGeom>
                          <a:ln>
                            <a:noFill/>
                          </a:ln>
                        </wps:spPr>
                        <wps:txbx>
                          <w:txbxContent>
                            <w:p w:rsidR="00D27BC6" w:rsidRDefault="004D5071">
                              <w:pPr>
                                <w:spacing w:after="160" w:line="259" w:lineRule="auto"/>
                                <w:ind w:left="0" w:right="0" w:firstLine="0"/>
                                <w:jc w:val="left"/>
                              </w:pPr>
                              <w:r>
                                <w:rPr>
                                  <w:b/>
                                  <w:w w:val="112"/>
                                </w:rPr>
                                <w:t>Тяжелый</w:t>
                              </w:r>
                              <w:r>
                                <w:rPr>
                                  <w:b/>
                                  <w:spacing w:val="-5"/>
                                  <w:w w:val="112"/>
                                </w:rPr>
                                <w:t xml:space="preserve"> </w:t>
                              </w:r>
                              <w:r>
                                <w:rPr>
                                  <w:b/>
                                  <w:w w:val="112"/>
                                </w:rPr>
                                <w:t>фиброз</w:t>
                              </w:r>
                              <w:r>
                                <w:rPr>
                                  <w:b/>
                                  <w:spacing w:val="-5"/>
                                  <w:w w:val="112"/>
                                </w:rPr>
                                <w:t xml:space="preserve"> </w:t>
                              </w:r>
                              <w:r>
                                <w:rPr>
                                  <w:b/>
                                  <w:w w:val="112"/>
                                </w:rPr>
                                <w:t>исключен</w:t>
                              </w:r>
                            </w:p>
                          </w:txbxContent>
                        </wps:txbx>
                        <wps:bodyPr horzOverflow="overflow" vert="horz" lIns="0" tIns="0" rIns="0" bIns="0" rtlCol="0">
                          <a:noAutofit/>
                        </wps:bodyPr>
                      </wps:wsp>
                      <wps:wsp>
                        <wps:cNvPr id="20594" name="Shape 20594"/>
                        <wps:cNvSpPr/>
                        <wps:spPr>
                          <a:xfrm>
                            <a:off x="0" y="2063991"/>
                            <a:ext cx="1824622" cy="365405"/>
                          </a:xfrm>
                          <a:custGeom>
                            <a:avLst/>
                            <a:gdLst/>
                            <a:ahLst/>
                            <a:cxnLst/>
                            <a:rect l="0" t="0" r="0" b="0"/>
                            <a:pathLst>
                              <a:path w="1824622" h="365405">
                                <a:moveTo>
                                  <a:pt x="0" y="365405"/>
                                </a:moveTo>
                                <a:lnTo>
                                  <a:pt x="1824622" y="365405"/>
                                </a:lnTo>
                                <a:lnTo>
                                  <a:pt x="1824622"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0321" name="Shape 380321"/>
                        <wps:cNvSpPr/>
                        <wps:spPr>
                          <a:xfrm>
                            <a:off x="1943392" y="2063991"/>
                            <a:ext cx="2022615" cy="365405"/>
                          </a:xfrm>
                          <a:custGeom>
                            <a:avLst/>
                            <a:gdLst/>
                            <a:ahLst/>
                            <a:cxnLst/>
                            <a:rect l="0" t="0" r="0" b="0"/>
                            <a:pathLst>
                              <a:path w="2022615" h="365405">
                                <a:moveTo>
                                  <a:pt x="0" y="0"/>
                                </a:moveTo>
                                <a:lnTo>
                                  <a:pt x="2022615" y="0"/>
                                </a:lnTo>
                                <a:lnTo>
                                  <a:pt x="2022615" y="365405"/>
                                </a:lnTo>
                                <a:lnTo>
                                  <a:pt x="0" y="365405"/>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0596" name="Rectangle 20596"/>
                        <wps:cNvSpPr/>
                        <wps:spPr>
                          <a:xfrm>
                            <a:off x="2032443" y="2092516"/>
                            <a:ext cx="2487352" cy="209280"/>
                          </a:xfrm>
                          <a:prstGeom prst="rect">
                            <a:avLst/>
                          </a:prstGeom>
                          <a:ln>
                            <a:noFill/>
                          </a:ln>
                        </wps:spPr>
                        <wps:txbx>
                          <w:txbxContent>
                            <w:p w:rsidR="00D27BC6" w:rsidRDefault="004D5071">
                              <w:pPr>
                                <w:spacing w:after="160" w:line="259" w:lineRule="auto"/>
                                <w:ind w:left="0" w:right="0" w:firstLine="0"/>
                                <w:jc w:val="left"/>
                              </w:pPr>
                              <w:r>
                                <w:rPr>
                                  <w:b/>
                                  <w:w w:val="110"/>
                                </w:rPr>
                                <w:t>Дообследование,</w:t>
                              </w:r>
                              <w:r>
                                <w:rPr>
                                  <w:b/>
                                  <w:spacing w:val="-5"/>
                                  <w:w w:val="110"/>
                                </w:rPr>
                                <w:t xml:space="preserve"> </w:t>
                              </w:r>
                              <w:r>
                                <w:rPr>
                                  <w:b/>
                                  <w:w w:val="110"/>
                                </w:rPr>
                                <w:t>направление</w:t>
                              </w:r>
                              <w:r>
                                <w:rPr>
                                  <w:b/>
                                  <w:spacing w:val="-5"/>
                                  <w:w w:val="110"/>
                                </w:rPr>
                                <w:t xml:space="preserve"> </w:t>
                              </w:r>
                            </w:p>
                          </w:txbxContent>
                        </wps:txbx>
                        <wps:bodyPr horzOverflow="overflow" vert="horz" lIns="0" tIns="0" rIns="0" bIns="0" rtlCol="0">
                          <a:noAutofit/>
                        </wps:bodyPr>
                      </wps:wsp>
                      <wps:wsp>
                        <wps:cNvPr id="20597" name="Rectangle 20597"/>
                        <wps:cNvSpPr/>
                        <wps:spPr>
                          <a:xfrm>
                            <a:off x="2380423" y="2244916"/>
                            <a:ext cx="1527605" cy="209280"/>
                          </a:xfrm>
                          <a:prstGeom prst="rect">
                            <a:avLst/>
                          </a:prstGeom>
                          <a:ln>
                            <a:noFill/>
                          </a:ln>
                        </wps:spPr>
                        <wps:txbx>
                          <w:txbxContent>
                            <w:p w:rsidR="00D27BC6" w:rsidRDefault="004D5071">
                              <w:pPr>
                                <w:spacing w:after="160" w:line="259" w:lineRule="auto"/>
                                <w:ind w:left="0" w:right="0" w:firstLine="0"/>
                                <w:jc w:val="left"/>
                              </w:pPr>
                              <w:r>
                                <w:rPr>
                                  <w:b/>
                                  <w:w w:val="112"/>
                                </w:rPr>
                                <w:t>к</w:t>
                              </w:r>
                              <w:r>
                                <w:rPr>
                                  <w:b/>
                                  <w:spacing w:val="-5"/>
                                  <w:w w:val="112"/>
                                </w:rPr>
                                <w:t xml:space="preserve"> </w:t>
                              </w:r>
                              <w:r>
                                <w:rPr>
                                  <w:b/>
                                  <w:w w:val="112"/>
                                </w:rPr>
                                <w:t>гастроэнтерологу</w:t>
                              </w:r>
                            </w:p>
                          </w:txbxContent>
                        </wps:txbx>
                        <wps:bodyPr horzOverflow="overflow" vert="horz" lIns="0" tIns="0" rIns="0" bIns="0" rtlCol="0">
                          <a:noAutofit/>
                        </wps:bodyPr>
                      </wps:wsp>
                      <wps:wsp>
                        <wps:cNvPr id="20598" name="Shape 20598"/>
                        <wps:cNvSpPr/>
                        <wps:spPr>
                          <a:xfrm>
                            <a:off x="1943392" y="2063991"/>
                            <a:ext cx="2022615" cy="365405"/>
                          </a:xfrm>
                          <a:custGeom>
                            <a:avLst/>
                            <a:gdLst/>
                            <a:ahLst/>
                            <a:cxnLst/>
                            <a:rect l="0" t="0" r="0" b="0"/>
                            <a:pathLst>
                              <a:path w="2022615" h="365405">
                                <a:moveTo>
                                  <a:pt x="0" y="365405"/>
                                </a:moveTo>
                                <a:lnTo>
                                  <a:pt x="2022615" y="365405"/>
                                </a:lnTo>
                                <a:lnTo>
                                  <a:pt x="202261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0331" name="Shape 380331"/>
                        <wps:cNvSpPr/>
                        <wps:spPr>
                          <a:xfrm>
                            <a:off x="3241027" y="119659"/>
                            <a:ext cx="2892603" cy="807530"/>
                          </a:xfrm>
                          <a:custGeom>
                            <a:avLst/>
                            <a:gdLst/>
                            <a:ahLst/>
                            <a:cxnLst/>
                            <a:rect l="0" t="0" r="0" b="0"/>
                            <a:pathLst>
                              <a:path w="2892603" h="807530">
                                <a:moveTo>
                                  <a:pt x="0" y="0"/>
                                </a:moveTo>
                                <a:lnTo>
                                  <a:pt x="2892603" y="0"/>
                                </a:lnTo>
                                <a:lnTo>
                                  <a:pt x="2892603" y="807530"/>
                                </a:lnTo>
                                <a:lnTo>
                                  <a:pt x="0" y="807530"/>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0600" name="Rectangle 20600"/>
                        <wps:cNvSpPr/>
                        <wps:spPr>
                          <a:xfrm>
                            <a:off x="3281532" y="134506"/>
                            <a:ext cx="3641311" cy="203030"/>
                          </a:xfrm>
                          <a:prstGeom prst="rect">
                            <a:avLst/>
                          </a:prstGeom>
                          <a:ln>
                            <a:noFill/>
                          </a:ln>
                        </wps:spPr>
                        <wps:txbx>
                          <w:txbxContent>
                            <w:p w:rsidR="00D27BC6" w:rsidRDefault="004D5071">
                              <w:pPr>
                                <w:spacing w:after="160" w:line="259" w:lineRule="auto"/>
                                <w:ind w:left="0" w:right="0" w:firstLine="0"/>
                                <w:jc w:val="left"/>
                              </w:pPr>
                              <w:r>
                                <w:rPr>
                                  <w:w w:val="104"/>
                                </w:rPr>
                                <w:t>Исключить</w:t>
                              </w:r>
                              <w:r>
                                <w:rPr>
                                  <w:spacing w:val="-3"/>
                                  <w:w w:val="104"/>
                                </w:rPr>
                                <w:t xml:space="preserve"> </w:t>
                              </w:r>
                              <w:r>
                                <w:rPr>
                                  <w:w w:val="104"/>
                                </w:rPr>
                                <w:t>другие</w:t>
                              </w:r>
                              <w:r>
                                <w:rPr>
                                  <w:spacing w:val="-3"/>
                                  <w:w w:val="104"/>
                                </w:rPr>
                                <w:t xml:space="preserve"> </w:t>
                              </w:r>
                              <w:r>
                                <w:rPr>
                                  <w:w w:val="104"/>
                                </w:rPr>
                                <w:t>причины</w:t>
                              </w:r>
                              <w:r>
                                <w:rPr>
                                  <w:spacing w:val="-3"/>
                                  <w:w w:val="104"/>
                                </w:rPr>
                                <w:t xml:space="preserve"> </w:t>
                              </w:r>
                              <w:r>
                                <w:rPr>
                                  <w:w w:val="104"/>
                                </w:rPr>
                                <w:t>заболеваний</w:t>
                              </w:r>
                              <w:r>
                                <w:rPr>
                                  <w:spacing w:val="-3"/>
                                  <w:w w:val="104"/>
                                </w:rPr>
                                <w:t xml:space="preserve"> </w:t>
                              </w:r>
                              <w:r>
                                <w:rPr>
                                  <w:w w:val="104"/>
                                </w:rPr>
                                <w:t>печени</w:t>
                              </w:r>
                              <w:r>
                                <w:rPr>
                                  <w:spacing w:val="-3"/>
                                  <w:w w:val="104"/>
                                </w:rPr>
                                <w:t xml:space="preserve"> </w:t>
                              </w:r>
                            </w:p>
                          </w:txbxContent>
                        </wps:txbx>
                        <wps:bodyPr horzOverflow="overflow" vert="horz" lIns="0" tIns="0" rIns="0" bIns="0" rtlCol="0">
                          <a:noAutofit/>
                        </wps:bodyPr>
                      </wps:wsp>
                      <wps:wsp>
                        <wps:cNvPr id="284365" name="Rectangle 284365"/>
                        <wps:cNvSpPr/>
                        <wps:spPr>
                          <a:xfrm>
                            <a:off x="5863276" y="286906"/>
                            <a:ext cx="47971" cy="203030"/>
                          </a:xfrm>
                          <a:prstGeom prst="rect">
                            <a:avLst/>
                          </a:prstGeom>
                          <a:ln>
                            <a:noFill/>
                          </a:ln>
                        </wps:spPr>
                        <wps:txbx>
                          <w:txbxContent>
                            <w:p w:rsidR="00D27BC6" w:rsidRDefault="004D5071">
                              <w:pPr>
                                <w:spacing w:after="160" w:line="259" w:lineRule="auto"/>
                                <w:ind w:left="0" w:right="0" w:firstLine="0"/>
                                <w:jc w:val="left"/>
                              </w:pPr>
                              <w:r>
                                <w:rPr>
                                  <w:w w:val="95"/>
                                </w:rPr>
                                <w:t>)</w:t>
                              </w:r>
                            </w:p>
                          </w:txbxContent>
                        </wps:txbx>
                        <wps:bodyPr horzOverflow="overflow" vert="horz" lIns="0" tIns="0" rIns="0" bIns="0" rtlCol="0">
                          <a:noAutofit/>
                        </wps:bodyPr>
                      </wps:wsp>
                      <wps:wsp>
                        <wps:cNvPr id="284366" name="Rectangle 284366"/>
                        <wps:cNvSpPr/>
                        <wps:spPr>
                          <a:xfrm>
                            <a:off x="3317600" y="286906"/>
                            <a:ext cx="3385750" cy="203030"/>
                          </a:xfrm>
                          <a:prstGeom prst="rect">
                            <a:avLst/>
                          </a:prstGeom>
                          <a:ln>
                            <a:noFill/>
                          </a:ln>
                        </wps:spPr>
                        <wps:txbx>
                          <w:txbxContent>
                            <w:p w:rsidR="00D27BC6" w:rsidRDefault="004D5071">
                              <w:pPr>
                                <w:spacing w:after="160" w:line="259" w:lineRule="auto"/>
                                <w:ind w:left="0" w:right="0" w:firstLine="0"/>
                                <w:jc w:val="left"/>
                              </w:pPr>
                              <w:r>
                                <w:rPr>
                                  <w:w w:val="104"/>
                                </w:rPr>
                                <w:t>особенно</w:t>
                              </w:r>
                              <w:r>
                                <w:rPr>
                                  <w:spacing w:val="-3"/>
                                  <w:w w:val="104"/>
                                </w:rPr>
                                <w:t xml:space="preserve"> </w:t>
                              </w:r>
                              <w:r>
                                <w:rPr>
                                  <w:w w:val="104"/>
                                </w:rPr>
                                <w:t>при</w:t>
                              </w:r>
                              <w:r>
                                <w:rPr>
                                  <w:spacing w:val="-3"/>
                                  <w:w w:val="104"/>
                                </w:rPr>
                                <w:t xml:space="preserve"> </w:t>
                              </w:r>
                              <w:r>
                                <w:rPr>
                                  <w:w w:val="104"/>
                                </w:rPr>
                                <w:t>повышении</w:t>
                              </w:r>
                              <w:r>
                                <w:rPr>
                                  <w:spacing w:val="-3"/>
                                  <w:w w:val="104"/>
                                </w:rPr>
                                <w:t xml:space="preserve"> </w:t>
                              </w:r>
                              <w:r>
                                <w:rPr>
                                  <w:w w:val="104"/>
                                </w:rPr>
                                <w:t>уровня</w:t>
                              </w:r>
                              <w:r>
                                <w:rPr>
                                  <w:spacing w:val="-3"/>
                                  <w:w w:val="104"/>
                                </w:rPr>
                                <w:t xml:space="preserve"> </w:t>
                              </w:r>
                              <w:r>
                                <w:rPr>
                                  <w:w w:val="104"/>
                                </w:rPr>
                                <w:t>трасаминаз</w:t>
                              </w:r>
                            </w:p>
                          </w:txbxContent>
                        </wps:txbx>
                        <wps:bodyPr horzOverflow="overflow" vert="horz" lIns="0" tIns="0" rIns="0" bIns="0" rtlCol="0">
                          <a:noAutofit/>
                        </wps:bodyPr>
                      </wps:wsp>
                      <wps:wsp>
                        <wps:cNvPr id="284364" name="Rectangle 284364"/>
                        <wps:cNvSpPr/>
                        <wps:spPr>
                          <a:xfrm>
                            <a:off x="3281532" y="286906"/>
                            <a:ext cx="47970" cy="203030"/>
                          </a:xfrm>
                          <a:prstGeom prst="rect">
                            <a:avLst/>
                          </a:prstGeom>
                          <a:ln>
                            <a:noFill/>
                          </a:ln>
                        </wps:spPr>
                        <wps:txbx>
                          <w:txbxContent>
                            <w:p w:rsidR="00D27BC6" w:rsidRDefault="004D5071">
                              <w:pPr>
                                <w:spacing w:after="160" w:line="259" w:lineRule="auto"/>
                                <w:ind w:left="0" w:right="0" w:firstLine="0"/>
                                <w:jc w:val="left"/>
                              </w:pPr>
                              <w:r>
                                <w:rPr>
                                  <w:w w:val="95"/>
                                </w:rPr>
                                <w:t>(</w:t>
                              </w:r>
                            </w:p>
                          </w:txbxContent>
                        </wps:txbx>
                        <wps:bodyPr horzOverflow="overflow" vert="horz" lIns="0" tIns="0" rIns="0" bIns="0" rtlCol="0">
                          <a:noAutofit/>
                        </wps:bodyPr>
                      </wps:wsp>
                      <wps:wsp>
                        <wps:cNvPr id="20602" name="Rectangle 20602"/>
                        <wps:cNvSpPr/>
                        <wps:spPr>
                          <a:xfrm>
                            <a:off x="3281532" y="439306"/>
                            <a:ext cx="83442" cy="203030"/>
                          </a:xfrm>
                          <a:prstGeom prst="rect">
                            <a:avLst/>
                          </a:prstGeom>
                          <a:ln>
                            <a:noFill/>
                          </a:ln>
                        </wps:spPr>
                        <wps:txbx>
                          <w:txbxContent>
                            <w:p w:rsidR="00D27BC6" w:rsidRDefault="004D5071">
                              <w:pPr>
                                <w:spacing w:after="160" w:line="259" w:lineRule="auto"/>
                                <w:ind w:left="0" w:right="0" w:firstLine="0"/>
                                <w:jc w:val="left"/>
                              </w:pPr>
                              <w:r>
                                <w:rPr>
                                  <w:w w:val="56"/>
                                </w:rPr>
                                <w:t>•</w:t>
                              </w:r>
                              <w:r>
                                <w:rPr>
                                  <w:spacing w:val="-3"/>
                                  <w:w w:val="56"/>
                                </w:rPr>
                                <w:t xml:space="preserve"> </w:t>
                              </w:r>
                            </w:p>
                          </w:txbxContent>
                        </wps:txbx>
                        <wps:bodyPr horzOverflow="overflow" vert="horz" lIns="0" tIns="0" rIns="0" bIns="0" rtlCol="0">
                          <a:noAutofit/>
                        </wps:bodyPr>
                      </wps:wsp>
                      <wps:wsp>
                        <wps:cNvPr id="20603" name="Rectangle 20603"/>
                        <wps:cNvSpPr/>
                        <wps:spPr>
                          <a:xfrm>
                            <a:off x="3389482" y="439306"/>
                            <a:ext cx="2138367" cy="203030"/>
                          </a:xfrm>
                          <a:prstGeom prst="rect">
                            <a:avLst/>
                          </a:prstGeom>
                          <a:ln>
                            <a:noFill/>
                          </a:ln>
                        </wps:spPr>
                        <wps:txbx>
                          <w:txbxContent>
                            <w:p w:rsidR="00D27BC6" w:rsidRDefault="004D5071">
                              <w:pPr>
                                <w:spacing w:after="160" w:line="259" w:lineRule="auto"/>
                                <w:ind w:left="0" w:right="0" w:firstLine="0"/>
                                <w:jc w:val="left"/>
                              </w:pPr>
                              <w:r>
                                <w:rPr>
                                  <w:w w:val="103"/>
                                </w:rPr>
                                <w:t>Избыточный</w:t>
                              </w:r>
                              <w:r>
                                <w:rPr>
                                  <w:spacing w:val="-3"/>
                                  <w:w w:val="103"/>
                                </w:rPr>
                                <w:t xml:space="preserve"> </w:t>
                              </w:r>
                              <w:r>
                                <w:rPr>
                                  <w:w w:val="103"/>
                                </w:rPr>
                                <w:t>прием</w:t>
                              </w:r>
                              <w:r>
                                <w:rPr>
                                  <w:spacing w:val="-3"/>
                                  <w:w w:val="103"/>
                                </w:rPr>
                                <w:t xml:space="preserve"> </w:t>
                              </w:r>
                              <w:r>
                                <w:rPr>
                                  <w:w w:val="103"/>
                                </w:rPr>
                                <w:t>алкоголя</w:t>
                              </w:r>
                            </w:p>
                          </w:txbxContent>
                        </wps:txbx>
                        <wps:bodyPr horzOverflow="overflow" vert="horz" lIns="0" tIns="0" rIns="0" bIns="0" rtlCol="0">
                          <a:noAutofit/>
                        </wps:bodyPr>
                      </wps:wsp>
                      <wps:wsp>
                        <wps:cNvPr id="20604" name="Rectangle 20604"/>
                        <wps:cNvSpPr/>
                        <wps:spPr>
                          <a:xfrm>
                            <a:off x="3281532" y="591706"/>
                            <a:ext cx="83442" cy="203030"/>
                          </a:xfrm>
                          <a:prstGeom prst="rect">
                            <a:avLst/>
                          </a:prstGeom>
                          <a:ln>
                            <a:noFill/>
                          </a:ln>
                        </wps:spPr>
                        <wps:txbx>
                          <w:txbxContent>
                            <w:p w:rsidR="00D27BC6" w:rsidRDefault="004D5071">
                              <w:pPr>
                                <w:spacing w:after="160" w:line="259" w:lineRule="auto"/>
                                <w:ind w:left="0" w:right="0" w:firstLine="0"/>
                                <w:jc w:val="left"/>
                              </w:pPr>
                              <w:r>
                                <w:rPr>
                                  <w:w w:val="56"/>
                                </w:rPr>
                                <w:t>•</w:t>
                              </w:r>
                              <w:r>
                                <w:rPr>
                                  <w:spacing w:val="-3"/>
                                  <w:w w:val="56"/>
                                </w:rPr>
                                <w:t xml:space="preserve"> </w:t>
                              </w:r>
                            </w:p>
                          </w:txbxContent>
                        </wps:txbx>
                        <wps:bodyPr horzOverflow="overflow" vert="horz" lIns="0" tIns="0" rIns="0" bIns="0" rtlCol="0">
                          <a:noAutofit/>
                        </wps:bodyPr>
                      </wps:wsp>
                      <wps:wsp>
                        <wps:cNvPr id="20605" name="Rectangle 20605"/>
                        <wps:cNvSpPr/>
                        <wps:spPr>
                          <a:xfrm>
                            <a:off x="3389482" y="591706"/>
                            <a:ext cx="2547298" cy="203030"/>
                          </a:xfrm>
                          <a:prstGeom prst="rect">
                            <a:avLst/>
                          </a:prstGeom>
                          <a:ln>
                            <a:noFill/>
                          </a:ln>
                        </wps:spPr>
                        <wps:txbx>
                          <w:txbxContent>
                            <w:p w:rsidR="00D27BC6" w:rsidRDefault="004D5071">
                              <w:pPr>
                                <w:spacing w:after="160" w:line="259" w:lineRule="auto"/>
                                <w:ind w:left="0" w:right="0" w:firstLine="0"/>
                                <w:jc w:val="left"/>
                              </w:pPr>
                              <w:r>
                                <w:rPr>
                                  <w:w w:val="104"/>
                                </w:rPr>
                                <w:t>Прием</w:t>
                              </w:r>
                              <w:r>
                                <w:rPr>
                                  <w:spacing w:val="-3"/>
                                  <w:w w:val="104"/>
                                </w:rPr>
                                <w:t xml:space="preserve"> </w:t>
                              </w:r>
                              <w:r>
                                <w:rPr>
                                  <w:w w:val="104"/>
                                </w:rPr>
                                <w:t>лекарственных</w:t>
                              </w:r>
                              <w:r>
                                <w:rPr>
                                  <w:spacing w:val="-3"/>
                                  <w:w w:val="104"/>
                                </w:rPr>
                                <w:t xml:space="preserve"> </w:t>
                              </w:r>
                              <w:r>
                                <w:rPr>
                                  <w:w w:val="104"/>
                                </w:rPr>
                                <w:t>препаратов</w:t>
                              </w:r>
                            </w:p>
                          </w:txbxContent>
                        </wps:txbx>
                        <wps:bodyPr horzOverflow="overflow" vert="horz" lIns="0" tIns="0" rIns="0" bIns="0" rtlCol="0">
                          <a:noAutofit/>
                        </wps:bodyPr>
                      </wps:wsp>
                      <wps:wsp>
                        <wps:cNvPr id="20606" name="Rectangle 20606"/>
                        <wps:cNvSpPr/>
                        <wps:spPr>
                          <a:xfrm>
                            <a:off x="3281532" y="744106"/>
                            <a:ext cx="83442" cy="203030"/>
                          </a:xfrm>
                          <a:prstGeom prst="rect">
                            <a:avLst/>
                          </a:prstGeom>
                          <a:ln>
                            <a:noFill/>
                          </a:ln>
                        </wps:spPr>
                        <wps:txbx>
                          <w:txbxContent>
                            <w:p w:rsidR="00D27BC6" w:rsidRDefault="004D5071">
                              <w:pPr>
                                <w:spacing w:after="160" w:line="259" w:lineRule="auto"/>
                                <w:ind w:left="0" w:right="0" w:firstLine="0"/>
                                <w:jc w:val="left"/>
                              </w:pPr>
                              <w:r>
                                <w:rPr>
                                  <w:w w:val="56"/>
                                </w:rPr>
                                <w:t>•</w:t>
                              </w:r>
                              <w:r>
                                <w:rPr>
                                  <w:spacing w:val="-3"/>
                                  <w:w w:val="56"/>
                                </w:rPr>
                                <w:t xml:space="preserve"> </w:t>
                              </w:r>
                            </w:p>
                          </w:txbxContent>
                        </wps:txbx>
                        <wps:bodyPr horzOverflow="overflow" vert="horz" lIns="0" tIns="0" rIns="0" bIns="0" rtlCol="0">
                          <a:noAutofit/>
                        </wps:bodyPr>
                      </wps:wsp>
                      <wps:wsp>
                        <wps:cNvPr id="20607" name="Rectangle 20607"/>
                        <wps:cNvSpPr/>
                        <wps:spPr>
                          <a:xfrm>
                            <a:off x="3389482" y="744106"/>
                            <a:ext cx="1417983" cy="203030"/>
                          </a:xfrm>
                          <a:prstGeom prst="rect">
                            <a:avLst/>
                          </a:prstGeom>
                          <a:ln>
                            <a:noFill/>
                          </a:ln>
                        </wps:spPr>
                        <wps:txbx>
                          <w:txbxContent>
                            <w:p w:rsidR="00D27BC6" w:rsidRDefault="004D5071">
                              <w:pPr>
                                <w:spacing w:after="160" w:line="259" w:lineRule="auto"/>
                                <w:ind w:left="0" w:right="0" w:firstLine="0"/>
                                <w:jc w:val="left"/>
                              </w:pPr>
                              <w:r>
                                <w:rPr>
                                  <w:w w:val="103"/>
                                </w:rPr>
                                <w:t>Вирусные</w:t>
                              </w:r>
                              <w:r>
                                <w:rPr>
                                  <w:spacing w:val="-3"/>
                                  <w:w w:val="103"/>
                                </w:rPr>
                                <w:t xml:space="preserve"> </w:t>
                              </w:r>
                              <w:r>
                                <w:rPr>
                                  <w:w w:val="103"/>
                                </w:rPr>
                                <w:t>гепатиты</w:t>
                              </w:r>
                            </w:p>
                          </w:txbxContent>
                        </wps:txbx>
                        <wps:bodyPr horzOverflow="overflow" vert="horz" lIns="0" tIns="0" rIns="0" bIns="0" rtlCol="0">
                          <a:noAutofit/>
                        </wps:bodyPr>
                      </wps:wsp>
                      <wps:wsp>
                        <wps:cNvPr id="20608" name="Shape 20608"/>
                        <wps:cNvSpPr/>
                        <wps:spPr>
                          <a:xfrm>
                            <a:off x="3241027" y="119659"/>
                            <a:ext cx="2892603" cy="807530"/>
                          </a:xfrm>
                          <a:custGeom>
                            <a:avLst/>
                            <a:gdLst/>
                            <a:ahLst/>
                            <a:cxnLst/>
                            <a:rect l="0" t="0" r="0" b="0"/>
                            <a:pathLst>
                              <a:path w="2892603" h="807530">
                                <a:moveTo>
                                  <a:pt x="0" y="807530"/>
                                </a:moveTo>
                                <a:lnTo>
                                  <a:pt x="2892603" y="807530"/>
                                </a:lnTo>
                                <a:lnTo>
                                  <a:pt x="289260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0609" name="Shape 20609"/>
                        <wps:cNvSpPr/>
                        <wps:spPr>
                          <a:xfrm>
                            <a:off x="1914336" y="234023"/>
                            <a:ext cx="137312" cy="173431"/>
                          </a:xfrm>
                          <a:custGeom>
                            <a:avLst/>
                            <a:gdLst/>
                            <a:ahLst/>
                            <a:cxnLst/>
                            <a:rect l="0" t="0" r="0" b="0"/>
                            <a:pathLst>
                              <a:path w="137312" h="173431">
                                <a:moveTo>
                                  <a:pt x="97625" y="0"/>
                                </a:moveTo>
                                <a:lnTo>
                                  <a:pt x="97625" y="104775"/>
                                </a:lnTo>
                                <a:lnTo>
                                  <a:pt x="137312" y="104775"/>
                                </a:lnTo>
                                <a:lnTo>
                                  <a:pt x="68656" y="173431"/>
                                </a:lnTo>
                                <a:lnTo>
                                  <a:pt x="0" y="104775"/>
                                </a:lnTo>
                                <a:lnTo>
                                  <a:pt x="39878" y="104978"/>
                                </a:lnTo>
                                <a:lnTo>
                                  <a:pt x="39878" y="203"/>
                                </a:lnTo>
                                <a:lnTo>
                                  <a:pt x="97625" y="0"/>
                                </a:lnTo>
                                <a:close/>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0610" name="Shape 20610"/>
                        <wps:cNvSpPr/>
                        <wps:spPr>
                          <a:xfrm>
                            <a:off x="1914336" y="234023"/>
                            <a:ext cx="137312" cy="173431"/>
                          </a:xfrm>
                          <a:custGeom>
                            <a:avLst/>
                            <a:gdLst/>
                            <a:ahLst/>
                            <a:cxnLst/>
                            <a:rect l="0" t="0" r="0" b="0"/>
                            <a:pathLst>
                              <a:path w="137312" h="173431">
                                <a:moveTo>
                                  <a:pt x="97625" y="104775"/>
                                </a:moveTo>
                                <a:lnTo>
                                  <a:pt x="97625" y="0"/>
                                </a:lnTo>
                                <a:lnTo>
                                  <a:pt x="39878" y="203"/>
                                </a:lnTo>
                                <a:lnTo>
                                  <a:pt x="39878" y="104978"/>
                                </a:lnTo>
                                <a:lnTo>
                                  <a:pt x="0" y="104775"/>
                                </a:lnTo>
                                <a:lnTo>
                                  <a:pt x="68656" y="173431"/>
                                </a:lnTo>
                                <a:lnTo>
                                  <a:pt x="137312" y="104775"/>
                                </a:lnTo>
                                <a:lnTo>
                                  <a:pt x="97625" y="104775"/>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0611" name="Shape 20611"/>
                        <wps:cNvSpPr/>
                        <wps:spPr>
                          <a:xfrm>
                            <a:off x="1914336" y="644392"/>
                            <a:ext cx="137312" cy="173431"/>
                          </a:xfrm>
                          <a:custGeom>
                            <a:avLst/>
                            <a:gdLst/>
                            <a:ahLst/>
                            <a:cxnLst/>
                            <a:rect l="0" t="0" r="0" b="0"/>
                            <a:pathLst>
                              <a:path w="137312" h="173431">
                                <a:moveTo>
                                  <a:pt x="97625" y="0"/>
                                </a:moveTo>
                                <a:lnTo>
                                  <a:pt x="97625" y="104775"/>
                                </a:lnTo>
                                <a:lnTo>
                                  <a:pt x="137312" y="104775"/>
                                </a:lnTo>
                                <a:lnTo>
                                  <a:pt x="68656" y="173431"/>
                                </a:lnTo>
                                <a:lnTo>
                                  <a:pt x="0" y="104775"/>
                                </a:lnTo>
                                <a:lnTo>
                                  <a:pt x="39878" y="104978"/>
                                </a:lnTo>
                                <a:lnTo>
                                  <a:pt x="39878" y="203"/>
                                </a:lnTo>
                                <a:lnTo>
                                  <a:pt x="97625" y="0"/>
                                </a:lnTo>
                                <a:close/>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0612" name="Shape 20612"/>
                        <wps:cNvSpPr/>
                        <wps:spPr>
                          <a:xfrm>
                            <a:off x="1914336" y="644392"/>
                            <a:ext cx="137312" cy="173431"/>
                          </a:xfrm>
                          <a:custGeom>
                            <a:avLst/>
                            <a:gdLst/>
                            <a:ahLst/>
                            <a:cxnLst/>
                            <a:rect l="0" t="0" r="0" b="0"/>
                            <a:pathLst>
                              <a:path w="137312" h="173431">
                                <a:moveTo>
                                  <a:pt x="97625" y="104775"/>
                                </a:moveTo>
                                <a:lnTo>
                                  <a:pt x="97625" y="0"/>
                                </a:lnTo>
                                <a:lnTo>
                                  <a:pt x="39878" y="203"/>
                                </a:lnTo>
                                <a:lnTo>
                                  <a:pt x="39878" y="104978"/>
                                </a:lnTo>
                                <a:lnTo>
                                  <a:pt x="0" y="104775"/>
                                </a:lnTo>
                                <a:lnTo>
                                  <a:pt x="68656" y="173431"/>
                                </a:lnTo>
                                <a:lnTo>
                                  <a:pt x="137312" y="104775"/>
                                </a:lnTo>
                                <a:lnTo>
                                  <a:pt x="97625" y="104775"/>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0613" name="Shape 20613"/>
                        <wps:cNvSpPr/>
                        <wps:spPr>
                          <a:xfrm>
                            <a:off x="1914336" y="1054760"/>
                            <a:ext cx="137312" cy="173431"/>
                          </a:xfrm>
                          <a:custGeom>
                            <a:avLst/>
                            <a:gdLst/>
                            <a:ahLst/>
                            <a:cxnLst/>
                            <a:rect l="0" t="0" r="0" b="0"/>
                            <a:pathLst>
                              <a:path w="137312" h="173431">
                                <a:moveTo>
                                  <a:pt x="97625" y="0"/>
                                </a:moveTo>
                                <a:lnTo>
                                  <a:pt x="97625" y="104775"/>
                                </a:lnTo>
                                <a:lnTo>
                                  <a:pt x="137312" y="104775"/>
                                </a:lnTo>
                                <a:lnTo>
                                  <a:pt x="68656" y="173431"/>
                                </a:lnTo>
                                <a:lnTo>
                                  <a:pt x="0" y="104775"/>
                                </a:lnTo>
                                <a:lnTo>
                                  <a:pt x="39878" y="104978"/>
                                </a:lnTo>
                                <a:lnTo>
                                  <a:pt x="39878" y="203"/>
                                </a:lnTo>
                                <a:lnTo>
                                  <a:pt x="97625" y="0"/>
                                </a:lnTo>
                                <a:close/>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0614" name="Shape 20614"/>
                        <wps:cNvSpPr/>
                        <wps:spPr>
                          <a:xfrm>
                            <a:off x="1914336" y="1054760"/>
                            <a:ext cx="137312" cy="173431"/>
                          </a:xfrm>
                          <a:custGeom>
                            <a:avLst/>
                            <a:gdLst/>
                            <a:ahLst/>
                            <a:cxnLst/>
                            <a:rect l="0" t="0" r="0" b="0"/>
                            <a:pathLst>
                              <a:path w="137312" h="173431">
                                <a:moveTo>
                                  <a:pt x="97625" y="104775"/>
                                </a:moveTo>
                                <a:lnTo>
                                  <a:pt x="97625" y="0"/>
                                </a:lnTo>
                                <a:lnTo>
                                  <a:pt x="39878" y="203"/>
                                </a:lnTo>
                                <a:lnTo>
                                  <a:pt x="39878" y="104978"/>
                                </a:lnTo>
                                <a:lnTo>
                                  <a:pt x="0" y="104775"/>
                                </a:lnTo>
                                <a:lnTo>
                                  <a:pt x="68656" y="173431"/>
                                </a:lnTo>
                                <a:lnTo>
                                  <a:pt x="137312" y="104775"/>
                                </a:lnTo>
                                <a:lnTo>
                                  <a:pt x="97625" y="104775"/>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0378" name="Shape 380378"/>
                        <wps:cNvSpPr/>
                        <wps:spPr>
                          <a:xfrm>
                            <a:off x="1072261" y="1657198"/>
                            <a:ext cx="541553" cy="230327"/>
                          </a:xfrm>
                          <a:custGeom>
                            <a:avLst/>
                            <a:gdLst/>
                            <a:ahLst/>
                            <a:cxnLst/>
                            <a:rect l="0" t="0" r="0" b="0"/>
                            <a:pathLst>
                              <a:path w="541553" h="230327">
                                <a:moveTo>
                                  <a:pt x="0" y="0"/>
                                </a:moveTo>
                                <a:lnTo>
                                  <a:pt x="541553" y="0"/>
                                </a:lnTo>
                                <a:lnTo>
                                  <a:pt x="541553" y="230327"/>
                                </a:lnTo>
                                <a:lnTo>
                                  <a:pt x="0" y="230327"/>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84369" name="Rectangle 284369"/>
                        <wps:cNvSpPr/>
                        <wps:spPr>
                          <a:xfrm>
                            <a:off x="1367743" y="1699081"/>
                            <a:ext cx="34964" cy="203030"/>
                          </a:xfrm>
                          <a:prstGeom prst="rect">
                            <a:avLst/>
                          </a:prstGeom>
                          <a:ln>
                            <a:noFill/>
                          </a:ln>
                        </wps:spPr>
                        <wps:txbx>
                          <w:txbxContent>
                            <w:p w:rsidR="00D27BC6" w:rsidRDefault="004D5071">
                              <w:pPr>
                                <w:spacing w:after="160" w:line="259" w:lineRule="auto"/>
                                <w:ind w:left="0" w:right="0" w:firstLine="0"/>
                                <w:jc w:val="left"/>
                              </w:pPr>
                              <w:r>
                                <w:rPr>
                                  <w:w w:val="84"/>
                                </w:rPr>
                                <w:t>,</w:t>
                              </w:r>
                            </w:p>
                          </w:txbxContent>
                        </wps:txbx>
                        <wps:bodyPr horzOverflow="overflow" vert="horz" lIns="0" tIns="0" rIns="0" bIns="0" rtlCol="0">
                          <a:noAutofit/>
                        </wps:bodyPr>
                      </wps:wsp>
                      <wps:wsp>
                        <wps:cNvPr id="284368" name="Rectangle 284368"/>
                        <wps:cNvSpPr/>
                        <wps:spPr>
                          <a:xfrm>
                            <a:off x="1394032" y="1699081"/>
                            <a:ext cx="86651" cy="203030"/>
                          </a:xfrm>
                          <a:prstGeom prst="rect">
                            <a:avLst/>
                          </a:prstGeom>
                          <a:ln>
                            <a:noFill/>
                          </a:ln>
                        </wps:spPr>
                        <wps:txbx>
                          <w:txbxContent>
                            <w:p w:rsidR="00D27BC6" w:rsidRDefault="004D5071">
                              <w:pPr>
                                <w:spacing w:after="160" w:line="259" w:lineRule="auto"/>
                                <w:ind w:left="0" w:right="0" w:firstLine="0"/>
                                <w:jc w:val="left"/>
                              </w:pPr>
                              <w:r>
                                <w:rPr>
                                  <w:w w:val="101"/>
                                </w:rPr>
                                <w:t>3</w:t>
                              </w:r>
                            </w:p>
                          </w:txbxContent>
                        </wps:txbx>
                        <wps:bodyPr horzOverflow="overflow" vert="horz" lIns="0" tIns="0" rIns="0" bIns="0" rtlCol="0">
                          <a:noAutofit/>
                        </wps:bodyPr>
                      </wps:wsp>
                      <wps:wsp>
                        <wps:cNvPr id="284367" name="Rectangle 284367"/>
                        <wps:cNvSpPr/>
                        <wps:spPr>
                          <a:xfrm>
                            <a:off x="1226900" y="1699081"/>
                            <a:ext cx="187321" cy="203030"/>
                          </a:xfrm>
                          <a:prstGeom prst="rect">
                            <a:avLst/>
                          </a:prstGeom>
                          <a:ln>
                            <a:noFill/>
                          </a:ln>
                        </wps:spPr>
                        <wps:txbx>
                          <w:txbxContent>
                            <w:p w:rsidR="00D27BC6" w:rsidRDefault="004D5071">
                              <w:pPr>
                                <w:spacing w:after="160" w:line="259" w:lineRule="auto"/>
                                <w:ind w:left="0" w:right="0" w:firstLine="0"/>
                                <w:jc w:val="left"/>
                              </w:pPr>
                              <w:r>
                                <w:rPr>
                                  <w:w w:val="110"/>
                                </w:rPr>
                                <w:t>&lt;1</w:t>
                              </w:r>
                            </w:p>
                          </w:txbxContent>
                        </wps:txbx>
                        <wps:bodyPr horzOverflow="overflow" vert="horz" lIns="0" tIns="0" rIns="0" bIns="0" rtlCol="0">
                          <a:noAutofit/>
                        </wps:bodyPr>
                      </wps:wsp>
                      <wps:wsp>
                        <wps:cNvPr id="20617" name="Shape 20617"/>
                        <wps:cNvSpPr/>
                        <wps:spPr>
                          <a:xfrm>
                            <a:off x="1072261" y="1657198"/>
                            <a:ext cx="541553" cy="230327"/>
                          </a:xfrm>
                          <a:custGeom>
                            <a:avLst/>
                            <a:gdLst/>
                            <a:ahLst/>
                            <a:cxnLst/>
                            <a:rect l="0" t="0" r="0" b="0"/>
                            <a:pathLst>
                              <a:path w="541553" h="230327">
                                <a:moveTo>
                                  <a:pt x="0" y="230327"/>
                                </a:moveTo>
                                <a:lnTo>
                                  <a:pt x="541553" y="230327"/>
                                </a:lnTo>
                                <a:lnTo>
                                  <a:pt x="54155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0618" name="Shape 20618"/>
                        <wps:cNvSpPr/>
                        <wps:spPr>
                          <a:xfrm>
                            <a:off x="1274375" y="1475846"/>
                            <a:ext cx="137312" cy="173431"/>
                          </a:xfrm>
                          <a:custGeom>
                            <a:avLst/>
                            <a:gdLst/>
                            <a:ahLst/>
                            <a:cxnLst/>
                            <a:rect l="0" t="0" r="0" b="0"/>
                            <a:pathLst>
                              <a:path w="137312" h="173431">
                                <a:moveTo>
                                  <a:pt x="97625" y="0"/>
                                </a:moveTo>
                                <a:lnTo>
                                  <a:pt x="97625" y="104775"/>
                                </a:lnTo>
                                <a:lnTo>
                                  <a:pt x="137312" y="104775"/>
                                </a:lnTo>
                                <a:lnTo>
                                  <a:pt x="68656" y="173431"/>
                                </a:lnTo>
                                <a:lnTo>
                                  <a:pt x="0" y="104775"/>
                                </a:lnTo>
                                <a:lnTo>
                                  <a:pt x="39878" y="104978"/>
                                </a:lnTo>
                                <a:lnTo>
                                  <a:pt x="39878" y="203"/>
                                </a:lnTo>
                                <a:lnTo>
                                  <a:pt x="97625" y="0"/>
                                </a:lnTo>
                                <a:close/>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0619" name="Shape 20619"/>
                        <wps:cNvSpPr/>
                        <wps:spPr>
                          <a:xfrm>
                            <a:off x="1274375" y="1475846"/>
                            <a:ext cx="137312" cy="173431"/>
                          </a:xfrm>
                          <a:custGeom>
                            <a:avLst/>
                            <a:gdLst/>
                            <a:ahLst/>
                            <a:cxnLst/>
                            <a:rect l="0" t="0" r="0" b="0"/>
                            <a:pathLst>
                              <a:path w="137312" h="173431">
                                <a:moveTo>
                                  <a:pt x="97625" y="104775"/>
                                </a:moveTo>
                                <a:lnTo>
                                  <a:pt x="97625" y="0"/>
                                </a:lnTo>
                                <a:lnTo>
                                  <a:pt x="39878" y="203"/>
                                </a:lnTo>
                                <a:lnTo>
                                  <a:pt x="39878" y="104978"/>
                                </a:lnTo>
                                <a:lnTo>
                                  <a:pt x="0" y="104775"/>
                                </a:lnTo>
                                <a:lnTo>
                                  <a:pt x="68656" y="173431"/>
                                </a:lnTo>
                                <a:lnTo>
                                  <a:pt x="137312" y="104775"/>
                                </a:lnTo>
                                <a:lnTo>
                                  <a:pt x="97625" y="104775"/>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0620" name="Shape 20620"/>
                        <wps:cNvSpPr/>
                        <wps:spPr>
                          <a:xfrm>
                            <a:off x="1274375" y="1888793"/>
                            <a:ext cx="137312" cy="173431"/>
                          </a:xfrm>
                          <a:custGeom>
                            <a:avLst/>
                            <a:gdLst/>
                            <a:ahLst/>
                            <a:cxnLst/>
                            <a:rect l="0" t="0" r="0" b="0"/>
                            <a:pathLst>
                              <a:path w="137312" h="173431">
                                <a:moveTo>
                                  <a:pt x="97625" y="0"/>
                                </a:moveTo>
                                <a:lnTo>
                                  <a:pt x="97625" y="104775"/>
                                </a:lnTo>
                                <a:lnTo>
                                  <a:pt x="137312" y="104775"/>
                                </a:lnTo>
                                <a:lnTo>
                                  <a:pt x="68656" y="173431"/>
                                </a:lnTo>
                                <a:lnTo>
                                  <a:pt x="0" y="104775"/>
                                </a:lnTo>
                                <a:lnTo>
                                  <a:pt x="39878" y="104978"/>
                                </a:lnTo>
                                <a:lnTo>
                                  <a:pt x="39878" y="203"/>
                                </a:lnTo>
                                <a:lnTo>
                                  <a:pt x="97625" y="0"/>
                                </a:lnTo>
                                <a:close/>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0621" name="Shape 20621"/>
                        <wps:cNvSpPr/>
                        <wps:spPr>
                          <a:xfrm>
                            <a:off x="1274375" y="1888793"/>
                            <a:ext cx="137312" cy="173431"/>
                          </a:xfrm>
                          <a:custGeom>
                            <a:avLst/>
                            <a:gdLst/>
                            <a:ahLst/>
                            <a:cxnLst/>
                            <a:rect l="0" t="0" r="0" b="0"/>
                            <a:pathLst>
                              <a:path w="137312" h="173431">
                                <a:moveTo>
                                  <a:pt x="97625" y="104775"/>
                                </a:moveTo>
                                <a:lnTo>
                                  <a:pt x="97625" y="0"/>
                                </a:lnTo>
                                <a:lnTo>
                                  <a:pt x="39878" y="203"/>
                                </a:lnTo>
                                <a:lnTo>
                                  <a:pt x="39878" y="104978"/>
                                </a:lnTo>
                                <a:lnTo>
                                  <a:pt x="0" y="104775"/>
                                </a:lnTo>
                                <a:lnTo>
                                  <a:pt x="68656" y="173431"/>
                                </a:lnTo>
                                <a:lnTo>
                                  <a:pt x="137312" y="104775"/>
                                </a:lnTo>
                                <a:lnTo>
                                  <a:pt x="97625" y="104775"/>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0381" name="Shape 380381"/>
                        <wps:cNvSpPr/>
                        <wps:spPr>
                          <a:xfrm>
                            <a:off x="2352205" y="1657198"/>
                            <a:ext cx="541553" cy="230327"/>
                          </a:xfrm>
                          <a:custGeom>
                            <a:avLst/>
                            <a:gdLst/>
                            <a:ahLst/>
                            <a:cxnLst/>
                            <a:rect l="0" t="0" r="0" b="0"/>
                            <a:pathLst>
                              <a:path w="541553" h="230327">
                                <a:moveTo>
                                  <a:pt x="0" y="0"/>
                                </a:moveTo>
                                <a:lnTo>
                                  <a:pt x="541553" y="0"/>
                                </a:lnTo>
                                <a:lnTo>
                                  <a:pt x="541553" y="230327"/>
                                </a:lnTo>
                                <a:lnTo>
                                  <a:pt x="0" y="230327"/>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0623" name="Rectangle 20623"/>
                        <wps:cNvSpPr/>
                        <wps:spPr>
                          <a:xfrm>
                            <a:off x="2506844" y="1699081"/>
                            <a:ext cx="308936" cy="203030"/>
                          </a:xfrm>
                          <a:prstGeom prst="rect">
                            <a:avLst/>
                          </a:prstGeom>
                          <a:ln>
                            <a:noFill/>
                          </a:ln>
                        </wps:spPr>
                        <wps:txbx>
                          <w:txbxContent>
                            <w:p w:rsidR="00D27BC6" w:rsidRDefault="004D5071">
                              <w:pPr>
                                <w:spacing w:after="160" w:line="259" w:lineRule="auto"/>
                                <w:ind w:left="0" w:right="0" w:firstLine="0"/>
                                <w:jc w:val="left"/>
                              </w:pPr>
                              <w:r>
                                <w:rPr>
                                  <w:w w:val="104"/>
                                </w:rPr>
                                <w:t>≥1,3</w:t>
                              </w:r>
                            </w:p>
                          </w:txbxContent>
                        </wps:txbx>
                        <wps:bodyPr horzOverflow="overflow" vert="horz" lIns="0" tIns="0" rIns="0" bIns="0" rtlCol="0">
                          <a:noAutofit/>
                        </wps:bodyPr>
                      </wps:wsp>
                      <wps:wsp>
                        <wps:cNvPr id="20624" name="Shape 20624"/>
                        <wps:cNvSpPr/>
                        <wps:spPr>
                          <a:xfrm>
                            <a:off x="2352205" y="1657198"/>
                            <a:ext cx="541553" cy="230327"/>
                          </a:xfrm>
                          <a:custGeom>
                            <a:avLst/>
                            <a:gdLst/>
                            <a:ahLst/>
                            <a:cxnLst/>
                            <a:rect l="0" t="0" r="0" b="0"/>
                            <a:pathLst>
                              <a:path w="541553" h="230327">
                                <a:moveTo>
                                  <a:pt x="0" y="230327"/>
                                </a:moveTo>
                                <a:lnTo>
                                  <a:pt x="541553" y="230327"/>
                                </a:lnTo>
                                <a:lnTo>
                                  <a:pt x="54155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0625" name="Shape 20625"/>
                        <wps:cNvSpPr/>
                        <wps:spPr>
                          <a:xfrm>
                            <a:off x="2554296" y="1475846"/>
                            <a:ext cx="137313" cy="173431"/>
                          </a:xfrm>
                          <a:custGeom>
                            <a:avLst/>
                            <a:gdLst/>
                            <a:ahLst/>
                            <a:cxnLst/>
                            <a:rect l="0" t="0" r="0" b="0"/>
                            <a:pathLst>
                              <a:path w="137313" h="173431">
                                <a:moveTo>
                                  <a:pt x="97625" y="0"/>
                                </a:moveTo>
                                <a:lnTo>
                                  <a:pt x="97625" y="104775"/>
                                </a:lnTo>
                                <a:lnTo>
                                  <a:pt x="137313" y="104775"/>
                                </a:lnTo>
                                <a:lnTo>
                                  <a:pt x="68656" y="173431"/>
                                </a:lnTo>
                                <a:lnTo>
                                  <a:pt x="0" y="104775"/>
                                </a:lnTo>
                                <a:lnTo>
                                  <a:pt x="39878" y="104978"/>
                                </a:lnTo>
                                <a:lnTo>
                                  <a:pt x="39878" y="203"/>
                                </a:lnTo>
                                <a:lnTo>
                                  <a:pt x="97625" y="0"/>
                                </a:lnTo>
                                <a:close/>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0626" name="Shape 20626"/>
                        <wps:cNvSpPr/>
                        <wps:spPr>
                          <a:xfrm>
                            <a:off x="2554296" y="1475846"/>
                            <a:ext cx="137313" cy="173431"/>
                          </a:xfrm>
                          <a:custGeom>
                            <a:avLst/>
                            <a:gdLst/>
                            <a:ahLst/>
                            <a:cxnLst/>
                            <a:rect l="0" t="0" r="0" b="0"/>
                            <a:pathLst>
                              <a:path w="137313" h="173431">
                                <a:moveTo>
                                  <a:pt x="97625" y="104775"/>
                                </a:moveTo>
                                <a:lnTo>
                                  <a:pt x="97625" y="0"/>
                                </a:lnTo>
                                <a:lnTo>
                                  <a:pt x="39878" y="203"/>
                                </a:lnTo>
                                <a:lnTo>
                                  <a:pt x="39878" y="104978"/>
                                </a:lnTo>
                                <a:lnTo>
                                  <a:pt x="0" y="104775"/>
                                </a:lnTo>
                                <a:lnTo>
                                  <a:pt x="68656" y="173431"/>
                                </a:lnTo>
                                <a:lnTo>
                                  <a:pt x="137313" y="104775"/>
                                </a:lnTo>
                                <a:lnTo>
                                  <a:pt x="97625" y="104775"/>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0627" name="Shape 20627"/>
                        <wps:cNvSpPr/>
                        <wps:spPr>
                          <a:xfrm>
                            <a:off x="2554296" y="1888793"/>
                            <a:ext cx="137313" cy="173431"/>
                          </a:xfrm>
                          <a:custGeom>
                            <a:avLst/>
                            <a:gdLst/>
                            <a:ahLst/>
                            <a:cxnLst/>
                            <a:rect l="0" t="0" r="0" b="0"/>
                            <a:pathLst>
                              <a:path w="137313" h="173431">
                                <a:moveTo>
                                  <a:pt x="97625" y="0"/>
                                </a:moveTo>
                                <a:lnTo>
                                  <a:pt x="97625" y="104775"/>
                                </a:lnTo>
                                <a:lnTo>
                                  <a:pt x="137313" y="104775"/>
                                </a:lnTo>
                                <a:lnTo>
                                  <a:pt x="68656" y="173431"/>
                                </a:lnTo>
                                <a:lnTo>
                                  <a:pt x="0" y="104775"/>
                                </a:lnTo>
                                <a:lnTo>
                                  <a:pt x="39878" y="104978"/>
                                </a:lnTo>
                                <a:lnTo>
                                  <a:pt x="39878" y="203"/>
                                </a:lnTo>
                                <a:lnTo>
                                  <a:pt x="97625" y="0"/>
                                </a:lnTo>
                                <a:close/>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0628" name="Shape 20628"/>
                        <wps:cNvSpPr/>
                        <wps:spPr>
                          <a:xfrm>
                            <a:off x="2554296" y="1888793"/>
                            <a:ext cx="137313" cy="173431"/>
                          </a:xfrm>
                          <a:custGeom>
                            <a:avLst/>
                            <a:gdLst/>
                            <a:ahLst/>
                            <a:cxnLst/>
                            <a:rect l="0" t="0" r="0" b="0"/>
                            <a:pathLst>
                              <a:path w="137313" h="173431">
                                <a:moveTo>
                                  <a:pt x="97625" y="104775"/>
                                </a:moveTo>
                                <a:lnTo>
                                  <a:pt x="97625" y="0"/>
                                </a:lnTo>
                                <a:lnTo>
                                  <a:pt x="39878" y="203"/>
                                </a:lnTo>
                                <a:lnTo>
                                  <a:pt x="39878" y="104978"/>
                                </a:lnTo>
                                <a:lnTo>
                                  <a:pt x="0" y="104775"/>
                                </a:lnTo>
                                <a:lnTo>
                                  <a:pt x="68656" y="173431"/>
                                </a:lnTo>
                                <a:lnTo>
                                  <a:pt x="137313" y="104775"/>
                                </a:lnTo>
                                <a:lnTo>
                                  <a:pt x="97625" y="104775"/>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0629" name="Shape 20629"/>
                        <wps:cNvSpPr/>
                        <wps:spPr>
                          <a:xfrm>
                            <a:off x="3056536" y="451908"/>
                            <a:ext cx="173431" cy="137313"/>
                          </a:xfrm>
                          <a:custGeom>
                            <a:avLst/>
                            <a:gdLst/>
                            <a:ahLst/>
                            <a:cxnLst/>
                            <a:rect l="0" t="0" r="0" b="0"/>
                            <a:pathLst>
                              <a:path w="173431" h="137313">
                                <a:moveTo>
                                  <a:pt x="104775" y="0"/>
                                </a:moveTo>
                                <a:lnTo>
                                  <a:pt x="173431" y="68656"/>
                                </a:lnTo>
                                <a:lnTo>
                                  <a:pt x="104775" y="137313"/>
                                </a:lnTo>
                                <a:lnTo>
                                  <a:pt x="104978" y="97434"/>
                                </a:lnTo>
                                <a:lnTo>
                                  <a:pt x="203" y="97434"/>
                                </a:lnTo>
                                <a:lnTo>
                                  <a:pt x="0" y="39688"/>
                                </a:lnTo>
                                <a:lnTo>
                                  <a:pt x="104775" y="39688"/>
                                </a:lnTo>
                                <a:lnTo>
                                  <a:pt x="104775" y="0"/>
                                </a:lnTo>
                                <a:close/>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0630" name="Shape 20630"/>
                        <wps:cNvSpPr/>
                        <wps:spPr>
                          <a:xfrm>
                            <a:off x="3056536" y="451908"/>
                            <a:ext cx="173431" cy="137313"/>
                          </a:xfrm>
                          <a:custGeom>
                            <a:avLst/>
                            <a:gdLst/>
                            <a:ahLst/>
                            <a:cxnLst/>
                            <a:rect l="0" t="0" r="0" b="0"/>
                            <a:pathLst>
                              <a:path w="173431" h="137313">
                                <a:moveTo>
                                  <a:pt x="104775" y="39688"/>
                                </a:moveTo>
                                <a:lnTo>
                                  <a:pt x="0" y="39688"/>
                                </a:lnTo>
                                <a:lnTo>
                                  <a:pt x="203" y="97434"/>
                                </a:lnTo>
                                <a:lnTo>
                                  <a:pt x="104978" y="97434"/>
                                </a:lnTo>
                                <a:lnTo>
                                  <a:pt x="104775" y="137313"/>
                                </a:lnTo>
                                <a:lnTo>
                                  <a:pt x="173431" y="68656"/>
                                </a:lnTo>
                                <a:lnTo>
                                  <a:pt x="104775" y="0"/>
                                </a:lnTo>
                                <a:lnTo>
                                  <a:pt x="104775" y="39688"/>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284530" style="width:482.963pt;height:191.291pt;mso-position-horizontal-relative:char;mso-position-vertical-relative:line" coordsize="61336,24293">
                <v:shape id="Shape 380384" style="position:absolute;width:21293;height:2303;left:9183;top:0;" coordsize="2129396,230327" path="m0,0l2129396,0l2129396,230327l0,230327l0,0">
                  <v:stroke weight="0pt" endcap="flat" joinstyle="miter" miterlimit="10" on="false" color="#000000" opacity="0"/>
                  <v:fill on="true" color="#dadad9"/>
                </v:shape>
                <v:rect id="Rectangle 20581" style="position:absolute;width:21336;height:2092;left:11808;top:371;" filled="f" stroked="f">
                  <v:textbox inset="0,0,0,0">
                    <w:txbxContent>
                      <w:p>
                        <w:pPr>
                          <w:spacing w:before="0" w:after="160" w:line="259" w:lineRule="auto"/>
                          <w:ind w:left="0" w:right="0" w:firstLine="0"/>
                          <w:jc w:val="left"/>
                        </w:pPr>
                        <w:r>
                          <w:rPr>
                            <w:rFonts w:cs="Calibri" w:hAnsi="Calibri" w:eastAsia="Calibri" w:ascii="Calibri"/>
                            <w:b w:val="1"/>
                            <w:w w:val="111"/>
                          </w:rPr>
                          <w:t xml:space="preserve">УЗИ</w:t>
                        </w:r>
                        <w:r>
                          <w:rPr>
                            <w:rFonts w:cs="Calibri" w:hAnsi="Calibri" w:eastAsia="Calibri" w:ascii="Calibri"/>
                            <w:b w:val="1"/>
                            <w:spacing w:val="-5"/>
                            <w:w w:val="111"/>
                          </w:rPr>
                          <w:t xml:space="preserve"> </w:t>
                        </w:r>
                        <w:r>
                          <w:rPr>
                            <w:rFonts w:cs="Calibri" w:hAnsi="Calibri" w:eastAsia="Calibri" w:ascii="Calibri"/>
                            <w:b w:val="1"/>
                            <w:w w:val="111"/>
                          </w:rPr>
                          <w:t xml:space="preserve">ОБП</w:t>
                        </w:r>
                        <w:r>
                          <w:rPr>
                            <w:rFonts w:cs="Calibri" w:hAnsi="Calibri" w:eastAsia="Calibri" w:ascii="Calibri"/>
                            <w:b w:val="1"/>
                            <w:spacing w:val="-5"/>
                            <w:w w:val="111"/>
                          </w:rPr>
                          <w:t xml:space="preserve"> </w:t>
                        </w:r>
                        <w:r>
                          <w:rPr>
                            <w:rFonts w:cs="Calibri" w:hAnsi="Calibri" w:eastAsia="Calibri" w:ascii="Calibri"/>
                            <w:b w:val="1"/>
                            <w:w w:val="111"/>
                          </w:rPr>
                          <w:t xml:space="preserve">у</w:t>
                        </w:r>
                        <w:r>
                          <w:rPr>
                            <w:rFonts w:cs="Calibri" w:hAnsi="Calibri" w:eastAsia="Calibri" w:ascii="Calibri"/>
                            <w:b w:val="1"/>
                            <w:spacing w:val="-5"/>
                            <w:w w:val="111"/>
                          </w:rPr>
                          <w:t xml:space="preserve"> </w:t>
                        </w:r>
                        <w:r>
                          <w:rPr>
                            <w:rFonts w:cs="Calibri" w:hAnsi="Calibri" w:eastAsia="Calibri" w:ascii="Calibri"/>
                            <w:b w:val="1"/>
                            <w:w w:val="111"/>
                          </w:rPr>
                          <w:t xml:space="preserve">пациентов</w:t>
                        </w:r>
                        <w:r>
                          <w:rPr>
                            <w:rFonts w:cs="Calibri" w:hAnsi="Calibri" w:eastAsia="Calibri" w:ascii="Calibri"/>
                            <w:b w:val="1"/>
                            <w:spacing w:val="-5"/>
                            <w:w w:val="111"/>
                          </w:rPr>
                          <w:t xml:space="preserve"> </w:t>
                        </w:r>
                        <w:r>
                          <w:rPr>
                            <w:rFonts w:cs="Calibri" w:hAnsi="Calibri" w:eastAsia="Calibri" w:ascii="Calibri"/>
                            <w:b w:val="1"/>
                            <w:w w:val="111"/>
                          </w:rPr>
                          <w:t xml:space="preserve">с</w:t>
                        </w:r>
                        <w:r>
                          <w:rPr>
                            <w:rFonts w:cs="Calibri" w:hAnsi="Calibri" w:eastAsia="Calibri" w:ascii="Calibri"/>
                            <w:b w:val="1"/>
                            <w:spacing w:val="-5"/>
                            <w:w w:val="111"/>
                          </w:rPr>
                          <w:t xml:space="preserve"> </w:t>
                        </w:r>
                        <w:r>
                          <w:rPr>
                            <w:rFonts w:cs="Calibri" w:hAnsi="Calibri" w:eastAsia="Calibri" w:ascii="Calibri"/>
                            <w:b w:val="1"/>
                            <w:w w:val="111"/>
                          </w:rPr>
                          <w:t xml:space="preserve">СД2</w:t>
                        </w:r>
                      </w:p>
                    </w:txbxContent>
                  </v:textbox>
                </v:rect>
                <v:shape id="Shape 20582" style="position:absolute;width:21293;height:2303;left:9183;top:0;" coordsize="2129396,230327" path="m0,230327l2129396,230327l2129396,0l0,0x">
                  <v:stroke weight="0.709pt" endcap="flat" joinstyle="miter" miterlimit="4" on="true" color="#000000"/>
                  <v:fill on="false" color="#000000" opacity="0"/>
                </v:shape>
                <v:shape id="Shape 380397" style="position:absolute;width:21293;height:2303;left:9183;top:4128;" coordsize="2129396,230327" path="m0,0l2129396,0l2129396,230327l0,230327l0,0">
                  <v:stroke weight="0pt" endcap="flat" joinstyle="miter" miterlimit="4" on="false" color="#000000" opacity="0"/>
                  <v:fill on="true" color="#dadad9"/>
                </v:shape>
                <v:rect id="Rectangle 20584" style="position:absolute;width:24493;height:2092;left:10622;top:4499;" filled="f" stroked="f">
                  <v:textbox inset="0,0,0,0">
                    <w:txbxContent>
                      <w:p>
                        <w:pPr>
                          <w:spacing w:before="0" w:after="160" w:line="259" w:lineRule="auto"/>
                          <w:ind w:left="0" w:right="0" w:firstLine="0"/>
                          <w:jc w:val="left"/>
                        </w:pPr>
                        <w:r>
                          <w:rPr>
                            <w:rFonts w:cs="Calibri" w:hAnsi="Calibri" w:eastAsia="Calibri" w:ascii="Calibri"/>
                            <w:b w:val="1"/>
                            <w:w w:val="112"/>
                          </w:rPr>
                          <w:t xml:space="preserve">Пациенты</w:t>
                        </w:r>
                        <w:r>
                          <w:rPr>
                            <w:rFonts w:cs="Calibri" w:hAnsi="Calibri" w:eastAsia="Calibri" w:ascii="Calibri"/>
                            <w:b w:val="1"/>
                            <w:spacing w:val="-5"/>
                            <w:w w:val="112"/>
                          </w:rPr>
                          <w:t xml:space="preserve"> </w:t>
                        </w:r>
                        <w:r>
                          <w:rPr>
                            <w:rFonts w:cs="Calibri" w:hAnsi="Calibri" w:eastAsia="Calibri" w:ascii="Calibri"/>
                            <w:b w:val="1"/>
                            <w:w w:val="112"/>
                          </w:rPr>
                          <w:t xml:space="preserve">с</w:t>
                        </w:r>
                        <w:r>
                          <w:rPr>
                            <w:rFonts w:cs="Calibri" w:hAnsi="Calibri" w:eastAsia="Calibri" w:ascii="Calibri"/>
                            <w:b w:val="1"/>
                            <w:spacing w:val="-5"/>
                            <w:w w:val="112"/>
                          </w:rPr>
                          <w:t xml:space="preserve"> </w:t>
                        </w:r>
                        <w:r>
                          <w:rPr>
                            <w:rFonts w:cs="Calibri" w:hAnsi="Calibri" w:eastAsia="Calibri" w:ascii="Calibri"/>
                            <w:b w:val="1"/>
                            <w:w w:val="112"/>
                          </w:rPr>
                          <w:t xml:space="preserve">СД</w:t>
                        </w:r>
                        <w:r>
                          <w:rPr>
                            <w:rFonts w:cs="Calibri" w:hAnsi="Calibri" w:eastAsia="Calibri" w:ascii="Calibri"/>
                            <w:b w:val="1"/>
                            <w:spacing w:val="-5"/>
                            <w:w w:val="112"/>
                          </w:rPr>
                          <w:t xml:space="preserve"> </w:t>
                        </w:r>
                        <w:r>
                          <w:rPr>
                            <w:rFonts w:cs="Calibri" w:hAnsi="Calibri" w:eastAsia="Calibri" w:ascii="Calibri"/>
                            <w:b w:val="1"/>
                            <w:w w:val="112"/>
                          </w:rPr>
                          <w:t xml:space="preserve">2</w:t>
                        </w:r>
                        <w:r>
                          <w:rPr>
                            <w:rFonts w:cs="Calibri" w:hAnsi="Calibri" w:eastAsia="Calibri" w:ascii="Calibri"/>
                            <w:b w:val="1"/>
                            <w:spacing w:val="-5"/>
                            <w:w w:val="112"/>
                          </w:rPr>
                          <w:t xml:space="preserve"> </w:t>
                        </w:r>
                        <w:r>
                          <w:rPr>
                            <w:rFonts w:cs="Calibri" w:hAnsi="Calibri" w:eastAsia="Calibri" w:ascii="Calibri"/>
                            <w:b w:val="1"/>
                            <w:w w:val="112"/>
                          </w:rPr>
                          <w:t xml:space="preserve">типа</w:t>
                        </w:r>
                        <w:r>
                          <w:rPr>
                            <w:rFonts w:cs="Calibri" w:hAnsi="Calibri" w:eastAsia="Calibri" w:ascii="Calibri"/>
                            <w:b w:val="1"/>
                            <w:spacing w:val="-5"/>
                            <w:w w:val="112"/>
                          </w:rPr>
                          <w:t xml:space="preserve"> </w:t>
                        </w:r>
                        <w:r>
                          <w:rPr>
                            <w:rFonts w:cs="Calibri" w:hAnsi="Calibri" w:eastAsia="Calibri" w:ascii="Calibri"/>
                            <w:b w:val="1"/>
                            <w:w w:val="112"/>
                          </w:rPr>
                          <w:t xml:space="preserve">и</w:t>
                        </w:r>
                        <w:r>
                          <w:rPr>
                            <w:rFonts w:cs="Calibri" w:hAnsi="Calibri" w:eastAsia="Calibri" w:ascii="Calibri"/>
                            <w:b w:val="1"/>
                            <w:spacing w:val="-5"/>
                            <w:w w:val="112"/>
                          </w:rPr>
                          <w:t xml:space="preserve"> </w:t>
                        </w:r>
                        <w:r>
                          <w:rPr>
                            <w:rFonts w:cs="Calibri" w:hAnsi="Calibri" w:eastAsia="Calibri" w:ascii="Calibri"/>
                            <w:b w:val="1"/>
                            <w:w w:val="112"/>
                          </w:rPr>
                          <w:t xml:space="preserve">НАЖБП</w:t>
                        </w:r>
                      </w:p>
                    </w:txbxContent>
                  </v:textbox>
                </v:rect>
                <v:shape id="Shape 20585" style="position:absolute;width:21293;height:2303;left:9183;top:4128;" coordsize="2129396,230327" path="m0,230327l2129396,230327l2129396,0l0,0x">
                  <v:stroke weight="0.709pt" endcap="flat" joinstyle="miter" miterlimit="4" on="true" color="#000000"/>
                  <v:fill on="false" color="#000000" opacity="0"/>
                </v:shape>
                <v:shape id="Shape 380412" style="position:absolute;width:21293;height:2303;left:9183;top:8256;" coordsize="2129396,230327" path="m0,0l2129396,0l2129396,230327l0,230327l0,0">
                  <v:stroke weight="0pt" endcap="flat" joinstyle="miter" miterlimit="4" on="false" color="#000000" opacity="0"/>
                  <v:fill on="true" color="#dadad9"/>
                </v:shape>
                <v:rect id="Rectangle 20587" style="position:absolute;width:25778;height:2092;left:10138;top:8627;" filled="f" stroked="f">
                  <v:textbox inset="0,0,0,0">
                    <w:txbxContent>
                      <w:p>
                        <w:pPr>
                          <w:spacing w:before="0" w:after="160" w:line="259" w:lineRule="auto"/>
                          <w:ind w:left="0" w:right="0" w:firstLine="0"/>
                          <w:jc w:val="left"/>
                        </w:pPr>
                        <w:r>
                          <w:rPr>
                            <w:rFonts w:cs="Calibri" w:hAnsi="Calibri" w:eastAsia="Calibri" w:ascii="Calibri"/>
                            <w:b w:val="1"/>
                            <w:w w:val="112"/>
                          </w:rPr>
                          <w:t xml:space="preserve">Оценка</w:t>
                        </w:r>
                        <w:r>
                          <w:rPr>
                            <w:rFonts w:cs="Calibri" w:hAnsi="Calibri" w:eastAsia="Calibri" w:ascii="Calibri"/>
                            <w:b w:val="1"/>
                            <w:spacing w:val="-5"/>
                            <w:w w:val="112"/>
                          </w:rPr>
                          <w:t xml:space="preserve"> </w:t>
                        </w:r>
                        <w:r>
                          <w:rPr>
                            <w:rFonts w:cs="Calibri" w:hAnsi="Calibri" w:eastAsia="Calibri" w:ascii="Calibri"/>
                            <w:b w:val="1"/>
                            <w:w w:val="112"/>
                          </w:rPr>
                          <w:t xml:space="preserve">риска</w:t>
                        </w:r>
                        <w:r>
                          <w:rPr>
                            <w:rFonts w:cs="Calibri" w:hAnsi="Calibri" w:eastAsia="Calibri" w:ascii="Calibri"/>
                            <w:b w:val="1"/>
                            <w:spacing w:val="-5"/>
                            <w:w w:val="112"/>
                          </w:rPr>
                          <w:t xml:space="preserve"> </w:t>
                        </w:r>
                        <w:r>
                          <w:rPr>
                            <w:rFonts w:cs="Calibri" w:hAnsi="Calibri" w:eastAsia="Calibri" w:ascii="Calibri"/>
                            <w:b w:val="1"/>
                            <w:w w:val="112"/>
                          </w:rPr>
                          <w:t xml:space="preserve">тяжелого</w:t>
                        </w:r>
                        <w:r>
                          <w:rPr>
                            <w:rFonts w:cs="Calibri" w:hAnsi="Calibri" w:eastAsia="Calibri" w:ascii="Calibri"/>
                            <w:b w:val="1"/>
                            <w:spacing w:val="-5"/>
                            <w:w w:val="112"/>
                          </w:rPr>
                          <w:t xml:space="preserve"> </w:t>
                        </w:r>
                        <w:r>
                          <w:rPr>
                            <w:rFonts w:cs="Calibri" w:hAnsi="Calibri" w:eastAsia="Calibri" w:ascii="Calibri"/>
                            <w:b w:val="1"/>
                            <w:w w:val="112"/>
                          </w:rPr>
                          <w:t xml:space="preserve">фиброза</w:t>
                        </w:r>
                      </w:p>
                    </w:txbxContent>
                  </v:textbox>
                </v:rect>
                <v:shape id="Shape 20588" style="position:absolute;width:21293;height:2303;left:9183;top:8256;" coordsize="2129396,230327" path="m0,230327l2129396,230327l2129396,0l0,0x">
                  <v:stroke weight="0.709pt" endcap="flat" joinstyle="miter" miterlimit="4" on="true" color="#000000"/>
                  <v:fill on="false" color="#000000" opacity="0"/>
                </v:shape>
                <v:shape id="Shape 380421" style="position:absolute;width:21293;height:2303;left:9183;top:12384;" coordsize="2129396,230328" path="m0,0l2129396,0l2129396,230328l0,230328l0,0">
                  <v:stroke weight="0pt" endcap="flat" joinstyle="miter" miterlimit="4" on="false" color="#000000" opacity="0"/>
                  <v:fill on="true" color="#dadad9"/>
                </v:shape>
                <v:rect id="Rectangle 20590" style="position:absolute;width:3893;height:2092;left:18366;top:12755;" filled="f" stroked="f">
                  <v:textbox inset="0,0,0,0">
                    <w:txbxContent>
                      <w:p>
                        <w:pPr>
                          <w:spacing w:before="0" w:after="160" w:line="259" w:lineRule="auto"/>
                          <w:ind w:left="0" w:right="0" w:firstLine="0"/>
                          <w:jc w:val="left"/>
                        </w:pPr>
                        <w:r>
                          <w:rPr>
                            <w:rFonts w:cs="Calibri" w:hAnsi="Calibri" w:eastAsia="Calibri" w:ascii="Calibri"/>
                            <w:b w:val="1"/>
                            <w:w w:val="111"/>
                          </w:rPr>
                          <w:t xml:space="preserve">FIB-4</w:t>
                        </w:r>
                      </w:p>
                    </w:txbxContent>
                  </v:textbox>
                </v:rect>
                <v:shape id="Shape 20591" style="position:absolute;width:21293;height:2303;left:9183;top:12384;" coordsize="2129396,230328" path="m0,230328l2129396,230328l2129396,0l0,0x">
                  <v:stroke weight="0.709pt" endcap="flat" joinstyle="miter" miterlimit="4" on="true" color="#000000"/>
                  <v:fill on="false" color="#000000" opacity="0"/>
                </v:shape>
                <v:shape id="Shape 380424" style="position:absolute;width:18246;height:3654;left:0;top:20639;" coordsize="1824622,365405" path="m0,0l1824622,0l1824622,365405l0,365405l0,0">
                  <v:stroke weight="0pt" endcap="flat" joinstyle="miter" miterlimit="4" on="false" color="#000000" opacity="0"/>
                  <v:fill on="true" color="#dadad9"/>
                </v:shape>
                <v:rect id="Rectangle 20593" style="position:absolute;width:21522;height:2092;left:1032;top:21687;" filled="f" stroked="f">
                  <v:textbox inset="0,0,0,0">
                    <w:txbxContent>
                      <w:p>
                        <w:pPr>
                          <w:spacing w:before="0" w:after="160" w:line="259" w:lineRule="auto"/>
                          <w:ind w:left="0" w:right="0" w:firstLine="0"/>
                          <w:jc w:val="left"/>
                        </w:pPr>
                        <w:r>
                          <w:rPr>
                            <w:rFonts w:cs="Calibri" w:hAnsi="Calibri" w:eastAsia="Calibri" w:ascii="Calibri"/>
                            <w:b w:val="1"/>
                            <w:w w:val="112"/>
                          </w:rPr>
                          <w:t xml:space="preserve">Тяжелый</w:t>
                        </w:r>
                        <w:r>
                          <w:rPr>
                            <w:rFonts w:cs="Calibri" w:hAnsi="Calibri" w:eastAsia="Calibri" w:ascii="Calibri"/>
                            <w:b w:val="1"/>
                            <w:spacing w:val="-5"/>
                            <w:w w:val="112"/>
                          </w:rPr>
                          <w:t xml:space="preserve"> </w:t>
                        </w:r>
                        <w:r>
                          <w:rPr>
                            <w:rFonts w:cs="Calibri" w:hAnsi="Calibri" w:eastAsia="Calibri" w:ascii="Calibri"/>
                            <w:b w:val="1"/>
                            <w:w w:val="112"/>
                          </w:rPr>
                          <w:t xml:space="preserve">фиброз</w:t>
                        </w:r>
                        <w:r>
                          <w:rPr>
                            <w:rFonts w:cs="Calibri" w:hAnsi="Calibri" w:eastAsia="Calibri" w:ascii="Calibri"/>
                            <w:b w:val="1"/>
                            <w:spacing w:val="-5"/>
                            <w:w w:val="112"/>
                          </w:rPr>
                          <w:t xml:space="preserve"> </w:t>
                        </w:r>
                        <w:r>
                          <w:rPr>
                            <w:rFonts w:cs="Calibri" w:hAnsi="Calibri" w:eastAsia="Calibri" w:ascii="Calibri"/>
                            <w:b w:val="1"/>
                            <w:w w:val="112"/>
                          </w:rPr>
                          <w:t xml:space="preserve">исключен</w:t>
                        </w:r>
                      </w:p>
                    </w:txbxContent>
                  </v:textbox>
                </v:rect>
                <v:shape id="Shape 20594" style="position:absolute;width:18246;height:3654;left:0;top:20639;" coordsize="1824622,365405" path="m0,365405l1824622,365405l1824622,0l0,0x">
                  <v:stroke weight="0.709pt" endcap="flat" joinstyle="miter" miterlimit="4" on="true" color="#000000"/>
                  <v:fill on="false" color="#000000" opacity="0"/>
                </v:shape>
                <v:shape id="Shape 380431" style="position:absolute;width:20226;height:3654;left:19433;top:20639;" coordsize="2022615,365405" path="m0,0l2022615,0l2022615,365405l0,365405l0,0">
                  <v:stroke weight="0pt" endcap="flat" joinstyle="miter" miterlimit="4" on="false" color="#000000" opacity="0"/>
                  <v:fill on="true" color="#dadad9"/>
                </v:shape>
                <v:rect id="Rectangle 20596" style="position:absolute;width:24873;height:2092;left:20324;top:20925;" filled="f" stroked="f">
                  <v:textbox inset="0,0,0,0">
                    <w:txbxContent>
                      <w:p>
                        <w:pPr>
                          <w:spacing w:before="0" w:after="160" w:line="259" w:lineRule="auto"/>
                          <w:ind w:left="0" w:right="0" w:firstLine="0"/>
                          <w:jc w:val="left"/>
                        </w:pPr>
                        <w:r>
                          <w:rPr>
                            <w:rFonts w:cs="Calibri" w:hAnsi="Calibri" w:eastAsia="Calibri" w:ascii="Calibri"/>
                            <w:b w:val="1"/>
                            <w:w w:val="110"/>
                          </w:rPr>
                          <w:t xml:space="preserve">Дообследование,</w:t>
                        </w:r>
                        <w:r>
                          <w:rPr>
                            <w:rFonts w:cs="Calibri" w:hAnsi="Calibri" w:eastAsia="Calibri" w:ascii="Calibri"/>
                            <w:b w:val="1"/>
                            <w:spacing w:val="-5"/>
                            <w:w w:val="110"/>
                          </w:rPr>
                          <w:t xml:space="preserve"> </w:t>
                        </w:r>
                        <w:r>
                          <w:rPr>
                            <w:rFonts w:cs="Calibri" w:hAnsi="Calibri" w:eastAsia="Calibri" w:ascii="Calibri"/>
                            <w:b w:val="1"/>
                            <w:w w:val="110"/>
                          </w:rPr>
                          <w:t xml:space="preserve">направление</w:t>
                        </w:r>
                        <w:r>
                          <w:rPr>
                            <w:rFonts w:cs="Calibri" w:hAnsi="Calibri" w:eastAsia="Calibri" w:ascii="Calibri"/>
                            <w:b w:val="1"/>
                            <w:spacing w:val="-5"/>
                            <w:w w:val="110"/>
                          </w:rPr>
                          <w:t xml:space="preserve"> </w:t>
                        </w:r>
                      </w:p>
                    </w:txbxContent>
                  </v:textbox>
                </v:rect>
                <v:rect id="Rectangle 20597" style="position:absolute;width:15276;height:2092;left:23804;top:22449;" filled="f" stroked="f">
                  <v:textbox inset="0,0,0,0">
                    <w:txbxContent>
                      <w:p>
                        <w:pPr>
                          <w:spacing w:before="0" w:after="160" w:line="259" w:lineRule="auto"/>
                          <w:ind w:left="0" w:right="0" w:firstLine="0"/>
                          <w:jc w:val="left"/>
                        </w:pPr>
                        <w:r>
                          <w:rPr>
                            <w:rFonts w:cs="Calibri" w:hAnsi="Calibri" w:eastAsia="Calibri" w:ascii="Calibri"/>
                            <w:b w:val="1"/>
                            <w:w w:val="112"/>
                          </w:rPr>
                          <w:t xml:space="preserve">к</w:t>
                        </w:r>
                        <w:r>
                          <w:rPr>
                            <w:rFonts w:cs="Calibri" w:hAnsi="Calibri" w:eastAsia="Calibri" w:ascii="Calibri"/>
                            <w:b w:val="1"/>
                            <w:spacing w:val="-5"/>
                            <w:w w:val="112"/>
                          </w:rPr>
                          <w:t xml:space="preserve"> </w:t>
                        </w:r>
                        <w:r>
                          <w:rPr>
                            <w:rFonts w:cs="Calibri" w:hAnsi="Calibri" w:eastAsia="Calibri" w:ascii="Calibri"/>
                            <w:b w:val="1"/>
                            <w:w w:val="112"/>
                          </w:rPr>
                          <w:t xml:space="preserve">гастроэнтерологу</w:t>
                        </w:r>
                      </w:p>
                    </w:txbxContent>
                  </v:textbox>
                </v:rect>
                <v:shape id="Shape 20598" style="position:absolute;width:20226;height:3654;left:19433;top:20639;" coordsize="2022615,365405" path="m0,365405l2022615,365405l2022615,0l0,0x">
                  <v:stroke weight="0.709pt" endcap="flat" joinstyle="miter" miterlimit="4" on="true" color="#000000"/>
                  <v:fill on="false" color="#000000" opacity="0"/>
                </v:shape>
                <v:shape id="Shape 380441" style="position:absolute;width:28926;height:8075;left:32410;top:1196;" coordsize="2892603,807530" path="m0,0l2892603,0l2892603,807530l0,807530l0,0">
                  <v:stroke weight="0pt" endcap="flat" joinstyle="miter" miterlimit="4" on="false" color="#000000" opacity="0"/>
                  <v:fill on="true" color="#dadad9"/>
                </v:shape>
                <v:rect id="Rectangle 20600" style="position:absolute;width:36413;height:2030;left:32815;top:1345;" filled="f" stroked="f">
                  <v:textbox inset="0,0,0,0">
                    <w:txbxContent>
                      <w:p>
                        <w:pPr>
                          <w:spacing w:before="0" w:after="160" w:line="259" w:lineRule="auto"/>
                          <w:ind w:left="0" w:right="0" w:firstLine="0"/>
                          <w:jc w:val="left"/>
                        </w:pPr>
                        <w:r>
                          <w:rPr>
                            <w:w w:val="104"/>
                          </w:rPr>
                          <w:t xml:space="preserve">Исключить</w:t>
                        </w:r>
                        <w:r>
                          <w:rPr>
                            <w:spacing w:val="-3"/>
                            <w:w w:val="104"/>
                          </w:rPr>
                          <w:t xml:space="preserve"> </w:t>
                        </w:r>
                        <w:r>
                          <w:rPr>
                            <w:w w:val="104"/>
                          </w:rPr>
                          <w:t xml:space="preserve">другие</w:t>
                        </w:r>
                        <w:r>
                          <w:rPr>
                            <w:spacing w:val="-3"/>
                            <w:w w:val="104"/>
                          </w:rPr>
                          <w:t xml:space="preserve"> </w:t>
                        </w:r>
                        <w:r>
                          <w:rPr>
                            <w:w w:val="104"/>
                          </w:rPr>
                          <w:t xml:space="preserve">причины</w:t>
                        </w:r>
                        <w:r>
                          <w:rPr>
                            <w:spacing w:val="-3"/>
                            <w:w w:val="104"/>
                          </w:rPr>
                          <w:t xml:space="preserve"> </w:t>
                        </w:r>
                        <w:r>
                          <w:rPr>
                            <w:w w:val="104"/>
                          </w:rPr>
                          <w:t xml:space="preserve">заболеваний</w:t>
                        </w:r>
                        <w:r>
                          <w:rPr>
                            <w:spacing w:val="-3"/>
                            <w:w w:val="104"/>
                          </w:rPr>
                          <w:t xml:space="preserve"> </w:t>
                        </w:r>
                        <w:r>
                          <w:rPr>
                            <w:w w:val="104"/>
                          </w:rPr>
                          <w:t xml:space="preserve">печени</w:t>
                        </w:r>
                        <w:r>
                          <w:rPr>
                            <w:spacing w:val="-3"/>
                            <w:w w:val="104"/>
                          </w:rPr>
                          <w:t xml:space="preserve"> </w:t>
                        </w:r>
                      </w:p>
                    </w:txbxContent>
                  </v:textbox>
                </v:rect>
                <v:rect id="Rectangle 284365" style="position:absolute;width:479;height:2030;left:58632;top:2869;" filled="f" stroked="f">
                  <v:textbox inset="0,0,0,0">
                    <w:txbxContent>
                      <w:p>
                        <w:pPr>
                          <w:spacing w:before="0" w:after="160" w:line="259" w:lineRule="auto"/>
                          <w:ind w:left="0" w:right="0" w:firstLine="0"/>
                          <w:jc w:val="left"/>
                        </w:pPr>
                        <w:r>
                          <w:rPr>
                            <w:w w:val="95"/>
                          </w:rPr>
                          <w:t xml:space="preserve">)</w:t>
                        </w:r>
                      </w:p>
                    </w:txbxContent>
                  </v:textbox>
                </v:rect>
                <v:rect id="Rectangle 284366" style="position:absolute;width:33857;height:2030;left:33176;top:2869;" filled="f" stroked="f">
                  <v:textbox inset="0,0,0,0">
                    <w:txbxContent>
                      <w:p>
                        <w:pPr>
                          <w:spacing w:before="0" w:after="160" w:line="259" w:lineRule="auto"/>
                          <w:ind w:left="0" w:right="0" w:firstLine="0"/>
                          <w:jc w:val="left"/>
                        </w:pPr>
                        <w:r>
                          <w:rPr>
                            <w:w w:val="104"/>
                          </w:rPr>
                          <w:t xml:space="preserve">особенно</w:t>
                        </w:r>
                        <w:r>
                          <w:rPr>
                            <w:spacing w:val="-3"/>
                            <w:w w:val="104"/>
                          </w:rPr>
                          <w:t xml:space="preserve"> </w:t>
                        </w:r>
                        <w:r>
                          <w:rPr>
                            <w:w w:val="104"/>
                          </w:rPr>
                          <w:t xml:space="preserve">при</w:t>
                        </w:r>
                        <w:r>
                          <w:rPr>
                            <w:spacing w:val="-3"/>
                            <w:w w:val="104"/>
                          </w:rPr>
                          <w:t xml:space="preserve"> </w:t>
                        </w:r>
                        <w:r>
                          <w:rPr>
                            <w:w w:val="104"/>
                          </w:rPr>
                          <w:t xml:space="preserve">повышении</w:t>
                        </w:r>
                        <w:r>
                          <w:rPr>
                            <w:spacing w:val="-3"/>
                            <w:w w:val="104"/>
                          </w:rPr>
                          <w:t xml:space="preserve"> </w:t>
                        </w:r>
                        <w:r>
                          <w:rPr>
                            <w:w w:val="104"/>
                          </w:rPr>
                          <w:t xml:space="preserve">уровня</w:t>
                        </w:r>
                        <w:r>
                          <w:rPr>
                            <w:spacing w:val="-3"/>
                            <w:w w:val="104"/>
                          </w:rPr>
                          <w:t xml:space="preserve"> </w:t>
                        </w:r>
                        <w:r>
                          <w:rPr>
                            <w:w w:val="104"/>
                          </w:rPr>
                          <w:t xml:space="preserve">трасаминаз</w:t>
                        </w:r>
                      </w:p>
                    </w:txbxContent>
                  </v:textbox>
                </v:rect>
                <v:rect id="Rectangle 284364" style="position:absolute;width:479;height:2030;left:32815;top:2869;" filled="f" stroked="f">
                  <v:textbox inset="0,0,0,0">
                    <w:txbxContent>
                      <w:p>
                        <w:pPr>
                          <w:spacing w:before="0" w:after="160" w:line="259" w:lineRule="auto"/>
                          <w:ind w:left="0" w:right="0" w:firstLine="0"/>
                          <w:jc w:val="left"/>
                        </w:pPr>
                        <w:r>
                          <w:rPr>
                            <w:w w:val="95"/>
                          </w:rPr>
                          <w:t xml:space="preserve">(</w:t>
                        </w:r>
                      </w:p>
                    </w:txbxContent>
                  </v:textbox>
                </v:rect>
                <v:rect id="Rectangle 20602" style="position:absolute;width:834;height:2030;left:32815;top:4393;" filled="f" stroked="f">
                  <v:textbox inset="0,0,0,0">
                    <w:txbxContent>
                      <w:p>
                        <w:pPr>
                          <w:spacing w:before="0" w:after="160" w:line="259" w:lineRule="auto"/>
                          <w:ind w:left="0" w:right="0" w:firstLine="0"/>
                          <w:jc w:val="left"/>
                        </w:pPr>
                        <w:r>
                          <w:rPr>
                            <w:w w:val="56"/>
                          </w:rPr>
                          <w:t xml:space="preserve">•</w:t>
                        </w:r>
                        <w:r>
                          <w:rPr>
                            <w:spacing w:val="-3"/>
                            <w:w w:val="56"/>
                          </w:rPr>
                          <w:t xml:space="preserve"> </w:t>
                        </w:r>
                      </w:p>
                    </w:txbxContent>
                  </v:textbox>
                </v:rect>
                <v:rect id="Rectangle 20603" style="position:absolute;width:21383;height:2030;left:33894;top:4393;" filled="f" stroked="f">
                  <v:textbox inset="0,0,0,0">
                    <w:txbxContent>
                      <w:p>
                        <w:pPr>
                          <w:spacing w:before="0" w:after="160" w:line="259" w:lineRule="auto"/>
                          <w:ind w:left="0" w:right="0" w:firstLine="0"/>
                          <w:jc w:val="left"/>
                        </w:pPr>
                        <w:r>
                          <w:rPr>
                            <w:w w:val="103"/>
                          </w:rPr>
                          <w:t xml:space="preserve">Избыточный</w:t>
                        </w:r>
                        <w:r>
                          <w:rPr>
                            <w:spacing w:val="-3"/>
                            <w:w w:val="103"/>
                          </w:rPr>
                          <w:t xml:space="preserve"> </w:t>
                        </w:r>
                        <w:r>
                          <w:rPr>
                            <w:w w:val="103"/>
                          </w:rPr>
                          <w:t xml:space="preserve">прием</w:t>
                        </w:r>
                        <w:r>
                          <w:rPr>
                            <w:spacing w:val="-3"/>
                            <w:w w:val="103"/>
                          </w:rPr>
                          <w:t xml:space="preserve"> </w:t>
                        </w:r>
                        <w:r>
                          <w:rPr>
                            <w:w w:val="103"/>
                          </w:rPr>
                          <w:t xml:space="preserve">алкоголя</w:t>
                        </w:r>
                      </w:p>
                    </w:txbxContent>
                  </v:textbox>
                </v:rect>
                <v:rect id="Rectangle 20604" style="position:absolute;width:834;height:2030;left:32815;top:5917;" filled="f" stroked="f">
                  <v:textbox inset="0,0,0,0">
                    <w:txbxContent>
                      <w:p>
                        <w:pPr>
                          <w:spacing w:before="0" w:after="160" w:line="259" w:lineRule="auto"/>
                          <w:ind w:left="0" w:right="0" w:firstLine="0"/>
                          <w:jc w:val="left"/>
                        </w:pPr>
                        <w:r>
                          <w:rPr>
                            <w:w w:val="56"/>
                          </w:rPr>
                          <w:t xml:space="preserve">•</w:t>
                        </w:r>
                        <w:r>
                          <w:rPr>
                            <w:spacing w:val="-3"/>
                            <w:w w:val="56"/>
                          </w:rPr>
                          <w:t xml:space="preserve"> </w:t>
                        </w:r>
                      </w:p>
                    </w:txbxContent>
                  </v:textbox>
                </v:rect>
                <v:rect id="Rectangle 20605" style="position:absolute;width:25472;height:2030;left:33894;top:5917;" filled="f" stroked="f">
                  <v:textbox inset="0,0,0,0">
                    <w:txbxContent>
                      <w:p>
                        <w:pPr>
                          <w:spacing w:before="0" w:after="160" w:line="259" w:lineRule="auto"/>
                          <w:ind w:left="0" w:right="0" w:firstLine="0"/>
                          <w:jc w:val="left"/>
                        </w:pPr>
                        <w:r>
                          <w:rPr>
                            <w:w w:val="104"/>
                          </w:rPr>
                          <w:t xml:space="preserve">Прием</w:t>
                        </w:r>
                        <w:r>
                          <w:rPr>
                            <w:spacing w:val="-3"/>
                            <w:w w:val="104"/>
                          </w:rPr>
                          <w:t xml:space="preserve"> </w:t>
                        </w:r>
                        <w:r>
                          <w:rPr>
                            <w:w w:val="104"/>
                          </w:rPr>
                          <w:t xml:space="preserve">лекарственных</w:t>
                        </w:r>
                        <w:r>
                          <w:rPr>
                            <w:spacing w:val="-3"/>
                            <w:w w:val="104"/>
                          </w:rPr>
                          <w:t xml:space="preserve"> </w:t>
                        </w:r>
                        <w:r>
                          <w:rPr>
                            <w:w w:val="104"/>
                          </w:rPr>
                          <w:t xml:space="preserve">препаратов</w:t>
                        </w:r>
                      </w:p>
                    </w:txbxContent>
                  </v:textbox>
                </v:rect>
                <v:rect id="Rectangle 20606" style="position:absolute;width:834;height:2030;left:32815;top:7441;" filled="f" stroked="f">
                  <v:textbox inset="0,0,0,0">
                    <w:txbxContent>
                      <w:p>
                        <w:pPr>
                          <w:spacing w:before="0" w:after="160" w:line="259" w:lineRule="auto"/>
                          <w:ind w:left="0" w:right="0" w:firstLine="0"/>
                          <w:jc w:val="left"/>
                        </w:pPr>
                        <w:r>
                          <w:rPr>
                            <w:w w:val="56"/>
                          </w:rPr>
                          <w:t xml:space="preserve">•</w:t>
                        </w:r>
                        <w:r>
                          <w:rPr>
                            <w:spacing w:val="-3"/>
                            <w:w w:val="56"/>
                          </w:rPr>
                          <w:t xml:space="preserve"> </w:t>
                        </w:r>
                      </w:p>
                    </w:txbxContent>
                  </v:textbox>
                </v:rect>
                <v:rect id="Rectangle 20607" style="position:absolute;width:14179;height:2030;left:33894;top:7441;" filled="f" stroked="f">
                  <v:textbox inset="0,0,0,0">
                    <w:txbxContent>
                      <w:p>
                        <w:pPr>
                          <w:spacing w:before="0" w:after="160" w:line="259" w:lineRule="auto"/>
                          <w:ind w:left="0" w:right="0" w:firstLine="0"/>
                          <w:jc w:val="left"/>
                        </w:pPr>
                        <w:r>
                          <w:rPr>
                            <w:w w:val="103"/>
                          </w:rPr>
                          <w:t xml:space="preserve">Вирусные</w:t>
                        </w:r>
                        <w:r>
                          <w:rPr>
                            <w:spacing w:val="-3"/>
                            <w:w w:val="103"/>
                          </w:rPr>
                          <w:t xml:space="preserve"> </w:t>
                        </w:r>
                        <w:r>
                          <w:rPr>
                            <w:w w:val="103"/>
                          </w:rPr>
                          <w:t xml:space="preserve">гепатиты</w:t>
                        </w:r>
                      </w:p>
                    </w:txbxContent>
                  </v:textbox>
                </v:rect>
                <v:shape id="Shape 20608" style="position:absolute;width:28926;height:8075;left:32410;top:1196;" coordsize="2892603,807530" path="m0,807530l2892603,807530l2892603,0l0,0x">
                  <v:stroke weight="0.709pt" endcap="flat" joinstyle="miter" miterlimit="4" on="true" color="#000000"/>
                  <v:fill on="false" color="#000000" opacity="0"/>
                </v:shape>
                <v:shape id="Shape 20609" style="position:absolute;width:1373;height:1734;left:19143;top:2340;" coordsize="137312,173431" path="m97625,0l97625,104775l137312,104775l68656,173431l0,104775l39878,104978l39878,203l97625,0x">
                  <v:stroke weight="0pt" endcap="flat" joinstyle="miter" miterlimit="4" on="false" color="#000000" opacity="0"/>
                  <v:fill on="true" color="#dadad9"/>
                </v:shape>
                <v:shape id="Shape 20610" style="position:absolute;width:1373;height:1734;left:19143;top:2340;" coordsize="137312,173431" path="m97625,104775l97625,0l39878,203l39878,104978l0,104775l68656,173431l137312,104775l97625,104775x">
                  <v:stroke weight="0.709pt" endcap="flat" joinstyle="miter" miterlimit="4" on="true" color="#000000"/>
                  <v:fill on="false" color="#000000" opacity="0"/>
                </v:shape>
                <v:shape id="Shape 20611" style="position:absolute;width:1373;height:1734;left:19143;top:6443;" coordsize="137312,173431" path="m97625,0l97625,104775l137312,104775l68656,173431l0,104775l39878,104978l39878,203l97625,0x">
                  <v:stroke weight="0pt" endcap="flat" joinstyle="miter" miterlimit="4" on="false" color="#000000" opacity="0"/>
                  <v:fill on="true" color="#dadad9"/>
                </v:shape>
                <v:shape id="Shape 20612" style="position:absolute;width:1373;height:1734;left:19143;top:6443;" coordsize="137312,173431" path="m97625,104775l97625,0l39878,203l39878,104978l0,104775l68656,173431l137312,104775l97625,104775x">
                  <v:stroke weight="0.709pt" endcap="flat" joinstyle="miter" miterlimit="4" on="true" color="#000000"/>
                  <v:fill on="false" color="#000000" opacity="0"/>
                </v:shape>
                <v:shape id="Shape 20613" style="position:absolute;width:1373;height:1734;left:19143;top:10547;" coordsize="137312,173431" path="m97625,0l97625,104775l137312,104775l68656,173431l0,104775l39878,104978l39878,203l97625,0x">
                  <v:stroke weight="0pt" endcap="flat" joinstyle="miter" miterlimit="4" on="false" color="#000000" opacity="0"/>
                  <v:fill on="true" color="#dadad9"/>
                </v:shape>
                <v:shape id="Shape 20614" style="position:absolute;width:1373;height:1734;left:19143;top:10547;" coordsize="137312,173431" path="m97625,104775l97625,0l39878,203l39878,104978l0,104775l68656,173431l137312,104775l97625,104775x">
                  <v:stroke weight="0.709pt" endcap="flat" joinstyle="miter" miterlimit="4" on="true" color="#000000"/>
                  <v:fill on="false" color="#000000" opacity="0"/>
                </v:shape>
                <v:shape id="Shape 380488" style="position:absolute;width:5415;height:2303;left:10722;top:16571;" coordsize="541553,230327" path="m0,0l541553,0l541553,230327l0,230327l0,0">
                  <v:stroke weight="0pt" endcap="flat" joinstyle="miter" miterlimit="4" on="false" color="#000000" opacity="0"/>
                  <v:fill on="true" color="#dadad9"/>
                </v:shape>
                <v:rect id="Rectangle 284369" style="position:absolute;width:349;height:2030;left:13677;top:16990;" filled="f" stroked="f">
                  <v:textbox inset="0,0,0,0">
                    <w:txbxContent>
                      <w:p>
                        <w:pPr>
                          <w:spacing w:before="0" w:after="160" w:line="259" w:lineRule="auto"/>
                          <w:ind w:left="0" w:right="0" w:firstLine="0"/>
                          <w:jc w:val="left"/>
                        </w:pPr>
                        <w:r>
                          <w:rPr>
                            <w:w w:val="84"/>
                          </w:rPr>
                          <w:t xml:space="preserve">,</w:t>
                        </w:r>
                      </w:p>
                    </w:txbxContent>
                  </v:textbox>
                </v:rect>
                <v:rect id="Rectangle 284368" style="position:absolute;width:866;height:2030;left:13940;top:16990;" filled="f" stroked="f">
                  <v:textbox inset="0,0,0,0">
                    <w:txbxContent>
                      <w:p>
                        <w:pPr>
                          <w:spacing w:before="0" w:after="160" w:line="259" w:lineRule="auto"/>
                          <w:ind w:left="0" w:right="0" w:firstLine="0"/>
                          <w:jc w:val="left"/>
                        </w:pPr>
                        <w:r>
                          <w:rPr>
                            <w:w w:val="101"/>
                          </w:rPr>
                          <w:t xml:space="preserve">3</w:t>
                        </w:r>
                      </w:p>
                    </w:txbxContent>
                  </v:textbox>
                </v:rect>
                <v:rect id="Rectangle 284367" style="position:absolute;width:1873;height:2030;left:12269;top:16990;" filled="f" stroked="f">
                  <v:textbox inset="0,0,0,0">
                    <w:txbxContent>
                      <w:p>
                        <w:pPr>
                          <w:spacing w:before="0" w:after="160" w:line="259" w:lineRule="auto"/>
                          <w:ind w:left="0" w:right="0" w:firstLine="0"/>
                          <w:jc w:val="left"/>
                        </w:pPr>
                        <w:r>
                          <w:rPr>
                            <w:w w:val="110"/>
                          </w:rPr>
                          <w:t xml:space="preserve">&lt;1</w:t>
                        </w:r>
                      </w:p>
                    </w:txbxContent>
                  </v:textbox>
                </v:rect>
                <v:shape id="Shape 20617" style="position:absolute;width:5415;height:2303;left:10722;top:16571;" coordsize="541553,230327" path="m0,230327l541553,230327l541553,0l0,0x">
                  <v:stroke weight="0.709pt" endcap="flat" joinstyle="miter" miterlimit="4" on="true" color="#000000"/>
                  <v:fill on="false" color="#000000" opacity="0"/>
                </v:shape>
                <v:shape id="Shape 20618" style="position:absolute;width:1373;height:1734;left:12743;top:14758;" coordsize="137312,173431" path="m97625,0l97625,104775l137312,104775l68656,173431l0,104775l39878,104978l39878,203l97625,0x">
                  <v:stroke weight="0pt" endcap="flat" joinstyle="miter" miterlimit="4" on="false" color="#000000" opacity="0"/>
                  <v:fill on="true" color="#dadad9"/>
                </v:shape>
                <v:shape id="Shape 20619" style="position:absolute;width:1373;height:1734;left:12743;top:14758;" coordsize="137312,173431" path="m97625,104775l97625,0l39878,203l39878,104978l0,104775l68656,173431l137312,104775l97625,104775x">
                  <v:stroke weight="0.709pt" endcap="flat" joinstyle="miter" miterlimit="4" on="true" color="#000000"/>
                  <v:fill on="false" color="#000000" opacity="0"/>
                </v:shape>
                <v:shape id="Shape 20620" style="position:absolute;width:1373;height:1734;left:12743;top:18887;" coordsize="137312,173431" path="m97625,0l97625,104775l137312,104775l68656,173431l0,104775l39878,104978l39878,203l97625,0x">
                  <v:stroke weight="0pt" endcap="flat" joinstyle="miter" miterlimit="4" on="false" color="#000000" opacity="0"/>
                  <v:fill on="true" color="#dadad9"/>
                </v:shape>
                <v:shape id="Shape 20621" style="position:absolute;width:1373;height:1734;left:12743;top:18887;" coordsize="137312,173431" path="m97625,104775l97625,0l39878,203l39878,104978l0,104775l68656,173431l137312,104775l97625,104775x">
                  <v:stroke weight="0.709pt" endcap="flat" joinstyle="miter" miterlimit="4" on="true" color="#000000"/>
                  <v:fill on="false" color="#000000" opacity="0"/>
                </v:shape>
                <v:shape id="Shape 380491" style="position:absolute;width:5415;height:2303;left:23522;top:16571;" coordsize="541553,230327" path="m0,0l541553,0l541553,230327l0,230327l0,0">
                  <v:stroke weight="0pt" endcap="flat" joinstyle="miter" miterlimit="4" on="false" color="#000000" opacity="0"/>
                  <v:fill on="true" color="#dadad9"/>
                </v:shape>
                <v:rect id="Rectangle 20623" style="position:absolute;width:3089;height:2030;left:25068;top:16990;" filled="f" stroked="f">
                  <v:textbox inset="0,0,0,0">
                    <w:txbxContent>
                      <w:p>
                        <w:pPr>
                          <w:spacing w:before="0" w:after="160" w:line="259" w:lineRule="auto"/>
                          <w:ind w:left="0" w:right="0" w:firstLine="0"/>
                          <w:jc w:val="left"/>
                        </w:pPr>
                        <w:r>
                          <w:rPr>
                            <w:w w:val="104"/>
                          </w:rPr>
                          <w:t xml:space="preserve">≥1,3</w:t>
                        </w:r>
                      </w:p>
                    </w:txbxContent>
                  </v:textbox>
                </v:rect>
                <v:shape id="Shape 20624" style="position:absolute;width:5415;height:2303;left:23522;top:16571;" coordsize="541553,230327" path="m0,230327l541553,230327l541553,0l0,0x">
                  <v:stroke weight="0.709pt" endcap="flat" joinstyle="miter" miterlimit="4" on="true" color="#000000"/>
                  <v:fill on="false" color="#000000" opacity="0"/>
                </v:shape>
                <v:shape id="Shape 20625" style="position:absolute;width:1373;height:1734;left:25542;top:14758;" coordsize="137313,173431" path="m97625,0l97625,104775l137313,104775l68656,173431l0,104775l39878,104978l39878,203l97625,0x">
                  <v:stroke weight="0pt" endcap="flat" joinstyle="miter" miterlimit="4" on="false" color="#000000" opacity="0"/>
                  <v:fill on="true" color="#dadad9"/>
                </v:shape>
                <v:shape id="Shape 20626" style="position:absolute;width:1373;height:1734;left:25542;top:14758;" coordsize="137313,173431" path="m97625,104775l97625,0l39878,203l39878,104978l0,104775l68656,173431l137313,104775l97625,104775x">
                  <v:stroke weight="0.709pt" endcap="flat" joinstyle="miter" miterlimit="4" on="true" color="#000000"/>
                  <v:fill on="false" color="#000000" opacity="0"/>
                </v:shape>
                <v:shape id="Shape 20627" style="position:absolute;width:1373;height:1734;left:25542;top:18887;" coordsize="137313,173431" path="m97625,0l97625,104775l137313,104775l68656,173431l0,104775l39878,104978l39878,203l97625,0x">
                  <v:stroke weight="0pt" endcap="flat" joinstyle="miter" miterlimit="4" on="false" color="#000000" opacity="0"/>
                  <v:fill on="true" color="#dadad9"/>
                </v:shape>
                <v:shape id="Shape 20628" style="position:absolute;width:1373;height:1734;left:25542;top:18887;" coordsize="137313,173431" path="m97625,104775l97625,0l39878,203l39878,104978l0,104775l68656,173431l137313,104775l97625,104775x">
                  <v:stroke weight="0.709pt" endcap="flat" joinstyle="miter" miterlimit="4" on="true" color="#000000"/>
                  <v:fill on="false" color="#000000" opacity="0"/>
                </v:shape>
                <v:shape id="Shape 20629" style="position:absolute;width:1734;height:1373;left:30565;top:4519;" coordsize="173431,137313" path="m104775,0l173431,68656l104775,137313l104978,97434l203,97434l0,39688l104775,39688l104775,0x">
                  <v:stroke weight="0pt" endcap="flat" joinstyle="miter" miterlimit="4" on="false" color="#000000" opacity="0"/>
                  <v:fill on="true" color="#dadad9"/>
                </v:shape>
                <v:shape id="Shape 20630" style="position:absolute;width:1734;height:1373;left:30565;top:4519;" coordsize="173431,137313" path="m104775,39688l0,39688l203,97434l104978,97434l104775,137313l173431,68656l104775,0l104775,39688x">
                  <v:stroke weight="0.709pt" endcap="flat" joinstyle="miter" miterlimit="4" on="true" color="#000000"/>
                  <v:fill on="false" color="#000000" opacity="0"/>
                </v:shape>
              </v:group>
            </w:pict>
          </mc:Fallback>
        </mc:AlternateContent>
      </w:r>
    </w:p>
    <w:p w:rsidR="00D27BC6" w:rsidRDefault="004D5071">
      <w:pPr>
        <w:spacing w:after="230"/>
        <w:ind w:left="-11" w:right="0" w:firstLine="283"/>
      </w:pPr>
      <w:r>
        <w:t>Рекомендации по физической активности и диетотерапии у пациентов с СД 2 типа и НАЖБП не отличаются от рекомендаций у пациентов с СД 2 типа.</w:t>
      </w:r>
    </w:p>
    <w:p w:rsidR="00D27BC6" w:rsidRDefault="004D5071">
      <w:pPr>
        <w:ind w:left="281" w:right="51"/>
        <w:jc w:val="left"/>
      </w:pPr>
      <w:r>
        <w:rPr>
          <w:b/>
        </w:rPr>
        <w:t>Особенности сахароснижающей терапии при НАЖБП.</w:t>
      </w:r>
    </w:p>
    <w:p w:rsidR="00D27BC6" w:rsidRDefault="004D5071">
      <w:pPr>
        <w:spacing w:after="230"/>
        <w:ind w:left="-11" w:right="0" w:firstLine="283"/>
      </w:pPr>
      <w:r>
        <w:t>Учитывая общие патогенетические аспекты СД 2 типа и НАЖБП, многие сах</w:t>
      </w:r>
      <w:r>
        <w:t xml:space="preserve">ароснижающие препараты могут вносить свой вклад в течение НАЖБП, влияя на патологические изменения в печени. </w:t>
      </w:r>
    </w:p>
    <w:p w:rsidR="00D27BC6" w:rsidRDefault="004D5071">
      <w:pPr>
        <w:spacing w:after="3" w:line="259" w:lineRule="auto"/>
        <w:ind w:left="280" w:right="0"/>
        <w:jc w:val="left"/>
      </w:pPr>
      <w:r>
        <w:rPr>
          <w:b/>
          <w:i/>
        </w:rPr>
        <w:t>Предпочтительны:</w:t>
      </w:r>
    </w:p>
    <w:p w:rsidR="00D27BC6" w:rsidRDefault="004D5071">
      <w:pPr>
        <w:numPr>
          <w:ilvl w:val="0"/>
          <w:numId w:val="130"/>
        </w:numPr>
        <w:ind w:right="0" w:hanging="283"/>
      </w:pPr>
      <w:r>
        <w:rPr>
          <w:b/>
        </w:rPr>
        <w:t>пиоглитазон</w:t>
      </w:r>
      <w:r>
        <w:t xml:space="preserve"> у пациентов с НАЖБП и СД 2 типа с целью уменьшения стеатоза и воспаления в печени при уровне АЛТ &lt; 2,5 ВГН для лечени</w:t>
      </w:r>
      <w:r>
        <w:t>я гипергликемии, дислипидемии и оказания положительного эффекта на морфологические изменения печени, в том числе фиброз.</w:t>
      </w:r>
    </w:p>
    <w:p w:rsidR="00D27BC6" w:rsidRDefault="004D5071">
      <w:pPr>
        <w:numPr>
          <w:ilvl w:val="0"/>
          <w:numId w:val="130"/>
        </w:numPr>
        <w:ind w:right="0" w:hanging="283"/>
      </w:pPr>
      <w:r>
        <w:rPr>
          <w:b/>
        </w:rPr>
        <w:t>препараты из группы арГПП1</w:t>
      </w:r>
      <w:r>
        <w:t xml:space="preserve"> у пациентов с СД 2 типа (особенно с ожирением) и НАЖБП для лечения гипергликемии, снижения массы тела и оказания положительного эффекта на морфологические изменения печени, в том числе замедление прогрессирования фиброза. </w:t>
      </w:r>
    </w:p>
    <w:p w:rsidR="00D27BC6" w:rsidRDefault="004D5071">
      <w:pPr>
        <w:numPr>
          <w:ilvl w:val="0"/>
          <w:numId w:val="130"/>
        </w:numPr>
        <w:ind w:right="0" w:hanging="283"/>
      </w:pPr>
      <w:r>
        <w:rPr>
          <w:b/>
        </w:rPr>
        <w:t>Двойной агонист арГИП / ГПП-1</w:t>
      </w:r>
      <w:r>
        <w:t xml:space="preserve"> (Т</w:t>
      </w:r>
      <w:r>
        <w:t xml:space="preserve">ирзепатид) у пациентов с СД 2 типа и НАЖБП для лечения гипергликемии, снижения массы тела и уменьшения объема висцерального жира, в том числе жира в печени. Влияние препарата на разрешение НАСГ и снижение фиброза изучается. </w:t>
      </w:r>
    </w:p>
    <w:p w:rsidR="00D27BC6" w:rsidRDefault="004D5071">
      <w:pPr>
        <w:numPr>
          <w:ilvl w:val="0"/>
          <w:numId w:val="130"/>
        </w:numPr>
        <w:ind w:right="0" w:hanging="283"/>
      </w:pPr>
      <w:r>
        <w:rPr>
          <w:b/>
        </w:rPr>
        <w:t>иНГЛТ-2</w:t>
      </w:r>
      <w:r>
        <w:t xml:space="preserve"> у пациентов с СД 2 типа</w:t>
      </w:r>
      <w:r>
        <w:t xml:space="preserve"> и НАЖБП для лечения гипергликемии, снижения выраженности стеатоза и фиброза печени. </w:t>
      </w:r>
    </w:p>
    <w:p w:rsidR="00D27BC6" w:rsidRDefault="004D5071">
      <w:pPr>
        <w:numPr>
          <w:ilvl w:val="0"/>
          <w:numId w:val="130"/>
        </w:numPr>
        <w:spacing w:after="230"/>
        <w:ind w:right="0" w:hanging="283"/>
      </w:pPr>
      <w:r>
        <w:rPr>
          <w:b/>
        </w:rPr>
        <w:t>Назначение</w:t>
      </w:r>
      <w:r>
        <w:t xml:space="preserve"> метформина с целью уменьшения стеатоза печени пациентам с СД 2 типа / предиабетом и НАЖБП не рекомендуется. Метформин не оказывает влияние на выраженность стеа</w:t>
      </w:r>
      <w:r>
        <w:t xml:space="preserve">тоза, воспалительных изменений. Однако его применение ассоциировано со сниженным числом гепатоцеллюлярного рака и внепеченочных злокачественных опухолей. </w:t>
      </w:r>
    </w:p>
    <w:p w:rsidR="00D27BC6" w:rsidRDefault="004D5071">
      <w:pPr>
        <w:spacing w:after="322"/>
        <w:ind w:left="-11" w:right="0" w:firstLine="283"/>
      </w:pPr>
      <w:r>
        <w:t>Рекомендуется применение инсулинотерапии у пациентов с СД 2 типа и декомпенсированным циррозом для ле</w:t>
      </w:r>
      <w:r>
        <w:t>чения гипергликемии.</w:t>
      </w:r>
    </w:p>
    <w:p w:rsidR="00D27BC6" w:rsidRDefault="004D5071">
      <w:pPr>
        <w:pStyle w:val="Heading1"/>
        <w:spacing w:after="324"/>
        <w:ind w:left="313" w:right="309"/>
      </w:pPr>
      <w:r>
        <w:t>17. БЕРЕМЕННОСТЬ И САХАРНЫЙ ДИАБЕТ</w:t>
      </w:r>
    </w:p>
    <w:p w:rsidR="00D27BC6" w:rsidRDefault="004D5071">
      <w:pPr>
        <w:pStyle w:val="Heading2"/>
        <w:ind w:left="-3"/>
      </w:pPr>
      <w:r>
        <w:t>Беременность, развившаяся на фоне СД, сопровождается риском для здоровья матери и плода</w:t>
      </w:r>
    </w:p>
    <w:tbl>
      <w:tblPr>
        <w:tblStyle w:val="TableGrid"/>
        <w:tblW w:w="10195" w:type="dxa"/>
        <w:tblInd w:w="9" w:type="dxa"/>
        <w:tblCellMar>
          <w:top w:w="32" w:type="dxa"/>
          <w:left w:w="57" w:type="dxa"/>
          <w:bottom w:w="0" w:type="dxa"/>
          <w:right w:w="115" w:type="dxa"/>
        </w:tblCellMar>
        <w:tblLook w:val="04A0" w:firstRow="1" w:lastRow="0" w:firstColumn="1" w:lastColumn="0" w:noHBand="0" w:noVBand="1"/>
      </w:tblPr>
      <w:tblGrid>
        <w:gridCol w:w="5097"/>
        <w:gridCol w:w="5097"/>
      </w:tblGrid>
      <w:tr w:rsidR="00D27BC6">
        <w:trPr>
          <w:trHeight w:val="31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Риск для матери с СД</w:t>
            </w:r>
          </w:p>
        </w:tc>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Риск для плода/ребенка</w:t>
            </w:r>
          </w:p>
        </w:tc>
      </w:tr>
      <w:tr w:rsidR="00D27BC6">
        <w:trPr>
          <w:trHeight w:val="3082"/>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01"/>
              </w:numPr>
              <w:spacing w:after="90" w:line="259" w:lineRule="auto"/>
              <w:ind w:right="0" w:hanging="170"/>
              <w:jc w:val="left"/>
            </w:pPr>
            <w:r>
              <w:t>Прогрессирование сосудистых осложнений</w:t>
            </w:r>
          </w:p>
          <w:p w:rsidR="00D27BC6" w:rsidRDefault="004D5071">
            <w:pPr>
              <w:numPr>
                <w:ilvl w:val="0"/>
                <w:numId w:val="301"/>
              </w:numPr>
              <w:spacing w:after="90" w:line="259" w:lineRule="auto"/>
              <w:ind w:right="0" w:hanging="170"/>
              <w:jc w:val="left"/>
            </w:pPr>
            <w:r>
              <w:t>Более частое развитие гипогликемии, кетоацидоза</w:t>
            </w:r>
          </w:p>
          <w:p w:rsidR="00D27BC6" w:rsidRDefault="004D5071">
            <w:pPr>
              <w:numPr>
                <w:ilvl w:val="0"/>
                <w:numId w:val="301"/>
              </w:numPr>
              <w:spacing w:after="0" w:line="259" w:lineRule="auto"/>
              <w:ind w:right="0" w:hanging="170"/>
              <w:jc w:val="left"/>
            </w:pPr>
            <w:r>
              <w:t xml:space="preserve">Более частые осложнения беременности </w:t>
            </w:r>
          </w:p>
          <w:p w:rsidR="00D27BC6" w:rsidRDefault="004D5071">
            <w:pPr>
              <w:spacing w:after="90" w:line="259" w:lineRule="auto"/>
              <w:ind w:left="170" w:right="0" w:firstLine="0"/>
              <w:jc w:val="left"/>
            </w:pPr>
            <w:r>
              <w:t>(преэклампсия, эклампсия, инфекция, многоводие)</w:t>
            </w:r>
          </w:p>
          <w:p w:rsidR="00D27BC6" w:rsidRDefault="004D5071">
            <w:pPr>
              <w:numPr>
                <w:ilvl w:val="0"/>
                <w:numId w:val="301"/>
              </w:numPr>
              <w:spacing w:after="0" w:line="259" w:lineRule="auto"/>
              <w:ind w:right="0" w:hanging="170"/>
              <w:jc w:val="left"/>
            </w:pPr>
            <w:r>
              <w:t>Материнская смертность</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02"/>
              </w:numPr>
              <w:spacing w:after="90" w:line="259" w:lineRule="auto"/>
              <w:ind w:right="0" w:hanging="170"/>
              <w:jc w:val="left"/>
            </w:pPr>
            <w:r>
              <w:t>Перинатальная смертность</w:t>
            </w:r>
          </w:p>
          <w:p w:rsidR="00D27BC6" w:rsidRDefault="004D5071">
            <w:pPr>
              <w:numPr>
                <w:ilvl w:val="0"/>
                <w:numId w:val="302"/>
              </w:numPr>
              <w:spacing w:after="90" w:line="259" w:lineRule="auto"/>
              <w:ind w:right="0" w:hanging="170"/>
              <w:jc w:val="left"/>
            </w:pPr>
            <w:r>
              <w:t>Врожденные пороки развития</w:t>
            </w:r>
          </w:p>
          <w:p w:rsidR="00D27BC6" w:rsidRDefault="004D5071">
            <w:pPr>
              <w:numPr>
                <w:ilvl w:val="0"/>
                <w:numId w:val="302"/>
              </w:numPr>
              <w:spacing w:after="90" w:line="259" w:lineRule="auto"/>
              <w:ind w:right="0" w:hanging="170"/>
              <w:jc w:val="left"/>
            </w:pPr>
            <w:r>
              <w:t>Неонатальные осложнения</w:t>
            </w:r>
          </w:p>
          <w:p w:rsidR="00D27BC6" w:rsidRDefault="004D5071">
            <w:pPr>
              <w:numPr>
                <w:ilvl w:val="0"/>
                <w:numId w:val="302"/>
              </w:numPr>
              <w:spacing w:after="90" w:line="259" w:lineRule="auto"/>
              <w:ind w:right="0" w:hanging="170"/>
              <w:jc w:val="left"/>
            </w:pPr>
            <w:r>
              <w:t>Родовой травматизм</w:t>
            </w:r>
          </w:p>
          <w:p w:rsidR="00D27BC6" w:rsidRDefault="004D5071">
            <w:pPr>
              <w:numPr>
                <w:ilvl w:val="0"/>
                <w:numId w:val="302"/>
              </w:numPr>
              <w:spacing w:after="90" w:line="259" w:lineRule="auto"/>
              <w:ind w:right="0" w:hanging="170"/>
              <w:jc w:val="left"/>
            </w:pPr>
            <w:r>
              <w:t>Риск</w:t>
            </w:r>
            <w:r>
              <w:t xml:space="preserve"> развития СД 1 типа в течение жизни:</w:t>
            </w:r>
          </w:p>
          <w:p w:rsidR="00D27BC6" w:rsidRDefault="004D5071">
            <w:pPr>
              <w:numPr>
                <w:ilvl w:val="0"/>
                <w:numId w:val="303"/>
              </w:numPr>
              <w:spacing w:after="91" w:line="259" w:lineRule="auto"/>
              <w:ind w:right="0" w:hanging="170"/>
              <w:jc w:val="left"/>
            </w:pPr>
            <w:r>
              <w:t>около 2% – при СД 1 типа у матери</w:t>
            </w:r>
          </w:p>
          <w:p w:rsidR="00D27BC6" w:rsidRDefault="004D5071">
            <w:pPr>
              <w:numPr>
                <w:ilvl w:val="0"/>
                <w:numId w:val="303"/>
              </w:numPr>
              <w:spacing w:after="90" w:line="259" w:lineRule="auto"/>
              <w:ind w:right="0" w:hanging="170"/>
              <w:jc w:val="left"/>
            </w:pPr>
            <w:r>
              <w:t>около 6% – при СД 1 типа у отца</w:t>
            </w:r>
          </w:p>
          <w:p w:rsidR="00D27BC6" w:rsidRDefault="004D5071">
            <w:pPr>
              <w:numPr>
                <w:ilvl w:val="0"/>
                <w:numId w:val="303"/>
              </w:numPr>
              <w:spacing w:after="0" w:line="259" w:lineRule="auto"/>
              <w:ind w:right="0" w:hanging="170"/>
              <w:jc w:val="left"/>
            </w:pPr>
            <w:r>
              <w:t>30–35% – при СД 1 типа у обоих родителей</w:t>
            </w:r>
          </w:p>
        </w:tc>
      </w:tr>
    </w:tbl>
    <w:p w:rsidR="00D27BC6" w:rsidRDefault="004D5071">
      <w:pPr>
        <w:pStyle w:val="Heading3"/>
        <w:ind w:left="162" w:right="157"/>
      </w:pPr>
      <w:r>
        <w:t>Планирование беременности</w:t>
      </w:r>
    </w:p>
    <w:p w:rsidR="00D27BC6" w:rsidRDefault="004D5071">
      <w:pPr>
        <w:ind w:left="281" w:right="51"/>
        <w:jc w:val="left"/>
      </w:pPr>
      <w:r>
        <w:rPr>
          <w:b/>
        </w:rPr>
        <w:t>Беременность сопряжена с высоким риском акушерских и перинатальных осложнений при:</w:t>
      </w:r>
    </w:p>
    <w:p w:rsidR="00D27BC6" w:rsidRDefault="004D5071">
      <w:pPr>
        <w:numPr>
          <w:ilvl w:val="0"/>
          <w:numId w:val="131"/>
        </w:numPr>
        <w:ind w:right="0" w:hanging="283"/>
      </w:pPr>
      <w:r>
        <w:t>уровне HbA1c &gt; 7,0%;</w:t>
      </w:r>
    </w:p>
    <w:p w:rsidR="00D27BC6" w:rsidRDefault="004D5071">
      <w:pPr>
        <w:numPr>
          <w:ilvl w:val="0"/>
          <w:numId w:val="131"/>
        </w:numPr>
        <w:ind w:right="0" w:hanging="283"/>
      </w:pPr>
      <w:r>
        <w:t>уровне креатинина сыворотки &gt; 120 мкмоль/л, рСКФ &lt; 60 мл/мин/1,73 м</w:t>
      </w:r>
      <w:r>
        <w:rPr>
          <w:sz w:val="18"/>
          <w:vertAlign w:val="superscript"/>
        </w:rPr>
        <w:t>2</w:t>
      </w:r>
      <w:r>
        <w:t>, суточной протеинурии ≥ 3,0 г, неконтролируемой артериальной гипертензии;</w:t>
      </w:r>
    </w:p>
    <w:p w:rsidR="00D27BC6" w:rsidRDefault="004D5071">
      <w:pPr>
        <w:numPr>
          <w:ilvl w:val="0"/>
          <w:numId w:val="131"/>
        </w:numPr>
        <w:ind w:right="0" w:hanging="283"/>
      </w:pPr>
      <w:r>
        <w:t>пролиферативной ретинопатии и макулопатии до проведения ЛКС;</w:t>
      </w:r>
    </w:p>
    <w:p w:rsidR="00D27BC6" w:rsidRDefault="004D5071">
      <w:pPr>
        <w:numPr>
          <w:ilvl w:val="0"/>
          <w:numId w:val="131"/>
        </w:numPr>
        <w:ind w:right="0" w:hanging="283"/>
      </w:pPr>
      <w:r>
        <w:t>ИБС;</w:t>
      </w:r>
    </w:p>
    <w:p w:rsidR="00D27BC6" w:rsidRDefault="004D5071">
      <w:pPr>
        <w:numPr>
          <w:ilvl w:val="0"/>
          <w:numId w:val="131"/>
        </w:numPr>
        <w:ind w:right="0" w:hanging="283"/>
      </w:pPr>
      <w:r>
        <w:t>неконтролируемой артериаль</w:t>
      </w:r>
      <w:r>
        <w:t>ной гипертензии (АД &gt; 130/80 мм рт.ст. на фоне разрешенной во время беременности антигипертензивной терапии);</w:t>
      </w:r>
    </w:p>
    <w:p w:rsidR="00D27BC6" w:rsidRDefault="004D5071">
      <w:pPr>
        <w:numPr>
          <w:ilvl w:val="0"/>
          <w:numId w:val="131"/>
        </w:numPr>
        <w:ind w:right="0" w:hanging="283"/>
      </w:pPr>
      <w:r>
        <w:t>тяжелой гастроэнтеропатии: гастропарез, диарея – беременность возможно только при условии использования помповой инсулинотерапии;</w:t>
      </w:r>
    </w:p>
    <w:p w:rsidR="00D27BC6" w:rsidRDefault="004D5071">
      <w:pPr>
        <w:numPr>
          <w:ilvl w:val="0"/>
          <w:numId w:val="131"/>
        </w:numPr>
        <w:ind w:right="0" w:hanging="283"/>
      </w:pPr>
      <w:r>
        <w:t>наличии острых и обострении хронических инфекционно-воспалительных заболеваний.</w:t>
      </w:r>
    </w:p>
    <w:p w:rsidR="00D27BC6" w:rsidRDefault="004D5071">
      <w:pPr>
        <w:ind w:left="-11" w:right="0" w:firstLine="283"/>
      </w:pPr>
      <w:r>
        <w:t xml:space="preserve">Для снижения рисков неблагоприятных исходов беременности при СД рекомендовано </w:t>
      </w:r>
      <w:r>
        <w:rPr>
          <w:b/>
        </w:rPr>
        <w:t xml:space="preserve">планирование беременности: </w:t>
      </w:r>
      <w:r>
        <w:t>эффективный метод контрацепции следует применять до тех пор, пока не бу</w:t>
      </w:r>
      <w:r>
        <w:t>дет проведено надлежащее обследование и подготовка к беременности:</w:t>
      </w:r>
    </w:p>
    <w:p w:rsidR="00D27BC6" w:rsidRDefault="004D5071">
      <w:pPr>
        <w:numPr>
          <w:ilvl w:val="0"/>
          <w:numId w:val="131"/>
        </w:numPr>
        <w:ind w:right="0" w:hanging="283"/>
      </w:pPr>
      <w:r>
        <w:t>обучение в «Школе для пациентов с сахарным диабетом»;</w:t>
      </w:r>
    </w:p>
    <w:p w:rsidR="00D27BC6" w:rsidRDefault="004D5071">
      <w:pPr>
        <w:numPr>
          <w:ilvl w:val="0"/>
          <w:numId w:val="131"/>
        </w:numPr>
        <w:ind w:right="0" w:hanging="283"/>
      </w:pPr>
      <w:r>
        <w:t>информирование пациентки с СД и членов ее семьи о возможном риске для матери и плода;</w:t>
      </w:r>
    </w:p>
    <w:p w:rsidR="00D27BC6" w:rsidRDefault="004D5071">
      <w:pPr>
        <w:numPr>
          <w:ilvl w:val="0"/>
          <w:numId w:val="131"/>
        </w:numPr>
        <w:ind w:right="0" w:hanging="283"/>
      </w:pPr>
      <w:r>
        <w:t>при СД 2 типа на этапе планирования при недостиже</w:t>
      </w:r>
      <w:r>
        <w:t>нии целевых показателей гликемии на любом виде сахароснижающей терапии, кроме метформина, необходим перевод на инсулинотерапию;</w:t>
      </w:r>
    </w:p>
    <w:p w:rsidR="00D27BC6" w:rsidRDefault="004D5071">
      <w:pPr>
        <w:numPr>
          <w:ilvl w:val="0"/>
          <w:numId w:val="131"/>
        </w:numPr>
        <w:ind w:right="0" w:hanging="283"/>
      </w:pPr>
      <w:r>
        <w:t>при адекватном контроле гликемии у пациенток с СД 2 типа на фоне изменения образа жизни и приема только метформина, его применен</w:t>
      </w:r>
      <w:r>
        <w:t xml:space="preserve">ие можно продолжить до подтверждения беременности; </w:t>
      </w:r>
    </w:p>
    <w:p w:rsidR="00D27BC6" w:rsidRDefault="004D5071">
      <w:pPr>
        <w:numPr>
          <w:ilvl w:val="0"/>
          <w:numId w:val="131"/>
        </w:numPr>
        <w:ind w:right="0" w:hanging="283"/>
      </w:pPr>
      <w:r>
        <w:t>при подтверждении беременности метформин необходимо отменить и инициировать инсулинотерапию для поддержания стабильной компенсации углеводного обмена;</w:t>
      </w:r>
    </w:p>
    <w:p w:rsidR="00D27BC6" w:rsidRDefault="004D5071">
      <w:pPr>
        <w:numPr>
          <w:ilvl w:val="0"/>
          <w:numId w:val="131"/>
        </w:numPr>
        <w:ind w:right="0" w:hanging="283"/>
      </w:pPr>
      <w:r>
        <w:rPr>
          <w:b/>
        </w:rPr>
        <w:t>достижение целевых уровней гликемического контроля за</w:t>
      </w:r>
      <w:r>
        <w:rPr>
          <w:b/>
        </w:rPr>
        <w:t xml:space="preserve"> 3–4 мес. до зачатия:</w:t>
      </w:r>
    </w:p>
    <w:p w:rsidR="00D27BC6" w:rsidRDefault="004D5071">
      <w:pPr>
        <w:numPr>
          <w:ilvl w:val="1"/>
          <w:numId w:val="131"/>
        </w:numPr>
        <w:ind w:left="568" w:right="2400" w:hanging="283"/>
      </w:pPr>
      <w:r>
        <w:rPr>
          <w:b/>
        </w:rPr>
        <w:t>глюкоза плазмы натощак/перед едой/на ночь/ночью &lt; 6,1 ммоль/л;</w:t>
      </w:r>
    </w:p>
    <w:p w:rsidR="00D27BC6" w:rsidRDefault="004D5071">
      <w:pPr>
        <w:numPr>
          <w:ilvl w:val="1"/>
          <w:numId w:val="131"/>
        </w:numPr>
        <w:ind w:left="568" w:right="2400" w:hanging="283"/>
      </w:pPr>
      <w:r>
        <w:rPr>
          <w:b/>
        </w:rPr>
        <w:t xml:space="preserve">глюкоза плазмы через 2 ч после еды &lt; 7,8 ммоль/л; </w:t>
      </w:r>
      <w:r>
        <w:rPr>
          <w:rFonts w:ascii="Wingdings" w:eastAsia="Wingdings" w:hAnsi="Wingdings" w:cs="Wingdings"/>
        </w:rPr>
        <w:t></w:t>
      </w:r>
      <w:r>
        <w:rPr>
          <w:b/>
        </w:rPr>
        <w:t xml:space="preserve"> </w:t>
      </w:r>
      <w:r>
        <w:rPr>
          <w:b/>
        </w:rPr>
        <w:tab/>
        <w:t>HbA1c &lt; 6,5%;</w:t>
      </w:r>
    </w:p>
    <w:p w:rsidR="00D27BC6" w:rsidRDefault="004D5071">
      <w:pPr>
        <w:numPr>
          <w:ilvl w:val="0"/>
          <w:numId w:val="131"/>
        </w:numPr>
        <w:ind w:right="0" w:hanging="283"/>
      </w:pPr>
      <w:r>
        <w:t>контроль АД (не более 130/80 мм рт.ст.), при артериальной гипертензии – антигипертензивная терапия (отме</w:t>
      </w:r>
      <w:r>
        <w:t>на ингибиторов АПФ и БРА до наступления беременности) и перевод на разрешенные при беременности антигипертензивные препараты);</w:t>
      </w:r>
    </w:p>
    <w:p w:rsidR="00D27BC6" w:rsidRDefault="004D5071">
      <w:pPr>
        <w:numPr>
          <w:ilvl w:val="0"/>
          <w:numId w:val="131"/>
        </w:numPr>
        <w:ind w:right="0" w:hanging="283"/>
      </w:pPr>
      <w:r>
        <w:t xml:space="preserve">определение уровня тиреотропного гормона (ТТГ) и свободного тироксина (Т4) + антитела к тиреопероксидазе </w:t>
      </w:r>
    </w:p>
    <w:p w:rsidR="00D27BC6" w:rsidRDefault="004D5071">
      <w:pPr>
        <w:ind w:left="295" w:right="0"/>
      </w:pPr>
      <w:r>
        <w:t xml:space="preserve">(ТПО) у пациенток с СД </w:t>
      </w:r>
      <w:r>
        <w:t>1 типа (повышенный риск заболеваний щитовидной железы);</w:t>
      </w:r>
    </w:p>
    <w:p w:rsidR="00D27BC6" w:rsidRDefault="004D5071">
      <w:pPr>
        <w:numPr>
          <w:ilvl w:val="0"/>
          <w:numId w:val="131"/>
        </w:numPr>
        <w:ind w:right="0" w:hanging="283"/>
      </w:pPr>
      <w:r>
        <w:t xml:space="preserve">фолиевая кислота 400–800 мкг в сутки; </w:t>
      </w:r>
    </w:p>
    <w:p w:rsidR="00D27BC6" w:rsidRDefault="004D5071">
      <w:pPr>
        <w:numPr>
          <w:ilvl w:val="0"/>
          <w:numId w:val="131"/>
        </w:numPr>
        <w:ind w:right="0" w:hanging="283"/>
      </w:pPr>
      <w:r>
        <w:t>йодид калия 150 мкг в сутки – при отсутствии противопоказаний, использование йодированной соли;</w:t>
      </w:r>
    </w:p>
    <w:p w:rsidR="00D27BC6" w:rsidRDefault="004D5071">
      <w:pPr>
        <w:numPr>
          <w:ilvl w:val="0"/>
          <w:numId w:val="131"/>
        </w:numPr>
        <w:ind w:right="0" w:hanging="283"/>
      </w:pPr>
      <w:r>
        <w:t>консультация офтальмолога – оценка тяжести ретинопатии (осмотр гл</w:t>
      </w:r>
      <w:r>
        <w:t>азного дна с расширенным зрачком);</w:t>
      </w:r>
    </w:p>
    <w:p w:rsidR="00D27BC6" w:rsidRDefault="004D5071">
      <w:pPr>
        <w:numPr>
          <w:ilvl w:val="0"/>
          <w:numId w:val="131"/>
        </w:numPr>
        <w:ind w:right="0" w:hanging="283"/>
      </w:pPr>
      <w:r>
        <w:t>оценка стадии ХБП, консультация нефролога при необходимости;</w:t>
      </w:r>
    </w:p>
    <w:p w:rsidR="00D27BC6" w:rsidRDefault="004D5071">
      <w:pPr>
        <w:numPr>
          <w:ilvl w:val="0"/>
          <w:numId w:val="131"/>
        </w:numPr>
        <w:ind w:right="0" w:hanging="283"/>
      </w:pPr>
      <w:r>
        <w:t>отмена пероральных сахароснижающих препаратов при наступлении беременности и немедленный перевод на инсулинотерапию;</w:t>
      </w:r>
    </w:p>
    <w:p w:rsidR="00D27BC6" w:rsidRDefault="004D5071">
      <w:pPr>
        <w:numPr>
          <w:ilvl w:val="0"/>
          <w:numId w:val="131"/>
        </w:numPr>
        <w:ind w:right="0" w:hanging="283"/>
      </w:pPr>
      <w:r>
        <w:t>отказ от курения;</w:t>
      </w:r>
    </w:p>
    <w:p w:rsidR="00D27BC6" w:rsidRDefault="004D5071">
      <w:pPr>
        <w:numPr>
          <w:ilvl w:val="0"/>
          <w:numId w:val="131"/>
        </w:numPr>
        <w:ind w:right="0" w:hanging="283"/>
      </w:pPr>
      <w:r>
        <w:t>отмена статинов;</w:t>
      </w:r>
    </w:p>
    <w:p w:rsidR="00D27BC6" w:rsidRDefault="004D5071">
      <w:pPr>
        <w:numPr>
          <w:ilvl w:val="0"/>
          <w:numId w:val="131"/>
        </w:numPr>
        <w:spacing w:after="230"/>
        <w:ind w:right="0" w:hanging="283"/>
      </w:pPr>
      <w:r>
        <w:t>максимально раннее подтверждение беременности (определение бета-ХГЧ, УЗИ органов малого таза), своевременное обращение в женскую консультацию.</w:t>
      </w:r>
    </w:p>
    <w:p w:rsidR="00D27BC6" w:rsidRDefault="004D5071">
      <w:pPr>
        <w:pStyle w:val="Heading3"/>
        <w:ind w:left="162" w:right="156"/>
      </w:pPr>
      <w:r>
        <w:t>Ведение беременности</w:t>
      </w:r>
    </w:p>
    <w:p w:rsidR="00D27BC6" w:rsidRDefault="004D5071">
      <w:pPr>
        <w:numPr>
          <w:ilvl w:val="0"/>
          <w:numId w:val="132"/>
        </w:numPr>
        <w:ind w:right="0" w:hanging="283"/>
      </w:pPr>
      <w:r>
        <w:t>Продолжение приема фолиевой кислоты согласно акушерским показаниям.</w:t>
      </w:r>
    </w:p>
    <w:p w:rsidR="00D27BC6" w:rsidRDefault="004D5071">
      <w:pPr>
        <w:numPr>
          <w:ilvl w:val="0"/>
          <w:numId w:val="132"/>
        </w:numPr>
        <w:ind w:right="0" w:hanging="283"/>
      </w:pPr>
      <w:r>
        <w:t>Рациональное сбалансированное питание для адекватного обеспечения потребностей матери и плода: питание с достаточным количеством углеводов (в среднем 175 г углеводов в сутки) для предупреждения «голодного» кетоза, исключение легко усваиваемых углеводов, до</w:t>
      </w:r>
      <w:r>
        <w:t>полнительный прием углеводов (≈12–15 г) перед сном или в ночное время при появлении кетонурии или повышении кетонемии. Равномерное распределение суточного объема пищи на 4–6 приемов.</w:t>
      </w:r>
    </w:p>
    <w:p w:rsidR="00D27BC6" w:rsidRDefault="004D5071">
      <w:pPr>
        <w:numPr>
          <w:ilvl w:val="0"/>
          <w:numId w:val="132"/>
        </w:numPr>
        <w:ind w:right="0" w:hanging="283"/>
      </w:pPr>
      <w:r>
        <w:t>Ежедневный самоконтроль гликемии: не менее 7 раз в сутки (перед и через 1</w:t>
      </w:r>
      <w:r>
        <w:t xml:space="preserve"> или 2 часа после приемов пищи, на ночь), при плохом самочувствии, при необходимости (риск гипогликемии, титрация дозы пролонгированного инсулина) – в 3 и 6 ч.</w:t>
      </w:r>
    </w:p>
    <w:p w:rsidR="00D27BC6" w:rsidRDefault="004D5071">
      <w:pPr>
        <w:numPr>
          <w:ilvl w:val="0"/>
          <w:numId w:val="132"/>
        </w:numPr>
        <w:ind w:right="0" w:hanging="283"/>
      </w:pPr>
      <w:r>
        <w:t xml:space="preserve">Использование НМГ в дополнение к традиционному контролю гликемии при помощи глюкометра </w:t>
      </w:r>
    </w:p>
    <w:p w:rsidR="00D27BC6" w:rsidRDefault="004D5071">
      <w:pPr>
        <w:numPr>
          <w:ilvl w:val="0"/>
          <w:numId w:val="132"/>
        </w:numPr>
        <w:ind w:right="0" w:hanging="283"/>
      </w:pPr>
      <w:r>
        <w:t>Контроль</w:t>
      </w:r>
      <w:r>
        <w:t xml:space="preserve"> кетонурии или кетонемии по тест-полоскам или в лаборатории утром натощак 1 раз в 2 недели, а также при интеркуррентных заболеваниях; при явлениях раннего токсикоза; при гипергликемии &gt;11,0 ммоль/л.</w:t>
      </w:r>
    </w:p>
    <w:p w:rsidR="00D27BC6" w:rsidRDefault="004D5071">
      <w:pPr>
        <w:numPr>
          <w:ilvl w:val="0"/>
          <w:numId w:val="132"/>
        </w:numPr>
        <w:ind w:right="0" w:hanging="283"/>
      </w:pPr>
      <w:r>
        <w:rPr>
          <w:b/>
        </w:rPr>
        <w:t>Цели гликемического контроля:</w:t>
      </w:r>
    </w:p>
    <w:p w:rsidR="00D27BC6" w:rsidRDefault="004D5071">
      <w:pPr>
        <w:numPr>
          <w:ilvl w:val="1"/>
          <w:numId w:val="132"/>
        </w:numPr>
        <w:ind w:left="568" w:right="0" w:hanging="283"/>
      </w:pPr>
      <w:r>
        <w:rPr>
          <w:b/>
        </w:rPr>
        <w:t>глюкоза плазмы натощак/пере</w:t>
      </w:r>
      <w:r>
        <w:rPr>
          <w:b/>
        </w:rPr>
        <w:t>д едой/на ночь/ночью 3,9–5,3 ммоль/л;</w:t>
      </w:r>
    </w:p>
    <w:p w:rsidR="00D27BC6" w:rsidRDefault="004D5071">
      <w:pPr>
        <w:numPr>
          <w:ilvl w:val="1"/>
          <w:numId w:val="132"/>
        </w:numPr>
        <w:ind w:left="568" w:right="0" w:hanging="283"/>
      </w:pPr>
      <w:r>
        <w:rPr>
          <w:b/>
        </w:rPr>
        <w:t>глюкоза плазмы через 1 час после еды 6,1–7,8 ммоль/л или через 2 часа после еды 5,6–6,7 ммоль/л;</w:t>
      </w:r>
    </w:p>
    <w:p w:rsidR="00D27BC6" w:rsidRDefault="004D5071">
      <w:pPr>
        <w:numPr>
          <w:ilvl w:val="0"/>
          <w:numId w:val="132"/>
        </w:numPr>
        <w:ind w:right="0" w:hanging="283"/>
      </w:pPr>
      <w:r>
        <w:rPr>
          <w:b/>
        </w:rPr>
        <w:t>HbA1c &lt; 6,0%</w:t>
      </w:r>
      <w:r>
        <w:t>; контроль – 1 раз в 6–8 недель.</w:t>
      </w:r>
    </w:p>
    <w:p w:rsidR="00D27BC6" w:rsidRDefault="004D5071">
      <w:pPr>
        <w:numPr>
          <w:ilvl w:val="1"/>
          <w:numId w:val="132"/>
        </w:numPr>
        <w:ind w:left="568" w:right="0" w:hanging="283"/>
      </w:pPr>
      <w:r>
        <w:rPr>
          <w:b/>
        </w:rPr>
        <w:t>стандартизованные показатели непрерывного мониторирования глюкозы и их целев</w:t>
      </w:r>
      <w:r>
        <w:rPr>
          <w:b/>
        </w:rPr>
        <w:t>ые значения у беременных женщин с СД 1 типа</w:t>
      </w:r>
    </w:p>
    <w:p w:rsidR="00D27BC6" w:rsidRDefault="004D5071">
      <w:pPr>
        <w:spacing w:after="0" w:line="259" w:lineRule="auto"/>
        <w:ind w:left="2" w:right="0" w:firstLine="0"/>
        <w:jc w:val="left"/>
      </w:pPr>
      <w:r>
        <w:rPr>
          <w:noProof/>
          <w:sz w:val="22"/>
        </w:rPr>
        <mc:AlternateContent>
          <mc:Choice Requires="wpg">
            <w:drawing>
              <wp:inline distT="0" distB="0" distL="0" distR="0">
                <wp:extent cx="6476295" cy="1170206"/>
                <wp:effectExtent l="0" t="0" r="0" b="0"/>
                <wp:docPr id="295356" name="Group 295356"/>
                <wp:cNvGraphicFramePr/>
                <a:graphic xmlns:a="http://schemas.openxmlformats.org/drawingml/2006/main">
                  <a:graphicData uri="http://schemas.microsoft.com/office/word/2010/wordprocessingGroup">
                    <wpg:wgp>
                      <wpg:cNvGrpSpPr/>
                      <wpg:grpSpPr>
                        <a:xfrm>
                          <a:off x="0" y="0"/>
                          <a:ext cx="6476295" cy="1170206"/>
                          <a:chOff x="0" y="0"/>
                          <a:chExt cx="6476295" cy="1170206"/>
                        </a:xfrm>
                      </wpg:grpSpPr>
                      <wps:wsp>
                        <wps:cNvPr id="20850" name="Shape 20850"/>
                        <wps:cNvSpPr/>
                        <wps:spPr>
                          <a:xfrm>
                            <a:off x="4500" y="0"/>
                            <a:ext cx="6467297" cy="203251"/>
                          </a:xfrm>
                          <a:custGeom>
                            <a:avLst/>
                            <a:gdLst/>
                            <a:ahLst/>
                            <a:cxnLst/>
                            <a:rect l="0" t="0" r="0" b="0"/>
                            <a:pathLst>
                              <a:path w="6467297" h="203251">
                                <a:moveTo>
                                  <a:pt x="0" y="0"/>
                                </a:moveTo>
                                <a:lnTo>
                                  <a:pt x="3233649" y="0"/>
                                </a:lnTo>
                                <a:lnTo>
                                  <a:pt x="6467297" y="0"/>
                                </a:lnTo>
                                <a:lnTo>
                                  <a:pt x="6467297" y="203251"/>
                                </a:lnTo>
                                <a:lnTo>
                                  <a:pt x="3233649" y="203251"/>
                                </a:lnTo>
                                <a:lnTo>
                                  <a:pt x="0" y="203251"/>
                                </a:lnTo>
                                <a:lnTo>
                                  <a:pt x="0" y="0"/>
                                </a:lnTo>
                                <a:close/>
                              </a:path>
                            </a:pathLst>
                          </a:custGeom>
                          <a:ln w="0" cap="flat">
                            <a:miter lim="127000"/>
                          </a:ln>
                        </wps:spPr>
                        <wps:style>
                          <a:lnRef idx="0">
                            <a:srgbClr val="000000">
                              <a:alpha val="0"/>
                            </a:srgbClr>
                          </a:lnRef>
                          <a:fillRef idx="1">
                            <a:srgbClr val="DADAD9"/>
                          </a:fillRef>
                          <a:effectRef idx="0">
                            <a:scrgbClr r="0" g="0" b="0"/>
                          </a:effectRef>
                          <a:fontRef idx="none"/>
                        </wps:style>
                        <wps:bodyPr/>
                      </wps:wsp>
                      <wps:wsp>
                        <wps:cNvPr id="380494" name="Shape 380494"/>
                        <wps:cNvSpPr/>
                        <wps:spPr>
                          <a:xfrm>
                            <a:off x="4500" y="203251"/>
                            <a:ext cx="6467297" cy="203250"/>
                          </a:xfrm>
                          <a:custGeom>
                            <a:avLst/>
                            <a:gdLst/>
                            <a:ahLst/>
                            <a:cxnLst/>
                            <a:rect l="0" t="0" r="0" b="0"/>
                            <a:pathLst>
                              <a:path w="6467297" h="203250">
                                <a:moveTo>
                                  <a:pt x="0" y="0"/>
                                </a:moveTo>
                                <a:lnTo>
                                  <a:pt x="6467297" y="0"/>
                                </a:lnTo>
                                <a:lnTo>
                                  <a:pt x="6467297" y="203250"/>
                                </a:lnTo>
                                <a:lnTo>
                                  <a:pt x="0" y="203250"/>
                                </a:lnTo>
                                <a:lnTo>
                                  <a:pt x="0" y="0"/>
                                </a:lnTo>
                              </a:path>
                            </a:pathLst>
                          </a:custGeom>
                          <a:ln w="0" cap="flat">
                            <a:miter lim="127000"/>
                          </a:ln>
                        </wps:spPr>
                        <wps:style>
                          <a:lnRef idx="0">
                            <a:srgbClr val="000000">
                              <a:alpha val="0"/>
                            </a:srgbClr>
                          </a:lnRef>
                          <a:fillRef idx="1">
                            <a:srgbClr val="ECECEC"/>
                          </a:fillRef>
                          <a:effectRef idx="0">
                            <a:scrgbClr r="0" g="0" b="0"/>
                          </a:effectRef>
                          <a:fontRef idx="none"/>
                        </wps:style>
                        <wps:bodyPr/>
                      </wps:wsp>
                      <wps:wsp>
                        <wps:cNvPr id="20852" name="Shape 20852"/>
                        <wps:cNvSpPr/>
                        <wps:spPr>
                          <a:xfrm>
                            <a:off x="0" y="5"/>
                            <a:ext cx="3238145" cy="0"/>
                          </a:xfrm>
                          <a:custGeom>
                            <a:avLst/>
                            <a:gdLst/>
                            <a:ahLst/>
                            <a:cxnLst/>
                            <a:rect l="0" t="0" r="0" b="0"/>
                            <a:pathLst>
                              <a:path w="3238145">
                                <a:moveTo>
                                  <a:pt x="0" y="0"/>
                                </a:moveTo>
                                <a:lnTo>
                                  <a:pt x="3238145"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53" name="Shape 20853"/>
                        <wps:cNvSpPr/>
                        <wps:spPr>
                          <a:xfrm>
                            <a:off x="4501" y="4509"/>
                            <a:ext cx="0" cy="194246"/>
                          </a:xfrm>
                          <a:custGeom>
                            <a:avLst/>
                            <a:gdLst/>
                            <a:ahLst/>
                            <a:cxnLst/>
                            <a:rect l="0" t="0" r="0" b="0"/>
                            <a:pathLst>
                              <a:path h="194246">
                                <a:moveTo>
                                  <a:pt x="0" y="194246"/>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54" name="Shape 20854"/>
                        <wps:cNvSpPr/>
                        <wps:spPr>
                          <a:xfrm>
                            <a:off x="3238151" y="5"/>
                            <a:ext cx="3238144" cy="0"/>
                          </a:xfrm>
                          <a:custGeom>
                            <a:avLst/>
                            <a:gdLst/>
                            <a:ahLst/>
                            <a:cxnLst/>
                            <a:rect l="0" t="0" r="0" b="0"/>
                            <a:pathLst>
                              <a:path w="3238144">
                                <a:moveTo>
                                  <a:pt x="0" y="0"/>
                                </a:moveTo>
                                <a:lnTo>
                                  <a:pt x="3238144"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55" name="Shape 20855"/>
                        <wps:cNvSpPr/>
                        <wps:spPr>
                          <a:xfrm>
                            <a:off x="3238151" y="4509"/>
                            <a:ext cx="0" cy="194246"/>
                          </a:xfrm>
                          <a:custGeom>
                            <a:avLst/>
                            <a:gdLst/>
                            <a:ahLst/>
                            <a:cxnLst/>
                            <a:rect l="0" t="0" r="0" b="0"/>
                            <a:pathLst>
                              <a:path h="194246">
                                <a:moveTo>
                                  <a:pt x="0" y="194246"/>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56" name="Shape 20856"/>
                        <wps:cNvSpPr/>
                        <wps:spPr>
                          <a:xfrm>
                            <a:off x="6471800" y="4509"/>
                            <a:ext cx="0" cy="194246"/>
                          </a:xfrm>
                          <a:custGeom>
                            <a:avLst/>
                            <a:gdLst/>
                            <a:ahLst/>
                            <a:cxnLst/>
                            <a:rect l="0" t="0" r="0" b="0"/>
                            <a:pathLst>
                              <a:path h="194246">
                                <a:moveTo>
                                  <a:pt x="0" y="194246"/>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57" name="Shape 20857"/>
                        <wps:cNvSpPr/>
                        <wps:spPr>
                          <a:xfrm>
                            <a:off x="0" y="203256"/>
                            <a:ext cx="3238145" cy="0"/>
                          </a:xfrm>
                          <a:custGeom>
                            <a:avLst/>
                            <a:gdLst/>
                            <a:ahLst/>
                            <a:cxnLst/>
                            <a:rect l="0" t="0" r="0" b="0"/>
                            <a:pathLst>
                              <a:path w="3238145">
                                <a:moveTo>
                                  <a:pt x="0" y="0"/>
                                </a:moveTo>
                                <a:lnTo>
                                  <a:pt x="3238145"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58" name="Shape 20858"/>
                        <wps:cNvSpPr/>
                        <wps:spPr>
                          <a:xfrm>
                            <a:off x="4501" y="207759"/>
                            <a:ext cx="0" cy="194246"/>
                          </a:xfrm>
                          <a:custGeom>
                            <a:avLst/>
                            <a:gdLst/>
                            <a:ahLst/>
                            <a:cxnLst/>
                            <a:rect l="0" t="0" r="0" b="0"/>
                            <a:pathLst>
                              <a:path h="194246">
                                <a:moveTo>
                                  <a:pt x="0" y="194246"/>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59" name="Shape 20859"/>
                        <wps:cNvSpPr/>
                        <wps:spPr>
                          <a:xfrm>
                            <a:off x="3238151" y="203256"/>
                            <a:ext cx="3238144" cy="0"/>
                          </a:xfrm>
                          <a:custGeom>
                            <a:avLst/>
                            <a:gdLst/>
                            <a:ahLst/>
                            <a:cxnLst/>
                            <a:rect l="0" t="0" r="0" b="0"/>
                            <a:pathLst>
                              <a:path w="3238144">
                                <a:moveTo>
                                  <a:pt x="0" y="0"/>
                                </a:moveTo>
                                <a:lnTo>
                                  <a:pt x="3238144"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60" name="Shape 20860"/>
                        <wps:cNvSpPr/>
                        <wps:spPr>
                          <a:xfrm>
                            <a:off x="6471800" y="207759"/>
                            <a:ext cx="0" cy="194246"/>
                          </a:xfrm>
                          <a:custGeom>
                            <a:avLst/>
                            <a:gdLst/>
                            <a:ahLst/>
                            <a:cxnLst/>
                            <a:rect l="0" t="0" r="0" b="0"/>
                            <a:pathLst>
                              <a:path h="194246">
                                <a:moveTo>
                                  <a:pt x="0" y="194246"/>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61" name="Shape 20861"/>
                        <wps:cNvSpPr/>
                        <wps:spPr>
                          <a:xfrm>
                            <a:off x="0" y="406505"/>
                            <a:ext cx="3238145" cy="0"/>
                          </a:xfrm>
                          <a:custGeom>
                            <a:avLst/>
                            <a:gdLst/>
                            <a:ahLst/>
                            <a:cxnLst/>
                            <a:rect l="0" t="0" r="0" b="0"/>
                            <a:pathLst>
                              <a:path w="3238145">
                                <a:moveTo>
                                  <a:pt x="0" y="0"/>
                                </a:moveTo>
                                <a:lnTo>
                                  <a:pt x="3238145"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62" name="Shape 20862"/>
                        <wps:cNvSpPr/>
                        <wps:spPr>
                          <a:xfrm>
                            <a:off x="4501" y="411005"/>
                            <a:ext cx="0" cy="245567"/>
                          </a:xfrm>
                          <a:custGeom>
                            <a:avLst/>
                            <a:gdLst/>
                            <a:ahLst/>
                            <a:cxnLst/>
                            <a:rect l="0" t="0" r="0" b="0"/>
                            <a:pathLst>
                              <a:path h="245567">
                                <a:moveTo>
                                  <a:pt x="0" y="24556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63" name="Shape 20863"/>
                        <wps:cNvSpPr/>
                        <wps:spPr>
                          <a:xfrm>
                            <a:off x="3238151" y="406505"/>
                            <a:ext cx="3238144" cy="0"/>
                          </a:xfrm>
                          <a:custGeom>
                            <a:avLst/>
                            <a:gdLst/>
                            <a:ahLst/>
                            <a:cxnLst/>
                            <a:rect l="0" t="0" r="0" b="0"/>
                            <a:pathLst>
                              <a:path w="3238144">
                                <a:moveTo>
                                  <a:pt x="0" y="0"/>
                                </a:moveTo>
                                <a:lnTo>
                                  <a:pt x="3238144"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64" name="Shape 20864"/>
                        <wps:cNvSpPr/>
                        <wps:spPr>
                          <a:xfrm>
                            <a:off x="3238151" y="411005"/>
                            <a:ext cx="0" cy="245567"/>
                          </a:xfrm>
                          <a:custGeom>
                            <a:avLst/>
                            <a:gdLst/>
                            <a:ahLst/>
                            <a:cxnLst/>
                            <a:rect l="0" t="0" r="0" b="0"/>
                            <a:pathLst>
                              <a:path h="245567">
                                <a:moveTo>
                                  <a:pt x="0" y="24556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65" name="Shape 20865"/>
                        <wps:cNvSpPr/>
                        <wps:spPr>
                          <a:xfrm>
                            <a:off x="6471800" y="411005"/>
                            <a:ext cx="0" cy="245567"/>
                          </a:xfrm>
                          <a:custGeom>
                            <a:avLst/>
                            <a:gdLst/>
                            <a:ahLst/>
                            <a:cxnLst/>
                            <a:rect l="0" t="0" r="0" b="0"/>
                            <a:pathLst>
                              <a:path h="245567">
                                <a:moveTo>
                                  <a:pt x="0" y="24556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66" name="Shape 20866"/>
                        <wps:cNvSpPr/>
                        <wps:spPr>
                          <a:xfrm>
                            <a:off x="0" y="661072"/>
                            <a:ext cx="3238145" cy="0"/>
                          </a:xfrm>
                          <a:custGeom>
                            <a:avLst/>
                            <a:gdLst/>
                            <a:ahLst/>
                            <a:cxnLst/>
                            <a:rect l="0" t="0" r="0" b="0"/>
                            <a:pathLst>
                              <a:path w="3238145">
                                <a:moveTo>
                                  <a:pt x="0" y="0"/>
                                </a:moveTo>
                                <a:lnTo>
                                  <a:pt x="3238145"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67" name="Shape 20867"/>
                        <wps:cNvSpPr/>
                        <wps:spPr>
                          <a:xfrm>
                            <a:off x="4501" y="665572"/>
                            <a:ext cx="0" cy="245567"/>
                          </a:xfrm>
                          <a:custGeom>
                            <a:avLst/>
                            <a:gdLst/>
                            <a:ahLst/>
                            <a:cxnLst/>
                            <a:rect l="0" t="0" r="0" b="0"/>
                            <a:pathLst>
                              <a:path h="245567">
                                <a:moveTo>
                                  <a:pt x="0" y="24556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68" name="Shape 20868"/>
                        <wps:cNvSpPr/>
                        <wps:spPr>
                          <a:xfrm>
                            <a:off x="3238151" y="661072"/>
                            <a:ext cx="3238144" cy="0"/>
                          </a:xfrm>
                          <a:custGeom>
                            <a:avLst/>
                            <a:gdLst/>
                            <a:ahLst/>
                            <a:cxnLst/>
                            <a:rect l="0" t="0" r="0" b="0"/>
                            <a:pathLst>
                              <a:path w="3238144">
                                <a:moveTo>
                                  <a:pt x="0" y="0"/>
                                </a:moveTo>
                                <a:lnTo>
                                  <a:pt x="3238144"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69" name="Shape 20869"/>
                        <wps:cNvSpPr/>
                        <wps:spPr>
                          <a:xfrm>
                            <a:off x="3238151" y="665572"/>
                            <a:ext cx="0" cy="245567"/>
                          </a:xfrm>
                          <a:custGeom>
                            <a:avLst/>
                            <a:gdLst/>
                            <a:ahLst/>
                            <a:cxnLst/>
                            <a:rect l="0" t="0" r="0" b="0"/>
                            <a:pathLst>
                              <a:path h="245567">
                                <a:moveTo>
                                  <a:pt x="0" y="24556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70" name="Shape 20870"/>
                        <wps:cNvSpPr/>
                        <wps:spPr>
                          <a:xfrm>
                            <a:off x="6471800" y="665572"/>
                            <a:ext cx="0" cy="245567"/>
                          </a:xfrm>
                          <a:custGeom>
                            <a:avLst/>
                            <a:gdLst/>
                            <a:ahLst/>
                            <a:cxnLst/>
                            <a:rect l="0" t="0" r="0" b="0"/>
                            <a:pathLst>
                              <a:path h="245567">
                                <a:moveTo>
                                  <a:pt x="0" y="24556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71" name="Shape 20871"/>
                        <wps:cNvSpPr/>
                        <wps:spPr>
                          <a:xfrm>
                            <a:off x="0" y="915639"/>
                            <a:ext cx="3238145" cy="0"/>
                          </a:xfrm>
                          <a:custGeom>
                            <a:avLst/>
                            <a:gdLst/>
                            <a:ahLst/>
                            <a:cxnLst/>
                            <a:rect l="0" t="0" r="0" b="0"/>
                            <a:pathLst>
                              <a:path w="3238145">
                                <a:moveTo>
                                  <a:pt x="0" y="0"/>
                                </a:moveTo>
                                <a:lnTo>
                                  <a:pt x="3238145"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72" name="Shape 20872"/>
                        <wps:cNvSpPr/>
                        <wps:spPr>
                          <a:xfrm>
                            <a:off x="4501" y="920138"/>
                            <a:ext cx="0" cy="245567"/>
                          </a:xfrm>
                          <a:custGeom>
                            <a:avLst/>
                            <a:gdLst/>
                            <a:ahLst/>
                            <a:cxnLst/>
                            <a:rect l="0" t="0" r="0" b="0"/>
                            <a:pathLst>
                              <a:path h="245567">
                                <a:moveTo>
                                  <a:pt x="0" y="24556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73" name="Shape 20873"/>
                        <wps:cNvSpPr/>
                        <wps:spPr>
                          <a:xfrm>
                            <a:off x="3238151" y="915639"/>
                            <a:ext cx="3238144" cy="0"/>
                          </a:xfrm>
                          <a:custGeom>
                            <a:avLst/>
                            <a:gdLst/>
                            <a:ahLst/>
                            <a:cxnLst/>
                            <a:rect l="0" t="0" r="0" b="0"/>
                            <a:pathLst>
                              <a:path w="3238144">
                                <a:moveTo>
                                  <a:pt x="0" y="0"/>
                                </a:moveTo>
                                <a:lnTo>
                                  <a:pt x="3238144"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74" name="Shape 20874"/>
                        <wps:cNvSpPr/>
                        <wps:spPr>
                          <a:xfrm>
                            <a:off x="3238151" y="920138"/>
                            <a:ext cx="0" cy="245567"/>
                          </a:xfrm>
                          <a:custGeom>
                            <a:avLst/>
                            <a:gdLst/>
                            <a:ahLst/>
                            <a:cxnLst/>
                            <a:rect l="0" t="0" r="0" b="0"/>
                            <a:pathLst>
                              <a:path h="245567">
                                <a:moveTo>
                                  <a:pt x="0" y="24556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75" name="Shape 20875"/>
                        <wps:cNvSpPr/>
                        <wps:spPr>
                          <a:xfrm>
                            <a:off x="6471800" y="920138"/>
                            <a:ext cx="0" cy="245567"/>
                          </a:xfrm>
                          <a:custGeom>
                            <a:avLst/>
                            <a:gdLst/>
                            <a:ahLst/>
                            <a:cxnLst/>
                            <a:rect l="0" t="0" r="0" b="0"/>
                            <a:pathLst>
                              <a:path h="245567">
                                <a:moveTo>
                                  <a:pt x="0" y="24556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76" name="Shape 20876"/>
                        <wps:cNvSpPr/>
                        <wps:spPr>
                          <a:xfrm>
                            <a:off x="0" y="1170206"/>
                            <a:ext cx="3238145" cy="0"/>
                          </a:xfrm>
                          <a:custGeom>
                            <a:avLst/>
                            <a:gdLst/>
                            <a:ahLst/>
                            <a:cxnLst/>
                            <a:rect l="0" t="0" r="0" b="0"/>
                            <a:pathLst>
                              <a:path w="3238145">
                                <a:moveTo>
                                  <a:pt x="0" y="0"/>
                                </a:moveTo>
                                <a:lnTo>
                                  <a:pt x="3238145"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77" name="Shape 20877"/>
                        <wps:cNvSpPr/>
                        <wps:spPr>
                          <a:xfrm>
                            <a:off x="3238151" y="1170206"/>
                            <a:ext cx="3238144" cy="0"/>
                          </a:xfrm>
                          <a:custGeom>
                            <a:avLst/>
                            <a:gdLst/>
                            <a:ahLst/>
                            <a:cxnLst/>
                            <a:rect l="0" t="0" r="0" b="0"/>
                            <a:pathLst>
                              <a:path w="3238144">
                                <a:moveTo>
                                  <a:pt x="0" y="0"/>
                                </a:moveTo>
                                <a:lnTo>
                                  <a:pt x="3238144"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0878" name="Rectangle 20878"/>
                        <wps:cNvSpPr/>
                        <wps:spPr>
                          <a:xfrm>
                            <a:off x="1277731" y="5653"/>
                            <a:ext cx="913972" cy="209280"/>
                          </a:xfrm>
                          <a:prstGeom prst="rect">
                            <a:avLst/>
                          </a:prstGeom>
                          <a:ln>
                            <a:noFill/>
                          </a:ln>
                        </wps:spPr>
                        <wps:txbx>
                          <w:txbxContent>
                            <w:p w:rsidR="00D27BC6" w:rsidRDefault="004D5071">
                              <w:pPr>
                                <w:spacing w:after="160" w:line="259" w:lineRule="auto"/>
                                <w:ind w:left="0" w:right="0" w:firstLine="0"/>
                                <w:jc w:val="left"/>
                              </w:pPr>
                              <w:r>
                                <w:rPr>
                                  <w:b/>
                                  <w:w w:val="112"/>
                                </w:rPr>
                                <w:t>Показатель</w:t>
                              </w:r>
                            </w:p>
                          </w:txbxContent>
                        </wps:txbx>
                        <wps:bodyPr horzOverflow="overflow" vert="horz" lIns="0" tIns="0" rIns="0" bIns="0" rtlCol="0">
                          <a:noAutofit/>
                        </wps:bodyPr>
                      </wps:wsp>
                      <wps:wsp>
                        <wps:cNvPr id="20879" name="Rectangle 20879"/>
                        <wps:cNvSpPr/>
                        <wps:spPr>
                          <a:xfrm>
                            <a:off x="4313539" y="5653"/>
                            <a:ext cx="1440279" cy="209280"/>
                          </a:xfrm>
                          <a:prstGeom prst="rect">
                            <a:avLst/>
                          </a:prstGeom>
                          <a:ln>
                            <a:noFill/>
                          </a:ln>
                        </wps:spPr>
                        <wps:txbx>
                          <w:txbxContent>
                            <w:p w:rsidR="00D27BC6" w:rsidRDefault="004D5071">
                              <w:pPr>
                                <w:spacing w:after="160" w:line="259" w:lineRule="auto"/>
                                <w:ind w:left="0" w:right="0" w:firstLine="0"/>
                                <w:jc w:val="left"/>
                              </w:pPr>
                              <w:r>
                                <w:rPr>
                                  <w:b/>
                                  <w:w w:val="110"/>
                                </w:rPr>
                                <w:t>Целевое</w:t>
                              </w:r>
                              <w:r>
                                <w:rPr>
                                  <w:b/>
                                  <w:spacing w:val="-5"/>
                                  <w:w w:val="110"/>
                                </w:rPr>
                                <w:t xml:space="preserve"> </w:t>
                              </w:r>
                              <w:r>
                                <w:rPr>
                                  <w:b/>
                                  <w:w w:val="110"/>
                                </w:rPr>
                                <w:t>значение</w:t>
                              </w:r>
                            </w:p>
                          </w:txbxContent>
                        </wps:txbx>
                        <wps:bodyPr horzOverflow="overflow" vert="horz" lIns="0" tIns="0" rIns="0" bIns="0" rtlCol="0">
                          <a:noAutofit/>
                        </wps:bodyPr>
                      </wps:wsp>
                      <wps:wsp>
                        <wps:cNvPr id="285374" name="Rectangle 285374"/>
                        <wps:cNvSpPr/>
                        <wps:spPr>
                          <a:xfrm>
                            <a:off x="2945114" y="211012"/>
                            <a:ext cx="385284" cy="206409"/>
                          </a:xfrm>
                          <a:prstGeom prst="rect">
                            <a:avLst/>
                          </a:prstGeom>
                          <a:ln>
                            <a:noFill/>
                          </a:ln>
                        </wps:spPr>
                        <wps:txbx>
                          <w:txbxContent>
                            <w:p w:rsidR="00D27BC6" w:rsidRDefault="004D5071">
                              <w:pPr>
                                <w:spacing w:after="160" w:line="259" w:lineRule="auto"/>
                                <w:ind w:left="0" w:right="0" w:firstLine="0"/>
                                <w:jc w:val="left"/>
                              </w:pPr>
                              <w:r>
                                <w:rPr>
                                  <w:b/>
                                  <w:w w:val="107"/>
                                </w:rPr>
                                <w:t>Осно</w:t>
                              </w:r>
                            </w:p>
                          </w:txbxContent>
                        </wps:txbx>
                        <wps:bodyPr horzOverflow="overflow" vert="horz" lIns="0" tIns="0" rIns="0" bIns="0" rtlCol="0">
                          <a:noAutofit/>
                        </wps:bodyPr>
                      </wps:wsp>
                      <wps:wsp>
                        <wps:cNvPr id="285375" name="Rectangle 285375"/>
                        <wps:cNvSpPr/>
                        <wps:spPr>
                          <a:xfrm>
                            <a:off x="3234801" y="211012"/>
                            <a:ext cx="394405" cy="206409"/>
                          </a:xfrm>
                          <a:prstGeom prst="rect">
                            <a:avLst/>
                          </a:prstGeom>
                          <a:ln>
                            <a:noFill/>
                          </a:ln>
                        </wps:spPr>
                        <wps:txbx>
                          <w:txbxContent>
                            <w:p w:rsidR="00D27BC6" w:rsidRDefault="004D5071">
                              <w:pPr>
                                <w:spacing w:after="160" w:line="259" w:lineRule="auto"/>
                                <w:ind w:left="0" w:right="0" w:firstLine="0"/>
                                <w:jc w:val="left"/>
                              </w:pPr>
                              <w:r>
                                <w:rPr>
                                  <w:b/>
                                  <w:w w:val="109"/>
                                </w:rPr>
                                <w:t>вные</w:t>
                              </w:r>
                            </w:p>
                          </w:txbxContent>
                        </wps:txbx>
                        <wps:bodyPr horzOverflow="overflow" vert="horz" lIns="0" tIns="0" rIns="0" bIns="0" rtlCol="0">
                          <a:noAutofit/>
                        </wps:bodyPr>
                      </wps:wsp>
                      <wps:wsp>
                        <wps:cNvPr id="20881" name="Rectangle 20881"/>
                        <wps:cNvSpPr/>
                        <wps:spPr>
                          <a:xfrm>
                            <a:off x="40623" y="442406"/>
                            <a:ext cx="3163482" cy="203029"/>
                          </a:xfrm>
                          <a:prstGeom prst="rect">
                            <a:avLst/>
                          </a:prstGeom>
                          <a:ln>
                            <a:noFill/>
                          </a:ln>
                        </wps:spPr>
                        <wps:txbx>
                          <w:txbxContent>
                            <w:p w:rsidR="00D27BC6" w:rsidRDefault="004D5071">
                              <w:pPr>
                                <w:spacing w:after="160" w:line="259" w:lineRule="auto"/>
                                <w:ind w:left="0" w:right="0" w:firstLine="0"/>
                                <w:jc w:val="left"/>
                              </w:pPr>
                              <w:r>
                                <w:rPr>
                                  <w:w w:val="103"/>
                                </w:rPr>
                                <w:t>Количество</w:t>
                              </w:r>
                              <w:r>
                                <w:rPr>
                                  <w:spacing w:val="-3"/>
                                  <w:w w:val="103"/>
                                </w:rPr>
                                <w:t xml:space="preserve"> </w:t>
                              </w:r>
                              <w:r>
                                <w:rPr>
                                  <w:w w:val="103"/>
                                </w:rPr>
                                <w:t>дней</w:t>
                              </w:r>
                              <w:r>
                                <w:rPr>
                                  <w:spacing w:val="-3"/>
                                  <w:w w:val="103"/>
                                </w:rPr>
                                <w:t xml:space="preserve"> </w:t>
                              </w:r>
                              <w:r>
                                <w:rPr>
                                  <w:w w:val="103"/>
                                </w:rPr>
                                <w:t>ношения</w:t>
                              </w:r>
                              <w:r>
                                <w:rPr>
                                  <w:spacing w:val="-3"/>
                                  <w:w w:val="103"/>
                                </w:rPr>
                                <w:t xml:space="preserve"> </w:t>
                              </w:r>
                              <w:r>
                                <w:rPr>
                                  <w:w w:val="103"/>
                                </w:rPr>
                                <w:t>устройства</w:t>
                              </w:r>
                              <w:r>
                                <w:rPr>
                                  <w:spacing w:val="-3"/>
                                  <w:w w:val="103"/>
                                </w:rPr>
                                <w:t xml:space="preserve"> </w:t>
                              </w:r>
                              <w:r>
                                <w:rPr>
                                  <w:w w:val="103"/>
                                </w:rPr>
                                <w:t>НМГ</w:t>
                              </w:r>
                            </w:p>
                          </w:txbxContent>
                        </wps:txbx>
                        <wps:bodyPr horzOverflow="overflow" vert="horz" lIns="0" tIns="0" rIns="0" bIns="0" rtlCol="0">
                          <a:noAutofit/>
                        </wps:bodyPr>
                      </wps:wsp>
                      <wps:wsp>
                        <wps:cNvPr id="20882" name="Rectangle 20882"/>
                        <wps:cNvSpPr/>
                        <wps:spPr>
                          <a:xfrm>
                            <a:off x="4603353" y="442406"/>
                            <a:ext cx="669728" cy="203029"/>
                          </a:xfrm>
                          <a:prstGeom prst="rect">
                            <a:avLst/>
                          </a:prstGeom>
                          <a:ln>
                            <a:noFill/>
                          </a:ln>
                        </wps:spPr>
                        <wps:txbx>
                          <w:txbxContent>
                            <w:p w:rsidR="00D27BC6" w:rsidRDefault="004D5071">
                              <w:pPr>
                                <w:spacing w:after="160" w:line="259" w:lineRule="auto"/>
                                <w:ind w:left="0" w:right="0" w:firstLine="0"/>
                                <w:jc w:val="left"/>
                              </w:pPr>
                              <w:r>
                                <w:rPr>
                                  <w:w w:val="103"/>
                                </w:rPr>
                                <w:t>≥14</w:t>
                              </w:r>
                              <w:r>
                                <w:rPr>
                                  <w:spacing w:val="-3"/>
                                  <w:w w:val="103"/>
                                </w:rPr>
                                <w:t xml:space="preserve"> </w:t>
                              </w:r>
                              <w:r>
                                <w:rPr>
                                  <w:w w:val="103"/>
                                </w:rPr>
                                <w:t>дней</w:t>
                              </w:r>
                            </w:p>
                          </w:txbxContent>
                        </wps:txbx>
                        <wps:bodyPr horzOverflow="overflow" vert="horz" lIns="0" tIns="0" rIns="0" bIns="0" rtlCol="0">
                          <a:noAutofit/>
                        </wps:bodyPr>
                      </wps:wsp>
                      <wps:wsp>
                        <wps:cNvPr id="20883" name="Rectangle 20883"/>
                        <wps:cNvSpPr/>
                        <wps:spPr>
                          <a:xfrm>
                            <a:off x="40623" y="696914"/>
                            <a:ext cx="3248950" cy="203030"/>
                          </a:xfrm>
                          <a:prstGeom prst="rect">
                            <a:avLst/>
                          </a:prstGeom>
                          <a:ln>
                            <a:noFill/>
                          </a:ln>
                        </wps:spPr>
                        <wps:txbx>
                          <w:txbxContent>
                            <w:p w:rsidR="00D27BC6" w:rsidRDefault="004D5071">
                              <w:pPr>
                                <w:spacing w:after="160" w:line="259" w:lineRule="auto"/>
                                <w:ind w:left="0" w:right="0" w:firstLine="0"/>
                                <w:jc w:val="left"/>
                              </w:pPr>
                              <w:r>
                                <w:rPr>
                                  <w:w w:val="103"/>
                                </w:rPr>
                                <w:t>Доля</w:t>
                              </w:r>
                              <w:r>
                                <w:rPr>
                                  <w:spacing w:val="-3"/>
                                  <w:w w:val="103"/>
                                </w:rPr>
                                <w:t xml:space="preserve"> </w:t>
                              </w:r>
                              <w:r>
                                <w:rPr>
                                  <w:w w:val="103"/>
                                </w:rPr>
                                <w:t>времени</w:t>
                              </w:r>
                              <w:r>
                                <w:rPr>
                                  <w:spacing w:val="-3"/>
                                  <w:w w:val="103"/>
                                </w:rPr>
                                <w:t xml:space="preserve"> </w:t>
                              </w:r>
                              <w:r>
                                <w:rPr>
                                  <w:w w:val="103"/>
                                </w:rPr>
                                <w:t>с</w:t>
                              </w:r>
                              <w:r>
                                <w:rPr>
                                  <w:spacing w:val="-3"/>
                                  <w:w w:val="103"/>
                                </w:rPr>
                                <w:t xml:space="preserve"> </w:t>
                              </w:r>
                              <w:r>
                                <w:rPr>
                                  <w:w w:val="103"/>
                                </w:rPr>
                                <w:t>активным</w:t>
                              </w:r>
                              <w:r>
                                <w:rPr>
                                  <w:spacing w:val="-3"/>
                                  <w:w w:val="103"/>
                                </w:rPr>
                                <w:t xml:space="preserve"> </w:t>
                              </w:r>
                              <w:r>
                                <w:rPr>
                                  <w:w w:val="103"/>
                                </w:rPr>
                                <w:t>устройством</w:t>
                              </w:r>
                              <w:r>
                                <w:rPr>
                                  <w:spacing w:val="-3"/>
                                  <w:w w:val="103"/>
                                </w:rPr>
                                <w:t xml:space="preserve"> </w:t>
                              </w:r>
                              <w:r>
                                <w:rPr>
                                  <w:w w:val="103"/>
                                </w:rPr>
                                <w:t>НМГ</w:t>
                              </w:r>
                            </w:p>
                          </w:txbxContent>
                        </wps:txbx>
                        <wps:bodyPr horzOverflow="overflow" vert="horz" lIns="0" tIns="0" rIns="0" bIns="0" rtlCol="0">
                          <a:noAutofit/>
                        </wps:bodyPr>
                      </wps:wsp>
                      <wps:wsp>
                        <wps:cNvPr id="20884" name="Rectangle 20884"/>
                        <wps:cNvSpPr/>
                        <wps:spPr>
                          <a:xfrm>
                            <a:off x="4701778" y="696914"/>
                            <a:ext cx="407748" cy="203030"/>
                          </a:xfrm>
                          <a:prstGeom prst="rect">
                            <a:avLst/>
                          </a:prstGeom>
                          <a:ln>
                            <a:noFill/>
                          </a:ln>
                        </wps:spPr>
                        <wps:txbx>
                          <w:txbxContent>
                            <w:p w:rsidR="00D27BC6" w:rsidRDefault="004D5071">
                              <w:pPr>
                                <w:spacing w:after="160" w:line="259" w:lineRule="auto"/>
                                <w:ind w:left="0" w:right="0" w:firstLine="0"/>
                                <w:jc w:val="left"/>
                              </w:pPr>
                              <w:r>
                                <w:rPr>
                                  <w:w w:val="108"/>
                                </w:rPr>
                                <w:t>≥70%</w:t>
                              </w:r>
                            </w:p>
                          </w:txbxContent>
                        </wps:txbx>
                        <wps:bodyPr horzOverflow="overflow" vert="horz" lIns="0" tIns="0" rIns="0" bIns="0" rtlCol="0">
                          <a:noAutofit/>
                        </wps:bodyPr>
                      </wps:wsp>
                      <wps:wsp>
                        <wps:cNvPr id="20885" name="Rectangle 20885"/>
                        <wps:cNvSpPr/>
                        <wps:spPr>
                          <a:xfrm>
                            <a:off x="40623" y="951422"/>
                            <a:ext cx="2578377" cy="203030"/>
                          </a:xfrm>
                          <a:prstGeom prst="rect">
                            <a:avLst/>
                          </a:prstGeom>
                          <a:ln>
                            <a:noFill/>
                          </a:ln>
                        </wps:spPr>
                        <wps:txbx>
                          <w:txbxContent>
                            <w:p w:rsidR="00D27BC6" w:rsidRDefault="004D5071">
                              <w:pPr>
                                <w:spacing w:after="160" w:line="259" w:lineRule="auto"/>
                                <w:ind w:left="0" w:right="0" w:firstLine="0"/>
                                <w:jc w:val="left"/>
                              </w:pPr>
                              <w:r>
                                <w:rPr>
                                  <w:w w:val="104"/>
                                </w:rPr>
                                <w:t>Среднее</w:t>
                              </w:r>
                              <w:r>
                                <w:rPr>
                                  <w:spacing w:val="-3"/>
                                  <w:w w:val="104"/>
                                </w:rPr>
                                <w:t xml:space="preserve"> </w:t>
                              </w:r>
                              <w:r>
                                <w:rPr>
                                  <w:w w:val="104"/>
                                </w:rPr>
                                <w:t>значение</w:t>
                              </w:r>
                              <w:r>
                                <w:rPr>
                                  <w:spacing w:val="-3"/>
                                  <w:w w:val="104"/>
                                </w:rPr>
                                <w:t xml:space="preserve"> </w:t>
                              </w:r>
                              <w:r>
                                <w:rPr>
                                  <w:w w:val="104"/>
                                </w:rPr>
                                <w:t>уровня</w:t>
                              </w:r>
                              <w:r>
                                <w:rPr>
                                  <w:spacing w:val="-3"/>
                                  <w:w w:val="104"/>
                                </w:rPr>
                                <w:t xml:space="preserve"> </w:t>
                              </w:r>
                              <w:r>
                                <w:rPr>
                                  <w:w w:val="104"/>
                                </w:rPr>
                                <w:t>глюкозы</w:t>
                              </w:r>
                            </w:p>
                          </w:txbxContent>
                        </wps:txbx>
                        <wps:bodyPr horzOverflow="overflow" vert="horz" lIns="0" tIns="0" rIns="0" bIns="0" rtlCol="0">
                          <a:noAutofit/>
                        </wps:bodyPr>
                      </wps:wsp>
                      <wps:wsp>
                        <wps:cNvPr id="20886" name="Rectangle 20886"/>
                        <wps:cNvSpPr/>
                        <wps:spPr>
                          <a:xfrm>
                            <a:off x="4835635" y="951422"/>
                            <a:ext cx="51855" cy="203030"/>
                          </a:xfrm>
                          <a:prstGeom prst="rect">
                            <a:avLst/>
                          </a:prstGeom>
                          <a:ln>
                            <a:noFill/>
                          </a:ln>
                        </wps:spPr>
                        <wps:txbx>
                          <w:txbxContent>
                            <w:p w:rsidR="00D27BC6" w:rsidRDefault="004D5071">
                              <w:pPr>
                                <w:spacing w:after="160" w:line="259" w:lineRule="auto"/>
                                <w:ind w:left="0" w:right="0" w:firstLine="0"/>
                                <w:jc w:val="left"/>
                              </w:pPr>
                              <w:r>
                                <w:t>-</w:t>
                              </w:r>
                            </w:p>
                          </w:txbxContent>
                        </wps:txbx>
                        <wps:bodyPr horzOverflow="overflow" vert="horz" lIns="0" tIns="0" rIns="0" bIns="0" rtlCol="0">
                          <a:noAutofit/>
                        </wps:bodyPr>
                      </wps:wsp>
                    </wpg:wgp>
                  </a:graphicData>
                </a:graphic>
              </wp:inline>
            </w:drawing>
          </mc:Choice>
          <mc:Fallback xmlns:a="http://schemas.openxmlformats.org/drawingml/2006/main">
            <w:pict>
              <v:group id="Group 295356" style="width:509.944pt;height:92.1422pt;mso-position-horizontal-relative:char;mso-position-vertical-relative:line" coordsize="64762,11702">
                <v:shape id="Shape 20850" style="position:absolute;width:64672;height:2032;left:45;top:0;" coordsize="6467297,203251" path="m0,0l3233649,0l6467297,0l6467297,203251l3233649,203251l0,203251l0,0x">
                  <v:stroke weight="0pt" endcap="flat" joinstyle="miter" miterlimit="10" on="false" color="#000000" opacity="0"/>
                  <v:fill on="true" color="#dadad9"/>
                </v:shape>
                <v:shape id="Shape 380541" style="position:absolute;width:64672;height:2032;left:45;top:2032;" coordsize="6467297,203250" path="m0,0l6467297,0l6467297,203250l0,203250l0,0">
                  <v:stroke weight="0pt" endcap="flat" joinstyle="miter" miterlimit="10" on="false" color="#000000" opacity="0"/>
                  <v:fill on="true" color="#ececec"/>
                </v:shape>
                <v:shape id="Shape 20852" style="position:absolute;width:32381;height:0;left:0;top:0;" coordsize="3238145,0" path="m0,0l3238145,0">
                  <v:stroke weight="0.709pt" endcap="flat" joinstyle="miter" miterlimit="10" on="true" color="#000000"/>
                  <v:fill on="false" color="#000000" opacity="0"/>
                </v:shape>
                <v:shape id="Shape 20853" style="position:absolute;width:0;height:1942;left:45;top:45;" coordsize="0,194246" path="m0,194246l0,0">
                  <v:stroke weight="0.709pt" endcap="flat" joinstyle="miter" miterlimit="10" on="true" color="#000000"/>
                  <v:fill on="false" color="#000000" opacity="0"/>
                </v:shape>
                <v:shape id="Shape 20854" style="position:absolute;width:32381;height:0;left:32381;top:0;" coordsize="3238144,0" path="m0,0l3238144,0">
                  <v:stroke weight="0.709pt" endcap="flat" joinstyle="miter" miterlimit="10" on="true" color="#000000"/>
                  <v:fill on="false" color="#000000" opacity="0"/>
                </v:shape>
                <v:shape id="Shape 20855" style="position:absolute;width:0;height:1942;left:32381;top:45;" coordsize="0,194246" path="m0,194246l0,0">
                  <v:stroke weight="0.709pt" endcap="flat" joinstyle="miter" miterlimit="10" on="true" color="#000000"/>
                  <v:fill on="false" color="#000000" opacity="0"/>
                </v:shape>
                <v:shape id="Shape 20856" style="position:absolute;width:0;height:1942;left:64718;top:45;" coordsize="0,194246" path="m0,194246l0,0">
                  <v:stroke weight="0.709pt" endcap="flat" joinstyle="miter" miterlimit="10" on="true" color="#000000"/>
                  <v:fill on="false" color="#000000" opacity="0"/>
                </v:shape>
                <v:shape id="Shape 20857" style="position:absolute;width:32381;height:0;left:0;top:2032;" coordsize="3238145,0" path="m0,0l3238145,0">
                  <v:stroke weight="0.709pt" endcap="flat" joinstyle="miter" miterlimit="10" on="true" color="#000000"/>
                  <v:fill on="false" color="#000000" opacity="0"/>
                </v:shape>
                <v:shape id="Shape 20858" style="position:absolute;width:0;height:1942;left:45;top:2077;" coordsize="0,194246" path="m0,194246l0,0">
                  <v:stroke weight="0.709pt" endcap="flat" joinstyle="miter" miterlimit="10" on="true" color="#000000"/>
                  <v:fill on="false" color="#000000" opacity="0"/>
                </v:shape>
                <v:shape id="Shape 20859" style="position:absolute;width:32381;height:0;left:32381;top:2032;" coordsize="3238144,0" path="m0,0l3238144,0">
                  <v:stroke weight="0.709pt" endcap="flat" joinstyle="miter" miterlimit="10" on="true" color="#000000"/>
                  <v:fill on="false" color="#000000" opacity="0"/>
                </v:shape>
                <v:shape id="Shape 20860" style="position:absolute;width:0;height:1942;left:64718;top:2077;" coordsize="0,194246" path="m0,194246l0,0">
                  <v:stroke weight="0.709pt" endcap="flat" joinstyle="miter" miterlimit="10" on="true" color="#000000"/>
                  <v:fill on="false" color="#000000" opacity="0"/>
                </v:shape>
                <v:shape id="Shape 20861" style="position:absolute;width:32381;height:0;left:0;top:4065;" coordsize="3238145,0" path="m0,0l3238145,0">
                  <v:stroke weight="0.709pt" endcap="flat" joinstyle="miter" miterlimit="10" on="true" color="#000000"/>
                  <v:fill on="false" color="#000000" opacity="0"/>
                </v:shape>
                <v:shape id="Shape 20862" style="position:absolute;width:0;height:2455;left:45;top:4110;" coordsize="0,245567" path="m0,245567l0,0">
                  <v:stroke weight="0.709pt" endcap="flat" joinstyle="miter" miterlimit="10" on="true" color="#000000"/>
                  <v:fill on="false" color="#000000" opacity="0"/>
                </v:shape>
                <v:shape id="Shape 20863" style="position:absolute;width:32381;height:0;left:32381;top:4065;" coordsize="3238144,0" path="m0,0l3238144,0">
                  <v:stroke weight="0.709pt" endcap="flat" joinstyle="miter" miterlimit="10" on="true" color="#000000"/>
                  <v:fill on="false" color="#000000" opacity="0"/>
                </v:shape>
                <v:shape id="Shape 20864" style="position:absolute;width:0;height:2455;left:32381;top:4110;" coordsize="0,245567" path="m0,245567l0,0">
                  <v:stroke weight="0.709pt" endcap="flat" joinstyle="miter" miterlimit="10" on="true" color="#000000"/>
                  <v:fill on="false" color="#000000" opacity="0"/>
                </v:shape>
                <v:shape id="Shape 20865" style="position:absolute;width:0;height:2455;left:64718;top:4110;" coordsize="0,245567" path="m0,245567l0,0">
                  <v:stroke weight="0.709pt" endcap="flat" joinstyle="miter" miterlimit="10" on="true" color="#000000"/>
                  <v:fill on="false" color="#000000" opacity="0"/>
                </v:shape>
                <v:shape id="Shape 20866" style="position:absolute;width:32381;height:0;left:0;top:6610;" coordsize="3238145,0" path="m0,0l3238145,0">
                  <v:stroke weight="0.709pt" endcap="flat" joinstyle="miter" miterlimit="10" on="true" color="#000000"/>
                  <v:fill on="false" color="#000000" opacity="0"/>
                </v:shape>
                <v:shape id="Shape 20867" style="position:absolute;width:0;height:2455;left:45;top:6655;" coordsize="0,245567" path="m0,245567l0,0">
                  <v:stroke weight="0.709pt" endcap="flat" joinstyle="miter" miterlimit="10" on="true" color="#000000"/>
                  <v:fill on="false" color="#000000" opacity="0"/>
                </v:shape>
                <v:shape id="Shape 20868" style="position:absolute;width:32381;height:0;left:32381;top:6610;" coordsize="3238144,0" path="m0,0l3238144,0">
                  <v:stroke weight="0.709pt" endcap="flat" joinstyle="miter" miterlimit="10" on="true" color="#000000"/>
                  <v:fill on="false" color="#000000" opacity="0"/>
                </v:shape>
                <v:shape id="Shape 20869" style="position:absolute;width:0;height:2455;left:32381;top:6655;" coordsize="0,245567" path="m0,245567l0,0">
                  <v:stroke weight="0.709pt" endcap="flat" joinstyle="miter" miterlimit="10" on="true" color="#000000"/>
                  <v:fill on="false" color="#000000" opacity="0"/>
                </v:shape>
                <v:shape id="Shape 20870" style="position:absolute;width:0;height:2455;left:64718;top:6655;" coordsize="0,245567" path="m0,245567l0,0">
                  <v:stroke weight="0.709pt" endcap="flat" joinstyle="miter" miterlimit="10" on="true" color="#000000"/>
                  <v:fill on="false" color="#000000" opacity="0"/>
                </v:shape>
                <v:shape id="Shape 20871" style="position:absolute;width:32381;height:0;left:0;top:9156;" coordsize="3238145,0" path="m0,0l3238145,0">
                  <v:stroke weight="0.709pt" endcap="flat" joinstyle="miter" miterlimit="10" on="true" color="#000000"/>
                  <v:fill on="false" color="#000000" opacity="0"/>
                </v:shape>
                <v:shape id="Shape 20872" style="position:absolute;width:0;height:2455;left:45;top:9201;" coordsize="0,245567" path="m0,245567l0,0">
                  <v:stroke weight="0.709pt" endcap="flat" joinstyle="miter" miterlimit="10" on="true" color="#000000"/>
                  <v:fill on="false" color="#000000" opacity="0"/>
                </v:shape>
                <v:shape id="Shape 20873" style="position:absolute;width:32381;height:0;left:32381;top:9156;" coordsize="3238144,0" path="m0,0l3238144,0">
                  <v:stroke weight="0.709pt" endcap="flat" joinstyle="miter" miterlimit="10" on="true" color="#000000"/>
                  <v:fill on="false" color="#000000" opacity="0"/>
                </v:shape>
                <v:shape id="Shape 20874" style="position:absolute;width:0;height:2455;left:32381;top:9201;" coordsize="0,245567" path="m0,245567l0,0">
                  <v:stroke weight="0.709pt" endcap="flat" joinstyle="miter" miterlimit="10" on="true" color="#000000"/>
                  <v:fill on="false" color="#000000" opacity="0"/>
                </v:shape>
                <v:shape id="Shape 20875" style="position:absolute;width:0;height:2455;left:64718;top:9201;" coordsize="0,245567" path="m0,245567l0,0">
                  <v:stroke weight="0.709pt" endcap="flat" joinstyle="miter" miterlimit="10" on="true" color="#000000"/>
                  <v:fill on="false" color="#000000" opacity="0"/>
                </v:shape>
                <v:shape id="Shape 20876" style="position:absolute;width:32381;height:0;left:0;top:11702;" coordsize="3238145,0" path="m0,0l3238145,0">
                  <v:stroke weight="0.709pt" endcap="flat" joinstyle="miter" miterlimit="10" on="true" color="#000000"/>
                  <v:fill on="false" color="#000000" opacity="0"/>
                </v:shape>
                <v:shape id="Shape 20877" style="position:absolute;width:32381;height:0;left:32381;top:11702;" coordsize="3238144,0" path="m0,0l3238144,0">
                  <v:stroke weight="0.709pt" endcap="flat" joinstyle="miter" miterlimit="10" on="true" color="#000000"/>
                  <v:fill on="false" color="#000000" opacity="0"/>
                </v:shape>
                <v:rect id="Rectangle 20878" style="position:absolute;width:9139;height:2092;left:12777;top:56;" filled="f" stroked="f">
                  <v:textbox inset="0,0,0,0">
                    <w:txbxContent>
                      <w:p>
                        <w:pPr>
                          <w:spacing w:before="0" w:after="160" w:line="259" w:lineRule="auto"/>
                          <w:ind w:left="0" w:right="0" w:firstLine="0"/>
                          <w:jc w:val="left"/>
                        </w:pPr>
                        <w:r>
                          <w:rPr>
                            <w:rFonts w:cs="Calibri" w:hAnsi="Calibri" w:eastAsia="Calibri" w:ascii="Calibri"/>
                            <w:b w:val="1"/>
                            <w:w w:val="112"/>
                          </w:rPr>
                          <w:t xml:space="preserve">Показатель</w:t>
                        </w:r>
                      </w:p>
                    </w:txbxContent>
                  </v:textbox>
                </v:rect>
                <v:rect id="Rectangle 20879" style="position:absolute;width:14402;height:2092;left:43135;top:56;" filled="f" stroked="f">
                  <v:textbox inset="0,0,0,0">
                    <w:txbxContent>
                      <w:p>
                        <w:pPr>
                          <w:spacing w:before="0" w:after="160" w:line="259" w:lineRule="auto"/>
                          <w:ind w:left="0" w:right="0" w:firstLine="0"/>
                          <w:jc w:val="left"/>
                        </w:pPr>
                        <w:r>
                          <w:rPr>
                            <w:rFonts w:cs="Calibri" w:hAnsi="Calibri" w:eastAsia="Calibri" w:ascii="Calibri"/>
                            <w:b w:val="1"/>
                            <w:w w:val="110"/>
                          </w:rPr>
                          <w:t xml:space="preserve">Целевое</w:t>
                        </w:r>
                        <w:r>
                          <w:rPr>
                            <w:rFonts w:cs="Calibri" w:hAnsi="Calibri" w:eastAsia="Calibri" w:ascii="Calibri"/>
                            <w:b w:val="1"/>
                            <w:spacing w:val="-5"/>
                            <w:w w:val="110"/>
                          </w:rPr>
                          <w:t xml:space="preserve"> </w:t>
                        </w:r>
                        <w:r>
                          <w:rPr>
                            <w:rFonts w:cs="Calibri" w:hAnsi="Calibri" w:eastAsia="Calibri" w:ascii="Calibri"/>
                            <w:b w:val="1"/>
                            <w:w w:val="110"/>
                          </w:rPr>
                          <w:t xml:space="preserve">значение</w:t>
                        </w:r>
                      </w:p>
                    </w:txbxContent>
                  </v:textbox>
                </v:rect>
                <v:rect id="Rectangle 285374" style="position:absolute;width:3852;height:2064;left:29451;top:2110;" filled="f" stroked="f">
                  <v:textbox inset="0,0,0,0">
                    <w:txbxContent>
                      <w:p>
                        <w:pPr>
                          <w:spacing w:before="0" w:after="160" w:line="259" w:lineRule="auto"/>
                          <w:ind w:left="0" w:right="0" w:firstLine="0"/>
                          <w:jc w:val="left"/>
                        </w:pPr>
                        <w:r>
                          <w:rPr>
                            <w:rFonts w:cs="Calibri" w:hAnsi="Calibri" w:eastAsia="Calibri" w:ascii="Calibri"/>
                            <w:b w:val="1"/>
                            <w:w w:val="107"/>
                          </w:rPr>
                          <w:t xml:space="preserve">Осно</w:t>
                        </w:r>
                      </w:p>
                    </w:txbxContent>
                  </v:textbox>
                </v:rect>
                <v:rect id="Rectangle 285375" style="position:absolute;width:3944;height:2064;left:32348;top:2110;" filled="f" stroked="f">
                  <v:textbox inset="0,0,0,0">
                    <w:txbxContent>
                      <w:p>
                        <w:pPr>
                          <w:spacing w:before="0" w:after="160" w:line="259" w:lineRule="auto"/>
                          <w:ind w:left="0" w:right="0" w:firstLine="0"/>
                          <w:jc w:val="left"/>
                        </w:pPr>
                        <w:r>
                          <w:rPr>
                            <w:rFonts w:cs="Calibri" w:hAnsi="Calibri" w:eastAsia="Calibri" w:ascii="Calibri"/>
                            <w:b w:val="1"/>
                            <w:w w:val="109"/>
                          </w:rPr>
                          <w:t xml:space="preserve">вные</w:t>
                        </w:r>
                      </w:p>
                    </w:txbxContent>
                  </v:textbox>
                </v:rect>
                <v:rect id="Rectangle 20881" style="position:absolute;width:31634;height:2030;left:406;top:4424;" filled="f" stroked="f">
                  <v:textbox inset="0,0,0,0">
                    <w:txbxContent>
                      <w:p>
                        <w:pPr>
                          <w:spacing w:before="0" w:after="160" w:line="259" w:lineRule="auto"/>
                          <w:ind w:left="0" w:right="0" w:firstLine="0"/>
                          <w:jc w:val="left"/>
                        </w:pPr>
                        <w:r>
                          <w:rPr>
                            <w:w w:val="103"/>
                          </w:rPr>
                          <w:t xml:space="preserve">Количество</w:t>
                        </w:r>
                        <w:r>
                          <w:rPr>
                            <w:spacing w:val="-3"/>
                            <w:w w:val="103"/>
                          </w:rPr>
                          <w:t xml:space="preserve"> </w:t>
                        </w:r>
                        <w:r>
                          <w:rPr>
                            <w:w w:val="103"/>
                          </w:rPr>
                          <w:t xml:space="preserve">дней</w:t>
                        </w:r>
                        <w:r>
                          <w:rPr>
                            <w:spacing w:val="-3"/>
                            <w:w w:val="103"/>
                          </w:rPr>
                          <w:t xml:space="preserve"> </w:t>
                        </w:r>
                        <w:r>
                          <w:rPr>
                            <w:w w:val="103"/>
                          </w:rPr>
                          <w:t xml:space="preserve">ношения</w:t>
                        </w:r>
                        <w:r>
                          <w:rPr>
                            <w:spacing w:val="-3"/>
                            <w:w w:val="103"/>
                          </w:rPr>
                          <w:t xml:space="preserve"> </w:t>
                        </w:r>
                        <w:r>
                          <w:rPr>
                            <w:w w:val="103"/>
                          </w:rPr>
                          <w:t xml:space="preserve">устройства</w:t>
                        </w:r>
                        <w:r>
                          <w:rPr>
                            <w:spacing w:val="-3"/>
                            <w:w w:val="103"/>
                          </w:rPr>
                          <w:t xml:space="preserve"> </w:t>
                        </w:r>
                        <w:r>
                          <w:rPr>
                            <w:w w:val="103"/>
                          </w:rPr>
                          <w:t xml:space="preserve">НМГ</w:t>
                        </w:r>
                      </w:p>
                    </w:txbxContent>
                  </v:textbox>
                </v:rect>
                <v:rect id="Rectangle 20882" style="position:absolute;width:6697;height:2030;left:46033;top:4424;" filled="f" stroked="f">
                  <v:textbox inset="0,0,0,0">
                    <w:txbxContent>
                      <w:p>
                        <w:pPr>
                          <w:spacing w:before="0" w:after="160" w:line="259" w:lineRule="auto"/>
                          <w:ind w:left="0" w:right="0" w:firstLine="0"/>
                          <w:jc w:val="left"/>
                        </w:pPr>
                        <w:r>
                          <w:rPr>
                            <w:w w:val="103"/>
                          </w:rPr>
                          <w:t xml:space="preserve">≥14</w:t>
                        </w:r>
                        <w:r>
                          <w:rPr>
                            <w:spacing w:val="-3"/>
                            <w:w w:val="103"/>
                          </w:rPr>
                          <w:t xml:space="preserve"> </w:t>
                        </w:r>
                        <w:r>
                          <w:rPr>
                            <w:w w:val="103"/>
                          </w:rPr>
                          <w:t xml:space="preserve">дней</w:t>
                        </w:r>
                      </w:p>
                    </w:txbxContent>
                  </v:textbox>
                </v:rect>
                <v:rect id="Rectangle 20883" style="position:absolute;width:32489;height:2030;left:406;top:6969;" filled="f" stroked="f">
                  <v:textbox inset="0,0,0,0">
                    <w:txbxContent>
                      <w:p>
                        <w:pPr>
                          <w:spacing w:before="0" w:after="160" w:line="259" w:lineRule="auto"/>
                          <w:ind w:left="0" w:right="0" w:firstLine="0"/>
                          <w:jc w:val="left"/>
                        </w:pPr>
                        <w:r>
                          <w:rPr>
                            <w:w w:val="103"/>
                          </w:rPr>
                          <w:t xml:space="preserve">Доля</w:t>
                        </w:r>
                        <w:r>
                          <w:rPr>
                            <w:spacing w:val="-3"/>
                            <w:w w:val="103"/>
                          </w:rPr>
                          <w:t xml:space="preserve"> </w:t>
                        </w:r>
                        <w:r>
                          <w:rPr>
                            <w:w w:val="103"/>
                          </w:rPr>
                          <w:t xml:space="preserve">времени</w:t>
                        </w:r>
                        <w:r>
                          <w:rPr>
                            <w:spacing w:val="-3"/>
                            <w:w w:val="103"/>
                          </w:rPr>
                          <w:t xml:space="preserve"> </w:t>
                        </w:r>
                        <w:r>
                          <w:rPr>
                            <w:w w:val="103"/>
                          </w:rPr>
                          <w:t xml:space="preserve">с</w:t>
                        </w:r>
                        <w:r>
                          <w:rPr>
                            <w:spacing w:val="-3"/>
                            <w:w w:val="103"/>
                          </w:rPr>
                          <w:t xml:space="preserve"> </w:t>
                        </w:r>
                        <w:r>
                          <w:rPr>
                            <w:w w:val="103"/>
                          </w:rPr>
                          <w:t xml:space="preserve">активным</w:t>
                        </w:r>
                        <w:r>
                          <w:rPr>
                            <w:spacing w:val="-3"/>
                            <w:w w:val="103"/>
                          </w:rPr>
                          <w:t xml:space="preserve"> </w:t>
                        </w:r>
                        <w:r>
                          <w:rPr>
                            <w:w w:val="103"/>
                          </w:rPr>
                          <w:t xml:space="preserve">устройством</w:t>
                        </w:r>
                        <w:r>
                          <w:rPr>
                            <w:spacing w:val="-3"/>
                            <w:w w:val="103"/>
                          </w:rPr>
                          <w:t xml:space="preserve"> </w:t>
                        </w:r>
                        <w:r>
                          <w:rPr>
                            <w:w w:val="103"/>
                          </w:rPr>
                          <w:t xml:space="preserve">НМГ</w:t>
                        </w:r>
                      </w:p>
                    </w:txbxContent>
                  </v:textbox>
                </v:rect>
                <v:rect id="Rectangle 20884" style="position:absolute;width:4077;height:2030;left:47017;top:6969;" filled="f" stroked="f">
                  <v:textbox inset="0,0,0,0">
                    <w:txbxContent>
                      <w:p>
                        <w:pPr>
                          <w:spacing w:before="0" w:after="160" w:line="259" w:lineRule="auto"/>
                          <w:ind w:left="0" w:right="0" w:firstLine="0"/>
                          <w:jc w:val="left"/>
                        </w:pPr>
                        <w:r>
                          <w:rPr>
                            <w:w w:val="108"/>
                          </w:rPr>
                          <w:t xml:space="preserve">≥70%</w:t>
                        </w:r>
                      </w:p>
                    </w:txbxContent>
                  </v:textbox>
                </v:rect>
                <v:rect id="Rectangle 20885" style="position:absolute;width:25783;height:2030;left:406;top:9514;" filled="f" stroked="f">
                  <v:textbox inset="0,0,0,0">
                    <w:txbxContent>
                      <w:p>
                        <w:pPr>
                          <w:spacing w:before="0" w:after="160" w:line="259" w:lineRule="auto"/>
                          <w:ind w:left="0" w:right="0" w:firstLine="0"/>
                          <w:jc w:val="left"/>
                        </w:pPr>
                        <w:r>
                          <w:rPr>
                            <w:w w:val="104"/>
                          </w:rPr>
                          <w:t xml:space="preserve">Среднее</w:t>
                        </w:r>
                        <w:r>
                          <w:rPr>
                            <w:spacing w:val="-3"/>
                            <w:w w:val="104"/>
                          </w:rPr>
                          <w:t xml:space="preserve"> </w:t>
                        </w:r>
                        <w:r>
                          <w:rPr>
                            <w:w w:val="104"/>
                          </w:rPr>
                          <w:t xml:space="preserve">значение</w:t>
                        </w:r>
                        <w:r>
                          <w:rPr>
                            <w:spacing w:val="-3"/>
                            <w:w w:val="104"/>
                          </w:rPr>
                          <w:t xml:space="preserve"> </w:t>
                        </w:r>
                        <w:r>
                          <w:rPr>
                            <w:w w:val="104"/>
                          </w:rPr>
                          <w:t xml:space="preserve">уровня</w:t>
                        </w:r>
                        <w:r>
                          <w:rPr>
                            <w:spacing w:val="-3"/>
                            <w:w w:val="104"/>
                          </w:rPr>
                          <w:t xml:space="preserve"> </w:t>
                        </w:r>
                        <w:r>
                          <w:rPr>
                            <w:w w:val="104"/>
                          </w:rPr>
                          <w:t xml:space="preserve">глюкозы</w:t>
                        </w:r>
                      </w:p>
                    </w:txbxContent>
                  </v:textbox>
                </v:rect>
                <v:rect id="Rectangle 20886" style="position:absolute;width:518;height:2030;left:48356;top:9514;" filled="f" stroked="f">
                  <v:textbox inset="0,0,0,0">
                    <w:txbxContent>
                      <w:p>
                        <w:pPr>
                          <w:spacing w:before="0" w:after="160" w:line="259" w:lineRule="auto"/>
                          <w:ind w:left="0" w:right="0" w:firstLine="0"/>
                          <w:jc w:val="left"/>
                        </w:pPr>
                        <w:r>
                          <w:rPr>
                            <w:w w:val="100"/>
                          </w:rPr>
                          <w:t xml:space="preserve">-</w:t>
                        </w:r>
                      </w:p>
                    </w:txbxContent>
                  </v:textbox>
                </v:rect>
              </v:group>
            </w:pict>
          </mc:Fallback>
        </mc:AlternateContent>
      </w:r>
    </w:p>
    <w:tbl>
      <w:tblPr>
        <w:tblStyle w:val="TableGrid"/>
        <w:tblW w:w="10185" w:type="dxa"/>
        <w:tblInd w:w="9" w:type="dxa"/>
        <w:tblCellMar>
          <w:top w:w="9" w:type="dxa"/>
          <w:left w:w="0" w:type="dxa"/>
          <w:bottom w:w="0" w:type="dxa"/>
          <w:right w:w="115" w:type="dxa"/>
        </w:tblCellMar>
        <w:tblLook w:val="04A0" w:firstRow="1" w:lastRow="0" w:firstColumn="1" w:lastColumn="0" w:noHBand="0" w:noVBand="1"/>
      </w:tblPr>
      <w:tblGrid>
        <w:gridCol w:w="5092"/>
        <w:gridCol w:w="1673"/>
        <w:gridCol w:w="3419"/>
      </w:tblGrid>
      <w:tr w:rsidR="00D27BC6">
        <w:trPr>
          <w:trHeight w:val="320"/>
        </w:trPr>
        <w:tc>
          <w:tcPr>
            <w:tcW w:w="509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115" w:right="0" w:firstLine="0"/>
              <w:jc w:val="center"/>
            </w:pPr>
            <w:r>
              <w:rPr>
                <w:b/>
              </w:rPr>
              <w:t>Показатель</w:t>
            </w:r>
          </w:p>
        </w:tc>
        <w:tc>
          <w:tcPr>
            <w:tcW w:w="1673" w:type="dxa"/>
            <w:tcBorders>
              <w:top w:val="single" w:sz="6" w:space="0" w:color="000000"/>
              <w:left w:val="single" w:sz="6" w:space="0" w:color="000000"/>
              <w:bottom w:val="single" w:sz="6" w:space="0" w:color="000000"/>
              <w:right w:val="nil"/>
            </w:tcBorders>
            <w:shd w:val="clear" w:color="auto" w:fill="DADAD9"/>
          </w:tcPr>
          <w:p w:rsidR="00D27BC6" w:rsidRDefault="00D27BC6">
            <w:pPr>
              <w:spacing w:after="160" w:line="259" w:lineRule="auto"/>
              <w:ind w:left="0" w:right="0" w:firstLine="0"/>
              <w:jc w:val="left"/>
            </w:pPr>
          </w:p>
        </w:tc>
        <w:tc>
          <w:tcPr>
            <w:tcW w:w="3419" w:type="dxa"/>
            <w:tcBorders>
              <w:top w:val="single" w:sz="6" w:space="0" w:color="000000"/>
              <w:left w:val="nil"/>
              <w:bottom w:val="single" w:sz="6" w:space="0" w:color="000000"/>
              <w:right w:val="single" w:sz="6" w:space="0" w:color="000000"/>
            </w:tcBorders>
            <w:shd w:val="clear" w:color="auto" w:fill="DADAD9"/>
          </w:tcPr>
          <w:p w:rsidR="00D27BC6" w:rsidRDefault="004D5071">
            <w:pPr>
              <w:spacing w:after="0" w:line="259" w:lineRule="auto"/>
              <w:ind w:left="21" w:right="0" w:firstLine="0"/>
              <w:jc w:val="left"/>
            </w:pPr>
            <w:r>
              <w:rPr>
                <w:b/>
              </w:rPr>
              <w:t>Целевое значение</w:t>
            </w:r>
          </w:p>
        </w:tc>
      </w:tr>
      <w:tr w:rsidR="00D27BC6">
        <w:trPr>
          <w:trHeight w:val="560"/>
        </w:trPr>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Время выше целевого диапазона: % измерений (время) в диапазоне &gt;7,8 ммоль/л (Уровень 1)</w:t>
            </w:r>
          </w:p>
        </w:tc>
        <w:tc>
          <w:tcPr>
            <w:tcW w:w="1673"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3419" w:type="dxa"/>
            <w:tcBorders>
              <w:top w:val="single" w:sz="6" w:space="0" w:color="000000"/>
              <w:left w:val="nil"/>
              <w:bottom w:val="single" w:sz="6" w:space="0" w:color="000000"/>
              <w:right w:val="single" w:sz="6" w:space="0" w:color="000000"/>
            </w:tcBorders>
            <w:vAlign w:val="center"/>
          </w:tcPr>
          <w:p w:rsidR="00D27BC6" w:rsidRDefault="004D5071">
            <w:pPr>
              <w:spacing w:after="0" w:line="259" w:lineRule="auto"/>
              <w:ind w:left="370" w:right="0" w:firstLine="0"/>
              <w:jc w:val="left"/>
            </w:pPr>
            <w:r>
              <w:t>&lt;25% (&lt;6 ч)</w:t>
            </w:r>
          </w:p>
        </w:tc>
      </w:tr>
      <w:tr w:rsidR="00D27BC6">
        <w:trPr>
          <w:trHeight w:val="560"/>
        </w:trPr>
        <w:tc>
          <w:tcPr>
            <w:tcW w:w="5092" w:type="dxa"/>
            <w:tcBorders>
              <w:top w:val="single" w:sz="6" w:space="0" w:color="000000"/>
              <w:left w:val="single" w:sz="6" w:space="0" w:color="000000"/>
              <w:bottom w:val="single" w:sz="6" w:space="0" w:color="000000"/>
              <w:right w:val="single" w:sz="6" w:space="0" w:color="000000"/>
            </w:tcBorders>
            <w:shd w:val="clear" w:color="auto" w:fill="FFED00"/>
          </w:tcPr>
          <w:p w:rsidR="00D27BC6" w:rsidRDefault="004D5071">
            <w:pPr>
              <w:spacing w:after="0" w:line="259" w:lineRule="auto"/>
              <w:ind w:left="57" w:right="375" w:firstLine="0"/>
              <w:jc w:val="left"/>
            </w:pPr>
            <w:r>
              <w:t>Время в целевом диапазоне: % измерений (время) в диапазоне 3,5–7,8 ммоль/л</w:t>
            </w:r>
          </w:p>
        </w:tc>
        <w:tc>
          <w:tcPr>
            <w:tcW w:w="1673" w:type="dxa"/>
            <w:tcBorders>
              <w:top w:val="single" w:sz="6" w:space="0" w:color="000000"/>
              <w:left w:val="single" w:sz="6" w:space="0" w:color="000000"/>
              <w:bottom w:val="single" w:sz="6" w:space="0" w:color="000000"/>
              <w:right w:val="nil"/>
            </w:tcBorders>
            <w:shd w:val="clear" w:color="auto" w:fill="FFED00"/>
          </w:tcPr>
          <w:p w:rsidR="00D27BC6" w:rsidRDefault="00D27BC6">
            <w:pPr>
              <w:spacing w:after="160" w:line="259" w:lineRule="auto"/>
              <w:ind w:left="0" w:right="0" w:firstLine="0"/>
              <w:jc w:val="left"/>
            </w:pPr>
          </w:p>
        </w:tc>
        <w:tc>
          <w:tcPr>
            <w:tcW w:w="3419" w:type="dxa"/>
            <w:tcBorders>
              <w:top w:val="single" w:sz="6" w:space="0" w:color="000000"/>
              <w:left w:val="nil"/>
              <w:bottom w:val="single" w:sz="6" w:space="0" w:color="000000"/>
              <w:right w:val="single" w:sz="6" w:space="0" w:color="000000"/>
            </w:tcBorders>
            <w:shd w:val="clear" w:color="auto" w:fill="FFED00"/>
            <w:vAlign w:val="center"/>
          </w:tcPr>
          <w:p w:rsidR="00D27BC6" w:rsidRDefault="004D5071">
            <w:pPr>
              <w:spacing w:after="0" w:line="259" w:lineRule="auto"/>
              <w:ind w:left="0" w:right="0" w:firstLine="0"/>
              <w:jc w:val="left"/>
            </w:pPr>
            <w:r>
              <w:t>&gt;70% (&gt;16 ч 48 мин)</w:t>
            </w:r>
          </w:p>
        </w:tc>
      </w:tr>
      <w:tr w:rsidR="00D27BC6">
        <w:trPr>
          <w:trHeight w:val="560"/>
        </w:trPr>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Время ниже целевого диапазона: % измерений (время) в диапазоне &lt;3,5 ммоль/л (Уровень 1)*</w:t>
            </w:r>
          </w:p>
        </w:tc>
        <w:tc>
          <w:tcPr>
            <w:tcW w:w="1673"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3419" w:type="dxa"/>
            <w:tcBorders>
              <w:top w:val="single" w:sz="6" w:space="0" w:color="000000"/>
              <w:left w:val="nil"/>
              <w:bottom w:val="single" w:sz="6" w:space="0" w:color="000000"/>
              <w:right w:val="single" w:sz="6" w:space="0" w:color="000000"/>
            </w:tcBorders>
            <w:vAlign w:val="center"/>
          </w:tcPr>
          <w:p w:rsidR="00D27BC6" w:rsidRDefault="004D5071">
            <w:pPr>
              <w:spacing w:after="0" w:line="259" w:lineRule="auto"/>
              <w:ind w:left="422" w:right="0" w:firstLine="0"/>
              <w:jc w:val="left"/>
            </w:pPr>
            <w:r>
              <w:t>&lt;4% (&lt;1 ч)</w:t>
            </w:r>
          </w:p>
        </w:tc>
      </w:tr>
      <w:tr w:rsidR="00D27BC6">
        <w:trPr>
          <w:trHeight w:val="320"/>
        </w:trPr>
        <w:tc>
          <w:tcPr>
            <w:tcW w:w="6765" w:type="dxa"/>
            <w:gridSpan w:val="2"/>
            <w:tcBorders>
              <w:top w:val="single" w:sz="6" w:space="0" w:color="000000"/>
              <w:left w:val="single" w:sz="6" w:space="0" w:color="000000"/>
              <w:bottom w:val="single" w:sz="6" w:space="0" w:color="000000"/>
              <w:right w:val="nil"/>
            </w:tcBorders>
            <w:shd w:val="clear" w:color="auto" w:fill="ECECEC"/>
          </w:tcPr>
          <w:p w:rsidR="00D27BC6" w:rsidRDefault="004D5071">
            <w:pPr>
              <w:spacing w:after="0" w:line="259" w:lineRule="auto"/>
              <w:ind w:left="4311" w:right="0" w:firstLine="0"/>
              <w:jc w:val="left"/>
            </w:pPr>
            <w:r>
              <w:rPr>
                <w:b/>
              </w:rPr>
              <w:t>Дополнительные</w:t>
            </w:r>
          </w:p>
        </w:tc>
        <w:tc>
          <w:tcPr>
            <w:tcW w:w="3419" w:type="dxa"/>
            <w:tcBorders>
              <w:top w:val="single" w:sz="6" w:space="0" w:color="000000"/>
              <w:left w:val="nil"/>
              <w:bottom w:val="single" w:sz="6" w:space="0" w:color="000000"/>
              <w:right w:val="single" w:sz="6" w:space="0" w:color="000000"/>
            </w:tcBorders>
            <w:shd w:val="clear" w:color="auto" w:fill="ECECEC"/>
          </w:tcPr>
          <w:p w:rsidR="00D27BC6" w:rsidRDefault="00D27BC6">
            <w:pPr>
              <w:spacing w:after="160" w:line="259" w:lineRule="auto"/>
              <w:ind w:left="0" w:right="0" w:firstLine="0"/>
              <w:jc w:val="left"/>
            </w:pPr>
          </w:p>
        </w:tc>
      </w:tr>
      <w:tr w:rsidR="00D27BC6">
        <w:trPr>
          <w:trHeight w:val="320"/>
        </w:trPr>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Индикатор контроля уровня глюкозы</w:t>
            </w:r>
          </w:p>
        </w:tc>
        <w:tc>
          <w:tcPr>
            <w:tcW w:w="1673"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3419" w:type="dxa"/>
            <w:tcBorders>
              <w:top w:val="single" w:sz="6" w:space="0" w:color="000000"/>
              <w:left w:val="nil"/>
              <w:bottom w:val="single" w:sz="6" w:space="0" w:color="000000"/>
              <w:right w:val="single" w:sz="6" w:space="0" w:color="000000"/>
            </w:tcBorders>
          </w:tcPr>
          <w:p w:rsidR="00D27BC6" w:rsidRDefault="004D5071">
            <w:pPr>
              <w:spacing w:after="0" w:line="259" w:lineRule="auto"/>
              <w:ind w:left="843" w:right="0" w:firstLine="0"/>
              <w:jc w:val="left"/>
            </w:pPr>
            <w:r>
              <w:t>-</w:t>
            </w:r>
          </w:p>
        </w:tc>
      </w:tr>
      <w:tr w:rsidR="00D27BC6">
        <w:trPr>
          <w:trHeight w:val="320"/>
        </w:trPr>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Коэффициент вариабельности уровня глюкозы</w:t>
            </w:r>
          </w:p>
        </w:tc>
        <w:tc>
          <w:tcPr>
            <w:tcW w:w="1673"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3419" w:type="dxa"/>
            <w:tcBorders>
              <w:top w:val="single" w:sz="6" w:space="0" w:color="000000"/>
              <w:left w:val="nil"/>
              <w:bottom w:val="single" w:sz="6" w:space="0" w:color="000000"/>
              <w:right w:val="single" w:sz="6" w:space="0" w:color="000000"/>
            </w:tcBorders>
          </w:tcPr>
          <w:p w:rsidR="00D27BC6" w:rsidRDefault="004D5071">
            <w:pPr>
              <w:spacing w:after="0" w:line="259" w:lineRule="auto"/>
              <w:ind w:left="611" w:right="0" w:firstLine="0"/>
              <w:jc w:val="left"/>
            </w:pPr>
            <w:r>
              <w:t>≤ 36%</w:t>
            </w:r>
          </w:p>
        </w:tc>
      </w:tr>
      <w:tr w:rsidR="00D27BC6">
        <w:trPr>
          <w:trHeight w:val="560"/>
        </w:trPr>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Время ниже целевого диапазона: % измерений (время) в диапазоне &lt;3,0 ммоль/л (Уровень 2)</w:t>
            </w:r>
          </w:p>
        </w:tc>
        <w:tc>
          <w:tcPr>
            <w:tcW w:w="1673"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3419" w:type="dxa"/>
            <w:tcBorders>
              <w:top w:val="single" w:sz="6" w:space="0" w:color="000000"/>
              <w:left w:val="nil"/>
              <w:bottom w:val="single" w:sz="6" w:space="0" w:color="000000"/>
              <w:right w:val="single" w:sz="6" w:space="0" w:color="000000"/>
            </w:tcBorders>
            <w:vAlign w:val="center"/>
          </w:tcPr>
          <w:p w:rsidR="00D27BC6" w:rsidRDefault="004D5071">
            <w:pPr>
              <w:spacing w:after="0" w:line="259" w:lineRule="auto"/>
              <w:ind w:left="248" w:right="0" w:firstLine="0"/>
              <w:jc w:val="left"/>
            </w:pPr>
            <w:r>
              <w:t>&lt;1% (&lt;15 мин)</w:t>
            </w:r>
          </w:p>
        </w:tc>
      </w:tr>
    </w:tbl>
    <w:p w:rsidR="00D27BC6" w:rsidRDefault="004D5071">
      <w:pPr>
        <w:spacing w:after="4"/>
        <w:ind w:left="-3" w:right="0"/>
      </w:pPr>
      <w:r>
        <w:rPr>
          <w:sz w:val="16"/>
        </w:rPr>
        <w:t>* Включая значения &lt; 3,0 ммоль/л.</w:t>
      </w:r>
    </w:p>
    <w:p w:rsidR="00D27BC6" w:rsidRDefault="004D5071">
      <w:pPr>
        <w:spacing w:after="104"/>
        <w:ind w:left="-3" w:right="0"/>
      </w:pPr>
      <w:r>
        <w:rPr>
          <w:sz w:val="16"/>
        </w:rPr>
        <w:t>Индивидуально могут быть определены другие целевые показатели гликемического контроля (при наличии сосудистых осложнений СД).</w:t>
      </w:r>
    </w:p>
    <w:p w:rsidR="00D27BC6" w:rsidRDefault="004D5071">
      <w:pPr>
        <w:numPr>
          <w:ilvl w:val="0"/>
          <w:numId w:val="133"/>
        </w:numPr>
        <w:ind w:right="0" w:hanging="283"/>
      </w:pPr>
      <w:r>
        <w:t>Разрешено использование препаратов инсулина человека короткого и средней продолжительности действия, аналогов инсулина ультракорот</w:t>
      </w:r>
      <w:r>
        <w:t>кого (лизпро, аспарт), сверхбыстрого (аспарт, имеющий в составе вспомогательное вещество никотинамид; лизпро 100 Ед/мл, имеющий в составе вспомогательное вещество трепростинил; лизпро 200 Ед/мл, имеющий в составе вспомогательное вещество трепростинил), дли</w:t>
      </w:r>
      <w:r>
        <w:t>тельного (детемир, гларгин 100 ЕД/мл), сверхдлительного (деглудек) действия.</w:t>
      </w:r>
    </w:p>
    <w:p w:rsidR="00D27BC6" w:rsidRDefault="004D5071">
      <w:pPr>
        <w:numPr>
          <w:ilvl w:val="0"/>
          <w:numId w:val="133"/>
        </w:numPr>
        <w:ind w:right="0" w:hanging="283"/>
      </w:pPr>
      <w:r>
        <w:t xml:space="preserve">Любые сахароснижающие препараты кроме инсулина и метформина противопоказаны. </w:t>
      </w:r>
    </w:p>
    <w:p w:rsidR="00D27BC6" w:rsidRDefault="004D5071">
      <w:pPr>
        <w:numPr>
          <w:ilvl w:val="0"/>
          <w:numId w:val="133"/>
        </w:numPr>
        <w:ind w:right="0" w:hanging="283"/>
      </w:pPr>
      <w:r>
        <w:t xml:space="preserve">Метформин </w:t>
      </w:r>
      <w:r>
        <w:rPr>
          <w:b/>
        </w:rPr>
        <w:t>не следует</w:t>
      </w:r>
      <w:r>
        <w:t xml:space="preserve"> использовать в качестве </w:t>
      </w:r>
      <w:r>
        <w:rPr>
          <w:b/>
        </w:rPr>
        <w:t>первой линии</w:t>
      </w:r>
      <w:r>
        <w:t xml:space="preserve"> для лечения СД 2 типа во время беременности</w:t>
      </w:r>
      <w:r>
        <w:t>, поскольку он проникает через плаценту к плоду и может быть недостаточным для достижения гликемических целей;</w:t>
      </w:r>
    </w:p>
    <w:p w:rsidR="00D27BC6" w:rsidRDefault="004D5071">
      <w:pPr>
        <w:numPr>
          <w:ilvl w:val="0"/>
          <w:numId w:val="133"/>
        </w:numPr>
        <w:ind w:right="0" w:hanging="283"/>
      </w:pPr>
      <w:r>
        <w:t>У беременных с СД 2 типа только после проведения второго УЗ скрининга плода (после 19–21 недели), целью которого является исключение врожденных п</w:t>
      </w:r>
      <w:r>
        <w:t>ороков развития плода, ассоциированных с гипергликемией, целесообразно обсудить назначение метформина для повышения чувствительности к инсулину в период нарастающей плацентарной инсулинорезистентности.</w:t>
      </w:r>
    </w:p>
    <w:p w:rsidR="00D27BC6" w:rsidRDefault="004D5071">
      <w:pPr>
        <w:numPr>
          <w:ilvl w:val="0"/>
          <w:numId w:val="133"/>
        </w:numPr>
        <w:ind w:right="0" w:hanging="283"/>
      </w:pPr>
      <w:r>
        <w:t xml:space="preserve">Назначение метформина </w:t>
      </w:r>
      <w:r>
        <w:rPr>
          <w:b/>
        </w:rPr>
        <w:t>только в качестве дополнения к и</w:t>
      </w:r>
      <w:r>
        <w:rPr>
          <w:b/>
        </w:rPr>
        <w:t>нсулинотерапии</w:t>
      </w:r>
      <w:r>
        <w:t xml:space="preserve"> можно рассматривать у беременных с прегестационным СД 2 типа и ожирением (ИМТ &gt; 35 кг/м</w:t>
      </w:r>
      <w:r>
        <w:rPr>
          <w:sz w:val="18"/>
          <w:vertAlign w:val="superscript"/>
        </w:rPr>
        <w:t>2</w:t>
      </w:r>
      <w:r>
        <w:t xml:space="preserve">), СПКЯ в анамнезе, избыточной гестационной прибавкой массы тела, а также при суточной потребности в инсулине &gt;1,1–1,2 ЕД/кг/сут </w:t>
      </w:r>
    </w:p>
    <w:p w:rsidR="00D27BC6" w:rsidRDefault="004D5071">
      <w:pPr>
        <w:numPr>
          <w:ilvl w:val="0"/>
          <w:numId w:val="133"/>
        </w:numPr>
        <w:ind w:right="0" w:hanging="283"/>
      </w:pPr>
      <w:r>
        <w:t xml:space="preserve">Назначение метформина должно быть подтверждено решением пренатального консилиума/врачебной комиссии, информированным согласием беременной. </w:t>
      </w:r>
    </w:p>
    <w:p w:rsidR="00D27BC6" w:rsidRDefault="004D5071">
      <w:pPr>
        <w:numPr>
          <w:ilvl w:val="0"/>
          <w:numId w:val="133"/>
        </w:numPr>
        <w:ind w:right="0" w:hanging="283"/>
      </w:pPr>
      <w:r>
        <w:t>Метформин можно начинать принимать по 500 мг один – два раза в день и увеличивать дозу с недельными интервалами до 2</w:t>
      </w:r>
      <w:r>
        <w:t>000–2500 мг в день; терапия должна проводиться на основе результатов самоконтроля уровня глюкозы в крови. В случае, если целевые показатели глюкозы крови не достигаются в течение 1–2 недель лечения либо развивается макросомия плода/многоводие необходимо ср</w:t>
      </w:r>
      <w:r>
        <w:t xml:space="preserve">очно провести коррекцию инсулинотерапии, а не увеличивать дозу метформина; </w:t>
      </w:r>
    </w:p>
    <w:p w:rsidR="00D27BC6" w:rsidRDefault="004D5071">
      <w:pPr>
        <w:numPr>
          <w:ilvl w:val="0"/>
          <w:numId w:val="133"/>
        </w:numPr>
        <w:ind w:right="0" w:hanging="283"/>
      </w:pPr>
      <w:r>
        <w:t xml:space="preserve">Необходимо немедленно отменить прием метформина в следующих случаях: </w:t>
      </w:r>
      <w:r>
        <w:rPr>
          <w:rFonts w:ascii="Wingdings" w:eastAsia="Wingdings" w:hAnsi="Wingdings" w:cs="Wingdings"/>
        </w:rPr>
        <w:t></w:t>
      </w:r>
      <w:r>
        <w:t xml:space="preserve"> </w:t>
      </w:r>
      <w:r>
        <w:tab/>
        <w:t>Плохая переносимость препарата</w:t>
      </w:r>
    </w:p>
    <w:p w:rsidR="00D27BC6" w:rsidRDefault="004D5071">
      <w:pPr>
        <w:numPr>
          <w:ilvl w:val="1"/>
          <w:numId w:val="133"/>
        </w:numPr>
        <w:ind w:left="568" w:right="0" w:hanging="283"/>
      </w:pPr>
      <w:r>
        <w:t xml:space="preserve">Срок беременности более 35–36 недель </w:t>
      </w:r>
    </w:p>
    <w:p w:rsidR="00D27BC6" w:rsidRDefault="004D5071">
      <w:pPr>
        <w:numPr>
          <w:ilvl w:val="1"/>
          <w:numId w:val="133"/>
        </w:numPr>
        <w:ind w:left="568" w:right="0" w:hanging="283"/>
      </w:pPr>
      <w:r>
        <w:t>Высокая вероятность досрочного прерывания беременности</w:t>
      </w:r>
    </w:p>
    <w:p w:rsidR="00D27BC6" w:rsidRDefault="004D5071">
      <w:pPr>
        <w:numPr>
          <w:ilvl w:val="1"/>
          <w:numId w:val="133"/>
        </w:numPr>
        <w:ind w:left="568" w:right="0" w:hanging="283"/>
      </w:pPr>
      <w:r>
        <w:t>Внутрипеченочный холестаз беременных/лекарственный цитолиз/ дисфункция желчевыводящих путей</w:t>
      </w:r>
    </w:p>
    <w:p w:rsidR="00D27BC6" w:rsidRDefault="004D5071">
      <w:pPr>
        <w:numPr>
          <w:ilvl w:val="1"/>
          <w:numId w:val="133"/>
        </w:numPr>
        <w:ind w:left="568" w:right="0" w:hanging="283"/>
      </w:pPr>
      <w:r>
        <w:t>Гипертензивные расстройства, в т.ч. преэклампсия (риск задержки роста плода или ацидоза в условиях плацентарн</w:t>
      </w:r>
      <w:r>
        <w:t>ой недостаточности)</w:t>
      </w:r>
    </w:p>
    <w:p w:rsidR="00D27BC6" w:rsidRDefault="004D5071">
      <w:pPr>
        <w:numPr>
          <w:ilvl w:val="1"/>
          <w:numId w:val="133"/>
        </w:numPr>
        <w:ind w:left="568" w:right="0" w:hanging="283"/>
      </w:pPr>
      <w:r>
        <w:t xml:space="preserve">Тенденция к формированию задержки роста плода. </w:t>
      </w:r>
    </w:p>
    <w:p w:rsidR="00D27BC6" w:rsidRDefault="004D5071">
      <w:pPr>
        <w:numPr>
          <w:ilvl w:val="1"/>
          <w:numId w:val="133"/>
        </w:numPr>
        <w:ind w:left="568" w:right="0" w:hanging="283"/>
      </w:pPr>
      <w:r>
        <w:t xml:space="preserve">Ухудшение состояния беременной (рвота, обострение интеркуррентных заболеваний) </w:t>
      </w:r>
      <w:r>
        <w:rPr>
          <w:rFonts w:ascii="Wingdings" w:eastAsia="Wingdings" w:hAnsi="Wingdings" w:cs="Wingdings"/>
        </w:rPr>
        <w:t></w:t>
      </w:r>
      <w:r>
        <w:t xml:space="preserve"> Дистресс плода.</w:t>
      </w:r>
    </w:p>
    <w:p w:rsidR="00D27BC6" w:rsidRDefault="004D5071">
      <w:pPr>
        <w:numPr>
          <w:ilvl w:val="0"/>
          <w:numId w:val="133"/>
        </w:numPr>
        <w:ind w:right="0" w:hanging="283"/>
      </w:pPr>
      <w:r>
        <w:t>Осмотр офтальмологом (глазное дно с расширением зрачка, препараты, используемые для мидриаз</w:t>
      </w:r>
      <w:r>
        <w:t>а не противопоказаны при беременности) – 1 раз в триместр, при развитии пролиферативной диабетической ретинопатии или выраженном ухудшении препролиферативной диабетической ретинопатии – безотлагательная лазеркоагуляция.</w:t>
      </w:r>
    </w:p>
    <w:p w:rsidR="00D27BC6" w:rsidRDefault="004D5071">
      <w:pPr>
        <w:numPr>
          <w:ilvl w:val="0"/>
          <w:numId w:val="133"/>
        </w:numPr>
        <w:ind w:right="0" w:hanging="283"/>
      </w:pPr>
      <w:r>
        <w:t>Наблюдение акушера-гинеколога, эндок</w:t>
      </w:r>
      <w:r>
        <w:t>ринолога или терапевта (измерение массы тела, АД, оценка уровня гликемии, коррекция инсулинотерапии), мультидисциплинарный подход к ведению беременности.</w:t>
      </w:r>
    </w:p>
    <w:p w:rsidR="00D27BC6" w:rsidRDefault="004D5071">
      <w:pPr>
        <w:numPr>
          <w:ilvl w:val="0"/>
          <w:numId w:val="133"/>
        </w:numPr>
        <w:ind w:right="0" w:hanging="283"/>
      </w:pPr>
      <w:r>
        <w:t>Общий анализ мочи, анализ мочи на соотношение альбумин/креатинин, СКФ (проба Реберга) – не менее 1 раз</w:t>
      </w:r>
      <w:r>
        <w:t>а в триместр.</w:t>
      </w:r>
    </w:p>
    <w:p w:rsidR="00D27BC6" w:rsidRDefault="004D5071">
      <w:pPr>
        <w:numPr>
          <w:ilvl w:val="0"/>
          <w:numId w:val="133"/>
        </w:numPr>
        <w:ind w:right="0" w:hanging="283"/>
      </w:pPr>
      <w:r>
        <w:t xml:space="preserve">При развитии и прогрессировании осложнений СД и присоединении сопутствующих заболеваний вопрос о частоте наблюдения и обследований решается индивидуально (не менее 1 раза в 2–3 недели), при необходимости госпитализация в стационар. </w:t>
      </w:r>
    </w:p>
    <w:p w:rsidR="00D27BC6" w:rsidRDefault="004D5071">
      <w:pPr>
        <w:numPr>
          <w:ilvl w:val="0"/>
          <w:numId w:val="133"/>
        </w:numPr>
        <w:ind w:right="0" w:hanging="283"/>
      </w:pPr>
      <w:r>
        <w:t>Антибиоти</w:t>
      </w:r>
      <w:r>
        <w:t>котерапия при выявлении инфекции мочевыводящих путей (пенициллины в I триместре, пенициллины или цефалоспорины – во II или III триместрах).</w:t>
      </w:r>
    </w:p>
    <w:p w:rsidR="00D27BC6" w:rsidRDefault="004D5071">
      <w:pPr>
        <w:numPr>
          <w:ilvl w:val="0"/>
          <w:numId w:val="133"/>
        </w:numPr>
        <w:spacing w:after="226"/>
        <w:ind w:right="0" w:hanging="283"/>
      </w:pPr>
      <w:r>
        <w:t>Антенатальная оценка состояния плода (УЗИ, кардиотокография по назначению акушера-гинеколога).</w:t>
      </w:r>
    </w:p>
    <w:p w:rsidR="00D27BC6" w:rsidRDefault="004D5071">
      <w:pPr>
        <w:ind w:left="281" w:right="51"/>
        <w:jc w:val="left"/>
      </w:pPr>
      <w:r>
        <w:rPr>
          <w:b/>
        </w:rPr>
        <w:t>Риск развития гипогли</w:t>
      </w:r>
      <w:r>
        <w:rPr>
          <w:b/>
        </w:rPr>
        <w:t>кемических состояний увеличивается:</w:t>
      </w:r>
    </w:p>
    <w:p w:rsidR="00D27BC6" w:rsidRDefault="004D5071">
      <w:pPr>
        <w:numPr>
          <w:ilvl w:val="0"/>
          <w:numId w:val="133"/>
        </w:numPr>
        <w:ind w:right="0" w:hanging="283"/>
      </w:pPr>
      <w:r>
        <w:t>В I триместре беременности с 7–8 по 12–13 недели беременности.</w:t>
      </w:r>
    </w:p>
    <w:p w:rsidR="00D27BC6" w:rsidRDefault="004D5071">
      <w:pPr>
        <w:numPr>
          <w:ilvl w:val="0"/>
          <w:numId w:val="133"/>
        </w:numPr>
        <w:ind w:right="0" w:hanging="283"/>
      </w:pPr>
      <w:r>
        <w:t>После 36 недели беременности.</w:t>
      </w:r>
    </w:p>
    <w:p w:rsidR="00D27BC6" w:rsidRDefault="004D5071">
      <w:pPr>
        <w:numPr>
          <w:ilvl w:val="0"/>
          <w:numId w:val="133"/>
        </w:numPr>
        <w:spacing w:after="226"/>
        <w:ind w:right="0" w:hanging="283"/>
      </w:pPr>
      <w:r>
        <w:t>В родах и первые 3 суток после родов.</w:t>
      </w:r>
    </w:p>
    <w:p w:rsidR="00D27BC6" w:rsidRDefault="004D5071">
      <w:pPr>
        <w:ind w:left="281" w:right="51"/>
        <w:jc w:val="left"/>
      </w:pPr>
      <w:r>
        <w:rPr>
          <w:b/>
        </w:rPr>
        <w:t>Риск кетоацидоза во время беременности увеличивается в следующих ситуациях:</w:t>
      </w:r>
    </w:p>
    <w:p w:rsidR="00D27BC6" w:rsidRDefault="004D5071">
      <w:pPr>
        <w:numPr>
          <w:ilvl w:val="0"/>
          <w:numId w:val="133"/>
        </w:numPr>
        <w:ind w:right="0" w:hanging="283"/>
      </w:pPr>
      <w:r>
        <w:t>Ранний токсик</w:t>
      </w:r>
      <w:r>
        <w:t>оз с частой тошнотой и рвотой.</w:t>
      </w:r>
    </w:p>
    <w:p w:rsidR="00D27BC6" w:rsidRDefault="004D5071">
      <w:pPr>
        <w:numPr>
          <w:ilvl w:val="0"/>
          <w:numId w:val="133"/>
        </w:numPr>
        <w:ind w:right="0" w:hanging="283"/>
      </w:pPr>
      <w:r>
        <w:t>Дефицит инсулина (пропуск инъекции инсулина, поломка инсулиновой помпы, неадекватное увеличение доз).</w:t>
      </w:r>
    </w:p>
    <w:p w:rsidR="00D27BC6" w:rsidRDefault="004D5071">
      <w:pPr>
        <w:numPr>
          <w:ilvl w:val="0"/>
          <w:numId w:val="133"/>
        </w:numPr>
        <w:ind w:right="0" w:hanging="283"/>
      </w:pPr>
      <w:r>
        <w:t>Инфекции.</w:t>
      </w:r>
    </w:p>
    <w:p w:rsidR="00D27BC6" w:rsidRDefault="004D5071">
      <w:pPr>
        <w:numPr>
          <w:ilvl w:val="0"/>
          <w:numId w:val="133"/>
        </w:numPr>
        <w:ind w:right="0" w:hanging="283"/>
      </w:pPr>
      <w:r>
        <w:t>Интеркуррентные заболевания.</w:t>
      </w:r>
    </w:p>
    <w:p w:rsidR="00D27BC6" w:rsidRDefault="004D5071">
      <w:pPr>
        <w:numPr>
          <w:ilvl w:val="0"/>
          <w:numId w:val="133"/>
        </w:numPr>
        <w:ind w:right="0" w:hanging="283"/>
      </w:pPr>
      <w:r>
        <w:t>Гастропарез.</w:t>
      </w:r>
    </w:p>
    <w:p w:rsidR="00D27BC6" w:rsidRDefault="004D5071">
      <w:pPr>
        <w:numPr>
          <w:ilvl w:val="0"/>
          <w:numId w:val="133"/>
        </w:numPr>
        <w:ind w:right="0" w:hanging="283"/>
      </w:pPr>
      <w:r>
        <w:t>Введение глюкокортикостероидов с целью профилактики респираторного дистресс-синдрома новорожденного.</w:t>
      </w:r>
    </w:p>
    <w:p w:rsidR="00D27BC6" w:rsidRDefault="004D5071">
      <w:pPr>
        <w:numPr>
          <w:ilvl w:val="0"/>
          <w:numId w:val="133"/>
        </w:numPr>
        <w:ind w:right="0" w:hanging="283"/>
      </w:pPr>
      <w:r>
        <w:t>Токолиз β-адреномиметиками (гексопреналин, тербуталин, сальбутамол)</w:t>
      </w:r>
    </w:p>
    <w:p w:rsidR="00D27BC6" w:rsidRDefault="004D5071">
      <w:pPr>
        <w:numPr>
          <w:ilvl w:val="0"/>
          <w:numId w:val="133"/>
        </w:numPr>
        <w:ind w:right="0" w:hanging="283"/>
      </w:pPr>
      <w:r>
        <w:t>Стресс.</w:t>
      </w:r>
    </w:p>
    <w:p w:rsidR="00D27BC6" w:rsidRDefault="004D5071">
      <w:pPr>
        <w:numPr>
          <w:ilvl w:val="0"/>
          <w:numId w:val="133"/>
        </w:numPr>
        <w:ind w:right="0" w:hanging="283"/>
      </w:pPr>
      <w:r>
        <w:t>Недостаточный самоконтроль гликемии.</w:t>
      </w:r>
    </w:p>
    <w:p w:rsidR="00D27BC6" w:rsidRDefault="004D5071">
      <w:pPr>
        <w:numPr>
          <w:ilvl w:val="0"/>
          <w:numId w:val="133"/>
        </w:numPr>
        <w:ind w:right="0" w:hanging="283"/>
      </w:pPr>
      <w:r>
        <w:t>Отсутствие контроля гликемии через 1–2 час</w:t>
      </w:r>
      <w:r>
        <w:t>а после еды.</w:t>
      </w:r>
    </w:p>
    <w:p w:rsidR="00D27BC6" w:rsidRDefault="004D5071">
      <w:pPr>
        <w:numPr>
          <w:ilvl w:val="0"/>
          <w:numId w:val="133"/>
        </w:numPr>
        <w:ind w:right="0" w:hanging="283"/>
      </w:pPr>
      <w:r>
        <w:t xml:space="preserve">Отсутствие контроля кетонурии. </w:t>
      </w:r>
    </w:p>
    <w:p w:rsidR="00D27BC6" w:rsidRDefault="004D5071">
      <w:pPr>
        <w:numPr>
          <w:ilvl w:val="0"/>
          <w:numId w:val="133"/>
        </w:numPr>
        <w:spacing w:after="231"/>
        <w:ind w:right="0" w:hanging="283"/>
      </w:pPr>
      <w:r>
        <w:t>Кетоацидоз при беременности может развиться в течение 6–12 часов при гликемии &gt; 11,0 ммоль/л.</w:t>
      </w:r>
    </w:p>
    <w:p w:rsidR="00D27BC6" w:rsidRDefault="004D5071">
      <w:pPr>
        <w:spacing w:after="230"/>
        <w:ind w:left="-11" w:right="0" w:firstLine="283"/>
      </w:pPr>
      <w:r>
        <w:rPr>
          <w:b/>
          <w:u w:val="single" w:color="000000"/>
        </w:rPr>
        <w:t>Эугликемический кетоацидоз</w:t>
      </w:r>
      <w:r>
        <w:t xml:space="preserve"> у беременных с сахарным диабетом представляет собой редкое, но опасное состояние, при кото</w:t>
      </w:r>
      <w:r>
        <w:t>ром развивается кетоацидоз при нормальном или чуть повышенном уровне глюкозы в крови.</w:t>
      </w:r>
    </w:p>
    <w:p w:rsidR="00D27BC6" w:rsidRDefault="004D5071">
      <w:pPr>
        <w:ind w:left="281" w:right="51"/>
        <w:jc w:val="left"/>
      </w:pPr>
      <w:r>
        <w:rPr>
          <w:b/>
        </w:rPr>
        <w:t>Клинические проявления:</w:t>
      </w:r>
    </w:p>
    <w:p w:rsidR="00D27BC6" w:rsidRDefault="004D5071">
      <w:pPr>
        <w:numPr>
          <w:ilvl w:val="0"/>
          <w:numId w:val="134"/>
        </w:numPr>
        <w:ind w:right="0" w:hanging="283"/>
      </w:pPr>
      <w:r>
        <w:t>Жажда и сухость во рту, несмотря на нормальный уровень глюкозы в крови.</w:t>
      </w:r>
    </w:p>
    <w:p w:rsidR="00D27BC6" w:rsidRDefault="004D5071">
      <w:pPr>
        <w:numPr>
          <w:ilvl w:val="0"/>
          <w:numId w:val="134"/>
        </w:numPr>
        <w:ind w:right="0" w:hanging="283"/>
      </w:pPr>
      <w:r>
        <w:t>Тошнота и рвота, которые могут быть ошибочно приняты за обычные симптомы б</w:t>
      </w:r>
      <w:r>
        <w:t>еременности.</w:t>
      </w:r>
    </w:p>
    <w:p w:rsidR="00D27BC6" w:rsidRDefault="004D5071">
      <w:pPr>
        <w:numPr>
          <w:ilvl w:val="0"/>
          <w:numId w:val="134"/>
        </w:numPr>
        <w:ind w:right="0" w:hanging="283"/>
      </w:pPr>
      <w:r>
        <w:t>Усталость и слабость.</w:t>
      </w:r>
    </w:p>
    <w:p w:rsidR="00D27BC6" w:rsidRDefault="004D5071">
      <w:pPr>
        <w:numPr>
          <w:ilvl w:val="0"/>
          <w:numId w:val="134"/>
        </w:numPr>
        <w:ind w:right="0" w:hanging="283"/>
      </w:pPr>
      <w:r>
        <w:t>Кетоз: запах ацетона изо рта, даже при нормальном уровне сахара в крови.</w:t>
      </w:r>
    </w:p>
    <w:p w:rsidR="00D27BC6" w:rsidRDefault="004D5071">
      <w:pPr>
        <w:numPr>
          <w:ilvl w:val="0"/>
          <w:numId w:val="134"/>
        </w:numPr>
        <w:ind w:right="0" w:hanging="283"/>
      </w:pPr>
      <w:r>
        <w:t>Частое мочеиспускание и возможное снижение артериального давления.</w:t>
      </w:r>
    </w:p>
    <w:p w:rsidR="00D27BC6" w:rsidRDefault="004D5071">
      <w:pPr>
        <w:numPr>
          <w:ilvl w:val="0"/>
          <w:numId w:val="134"/>
        </w:numPr>
        <w:spacing w:after="230"/>
        <w:ind w:right="0" w:hanging="283"/>
      </w:pPr>
      <w:r>
        <w:t>Снижение кислотно-щелочного баланса: развитие метаболического ацидоза, который мо</w:t>
      </w:r>
      <w:r>
        <w:t>жет приводить к дыхательным расстройствам и ухудшению общего состояния.</w:t>
      </w:r>
    </w:p>
    <w:p w:rsidR="00D27BC6" w:rsidRDefault="004D5071">
      <w:pPr>
        <w:ind w:left="281" w:right="51"/>
        <w:jc w:val="left"/>
      </w:pPr>
      <w:r>
        <w:rPr>
          <w:b/>
        </w:rPr>
        <w:t>Диагностика</w:t>
      </w:r>
    </w:p>
    <w:p w:rsidR="00D27BC6" w:rsidRDefault="004D5071">
      <w:pPr>
        <w:numPr>
          <w:ilvl w:val="0"/>
          <w:numId w:val="135"/>
        </w:numPr>
        <w:ind w:right="0" w:hanging="283"/>
      </w:pPr>
      <w:r>
        <w:t>Кетоны в моче и крови: основным признаком является наличие кетоновых тел, даже при нормальном уровне глюкозы в крови.</w:t>
      </w:r>
    </w:p>
    <w:p w:rsidR="00D27BC6" w:rsidRDefault="004D5071">
      <w:pPr>
        <w:numPr>
          <w:ilvl w:val="0"/>
          <w:numId w:val="135"/>
        </w:numPr>
        <w:ind w:right="0" w:hanging="283"/>
      </w:pPr>
      <w:r>
        <w:t>Глюкоза в крови: уровень глюкозы может быть в пределах нормы или немного повышенным.</w:t>
      </w:r>
    </w:p>
    <w:p w:rsidR="00D27BC6" w:rsidRDefault="004D5071">
      <w:pPr>
        <w:numPr>
          <w:ilvl w:val="0"/>
          <w:numId w:val="135"/>
        </w:numPr>
        <w:spacing w:after="230"/>
        <w:ind w:right="0" w:hanging="283"/>
      </w:pPr>
      <w:r>
        <w:t>Анализы на кислотно-щелочной баланс: метаболический ацидоз, повышение уровня кетонов в крови и сниженный уровень бикарбонатов.</w:t>
      </w:r>
    </w:p>
    <w:p w:rsidR="00D27BC6" w:rsidRDefault="004D5071">
      <w:pPr>
        <w:ind w:left="281" w:right="51"/>
        <w:jc w:val="left"/>
      </w:pPr>
      <w:r>
        <w:rPr>
          <w:b/>
        </w:rPr>
        <w:t>Лечение</w:t>
      </w:r>
    </w:p>
    <w:p w:rsidR="00D27BC6" w:rsidRDefault="004D5071">
      <w:pPr>
        <w:numPr>
          <w:ilvl w:val="0"/>
          <w:numId w:val="135"/>
        </w:numPr>
        <w:ind w:right="0" w:hanging="283"/>
      </w:pPr>
      <w:r>
        <w:rPr>
          <w:b/>
        </w:rPr>
        <w:t>Коррекция инсулинотерапии:</w:t>
      </w:r>
      <w:r>
        <w:t xml:space="preserve"> необходим</w:t>
      </w:r>
      <w:r>
        <w:t>о быстро восстановить уровень инсулина в организме, что позволит подавить кетогенез.</w:t>
      </w:r>
    </w:p>
    <w:p w:rsidR="00D27BC6" w:rsidRDefault="004D5071">
      <w:pPr>
        <w:numPr>
          <w:ilvl w:val="0"/>
          <w:numId w:val="135"/>
        </w:numPr>
        <w:ind w:right="0" w:hanging="283"/>
      </w:pPr>
      <w:r>
        <w:rPr>
          <w:b/>
        </w:rPr>
        <w:t>Гидратация:</w:t>
      </w:r>
      <w:r>
        <w:t xml:space="preserve"> введение жидкости для восполнения объема циркулирующей крови и коррекции дегидратации, связанной с потерей воды через почки.</w:t>
      </w:r>
    </w:p>
    <w:p w:rsidR="00D27BC6" w:rsidRDefault="004D5071">
      <w:pPr>
        <w:numPr>
          <w:ilvl w:val="0"/>
          <w:numId w:val="135"/>
        </w:numPr>
        <w:ind w:right="0" w:hanging="283"/>
      </w:pPr>
      <w:r>
        <w:rPr>
          <w:b/>
        </w:rPr>
        <w:t>Контроль уровня кетонов и глюкозы:</w:t>
      </w:r>
      <w:r>
        <w:t xml:space="preserve"> регулярный мониторинг уровня кетонов в крови и моче, а также глюкозы.</w:t>
      </w:r>
    </w:p>
    <w:p w:rsidR="00D27BC6" w:rsidRDefault="004D5071">
      <w:pPr>
        <w:numPr>
          <w:ilvl w:val="0"/>
          <w:numId w:val="135"/>
        </w:numPr>
        <w:spacing w:after="230"/>
        <w:ind w:right="0" w:hanging="283"/>
      </w:pPr>
      <w:r>
        <w:rPr>
          <w:b/>
        </w:rPr>
        <w:t xml:space="preserve">Коррекция кислотно-щелочного баланса: </w:t>
      </w:r>
      <w:r>
        <w:t>в случае выраженного ацидоза может потребоваться внутривенное введение бикарбонатов.</w:t>
      </w:r>
    </w:p>
    <w:p w:rsidR="00D27BC6" w:rsidRDefault="004D5071">
      <w:pPr>
        <w:ind w:left="281" w:right="51"/>
        <w:jc w:val="left"/>
      </w:pPr>
      <w:r>
        <w:rPr>
          <w:b/>
        </w:rPr>
        <w:t>Помповая инсулинотерапия</w:t>
      </w:r>
    </w:p>
    <w:p w:rsidR="00D27BC6" w:rsidRDefault="004D5071">
      <w:pPr>
        <w:spacing w:after="230"/>
        <w:ind w:left="-11" w:right="0" w:firstLine="283"/>
      </w:pPr>
      <w:r>
        <w:t>Применение помповой инсулинотерапии в</w:t>
      </w:r>
      <w:r>
        <w:t xml:space="preserve">о время беременности возможно только после обучения пациентки, перевод желательно осуществлять не позднее 12–13 недели беременности, при условии наличия персонала, имеющего опыт ведения больных с использованием данного метода лечения. Оптимален перевод на </w:t>
      </w:r>
      <w:r>
        <w:t>этапе планирования для обучения и формирования навыков.</w:t>
      </w:r>
    </w:p>
    <w:p w:rsidR="00D27BC6" w:rsidRDefault="004D5071">
      <w:pPr>
        <w:ind w:left="281" w:right="51"/>
        <w:jc w:val="left"/>
      </w:pPr>
      <w:r>
        <w:rPr>
          <w:b/>
        </w:rPr>
        <w:t>Во время беременности ПРОТИВОПОКАЗАНЫ:</w:t>
      </w:r>
    </w:p>
    <w:p w:rsidR="00D27BC6" w:rsidRDefault="004D5071">
      <w:pPr>
        <w:numPr>
          <w:ilvl w:val="0"/>
          <w:numId w:val="135"/>
        </w:numPr>
        <w:ind w:right="0" w:hanging="283"/>
      </w:pPr>
      <w:r>
        <w:t xml:space="preserve">любые сахароснижающие препараты кроме инсулина и метформина (метформин – с осторожностью после второго </w:t>
      </w:r>
    </w:p>
    <w:p w:rsidR="00D27BC6" w:rsidRDefault="004D5071">
      <w:pPr>
        <w:ind w:left="295" w:right="0"/>
      </w:pPr>
      <w:r>
        <w:t xml:space="preserve">УЗ скрининга у пациенток с прегестационным СД 2 типа при </w:t>
      </w:r>
      <w:r>
        <w:t>наличии показаний, см раздел «Ведение беременности);</w:t>
      </w:r>
    </w:p>
    <w:p w:rsidR="00D27BC6" w:rsidRDefault="004D5071">
      <w:pPr>
        <w:numPr>
          <w:ilvl w:val="0"/>
          <w:numId w:val="135"/>
        </w:numPr>
        <w:ind w:right="0" w:hanging="283"/>
      </w:pPr>
      <w:r>
        <w:t>ингибиторы АПФ и БРА;</w:t>
      </w:r>
    </w:p>
    <w:p w:rsidR="00D27BC6" w:rsidRDefault="004D5071">
      <w:pPr>
        <w:numPr>
          <w:ilvl w:val="0"/>
          <w:numId w:val="135"/>
        </w:numPr>
        <w:ind w:right="0" w:hanging="283"/>
      </w:pPr>
      <w:r>
        <w:t>антибиотики (аминогликозиды, тетрациклины, макролиды и др.);</w:t>
      </w:r>
    </w:p>
    <w:p w:rsidR="00D27BC6" w:rsidRDefault="004D5071">
      <w:pPr>
        <w:numPr>
          <w:ilvl w:val="0"/>
          <w:numId w:val="135"/>
        </w:numPr>
        <w:ind w:right="0" w:hanging="283"/>
      </w:pPr>
      <w:r>
        <w:t>статины.</w:t>
      </w:r>
    </w:p>
    <w:p w:rsidR="00D27BC6" w:rsidRDefault="004D5071">
      <w:pPr>
        <w:spacing w:after="230"/>
        <w:ind w:left="-13" w:right="0" w:firstLine="283"/>
      </w:pPr>
      <w:r>
        <w:rPr>
          <w:i/>
        </w:rPr>
        <w:t>Наступление беременности на фоне приема данных препаратов не является показанием к прерыванию беременности.</w:t>
      </w:r>
    </w:p>
    <w:p w:rsidR="00D27BC6" w:rsidRDefault="004D5071">
      <w:pPr>
        <w:ind w:left="281" w:right="51"/>
        <w:jc w:val="left"/>
      </w:pPr>
      <w:r>
        <w:rPr>
          <w:b/>
        </w:rPr>
        <w:t>Ант</w:t>
      </w:r>
      <w:r>
        <w:rPr>
          <w:b/>
        </w:rPr>
        <w:t xml:space="preserve">игипертензивная терапия во время беременности </w:t>
      </w:r>
    </w:p>
    <w:p w:rsidR="00D27BC6" w:rsidRDefault="004D5071">
      <w:pPr>
        <w:numPr>
          <w:ilvl w:val="0"/>
          <w:numId w:val="135"/>
        </w:numPr>
        <w:ind w:right="0" w:hanging="283"/>
      </w:pPr>
      <w:r>
        <w:t>Препарат выбора – метилдопа.</w:t>
      </w:r>
    </w:p>
    <w:p w:rsidR="00D27BC6" w:rsidRDefault="004D5071">
      <w:pPr>
        <w:numPr>
          <w:ilvl w:val="0"/>
          <w:numId w:val="135"/>
        </w:numPr>
        <w:ind w:right="0" w:hanging="283"/>
      </w:pPr>
      <w:r>
        <w:t>При недостаточной эффективности метилдопы могут назначаться:</w:t>
      </w:r>
    </w:p>
    <w:p w:rsidR="00D27BC6" w:rsidRDefault="004D5071">
      <w:pPr>
        <w:numPr>
          <w:ilvl w:val="1"/>
          <w:numId w:val="135"/>
        </w:numPr>
        <w:ind w:left="568" w:right="0" w:hanging="283"/>
      </w:pPr>
      <w:r>
        <w:t>блокаторы «медленных» кальциевых каналов (нифедипин, амлодипин);</w:t>
      </w:r>
    </w:p>
    <w:p w:rsidR="00D27BC6" w:rsidRDefault="004D5071">
      <w:pPr>
        <w:numPr>
          <w:ilvl w:val="1"/>
          <w:numId w:val="135"/>
        </w:numPr>
        <w:ind w:left="568" w:right="0" w:hanging="283"/>
      </w:pPr>
      <w:r>
        <w:t>антигипертензивный препарат центрального действия (клонидин – показан пациенткам старше 18 лет, с соотношением «пользы и риска»);</w:t>
      </w:r>
    </w:p>
    <w:p w:rsidR="00D27BC6" w:rsidRDefault="004D5071">
      <w:pPr>
        <w:numPr>
          <w:ilvl w:val="1"/>
          <w:numId w:val="135"/>
        </w:numPr>
        <w:ind w:left="568" w:right="0" w:hanging="283"/>
      </w:pPr>
      <w:r>
        <w:t>β1-селективные адреноблокаторы (метопролол – показан пациенткам старше 18 лет, с соотношением «пользы и риска»);</w:t>
      </w:r>
    </w:p>
    <w:p w:rsidR="00D27BC6" w:rsidRDefault="004D5071">
      <w:pPr>
        <w:numPr>
          <w:ilvl w:val="1"/>
          <w:numId w:val="135"/>
        </w:numPr>
        <w:spacing w:after="226"/>
        <w:ind w:left="568" w:right="0" w:hanging="283"/>
      </w:pPr>
      <w:r>
        <w:t>диуретики – п</w:t>
      </w:r>
      <w:r>
        <w:t>о жизненным показаниям (олигурия, отек легких, сердечная недостаточность).</w:t>
      </w:r>
    </w:p>
    <w:p w:rsidR="00D27BC6" w:rsidRDefault="004D5071">
      <w:pPr>
        <w:ind w:left="281" w:right="51"/>
        <w:jc w:val="left"/>
      </w:pPr>
      <w:r>
        <w:rPr>
          <w:b/>
        </w:rPr>
        <w:t>Ведение родов при СД 1 типа</w:t>
      </w:r>
    </w:p>
    <w:p w:rsidR="00D27BC6" w:rsidRDefault="004D5071">
      <w:pPr>
        <w:numPr>
          <w:ilvl w:val="0"/>
          <w:numId w:val="135"/>
        </w:numPr>
        <w:ind w:right="0" w:hanging="283"/>
      </w:pPr>
      <w:r>
        <w:t>Плановая госпитализация для подготовки к родам не позднее 37 недели беременности (индивидуальное решение при отягощенном течении беременности)</w:t>
      </w:r>
    </w:p>
    <w:p w:rsidR="00D27BC6" w:rsidRDefault="004D5071">
      <w:pPr>
        <w:numPr>
          <w:ilvl w:val="0"/>
          <w:numId w:val="135"/>
        </w:numPr>
        <w:spacing w:after="230"/>
        <w:ind w:right="0" w:hanging="283"/>
      </w:pPr>
      <w:r>
        <w:t>Срок и мет</w:t>
      </w:r>
      <w:r>
        <w:t xml:space="preserve">од родоразрешения – определяются акушерскими показаниями с учетом рекомендаций офтальмолога. </w:t>
      </w:r>
    </w:p>
    <w:p w:rsidR="00D27BC6" w:rsidRDefault="004D5071">
      <w:pPr>
        <w:ind w:left="281" w:right="51"/>
        <w:jc w:val="left"/>
      </w:pPr>
      <w:r>
        <w:rPr>
          <w:b/>
        </w:rPr>
        <w:t>Инсулинотерапия во время родов через естественные родовые пути</w:t>
      </w:r>
    </w:p>
    <w:p w:rsidR="00D27BC6" w:rsidRDefault="004D5071">
      <w:pPr>
        <w:numPr>
          <w:ilvl w:val="0"/>
          <w:numId w:val="135"/>
        </w:numPr>
        <w:ind w:right="0" w:hanging="283"/>
      </w:pPr>
      <w:r>
        <w:t>Контроль гликемии в родах проводится каждые 1–2 часа с целью профилактики гипогликемических и гипер</w:t>
      </w:r>
      <w:r>
        <w:t>гликемических эпизодов.</w:t>
      </w:r>
    </w:p>
    <w:p w:rsidR="00D27BC6" w:rsidRDefault="004D5071">
      <w:pPr>
        <w:numPr>
          <w:ilvl w:val="0"/>
          <w:numId w:val="135"/>
        </w:numPr>
        <w:ind w:right="0" w:hanging="283"/>
      </w:pPr>
      <w:r>
        <w:t>В родах через естественные родовые пути потребность в инсулине снижается, необходима своевременная коррекция инсулинотерапии.</w:t>
      </w:r>
    </w:p>
    <w:p w:rsidR="00D27BC6" w:rsidRDefault="004D5071">
      <w:pPr>
        <w:numPr>
          <w:ilvl w:val="0"/>
          <w:numId w:val="135"/>
        </w:numPr>
        <w:ind w:right="0" w:hanging="283"/>
      </w:pPr>
      <w:r>
        <w:t>Применение инсулина деглудек в родах:</w:t>
      </w:r>
    </w:p>
    <w:p w:rsidR="00D27BC6" w:rsidRDefault="004D5071">
      <w:pPr>
        <w:numPr>
          <w:ilvl w:val="1"/>
          <w:numId w:val="135"/>
        </w:numPr>
        <w:ind w:left="568" w:right="0" w:hanging="283"/>
      </w:pPr>
      <w:r>
        <w:t>Снижение дозы на 50–70%% за 2 дня до родов для минимизации риска гип</w:t>
      </w:r>
      <w:r>
        <w:t>огликемии, связанной с изменением физиологических потребностей в инсулине после 37–38 недели беременности.</w:t>
      </w:r>
    </w:p>
    <w:p w:rsidR="00D27BC6" w:rsidRDefault="004D5071">
      <w:pPr>
        <w:numPr>
          <w:ilvl w:val="1"/>
          <w:numId w:val="135"/>
        </w:numPr>
        <w:ind w:left="568" w:right="0" w:hanging="283"/>
      </w:pPr>
      <w:r>
        <w:t>В случае начала родов или экстренного кесарева сечения, если доза инсулина деглудек не была скорректирована заранее, требуется интенсивный контроль г</w:t>
      </w:r>
      <w:r>
        <w:t>ликемии каждые 1–2 часа. Это обусловлено пролонгированным действием препарата, что увеличивает риск гипогликемии, особенно при ограниченном поступлении углеводов и требует в/в использования 5–10% глюкозы в течение периода родов.</w:t>
      </w:r>
    </w:p>
    <w:p w:rsidR="00D27BC6" w:rsidRDefault="004D5071">
      <w:pPr>
        <w:numPr>
          <w:ilvl w:val="1"/>
          <w:numId w:val="135"/>
        </w:numPr>
        <w:ind w:left="568" w:right="0" w:hanging="283"/>
      </w:pPr>
      <w:r>
        <w:t>Такая тактика ведения позво</w:t>
      </w:r>
      <w:r>
        <w:t>ляет снизить вероятность гипогликемических состояний и обеспечить безопасный уровень глюкозы во время родов.</w:t>
      </w:r>
    </w:p>
    <w:p w:rsidR="00D27BC6" w:rsidRDefault="004D5071">
      <w:pPr>
        <w:numPr>
          <w:ilvl w:val="0"/>
          <w:numId w:val="135"/>
        </w:numPr>
        <w:ind w:right="0" w:hanging="283"/>
      </w:pPr>
      <w:r>
        <w:rPr>
          <w:b/>
        </w:rPr>
        <w:t>Целевые показатели глюкозы плазмы в родах 4,5–7,0 ммоль/л</w:t>
      </w:r>
      <w:r>
        <w:t xml:space="preserve"> (профилактика неонатальной гипогликемии, гипоксии плода). </w:t>
      </w:r>
    </w:p>
    <w:p w:rsidR="00D27BC6" w:rsidRDefault="004D5071">
      <w:pPr>
        <w:numPr>
          <w:ilvl w:val="0"/>
          <w:numId w:val="135"/>
        </w:numPr>
        <w:ind w:right="0" w:hanging="283"/>
      </w:pPr>
      <w:r>
        <w:t>При гипергликемии более 7,9 мм</w:t>
      </w:r>
      <w:r>
        <w:t>оль/л необходимо введение коррекционного болюса под контролем гликемии.</w:t>
      </w:r>
    </w:p>
    <w:p w:rsidR="00D27BC6" w:rsidRDefault="004D5071">
      <w:pPr>
        <w:numPr>
          <w:ilvl w:val="0"/>
          <w:numId w:val="135"/>
        </w:numPr>
        <w:ind w:right="0" w:hanging="283"/>
      </w:pPr>
      <w:r>
        <w:t>При уровне глюкозы плазмы &lt; 4,5 ммоль/л: в I периоде родов прием 12 г углеводов, во II и III периоде родов в/в введение 5% или 10% раствора глюкозы.</w:t>
      </w:r>
    </w:p>
    <w:p w:rsidR="00D27BC6" w:rsidRDefault="004D5071">
      <w:pPr>
        <w:numPr>
          <w:ilvl w:val="0"/>
          <w:numId w:val="135"/>
        </w:numPr>
        <w:spacing w:after="230"/>
        <w:ind w:right="0" w:hanging="283"/>
      </w:pPr>
      <w:r>
        <w:t>При уровне глюкозы плазмы &gt; 11,0 мм</w:t>
      </w:r>
      <w:r>
        <w:t xml:space="preserve">оль/л и признаках кетоацидоза начать в/в инфузию инсулина (инфузомат) из расчета 0,1–0,13 ЕД/кг/ч. </w:t>
      </w:r>
    </w:p>
    <w:p w:rsidR="00D27BC6" w:rsidRDefault="004D5071">
      <w:pPr>
        <w:ind w:left="281" w:right="51"/>
        <w:jc w:val="left"/>
      </w:pPr>
      <w:r>
        <w:rPr>
          <w:b/>
        </w:rPr>
        <w:t>Инсулинотерапия во время родов путем кесарева сечения</w:t>
      </w:r>
    </w:p>
    <w:p w:rsidR="00D27BC6" w:rsidRDefault="004D5071">
      <w:pPr>
        <w:numPr>
          <w:ilvl w:val="0"/>
          <w:numId w:val="135"/>
        </w:numPr>
        <w:ind w:right="0" w:hanging="283"/>
      </w:pPr>
      <w:r>
        <w:t>При плановом оперативном родоразрешении и использовании режима многократных инъекций инсулина дозу инс</w:t>
      </w:r>
      <w:r>
        <w:t>улина продленного действия накануне операции уменьшить на 50%. При целевом уровне гликемии перед операцией инсулин не вводить.</w:t>
      </w:r>
    </w:p>
    <w:p w:rsidR="00D27BC6" w:rsidRDefault="004D5071">
      <w:pPr>
        <w:numPr>
          <w:ilvl w:val="0"/>
          <w:numId w:val="135"/>
        </w:numPr>
        <w:ind w:right="0" w:hanging="283"/>
      </w:pPr>
      <w:r>
        <w:t>После извлечения новорожденного начать в/в введение 5% раствора глюкозы в течение 6 часов для предотвращения развития метаболического ацидоза.</w:t>
      </w:r>
    </w:p>
    <w:p w:rsidR="00D27BC6" w:rsidRDefault="004D5071">
      <w:pPr>
        <w:numPr>
          <w:ilvl w:val="0"/>
          <w:numId w:val="135"/>
        </w:numPr>
        <w:spacing w:after="230"/>
        <w:ind w:right="0" w:hanging="283"/>
      </w:pPr>
      <w:r>
        <w:t>При использовании инсулинотерапии в режиме непрерывной подкожной инфузии накануне операции с 21.00 скорость введе</w:t>
      </w:r>
      <w:r>
        <w:t>ния инсулина уменьшить на 50%, за 1–2 часа перед операцией на 70% от ранее водимой базальной скорости (под контролем гликемии).</w:t>
      </w:r>
    </w:p>
    <w:p w:rsidR="00D27BC6" w:rsidRDefault="004D5071">
      <w:pPr>
        <w:ind w:left="281" w:right="51"/>
        <w:jc w:val="left"/>
      </w:pPr>
      <w:r>
        <w:rPr>
          <w:b/>
        </w:rPr>
        <w:t>Инсулинотерапия при экстренном родоразрешении</w:t>
      </w:r>
    </w:p>
    <w:p w:rsidR="00D27BC6" w:rsidRDefault="004D5071">
      <w:pPr>
        <w:numPr>
          <w:ilvl w:val="0"/>
          <w:numId w:val="135"/>
        </w:numPr>
        <w:ind w:right="0" w:hanging="283"/>
      </w:pPr>
      <w:r>
        <w:t xml:space="preserve">При использовании режима многократных инъекций инсулина начать в/в введение 5–10% </w:t>
      </w:r>
      <w:r>
        <w:t>раствора глюкозы в течение 12–24 часов.</w:t>
      </w:r>
    </w:p>
    <w:p w:rsidR="00D27BC6" w:rsidRDefault="004D5071">
      <w:pPr>
        <w:numPr>
          <w:ilvl w:val="0"/>
          <w:numId w:val="135"/>
        </w:numPr>
        <w:ind w:right="0" w:hanging="283"/>
      </w:pPr>
      <w:r>
        <w:t>При использовании режима непрерывной подкожной инфузии инсулина снизить базальную скорость на 75% (установить один стандартный режим на 24 часа).</w:t>
      </w:r>
    </w:p>
    <w:p w:rsidR="00D27BC6" w:rsidRDefault="004D5071">
      <w:pPr>
        <w:ind w:left="281" w:right="51"/>
        <w:jc w:val="left"/>
      </w:pPr>
      <w:r>
        <w:rPr>
          <w:b/>
        </w:rPr>
        <w:t>Ведение послеродового периода</w:t>
      </w:r>
    </w:p>
    <w:p w:rsidR="00D27BC6" w:rsidRDefault="004D5071">
      <w:pPr>
        <w:numPr>
          <w:ilvl w:val="0"/>
          <w:numId w:val="135"/>
        </w:numPr>
        <w:ind w:right="0" w:hanging="283"/>
      </w:pPr>
      <w:r>
        <w:t>Контроль гликемии каждые 2–4 часа. Целевой уровень глюкозы плазмы в пределах 6,0–8,5 ммоль/л.</w:t>
      </w:r>
    </w:p>
    <w:p w:rsidR="00D27BC6" w:rsidRDefault="004D5071">
      <w:pPr>
        <w:numPr>
          <w:ilvl w:val="0"/>
          <w:numId w:val="135"/>
        </w:numPr>
        <w:ind w:right="0" w:hanging="283"/>
      </w:pPr>
      <w:r>
        <w:t>Углеводный коэффициент на еду, как правило, не превышает 1 ЕД ИУКД (ИСБД, ИКД) на 10–12 г углеводов (1 ХЕ).</w:t>
      </w:r>
    </w:p>
    <w:p w:rsidR="00D27BC6" w:rsidRDefault="004D5071">
      <w:pPr>
        <w:numPr>
          <w:ilvl w:val="0"/>
          <w:numId w:val="135"/>
        </w:numPr>
        <w:ind w:right="0" w:hanging="283"/>
      </w:pPr>
      <w:r>
        <w:t>У пациенток с СД 2 типа инсулин отменить при достижени</w:t>
      </w:r>
      <w:r>
        <w:t>и целевых значений гликемии на фоне диеты и продолжить самоконтроль гликемии не реже 4 раз в день. На 2–3 сутки после родов определение глюкозы венозной плазмы натощак в локальной лаборатории.</w:t>
      </w:r>
    </w:p>
    <w:p w:rsidR="00D27BC6" w:rsidRDefault="004D5071">
      <w:pPr>
        <w:numPr>
          <w:ilvl w:val="0"/>
          <w:numId w:val="135"/>
        </w:numPr>
        <w:spacing w:after="226"/>
        <w:ind w:right="0" w:hanging="283"/>
      </w:pPr>
      <w:r>
        <w:t>Перевод на энтеральное питание согласно локальной практике.</w:t>
      </w:r>
    </w:p>
    <w:p w:rsidR="00D27BC6" w:rsidRDefault="004D5071">
      <w:pPr>
        <w:ind w:left="281" w:right="51"/>
        <w:jc w:val="left"/>
      </w:pPr>
      <w:r>
        <w:rPr>
          <w:b/>
        </w:rPr>
        <w:t>Гру</w:t>
      </w:r>
      <w:r>
        <w:rPr>
          <w:b/>
        </w:rPr>
        <w:t>дное вскармливание</w:t>
      </w:r>
    </w:p>
    <w:p w:rsidR="00D27BC6" w:rsidRDefault="004D5071">
      <w:pPr>
        <w:numPr>
          <w:ilvl w:val="0"/>
          <w:numId w:val="135"/>
        </w:numPr>
        <w:ind w:right="0" w:hanging="283"/>
      </w:pPr>
      <w:r>
        <w:t xml:space="preserve">СД не является противопоказанием для лактации. Лактация снижает потребность в инсулине, что требует коррекции дозы и контроля гликемии после кормления (при необходимости). </w:t>
      </w:r>
    </w:p>
    <w:p w:rsidR="00D27BC6" w:rsidRDefault="004D5071">
      <w:pPr>
        <w:numPr>
          <w:ilvl w:val="0"/>
          <w:numId w:val="135"/>
        </w:numPr>
        <w:ind w:right="0" w:hanging="283"/>
      </w:pPr>
      <w:r>
        <w:t>При необходимости проведения терапии ингибиторами АПФ или БРА II</w:t>
      </w:r>
      <w:r>
        <w:t xml:space="preserve"> лактация противопоказана (для прерывания лактации каберголин 0,5 мг, 1 таб. в день, в течение 2 дней).</w:t>
      </w:r>
    </w:p>
    <w:p w:rsidR="00D27BC6" w:rsidRDefault="004D5071">
      <w:pPr>
        <w:numPr>
          <w:ilvl w:val="0"/>
          <w:numId w:val="135"/>
        </w:numPr>
        <w:spacing w:after="548"/>
        <w:ind w:right="0" w:hanging="283"/>
      </w:pPr>
      <w:r>
        <w:t>Прием метформина при СД 2 типа не рекомендуется на фоне лактации. При сохранении гипергликемии в послеродовом периоде продолжить инсулинотерапии до окон</w:t>
      </w:r>
      <w:r>
        <w:t>чания грудного вскармливания.</w:t>
      </w:r>
    </w:p>
    <w:p w:rsidR="00D27BC6" w:rsidRDefault="004D5071">
      <w:pPr>
        <w:pStyle w:val="Heading1"/>
        <w:spacing w:after="403"/>
        <w:ind w:left="313" w:right="309"/>
      </w:pPr>
      <w:r>
        <w:t>18. ГЕСТАЦИОННЫЙ САХАРНЫЙ ДИАБЕТ</w:t>
      </w:r>
    </w:p>
    <w:p w:rsidR="00D27BC6" w:rsidRDefault="004D5071">
      <w:pPr>
        <w:pBdr>
          <w:top w:val="single" w:sz="8" w:space="0" w:color="000000"/>
          <w:left w:val="single" w:sz="8" w:space="0" w:color="000000"/>
          <w:bottom w:val="single" w:sz="8" w:space="0" w:color="000000"/>
          <w:right w:val="single" w:sz="8" w:space="0" w:color="000000"/>
        </w:pBdr>
        <w:spacing w:after="409"/>
        <w:ind w:left="120" w:right="114"/>
      </w:pPr>
      <w:r>
        <w:rPr>
          <w:b/>
        </w:rPr>
        <w:t>Гестационный сахарный диабет (ГСД)</w:t>
      </w:r>
      <w:r>
        <w:t xml:space="preserve"> – это заболевание, характеризующееся гипергликемией, впервые выявленной во время беременности, но не соответствующей критериям «манифестного» СД.</w:t>
      </w:r>
    </w:p>
    <w:p w:rsidR="00D27BC6" w:rsidRDefault="004D5071">
      <w:pPr>
        <w:ind w:left="281" w:right="51"/>
        <w:jc w:val="left"/>
      </w:pPr>
      <w:r>
        <w:rPr>
          <w:b/>
        </w:rPr>
        <w:t>Диагностика нарушения углеводного обмена во время беременности проводится следующим образом:</w:t>
      </w:r>
    </w:p>
    <w:p w:rsidR="00D27BC6" w:rsidRDefault="004D5071">
      <w:pPr>
        <w:numPr>
          <w:ilvl w:val="0"/>
          <w:numId w:val="136"/>
        </w:numPr>
        <w:ind w:right="0" w:hanging="283"/>
      </w:pPr>
      <w:r>
        <w:t>При первом обращении беременной к врачу любой специальности на сроке с 6–7 недели до 24 недель рекомендуется определение глюкозы венозной плазмы натощак.</w:t>
      </w:r>
    </w:p>
    <w:p w:rsidR="00D27BC6" w:rsidRDefault="004D5071">
      <w:pPr>
        <w:numPr>
          <w:ilvl w:val="0"/>
          <w:numId w:val="136"/>
        </w:numPr>
        <w:ind w:right="0" w:hanging="283"/>
      </w:pPr>
      <w:r>
        <w:t>При подоз</w:t>
      </w:r>
      <w:r>
        <w:t xml:space="preserve">рении на манифестный СД рекомендуется определение гликемии в любое время дня независимо от приема пищи или HbA1c. </w:t>
      </w:r>
    </w:p>
    <w:p w:rsidR="00D27BC6" w:rsidRDefault="004D5071">
      <w:pPr>
        <w:numPr>
          <w:ilvl w:val="0"/>
          <w:numId w:val="136"/>
        </w:numPr>
        <w:spacing w:after="230"/>
        <w:ind w:right="0" w:hanging="283"/>
      </w:pPr>
      <w:r>
        <w:t>Всем женщинам, у которых не было выявлено нарушение углеводного обмена на ранних сроках беременности, между 24 и 28 неделями рекомендуется пр</w:t>
      </w:r>
      <w:r>
        <w:t xml:space="preserve">оводить пероральный глюкозотолерантный тест (ПГТТ) с 75 г глюкозы (тест </w:t>
      </w:r>
      <w:r>
        <w:rPr>
          <w:i/>
        </w:rPr>
        <w:t>может быть проведен вплоть до 32 недели беременности)</w:t>
      </w:r>
      <w:r>
        <w:t>.</w:t>
      </w:r>
    </w:p>
    <w:p w:rsidR="00D27BC6" w:rsidRDefault="004D5071">
      <w:pPr>
        <w:pStyle w:val="Heading2"/>
        <w:ind w:left="-3"/>
      </w:pPr>
      <w:r>
        <w:t>Пороговые значения глюкозы венозной плазмы для диагностики ГСД</w:t>
      </w:r>
    </w:p>
    <w:tbl>
      <w:tblPr>
        <w:tblStyle w:val="TableGrid"/>
        <w:tblW w:w="10191" w:type="dxa"/>
        <w:tblInd w:w="9" w:type="dxa"/>
        <w:tblCellMar>
          <w:top w:w="76" w:type="dxa"/>
          <w:left w:w="57" w:type="dxa"/>
          <w:bottom w:w="0" w:type="dxa"/>
          <w:right w:w="115" w:type="dxa"/>
        </w:tblCellMar>
        <w:tblLook w:val="04A0" w:firstRow="1" w:lastRow="0" w:firstColumn="1" w:lastColumn="0" w:noHBand="0" w:noVBand="1"/>
      </w:tblPr>
      <w:tblGrid>
        <w:gridCol w:w="6683"/>
        <w:gridCol w:w="3508"/>
      </w:tblGrid>
      <w:tr w:rsidR="00D27BC6">
        <w:trPr>
          <w:trHeight w:val="454"/>
        </w:trPr>
        <w:tc>
          <w:tcPr>
            <w:tcW w:w="10191"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ГСД, при первичном обращении</w:t>
            </w:r>
          </w:p>
        </w:tc>
      </w:tr>
      <w:tr w:rsidR="00D27BC6">
        <w:trPr>
          <w:trHeight w:val="454"/>
        </w:trPr>
        <w:tc>
          <w:tcPr>
            <w:tcW w:w="668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Глюкоза венозной плазмы</w:t>
            </w:r>
            <w:r>
              <w:rPr>
                <w:sz w:val="18"/>
                <w:vertAlign w:val="superscript"/>
              </w:rPr>
              <w:footnoteReference w:id="23"/>
            </w:r>
          </w:p>
        </w:tc>
        <w:tc>
          <w:tcPr>
            <w:tcW w:w="350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ммоль/л</w:t>
            </w:r>
          </w:p>
        </w:tc>
      </w:tr>
      <w:tr w:rsidR="00D27BC6">
        <w:trPr>
          <w:trHeight w:val="454"/>
        </w:trPr>
        <w:tc>
          <w:tcPr>
            <w:tcW w:w="668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Натощак</w:t>
            </w:r>
          </w:p>
        </w:tc>
        <w:tc>
          <w:tcPr>
            <w:tcW w:w="350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 5,1, но &lt; 7,0</w:t>
            </w:r>
          </w:p>
        </w:tc>
      </w:tr>
      <w:tr w:rsidR="00D27BC6">
        <w:trPr>
          <w:trHeight w:val="454"/>
        </w:trPr>
        <w:tc>
          <w:tcPr>
            <w:tcW w:w="10191"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ГСД, в ходе ПГТТ с 75 г глюкозы на 24–28 неделе беременности</w:t>
            </w:r>
          </w:p>
        </w:tc>
      </w:tr>
      <w:tr w:rsidR="00D27BC6">
        <w:trPr>
          <w:trHeight w:val="454"/>
        </w:trPr>
        <w:tc>
          <w:tcPr>
            <w:tcW w:w="668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Глюкоза венозной плазмы</w:t>
            </w:r>
            <w:r>
              <w:rPr>
                <w:sz w:val="18"/>
                <w:vertAlign w:val="superscript"/>
              </w:rPr>
              <w:footnoteReference w:id="24"/>
            </w:r>
          </w:p>
        </w:tc>
        <w:tc>
          <w:tcPr>
            <w:tcW w:w="350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ммоль/л</w:t>
            </w:r>
          </w:p>
        </w:tc>
      </w:tr>
      <w:tr w:rsidR="00D27BC6">
        <w:trPr>
          <w:trHeight w:val="454"/>
        </w:trPr>
        <w:tc>
          <w:tcPr>
            <w:tcW w:w="668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Натощак</w:t>
            </w:r>
          </w:p>
        </w:tc>
        <w:tc>
          <w:tcPr>
            <w:tcW w:w="350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 5,1, но &lt; 7,0</w:t>
            </w:r>
          </w:p>
        </w:tc>
      </w:tr>
      <w:tr w:rsidR="00D27BC6">
        <w:trPr>
          <w:trHeight w:val="454"/>
        </w:trPr>
        <w:tc>
          <w:tcPr>
            <w:tcW w:w="668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Через 1 ч</w:t>
            </w:r>
          </w:p>
        </w:tc>
        <w:tc>
          <w:tcPr>
            <w:tcW w:w="350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 10,0</w:t>
            </w:r>
          </w:p>
        </w:tc>
      </w:tr>
      <w:tr w:rsidR="00D27BC6">
        <w:trPr>
          <w:trHeight w:val="454"/>
        </w:trPr>
        <w:tc>
          <w:tcPr>
            <w:tcW w:w="668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Через 2 ч</w:t>
            </w:r>
          </w:p>
        </w:tc>
        <w:tc>
          <w:tcPr>
            <w:tcW w:w="350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 8,5, но &lt; 11,1</w:t>
            </w:r>
          </w:p>
        </w:tc>
      </w:tr>
    </w:tbl>
    <w:p w:rsidR="00D27BC6" w:rsidRDefault="004D5071">
      <w:pPr>
        <w:spacing w:after="0" w:line="259" w:lineRule="auto"/>
        <w:ind w:left="-3" w:right="0"/>
        <w:jc w:val="left"/>
      </w:pPr>
      <w:r>
        <w:rPr>
          <w:b/>
          <w:color w:val="6F6F6E"/>
        </w:rPr>
        <w:t xml:space="preserve">Пороговые значения глюкозы венозной плазмы и HbA1c для диагностики манифестного </w:t>
      </w:r>
    </w:p>
    <w:p w:rsidR="00D27BC6" w:rsidRDefault="004D5071">
      <w:pPr>
        <w:pStyle w:val="Heading2"/>
        <w:ind w:left="-3"/>
      </w:pPr>
      <w:r>
        <w:t>(впервые выявленного) СД во время беременности</w:t>
      </w:r>
    </w:p>
    <w:tbl>
      <w:tblPr>
        <w:tblStyle w:val="TableGrid"/>
        <w:tblW w:w="10191" w:type="dxa"/>
        <w:tblInd w:w="9" w:type="dxa"/>
        <w:tblCellMar>
          <w:top w:w="9" w:type="dxa"/>
          <w:left w:w="57" w:type="dxa"/>
          <w:bottom w:w="0" w:type="dxa"/>
          <w:right w:w="115" w:type="dxa"/>
        </w:tblCellMar>
        <w:tblLook w:val="04A0" w:firstRow="1" w:lastRow="0" w:firstColumn="1" w:lastColumn="0" w:noHBand="0" w:noVBand="1"/>
      </w:tblPr>
      <w:tblGrid>
        <w:gridCol w:w="6683"/>
        <w:gridCol w:w="3508"/>
      </w:tblGrid>
      <w:tr w:rsidR="00D27BC6">
        <w:trPr>
          <w:trHeight w:val="320"/>
        </w:trPr>
        <w:tc>
          <w:tcPr>
            <w:tcW w:w="10191"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Манифестный (впервые выявленный) СД у беременных</w:t>
            </w:r>
            <w:r>
              <w:rPr>
                <w:b/>
                <w:sz w:val="18"/>
                <w:vertAlign w:val="superscript"/>
              </w:rPr>
              <w:t>1</w:t>
            </w:r>
          </w:p>
        </w:tc>
      </w:tr>
      <w:tr w:rsidR="00D27BC6">
        <w:trPr>
          <w:trHeight w:val="320"/>
        </w:trPr>
        <w:tc>
          <w:tcPr>
            <w:tcW w:w="668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Глюкоза венозной плазмы натощак</w:t>
            </w:r>
          </w:p>
        </w:tc>
        <w:tc>
          <w:tcPr>
            <w:tcW w:w="350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 7,0 ммоль/л</w:t>
            </w:r>
          </w:p>
        </w:tc>
      </w:tr>
      <w:tr w:rsidR="00D27BC6">
        <w:trPr>
          <w:trHeight w:val="320"/>
        </w:trPr>
        <w:tc>
          <w:tcPr>
            <w:tcW w:w="668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Глюкоза венозной плазмы через 2 ч в ходе ПГТТ с 75 г глюкозы</w:t>
            </w:r>
          </w:p>
        </w:tc>
        <w:tc>
          <w:tcPr>
            <w:tcW w:w="350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 11,1 ммоль/л</w:t>
            </w:r>
          </w:p>
        </w:tc>
      </w:tr>
      <w:tr w:rsidR="00D27BC6">
        <w:trPr>
          <w:trHeight w:val="320"/>
        </w:trPr>
        <w:tc>
          <w:tcPr>
            <w:tcW w:w="668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HbA1c</w:t>
            </w:r>
            <w:r>
              <w:rPr>
                <w:sz w:val="18"/>
                <w:vertAlign w:val="superscript"/>
              </w:rPr>
              <w:t>2</w:t>
            </w:r>
          </w:p>
        </w:tc>
        <w:tc>
          <w:tcPr>
            <w:tcW w:w="350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 6,5%</w:t>
            </w:r>
          </w:p>
        </w:tc>
      </w:tr>
      <w:tr w:rsidR="00D27BC6">
        <w:trPr>
          <w:trHeight w:val="540"/>
        </w:trPr>
        <w:tc>
          <w:tcPr>
            <w:tcW w:w="668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Глюкоза венозной плазмы вне зависимости от времени суток и приема пищи при наличии симптомов гипергликемии</w:t>
            </w:r>
          </w:p>
        </w:tc>
        <w:tc>
          <w:tcPr>
            <w:tcW w:w="350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 11,1 ммоль/л</w:t>
            </w:r>
          </w:p>
        </w:tc>
      </w:tr>
    </w:tbl>
    <w:p w:rsidR="00D27BC6" w:rsidRDefault="004D5071">
      <w:pPr>
        <w:numPr>
          <w:ilvl w:val="0"/>
          <w:numId w:val="137"/>
        </w:numPr>
        <w:spacing w:after="4"/>
        <w:ind w:right="0"/>
      </w:pPr>
      <w:r>
        <w:rPr>
          <w:sz w:val="16"/>
        </w:rPr>
        <w:t>Если аномальные значения были получены впервые и нет симптомов гипергликемии, то предварительный диагноз манифестного СД во время беременности должен быть подтвержден уровнем глюкозы венозной плазмы натощак или HbA1c с использованием стандартизированных те</w:t>
      </w:r>
      <w:r>
        <w:rPr>
          <w:sz w:val="16"/>
        </w:rPr>
        <w:t>стов. При наличии симптомов гипергликемии для установления диагноза СД достаточно одного определения в диабетическом диапазоне (гликемии или HbA1c). В случае выявления манифестного СД он должен быть в ближайшие сроки квалифицирован в какую-либо диагностиче</w:t>
      </w:r>
      <w:r>
        <w:rPr>
          <w:sz w:val="16"/>
        </w:rPr>
        <w:t>скую категорию согласно действующей классификации ВОЗ, например, СД 1 типа, СД 2 типа и т.д.</w:t>
      </w:r>
    </w:p>
    <w:p w:rsidR="00D27BC6" w:rsidRDefault="004D5071">
      <w:pPr>
        <w:numPr>
          <w:ilvl w:val="0"/>
          <w:numId w:val="137"/>
        </w:numPr>
        <w:spacing w:after="138"/>
        <w:ind w:right="0"/>
      </w:pPr>
      <w:r>
        <w:rPr>
          <w:sz w:val="16"/>
        </w:rPr>
        <w:t xml:space="preserve">Исследование должно быть выполнено с использованием метода определения HbA1c, сертифицированного в соответствии с National Glycohemoglobin Standartization Program </w:t>
      </w:r>
      <w:r>
        <w:rPr>
          <w:sz w:val="16"/>
        </w:rPr>
        <w:t>(NGSP) или International Federation of Clinical Chemists (IFCC) и стандартизованного в соответствии с референсными значениями, принятыми в DCCT (Diabetes Control and Complications Study).</w:t>
      </w:r>
    </w:p>
    <w:p w:rsidR="00D27BC6" w:rsidRDefault="004D5071">
      <w:pPr>
        <w:ind w:left="-11" w:right="0" w:firstLine="283"/>
      </w:pPr>
      <w:r>
        <w:t xml:space="preserve">Если глюкоза венозной плазмы натощак &lt; 5,1 ммоль и через 1 ч в ходе </w:t>
      </w:r>
      <w:r>
        <w:t>перорального глюкозотолерантного теста &lt; 10,0 ммоль, а через 2 ч ≥ 7,8 ммоль и &lt; 8,5 ммоль, что соответствует нарушенной толерантности к глюкозе у небеременных, то для беременных это будет вариантом нормы.</w:t>
      </w:r>
    </w:p>
    <w:p w:rsidR="00D27BC6" w:rsidRDefault="004D5071">
      <w:pPr>
        <w:spacing w:after="226"/>
        <w:ind w:left="295" w:right="0"/>
      </w:pPr>
      <w:r>
        <w:t>Критерии диагностики манифестного сахарного диабет</w:t>
      </w:r>
      <w:r>
        <w:t>а относятся ко всему периоду гестации.</w:t>
      </w:r>
    </w:p>
    <w:p w:rsidR="00D27BC6" w:rsidRDefault="004D5071">
      <w:pPr>
        <w:pStyle w:val="Heading2"/>
        <w:spacing w:after="139"/>
        <w:ind w:left="-3"/>
      </w:pPr>
      <w:r>
        <w:t>Алгоритм диагностики нарушений углеводного обмена во время беременности</w:t>
      </w:r>
    </w:p>
    <w:p w:rsidR="00D27BC6" w:rsidRDefault="004D5071">
      <w:pPr>
        <w:pBdr>
          <w:top w:val="single" w:sz="6" w:space="0" w:color="000000"/>
          <w:left w:val="single" w:sz="6" w:space="0" w:color="000000"/>
          <w:bottom w:val="single" w:sz="6" w:space="0" w:color="000000"/>
          <w:right w:val="single" w:sz="6" w:space="0" w:color="000000"/>
        </w:pBdr>
        <w:spacing w:after="0" w:line="259" w:lineRule="auto"/>
        <w:ind w:left="5" w:right="0" w:firstLine="0"/>
        <w:jc w:val="center"/>
      </w:pPr>
      <w:r>
        <w:rPr>
          <w:b/>
        </w:rPr>
        <w:t>При первом обращении в сроке до 24 нед гестации проводится одно из следующих определений</w:t>
      </w:r>
    </w:p>
    <w:p w:rsidR="00D27BC6" w:rsidRDefault="004D5071">
      <w:pPr>
        <w:spacing w:after="0" w:line="259" w:lineRule="auto"/>
        <w:ind w:left="-5" w:right="-11" w:firstLine="0"/>
        <w:jc w:val="left"/>
      </w:pPr>
      <w:r>
        <w:rPr>
          <w:noProof/>
        </w:rPr>
        <w:drawing>
          <wp:inline distT="0" distB="0" distL="0" distR="0">
            <wp:extent cx="6495289" cy="5376672"/>
            <wp:effectExtent l="0" t="0" r="0" b="0"/>
            <wp:docPr id="358184" name="Picture 358184"/>
            <wp:cNvGraphicFramePr/>
            <a:graphic xmlns:a="http://schemas.openxmlformats.org/drawingml/2006/main">
              <a:graphicData uri="http://schemas.openxmlformats.org/drawingml/2006/picture">
                <pic:pic xmlns:pic="http://schemas.openxmlformats.org/drawingml/2006/picture">
                  <pic:nvPicPr>
                    <pic:cNvPr id="358184" name="Picture 358184"/>
                    <pic:cNvPicPr/>
                  </pic:nvPicPr>
                  <pic:blipFill>
                    <a:blip r:embed="rId80"/>
                    <a:stretch>
                      <a:fillRect/>
                    </a:stretch>
                  </pic:blipFill>
                  <pic:spPr>
                    <a:xfrm>
                      <a:off x="0" y="0"/>
                      <a:ext cx="6495289" cy="5376672"/>
                    </a:xfrm>
                    <a:prstGeom prst="rect">
                      <a:avLst/>
                    </a:prstGeom>
                  </pic:spPr>
                </pic:pic>
              </a:graphicData>
            </a:graphic>
          </wp:inline>
        </w:drawing>
      </w:r>
    </w:p>
    <w:p w:rsidR="00D27BC6" w:rsidRDefault="004D5071">
      <w:pPr>
        <w:spacing w:after="243" w:line="259" w:lineRule="auto"/>
        <w:ind w:left="10" w:right="4"/>
        <w:jc w:val="center"/>
      </w:pPr>
      <w:r>
        <w:rPr>
          <w:b/>
          <w:color w:val="6F6F6E"/>
          <w:sz w:val="18"/>
          <w:u w:val="single" w:color="6F6F6E"/>
        </w:rPr>
        <w:t>ЛЕЧЕНИЕ</w:t>
      </w:r>
    </w:p>
    <w:p w:rsidR="00D27BC6" w:rsidRDefault="004D5071">
      <w:pPr>
        <w:numPr>
          <w:ilvl w:val="0"/>
          <w:numId w:val="138"/>
        </w:numPr>
        <w:ind w:right="0" w:hanging="283"/>
      </w:pPr>
      <w:r>
        <w:t>Модификация образа жизни:</w:t>
      </w:r>
    </w:p>
    <w:p w:rsidR="00D27BC6" w:rsidRDefault="004D5071">
      <w:pPr>
        <w:numPr>
          <w:ilvl w:val="1"/>
          <w:numId w:val="138"/>
        </w:numPr>
        <w:ind w:left="568" w:right="0" w:hanging="283"/>
      </w:pPr>
      <w:r>
        <w:t>Питание с полным исключением легко усваиваемых углеводов и ограничением жиров. Рекомендованное количество углеводов – 175 г для адекватного обеспечения потребностей матери и плода или не менее 40% от расчетной суточной калорийности питания под контролем гл</w:t>
      </w:r>
      <w:r>
        <w:t>икемии и кетоновых тел в моче. При появлении кетонурии увеличить количество разрешенных углеводов. Углеводы распределяются на 3 основных приема пищи и 2–3 перекуса в день. Каждый прием пищи должен содержать медленно усваиваемые углеводы, белки, моно- и пол</w:t>
      </w:r>
      <w:r>
        <w:t>иненасыщенные жиры, пищевые волокна. Суточное количество пищевых волокон должно быть не менее 28 грамм суммарно из клетчатки, разрешенных овощей, фруктов, листовых салатов, злаковых и отрубей.</w:t>
      </w:r>
    </w:p>
    <w:p w:rsidR="00D27BC6" w:rsidRDefault="004D5071">
      <w:pPr>
        <w:numPr>
          <w:ilvl w:val="1"/>
          <w:numId w:val="138"/>
        </w:numPr>
        <w:ind w:left="568" w:right="0" w:hanging="283"/>
      </w:pPr>
      <w:r>
        <w:t>Дозированные аэробные физические нагрузки в виде ходьбы, плаван</w:t>
      </w:r>
      <w:r>
        <w:t xml:space="preserve">ие в бассейне, аквааэробика и йога для беременных, скандинавская ходьба не менее 20–50 минут два раза в неделю. </w:t>
      </w:r>
    </w:p>
    <w:p w:rsidR="00D27BC6" w:rsidRDefault="004D5071">
      <w:pPr>
        <w:numPr>
          <w:ilvl w:val="0"/>
          <w:numId w:val="138"/>
        </w:numPr>
        <w:ind w:right="0" w:hanging="283"/>
      </w:pPr>
      <w:r>
        <w:t>Ежедневный самоконтроль гликемии с помощью портативных приборов (глюкометров), калиброванных по плазме: натощак, через 1 час от начала основных</w:t>
      </w:r>
      <w:r>
        <w:t xml:space="preserve"> приемов пищи, если пациентка находится только на диетотерапии. При назначении инсулинотерапии – ежедневный самоконтроль гликемии: не менее 7 раз в сутки (перед и через 1 час после приемов пищи, на ночь), при плохом самочувствии, при необходимости (риск ги</w:t>
      </w:r>
      <w:r>
        <w:t xml:space="preserve">погликемии, титрация дозы пролонгированного инсулина) – в 3 и 6 ч. </w:t>
      </w:r>
    </w:p>
    <w:p w:rsidR="00D27BC6" w:rsidRDefault="004D5071">
      <w:pPr>
        <w:numPr>
          <w:ilvl w:val="0"/>
          <w:numId w:val="138"/>
        </w:numPr>
        <w:ind w:right="0" w:hanging="283"/>
      </w:pPr>
      <w:r>
        <w:rPr>
          <w:b/>
        </w:rPr>
        <w:t>Цели гликемического самоконтроля:</w:t>
      </w:r>
    </w:p>
    <w:p w:rsidR="00D27BC6" w:rsidRDefault="004D5071">
      <w:pPr>
        <w:numPr>
          <w:ilvl w:val="1"/>
          <w:numId w:val="138"/>
        </w:numPr>
        <w:ind w:left="568" w:right="0" w:hanging="283"/>
      </w:pPr>
      <w:r>
        <w:rPr>
          <w:b/>
        </w:rPr>
        <w:t>глюкоза плазмы натощак/перед едой/на ночь/ночью &lt; 5,1 ммоль/л;</w:t>
      </w:r>
    </w:p>
    <w:p w:rsidR="00D27BC6" w:rsidRDefault="004D5071">
      <w:pPr>
        <w:numPr>
          <w:ilvl w:val="1"/>
          <w:numId w:val="138"/>
        </w:numPr>
        <w:ind w:left="568" w:right="0" w:hanging="283"/>
      </w:pPr>
      <w:r>
        <w:rPr>
          <w:b/>
        </w:rPr>
        <w:t>глюкоза плазмы через 1 час после еды &lt; 7,0 ммоль/л.</w:t>
      </w:r>
    </w:p>
    <w:p w:rsidR="00D27BC6" w:rsidRDefault="004D5071">
      <w:pPr>
        <w:numPr>
          <w:ilvl w:val="1"/>
          <w:numId w:val="138"/>
        </w:numPr>
        <w:ind w:left="568" w:right="0" w:hanging="283"/>
      </w:pPr>
      <w:r>
        <w:rPr>
          <w:b/>
        </w:rPr>
        <w:t xml:space="preserve">дополнительный контроль гликемии через </w:t>
      </w:r>
      <w:r>
        <w:rPr>
          <w:b/>
        </w:rPr>
        <w:t xml:space="preserve">2 часа от начала приема пищи может рекомендоваться в следующих случаях: гастропатия, прием пищи с большим количеством жира и белка, использование инсулина короткого действия, наличие признаков макросомии при нормальном уровне глюкозы крови натощак и через </w:t>
      </w:r>
      <w:r>
        <w:rPr>
          <w:b/>
        </w:rPr>
        <w:t>1 час от начала приема пищи, морбидное ожирение. Целевой уровень гликемии через 2 часа от начала приема пищи менее 6,7 ммоль/л.</w:t>
      </w:r>
    </w:p>
    <w:p w:rsidR="00D27BC6" w:rsidRDefault="004D5071">
      <w:pPr>
        <w:numPr>
          <w:ilvl w:val="0"/>
          <w:numId w:val="138"/>
        </w:numPr>
        <w:ind w:right="0" w:hanging="283"/>
      </w:pPr>
      <w:r>
        <w:t xml:space="preserve">Контроль кетоновых тел в моче для своевременного выявления кетонурии и коррекции питания </w:t>
      </w:r>
    </w:p>
    <w:p w:rsidR="00D27BC6" w:rsidRDefault="004D5071">
      <w:pPr>
        <w:numPr>
          <w:ilvl w:val="0"/>
          <w:numId w:val="138"/>
        </w:numPr>
        <w:ind w:right="0" w:hanging="283"/>
      </w:pPr>
      <w:r>
        <w:t>Показания к инсулинотерапии: невозможн</w:t>
      </w:r>
      <w:r>
        <w:t>ость достижения целевых показателей гликемии (два и более нецелевых значений гликемии при соблюдении рекомендаций по диетотерапии) в течение 1–2 недель самоконтроля. Схема инсулинотерапии подбирается индивидуально.</w:t>
      </w:r>
    </w:p>
    <w:p w:rsidR="00D27BC6" w:rsidRDefault="004D5071">
      <w:pPr>
        <w:numPr>
          <w:ilvl w:val="0"/>
          <w:numId w:val="138"/>
        </w:numPr>
        <w:spacing w:after="230"/>
        <w:ind w:right="0" w:hanging="283"/>
      </w:pPr>
      <w:r>
        <w:t xml:space="preserve">При выявлении по данным УЗИ у беременной </w:t>
      </w:r>
      <w:r>
        <w:t>на диетотерапии окружности живота плода более 75 перцентиля, признаков диабетической фетопатии необходима немедленная коррекция питания, дополнительный контроль гликемии через 2 часа от начала приема пищи или НМГ в режиме реального времени или флеш-монитор</w:t>
      </w:r>
      <w:r>
        <w:t>ирование 2-го поколения у беременных с ГСД на диете с целью выявления возможного смещения пиков гипергликемии при употреблении большого количества жира и белка в пище и рассмотрения вопроса о назначении болюсного инсулина.</w:t>
      </w:r>
    </w:p>
    <w:p w:rsidR="00D27BC6" w:rsidRDefault="004D5071">
      <w:pPr>
        <w:pStyle w:val="Heading3"/>
        <w:ind w:left="162" w:right="157"/>
      </w:pPr>
      <w:r>
        <w:t>Стартовые дозы инсулинов</w:t>
      </w:r>
    </w:p>
    <w:p w:rsidR="00D27BC6" w:rsidRDefault="004D5071">
      <w:pPr>
        <w:ind w:left="-11" w:right="0" w:firstLine="283"/>
      </w:pPr>
      <w:r>
        <w:rPr>
          <w:b/>
        </w:rPr>
        <w:t>При повы</w:t>
      </w:r>
      <w:r>
        <w:rPr>
          <w:b/>
        </w:rPr>
        <w:t xml:space="preserve">шении гликемии выше целевого уровня через 1 час после начала приема пищи – инициация терапии ИУКД (ИСБД, ИКД). </w:t>
      </w:r>
      <w:r>
        <w:t>Стартовая доза ИУКД (ИСБД, ИКД): 1 ЕД на 10–12 г углеводов (1 ХЕ), вводится за 15–20/20–30 минут до приема пищи, сопровождавшегося постпрандиальн</w:t>
      </w:r>
      <w:r>
        <w:t>ой гипергликемией. Титрация дозы проводится каждые 3–4 дня с увеличением на 1–2 ЕД до достижения целевого значения постпрандиальной гликемии. С учетом инсулинорезистентности во второй половине беременности возможно введение ИУКД (ИСБД) за 20–30 минут до ед</w:t>
      </w:r>
      <w:r>
        <w:t>ы, ИКД – за 40–60 минут до еды.</w:t>
      </w:r>
    </w:p>
    <w:p w:rsidR="00D27BC6" w:rsidRDefault="004D5071">
      <w:pPr>
        <w:ind w:left="-11" w:right="0" w:firstLine="283"/>
      </w:pPr>
      <w:r>
        <w:rPr>
          <w:b/>
        </w:rPr>
        <w:t xml:space="preserve">При повышении гликемии натощак выше целевого уровня – инициация терапии инсулином сверхдлительного/длительного/средней продолжительности действия. </w:t>
      </w:r>
      <w:r>
        <w:t>Стартовая доза базального инсулина 0,1 ЕД/кг массы тела (0,16–0,2 ЕД/кг при и</w:t>
      </w:r>
      <w:r>
        <w:t>збыточной массе тела/ожирении до беременности), вводится 1 раз в сутки в 22.00–24.00. Титрация дозы проводится каждые 3 дня с увеличением на 1–2 ЕД до достижения целевого значения гликемии натощак. При дозе базального инсулина &gt; 40 ЕД/сутки целесообразно р</w:t>
      </w:r>
      <w:r>
        <w:t xml:space="preserve">ассмотреть двукратный режим введения (30% дозы утром и 70% на ночь, если продолжительность действия препарата менее 20 часов). </w:t>
      </w:r>
    </w:p>
    <w:p w:rsidR="00D27BC6" w:rsidRDefault="004D5071">
      <w:pPr>
        <w:ind w:left="-11" w:right="0" w:firstLine="283"/>
      </w:pPr>
      <w:r>
        <w:rPr>
          <w:b/>
        </w:rPr>
        <w:t>При выявлении манифестного СД – инициация базис-болюсной инсулинотерапии.</w:t>
      </w:r>
      <w:r>
        <w:t xml:space="preserve"> Стартовая суточная доза инсулина 0,4 ЕД/кг массы тела (0,5 ЕД/кг при избыточной массе тела/ожирении), распределяется по 50% на базальный и болюсный инсулины. Базальный инсулин вводится 1 раз в сутки в 22.00–24.00. Болюсный инсулин распределяется на 3 введ</w:t>
      </w:r>
      <w:r>
        <w:t>ения за 15–20 минут (ИУКД, ИСБД) или 20–30 минут (ИКД) до основных приемов пищи в пропорциях: 40% перед завтраком и по 30% перед обедом и ужином. Титрация доз проводится под контролем гликемии каждые 3 дня по алгоритмам, представленным выше.</w:t>
      </w:r>
    </w:p>
    <w:p w:rsidR="00D27BC6" w:rsidRDefault="004D5071">
      <w:pPr>
        <w:ind w:left="-11" w:right="0" w:firstLine="283"/>
      </w:pPr>
      <w:r>
        <w:t xml:space="preserve">При выявлении </w:t>
      </w:r>
      <w:r>
        <w:t xml:space="preserve">УЗ-признаков диабетической фетопатии рекомендуется немедленная коррекция питания, дополнительный контроль гликемии через 2 часа от начала приема пищи </w:t>
      </w:r>
      <w:r>
        <w:rPr>
          <w:i/>
        </w:rPr>
        <w:t xml:space="preserve">(целевой уровень менее 6,7 ммоль/л) </w:t>
      </w:r>
      <w:r>
        <w:t>с целью выявления возможного смещения пиков гипергликемии при употребл</w:t>
      </w:r>
      <w:r>
        <w:t xml:space="preserve">ении большого количества жира и белка и рассмотрение вопроса о назначении прандиального инсулина при выявлении гипергликемии. </w:t>
      </w:r>
    </w:p>
    <w:p w:rsidR="00D27BC6" w:rsidRDefault="004D5071">
      <w:pPr>
        <w:pStyle w:val="Heading3"/>
        <w:ind w:left="162" w:right="156"/>
      </w:pPr>
      <w:r>
        <w:t>Ведение родов при ГСД</w:t>
      </w:r>
    </w:p>
    <w:p w:rsidR="00D27BC6" w:rsidRDefault="004D5071">
      <w:pPr>
        <w:numPr>
          <w:ilvl w:val="0"/>
          <w:numId w:val="139"/>
        </w:numPr>
        <w:ind w:left="568" w:right="0" w:hanging="283"/>
      </w:pPr>
      <w:r>
        <w:t>Срок и метод родоразрешения – определяется акушерскими показаниями.</w:t>
      </w:r>
    </w:p>
    <w:p w:rsidR="00D27BC6" w:rsidRDefault="004D5071">
      <w:pPr>
        <w:numPr>
          <w:ilvl w:val="0"/>
          <w:numId w:val="139"/>
        </w:numPr>
        <w:spacing w:after="230"/>
        <w:ind w:left="568" w:right="0" w:hanging="283"/>
      </w:pPr>
      <w:r>
        <w:t>ГСД не является показанием для операции</w:t>
      </w:r>
      <w:r>
        <w:t xml:space="preserve"> кесарева сечения. Рекомендуется руководствоваться общепринятыми в акушерстве показаниями к абдоминальному родоразрешению.</w:t>
      </w:r>
    </w:p>
    <w:p w:rsidR="00D27BC6" w:rsidRDefault="004D5071">
      <w:pPr>
        <w:pStyle w:val="Heading3"/>
        <w:ind w:left="162" w:right="156"/>
      </w:pPr>
      <w:r>
        <w:t>Тактика после родов при ГСД</w:t>
      </w:r>
    </w:p>
    <w:p w:rsidR="00D27BC6" w:rsidRDefault="004D5071">
      <w:pPr>
        <w:numPr>
          <w:ilvl w:val="0"/>
          <w:numId w:val="140"/>
        </w:numPr>
        <w:ind w:left="568" w:right="0" w:hanging="283"/>
      </w:pPr>
      <w:r>
        <w:t xml:space="preserve">В родах у всех пациенток с ГСД отменяются инсулинотерапия и диета. </w:t>
      </w:r>
    </w:p>
    <w:p w:rsidR="00D27BC6" w:rsidRDefault="004D5071">
      <w:pPr>
        <w:numPr>
          <w:ilvl w:val="0"/>
          <w:numId w:val="140"/>
        </w:numPr>
        <w:ind w:left="568" w:right="0" w:hanging="283"/>
      </w:pPr>
      <w:r>
        <w:t xml:space="preserve">В течение первых 2 суток после родов </w:t>
      </w:r>
      <w:r>
        <w:t>обязательное измерение уровня глюкозы венозной плазмы натощак с целью выявления возможного нарушения углеводного обмена.</w:t>
      </w:r>
    </w:p>
    <w:p w:rsidR="00D27BC6" w:rsidRDefault="004D5071">
      <w:pPr>
        <w:numPr>
          <w:ilvl w:val="0"/>
          <w:numId w:val="140"/>
        </w:numPr>
        <w:ind w:left="568" w:right="0" w:hanging="283"/>
      </w:pPr>
      <w:r>
        <w:t>Через 4–12 недель после родов всем женщинам с уровнем глюкозы венозной плазмы натощак &lt; 7,0 ммоль/л проводится ПГТТ с 75 г глюкозы (исследование глюкозы плазмы натощак и через 2 ч после нагрузки) для реклассификации степени нарушения углеводного обмена.</w:t>
      </w:r>
    </w:p>
    <w:p w:rsidR="00D27BC6" w:rsidRDefault="004D5071">
      <w:pPr>
        <w:numPr>
          <w:ilvl w:val="0"/>
          <w:numId w:val="140"/>
        </w:numPr>
        <w:ind w:left="568" w:right="0" w:hanging="283"/>
      </w:pPr>
      <w:r>
        <w:t>Ди</w:t>
      </w:r>
      <w:r>
        <w:t>ета, направленная на снижение массы при ее избытке.</w:t>
      </w:r>
    </w:p>
    <w:p w:rsidR="00D27BC6" w:rsidRDefault="004D5071">
      <w:pPr>
        <w:numPr>
          <w:ilvl w:val="0"/>
          <w:numId w:val="140"/>
        </w:numPr>
        <w:ind w:left="568" w:right="0" w:hanging="283"/>
      </w:pPr>
      <w:r>
        <w:t>Расширение физической активности.</w:t>
      </w:r>
    </w:p>
    <w:p w:rsidR="00D27BC6" w:rsidRDefault="004D5071">
      <w:pPr>
        <w:numPr>
          <w:ilvl w:val="0"/>
          <w:numId w:val="140"/>
        </w:numPr>
        <w:ind w:left="568" w:right="0" w:hanging="283"/>
      </w:pPr>
      <w:r>
        <w:t>Планирование последующих беременностей.</w:t>
      </w:r>
    </w:p>
    <w:p w:rsidR="00D27BC6" w:rsidRDefault="004D5071">
      <w:pPr>
        <w:numPr>
          <w:ilvl w:val="0"/>
          <w:numId w:val="140"/>
        </w:numPr>
        <w:spacing w:after="548"/>
        <w:ind w:left="568" w:right="0" w:hanging="283"/>
      </w:pPr>
      <w:r>
        <w:t xml:space="preserve">Необходимо информирование педиатров о необходимости контроля за состоянием углеводного обмена и профилактики СД 2 типа у ребенка, </w:t>
      </w:r>
      <w:r>
        <w:t>мать которого перенесла ГСД.</w:t>
      </w:r>
    </w:p>
    <w:p w:rsidR="00D27BC6" w:rsidRDefault="004D5071">
      <w:pPr>
        <w:pStyle w:val="Heading1"/>
        <w:spacing w:after="337"/>
        <w:ind w:left="313" w:right="309"/>
      </w:pPr>
      <w:r>
        <w:t>19. КОНТРАЦЕПЦИЯ ПРИ САХАРНОМ ДИАБЕТЕ</w:t>
      </w:r>
    </w:p>
    <w:p w:rsidR="00D27BC6" w:rsidRDefault="004D5071">
      <w:pPr>
        <w:pStyle w:val="Heading2"/>
        <w:ind w:left="-3"/>
      </w:pPr>
      <w:r>
        <w:t>Классификация категорий и использование шкал категорий на практике</w:t>
      </w:r>
    </w:p>
    <w:tbl>
      <w:tblPr>
        <w:tblStyle w:val="TableGrid"/>
        <w:tblW w:w="10197" w:type="dxa"/>
        <w:tblInd w:w="9" w:type="dxa"/>
        <w:tblCellMar>
          <w:top w:w="9" w:type="dxa"/>
          <w:left w:w="56" w:type="dxa"/>
          <w:bottom w:w="0" w:type="dxa"/>
          <w:right w:w="34" w:type="dxa"/>
        </w:tblCellMar>
        <w:tblLook w:val="04A0" w:firstRow="1" w:lastRow="0" w:firstColumn="1" w:lastColumn="0" w:noHBand="0" w:noVBand="1"/>
      </w:tblPr>
      <w:tblGrid>
        <w:gridCol w:w="464"/>
        <w:gridCol w:w="670"/>
        <w:gridCol w:w="1012"/>
        <w:gridCol w:w="3520"/>
        <w:gridCol w:w="4531"/>
        <w:gridCol w:w="1"/>
      </w:tblGrid>
      <w:tr w:rsidR="00D27BC6">
        <w:trPr>
          <w:gridAfter w:val="1"/>
          <w:trHeight w:val="320"/>
        </w:trPr>
        <w:tc>
          <w:tcPr>
            <w:tcW w:w="1134"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28" w:right="0" w:firstLine="0"/>
            </w:pPr>
            <w:r>
              <w:rPr>
                <w:b/>
              </w:rPr>
              <w:t>Категория</w:t>
            </w:r>
          </w:p>
        </w:tc>
        <w:tc>
          <w:tcPr>
            <w:tcW w:w="9063" w:type="dxa"/>
            <w:gridSpan w:val="3"/>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28" w:right="0" w:firstLine="0"/>
              <w:jc w:val="center"/>
            </w:pPr>
            <w:r>
              <w:rPr>
                <w:b/>
              </w:rPr>
              <w:t>Описание</w:t>
            </w:r>
          </w:p>
        </w:tc>
      </w:tr>
      <w:tr w:rsidR="00D27BC6">
        <w:trPr>
          <w:gridAfter w:val="1"/>
          <w:trHeight w:val="715"/>
        </w:trPr>
        <w:tc>
          <w:tcPr>
            <w:tcW w:w="1134"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8" w:right="0" w:firstLine="0"/>
              <w:jc w:val="center"/>
            </w:pPr>
            <w:r>
              <w:t>1</w:t>
            </w:r>
          </w:p>
        </w:tc>
        <w:tc>
          <w:tcPr>
            <w:tcW w:w="9063"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Состояние/заболевание, при котором нет никаких противопоказаний к использованию данного метода контрацепции.</w:t>
            </w:r>
          </w:p>
        </w:tc>
      </w:tr>
      <w:tr w:rsidR="00D27BC6">
        <w:trPr>
          <w:gridAfter w:val="1"/>
          <w:trHeight w:val="715"/>
        </w:trPr>
        <w:tc>
          <w:tcPr>
            <w:tcW w:w="1134"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8" w:right="0" w:firstLine="0"/>
              <w:jc w:val="center"/>
            </w:pPr>
            <w:r>
              <w:t>2</w:t>
            </w:r>
          </w:p>
        </w:tc>
        <w:tc>
          <w:tcPr>
            <w:tcW w:w="9063"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83" w:firstLine="0"/>
              <w:jc w:val="left"/>
            </w:pPr>
            <w:r>
              <w:t>Состояние/заболевание, при котором ожидаемая польза от применяемого метода контрацепции в целом превосходит теоретические и доказанные риски</w:t>
            </w:r>
          </w:p>
        </w:tc>
      </w:tr>
      <w:tr w:rsidR="00D27BC6">
        <w:trPr>
          <w:gridAfter w:val="1"/>
          <w:trHeight w:val="715"/>
        </w:trPr>
        <w:tc>
          <w:tcPr>
            <w:tcW w:w="1134"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8" w:right="0" w:firstLine="0"/>
              <w:jc w:val="center"/>
            </w:pPr>
            <w:r>
              <w:t>3</w:t>
            </w:r>
          </w:p>
        </w:tc>
        <w:tc>
          <w:tcPr>
            <w:tcW w:w="9063"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Состояние/заболевание, при котором теоретические и доказанные риски в целом превосходят ожидаемую пользу от применения данного метода контрацепции</w:t>
            </w:r>
          </w:p>
        </w:tc>
      </w:tr>
      <w:tr w:rsidR="00D27BC6">
        <w:trPr>
          <w:gridAfter w:val="1"/>
          <w:trHeight w:val="715"/>
        </w:trPr>
        <w:tc>
          <w:tcPr>
            <w:tcW w:w="1134"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8" w:right="0" w:firstLine="0"/>
              <w:jc w:val="center"/>
            </w:pPr>
            <w:r>
              <w:t>4</w:t>
            </w:r>
          </w:p>
        </w:tc>
        <w:tc>
          <w:tcPr>
            <w:tcW w:w="9063"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Состояние/заболевание, при котором использование данного метода контрацепции абсолютно противопоказано</w:t>
            </w:r>
          </w:p>
        </w:tc>
      </w:tr>
      <w:tr w:rsidR="00D27BC6">
        <w:trPr>
          <w:trHeight w:val="800"/>
        </w:trPr>
        <w:tc>
          <w:tcPr>
            <w:tcW w:w="1134" w:type="dxa"/>
            <w:gridSpan w:val="2"/>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28" w:right="0" w:firstLine="0"/>
            </w:pPr>
            <w:r>
              <w:rPr>
                <w:b/>
              </w:rPr>
              <w:t>Категория</w:t>
            </w:r>
          </w:p>
        </w:tc>
        <w:tc>
          <w:tcPr>
            <w:tcW w:w="4532" w:type="dxa"/>
            <w:gridSpan w:val="2"/>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328" w:right="260" w:firstLine="0"/>
              <w:jc w:val="center"/>
            </w:pPr>
            <w:r>
              <w:rPr>
                <w:b/>
              </w:rPr>
              <w:t>Клиническое обследование проведено в полном объеме</w:t>
            </w:r>
          </w:p>
        </w:tc>
        <w:tc>
          <w:tcPr>
            <w:tcW w:w="4532"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36" w:lineRule="auto"/>
              <w:ind w:left="401" w:right="292" w:firstLine="0"/>
              <w:jc w:val="center"/>
            </w:pPr>
            <w:r>
              <w:rPr>
                <w:b/>
              </w:rPr>
              <w:t xml:space="preserve">Провести клиническое обследование  в полном объеме не представляется </w:t>
            </w:r>
          </w:p>
          <w:p w:rsidR="00D27BC6" w:rsidRDefault="004D5071">
            <w:pPr>
              <w:spacing w:after="0" w:line="259" w:lineRule="auto"/>
              <w:ind w:left="28" w:right="0" w:firstLine="0"/>
              <w:jc w:val="center"/>
            </w:pPr>
            <w:r>
              <w:rPr>
                <w:b/>
              </w:rPr>
              <w:t>возможным</w:t>
            </w:r>
          </w:p>
        </w:tc>
      </w:tr>
      <w:tr w:rsidR="00D27BC6">
        <w:trPr>
          <w:trHeight w:val="673"/>
        </w:trPr>
        <w:tc>
          <w:tcPr>
            <w:tcW w:w="1134"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7" w:right="0" w:firstLine="0"/>
              <w:jc w:val="center"/>
            </w:pPr>
            <w:r>
              <w:t>1</w:t>
            </w:r>
          </w:p>
        </w:tc>
        <w:tc>
          <w:tcPr>
            <w:tcW w:w="4532"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Использование метода допускается при любых обстоятельствах</w:t>
            </w:r>
          </w:p>
        </w:tc>
        <w:tc>
          <w:tcPr>
            <w:tcW w:w="4532" w:type="dxa"/>
            <w:gridSpan w:val="2"/>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7" w:right="0" w:firstLine="0"/>
              <w:jc w:val="center"/>
            </w:pPr>
            <w:r>
              <w:t>Да</w:t>
            </w:r>
          </w:p>
          <w:p w:rsidR="00D27BC6" w:rsidRDefault="004D5071">
            <w:pPr>
              <w:spacing w:after="0" w:line="259" w:lineRule="auto"/>
              <w:ind w:left="27" w:right="0" w:firstLine="0"/>
              <w:jc w:val="center"/>
            </w:pPr>
            <w:r>
              <w:t>(метод допускается использовать)</w:t>
            </w:r>
          </w:p>
        </w:tc>
      </w:tr>
      <w:tr w:rsidR="00D27BC6">
        <w:trPr>
          <w:trHeight w:val="673"/>
        </w:trPr>
        <w:tc>
          <w:tcPr>
            <w:tcW w:w="1134"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7" w:right="0" w:firstLine="0"/>
              <w:jc w:val="center"/>
            </w:pPr>
            <w:r>
              <w:t>2</w:t>
            </w:r>
          </w:p>
        </w:tc>
        <w:tc>
          <w:tcPr>
            <w:tcW w:w="4532"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80" w:firstLine="0"/>
              <w:jc w:val="left"/>
            </w:pPr>
            <w:r>
              <w:t>В большинстве случаев нет противопоказаний к использованию метода</w:t>
            </w:r>
          </w:p>
        </w:tc>
        <w:tc>
          <w:tcPr>
            <w:tcW w:w="0" w:type="auto"/>
            <w:gridSpan w:val="2"/>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1393"/>
        </w:trPr>
        <w:tc>
          <w:tcPr>
            <w:tcW w:w="1134"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7" w:right="0" w:firstLine="0"/>
              <w:jc w:val="center"/>
            </w:pPr>
            <w:r>
              <w:t>3</w:t>
            </w:r>
          </w:p>
        </w:tc>
        <w:tc>
          <w:tcPr>
            <w:tcW w:w="4532"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Использовать метод, как правило, </w:t>
            </w:r>
          </w:p>
          <w:p w:rsidR="00D27BC6" w:rsidRDefault="004D5071">
            <w:pPr>
              <w:spacing w:after="0" w:line="259" w:lineRule="auto"/>
              <w:ind w:left="0" w:right="0" w:firstLine="0"/>
              <w:jc w:val="left"/>
            </w:pPr>
            <w:r>
              <w:t>не рекомендуется, за исключением тех случаев, когда более подходящее средство контрацепции или его использование является неприемлемым для клиента</w:t>
            </w:r>
          </w:p>
        </w:tc>
        <w:tc>
          <w:tcPr>
            <w:tcW w:w="4532" w:type="dxa"/>
            <w:gridSpan w:val="2"/>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8" w:right="0" w:firstLine="0"/>
              <w:jc w:val="center"/>
            </w:pPr>
            <w:r>
              <w:t>Нет</w:t>
            </w:r>
          </w:p>
          <w:p w:rsidR="00D27BC6" w:rsidRDefault="004D5071">
            <w:pPr>
              <w:spacing w:after="0" w:line="259" w:lineRule="auto"/>
              <w:ind w:left="28" w:right="0" w:firstLine="0"/>
              <w:jc w:val="center"/>
            </w:pPr>
            <w:r>
              <w:t>(использовать метод не рекомендуется)</w:t>
            </w:r>
          </w:p>
        </w:tc>
      </w:tr>
      <w:tr w:rsidR="00D27BC6">
        <w:trPr>
          <w:trHeight w:val="812"/>
        </w:trPr>
        <w:tc>
          <w:tcPr>
            <w:tcW w:w="1134"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7" w:right="0" w:firstLine="0"/>
              <w:jc w:val="center"/>
            </w:pPr>
            <w:r>
              <w:t>4</w:t>
            </w:r>
          </w:p>
        </w:tc>
        <w:tc>
          <w:tcPr>
            <w:tcW w:w="4532"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Использование метода абсолютно противопоказано</w:t>
            </w:r>
          </w:p>
        </w:tc>
        <w:tc>
          <w:tcPr>
            <w:tcW w:w="0" w:type="auto"/>
            <w:gridSpan w:val="2"/>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gridAfter w:val="1"/>
          <w:trHeight w:val="320"/>
        </w:trPr>
        <w:tc>
          <w:tcPr>
            <w:tcW w:w="2146" w:type="dxa"/>
            <w:gridSpan w:val="3"/>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23" w:firstLine="0"/>
              <w:jc w:val="center"/>
            </w:pPr>
            <w:r>
              <w:rPr>
                <w:b/>
              </w:rPr>
              <w:t>Категория</w:t>
            </w:r>
          </w:p>
        </w:tc>
        <w:tc>
          <w:tcPr>
            <w:tcW w:w="8051"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22" w:firstLine="0"/>
              <w:jc w:val="center"/>
            </w:pPr>
            <w:r>
              <w:rPr>
                <w:b/>
              </w:rPr>
              <w:t>Примечания</w:t>
            </w:r>
          </w:p>
        </w:tc>
      </w:tr>
      <w:tr w:rsidR="00D27BC6">
        <w:trPr>
          <w:gridAfter w:val="1"/>
          <w:trHeight w:val="913"/>
        </w:trPr>
        <w:tc>
          <w:tcPr>
            <w:tcW w:w="46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14" w:right="0" w:firstLine="0"/>
              <w:jc w:val="left"/>
            </w:pPr>
            <w:r>
              <w:t>A</w:t>
            </w:r>
          </w:p>
        </w:tc>
        <w:tc>
          <w:tcPr>
            <w:tcW w:w="1682"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Операция возможна</w:t>
            </w:r>
          </w:p>
        </w:tc>
        <w:tc>
          <w:tcPr>
            <w:tcW w:w="8051"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Нет никаких причин медицинского характера, заставляющих отказать в стерилизации</w:t>
            </w:r>
          </w:p>
        </w:tc>
      </w:tr>
      <w:tr w:rsidR="00D27BC6">
        <w:trPr>
          <w:gridAfter w:val="1"/>
          <w:trHeight w:val="913"/>
        </w:trPr>
        <w:tc>
          <w:tcPr>
            <w:tcW w:w="46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17" w:right="0" w:firstLine="0"/>
              <w:jc w:val="left"/>
            </w:pPr>
            <w:r>
              <w:t>C</w:t>
            </w:r>
          </w:p>
        </w:tc>
        <w:tc>
          <w:tcPr>
            <w:tcW w:w="1682"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42" w:firstLine="0"/>
              <w:jc w:val="left"/>
            </w:pPr>
            <w:r>
              <w:t>Операцию можно провести, но с осторожностью</w:t>
            </w:r>
          </w:p>
        </w:tc>
        <w:tc>
          <w:tcPr>
            <w:tcW w:w="8051"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Операцию выполняют в плановом порядке, но с более тщательной подготовкой, принятием определенных мер предосторожности и проведением консультаций</w:t>
            </w:r>
          </w:p>
        </w:tc>
      </w:tr>
      <w:tr w:rsidR="00D27BC6">
        <w:trPr>
          <w:gridAfter w:val="1"/>
          <w:trHeight w:val="913"/>
        </w:trPr>
        <w:tc>
          <w:tcPr>
            <w:tcW w:w="46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09" w:right="0" w:firstLine="0"/>
              <w:jc w:val="left"/>
            </w:pPr>
            <w:r>
              <w:t>D</w:t>
            </w:r>
          </w:p>
        </w:tc>
        <w:tc>
          <w:tcPr>
            <w:tcW w:w="1682"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Операцию следует отложить</w:t>
            </w:r>
          </w:p>
        </w:tc>
        <w:tc>
          <w:tcPr>
            <w:tcW w:w="8051"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Операцию откладывают до тех пор, пока не будет уточнен диагноз, проведено лечение или пока состояние больной не изменится. На некоторое время можно предложить другой метод контрацепции</w:t>
            </w:r>
          </w:p>
        </w:tc>
      </w:tr>
      <w:tr w:rsidR="00D27BC6">
        <w:trPr>
          <w:gridAfter w:val="1"/>
          <w:trHeight w:val="1747"/>
        </w:trPr>
        <w:tc>
          <w:tcPr>
            <w:tcW w:w="46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26" w:right="0" w:firstLine="0"/>
              <w:jc w:val="left"/>
            </w:pPr>
            <w:r>
              <w:t>S</w:t>
            </w:r>
          </w:p>
        </w:tc>
        <w:tc>
          <w:tcPr>
            <w:tcW w:w="1682"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Необходимы особые условия</w:t>
            </w:r>
          </w:p>
        </w:tc>
        <w:tc>
          <w:tcPr>
            <w:tcW w:w="8051"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113" w:line="236" w:lineRule="auto"/>
              <w:ind w:left="0" w:right="111" w:firstLine="0"/>
              <w:jc w:val="left"/>
            </w:pPr>
            <w:r>
              <w:t xml:space="preserve">Операция возможна только при достаточном опыте хирурга и прочего персонала и хорошей оснащенности медицинского учреждения (в том числе наличии оборудования для общей анестезии). Следует определиться с наиболее подходящими для пациента методикой операции и </w:t>
            </w:r>
            <w:r>
              <w:t>методом обезболивания.</w:t>
            </w:r>
          </w:p>
          <w:p w:rsidR="00D27BC6" w:rsidRDefault="004D5071">
            <w:pPr>
              <w:spacing w:after="0" w:line="259" w:lineRule="auto"/>
              <w:ind w:left="0" w:right="16" w:firstLine="0"/>
              <w:jc w:val="left"/>
            </w:pPr>
            <w:r>
              <w:t>Если больной необходимы дополнительные консультации или операция откладывается по иным причинам, на некоторое время можно предложить другой метод контрацепции.</w:t>
            </w:r>
          </w:p>
        </w:tc>
      </w:tr>
    </w:tbl>
    <w:p w:rsidR="00D27BC6" w:rsidRDefault="004D5071">
      <w:pPr>
        <w:pStyle w:val="Heading2"/>
        <w:ind w:left="-3"/>
      </w:pPr>
      <w:r>
        <w:t>Допустимость применения методов контрацепции по категориям в зависимости от состояния пациентки</w:t>
      </w:r>
    </w:p>
    <w:tbl>
      <w:tblPr>
        <w:tblStyle w:val="TableGrid"/>
        <w:tblW w:w="10191" w:type="dxa"/>
        <w:tblInd w:w="9" w:type="dxa"/>
        <w:tblCellMar>
          <w:top w:w="66" w:type="dxa"/>
          <w:left w:w="57" w:type="dxa"/>
          <w:bottom w:w="0" w:type="dxa"/>
          <w:right w:w="13" w:type="dxa"/>
        </w:tblCellMar>
        <w:tblLook w:val="04A0" w:firstRow="1" w:lastRow="0" w:firstColumn="1" w:lastColumn="0" w:noHBand="0" w:noVBand="1"/>
      </w:tblPr>
      <w:tblGrid>
        <w:gridCol w:w="1637"/>
        <w:gridCol w:w="611"/>
        <w:gridCol w:w="611"/>
        <w:gridCol w:w="611"/>
        <w:gridCol w:w="611"/>
        <w:gridCol w:w="611"/>
        <w:gridCol w:w="611"/>
        <w:gridCol w:w="611"/>
        <w:gridCol w:w="611"/>
        <w:gridCol w:w="611"/>
        <w:gridCol w:w="611"/>
        <w:gridCol w:w="611"/>
        <w:gridCol w:w="611"/>
        <w:gridCol w:w="611"/>
        <w:gridCol w:w="611"/>
      </w:tblGrid>
      <w:tr w:rsidR="00D27BC6">
        <w:trPr>
          <w:trHeight w:val="673"/>
        </w:trPr>
        <w:tc>
          <w:tcPr>
            <w:tcW w:w="163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Категория больных</w:t>
            </w:r>
          </w:p>
        </w:tc>
        <w:tc>
          <w:tcPr>
            <w:tcW w:w="61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44" w:firstLine="0"/>
              <w:jc w:val="center"/>
            </w:pPr>
            <w:r>
              <w:rPr>
                <w:b/>
                <w:sz w:val="18"/>
              </w:rPr>
              <w:t>КОК</w:t>
            </w:r>
          </w:p>
        </w:tc>
        <w:tc>
          <w:tcPr>
            <w:tcW w:w="61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87" w:right="0" w:firstLine="0"/>
              <w:jc w:val="left"/>
            </w:pPr>
            <w:r>
              <w:rPr>
                <w:b/>
                <w:sz w:val="18"/>
              </w:rPr>
              <w:t>КГКП</w:t>
            </w:r>
          </w:p>
        </w:tc>
        <w:tc>
          <w:tcPr>
            <w:tcW w:w="61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49" w:right="0" w:firstLine="0"/>
              <w:jc w:val="left"/>
            </w:pPr>
            <w:r>
              <w:rPr>
                <w:b/>
                <w:sz w:val="18"/>
              </w:rPr>
              <w:t>КГКВК</w:t>
            </w:r>
          </w:p>
        </w:tc>
        <w:tc>
          <w:tcPr>
            <w:tcW w:w="61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87" w:right="0" w:firstLine="0"/>
              <w:jc w:val="left"/>
            </w:pPr>
            <w:r>
              <w:rPr>
                <w:b/>
                <w:sz w:val="18"/>
              </w:rPr>
              <w:t>КГИК</w:t>
            </w:r>
          </w:p>
        </w:tc>
        <w:tc>
          <w:tcPr>
            <w:tcW w:w="61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111" w:right="0" w:firstLine="0"/>
              <w:jc w:val="left"/>
            </w:pPr>
            <w:r>
              <w:rPr>
                <w:b/>
                <w:sz w:val="18"/>
              </w:rPr>
              <w:t>ППП</w:t>
            </w:r>
          </w:p>
        </w:tc>
        <w:tc>
          <w:tcPr>
            <w:tcW w:w="611"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sz w:val="18"/>
              </w:rPr>
              <w:t>МПАД/ НЭСЭ</w:t>
            </w:r>
          </w:p>
        </w:tc>
        <w:tc>
          <w:tcPr>
            <w:tcW w:w="61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14" w:right="0" w:firstLine="0"/>
              <w:jc w:val="left"/>
            </w:pPr>
            <w:r>
              <w:rPr>
                <w:b/>
                <w:sz w:val="18"/>
              </w:rPr>
              <w:t>ЛНГ/ ЭГ</w:t>
            </w:r>
          </w:p>
        </w:tc>
        <w:tc>
          <w:tcPr>
            <w:tcW w:w="61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87" w:right="0" w:firstLine="0"/>
              <w:jc w:val="left"/>
            </w:pPr>
            <w:r>
              <w:rPr>
                <w:b/>
                <w:sz w:val="18"/>
              </w:rPr>
              <w:t>КОКЭ</w:t>
            </w:r>
          </w:p>
        </w:tc>
        <w:tc>
          <w:tcPr>
            <w:tcW w:w="61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87" w:right="0" w:firstLine="0"/>
              <w:jc w:val="left"/>
            </w:pPr>
            <w:r>
              <w:rPr>
                <w:b/>
                <w:sz w:val="18"/>
              </w:rPr>
              <w:t>ЛНГЭ</w:t>
            </w:r>
          </w:p>
        </w:tc>
        <w:tc>
          <w:tcPr>
            <w:tcW w:w="61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43" w:firstLine="0"/>
              <w:jc w:val="center"/>
            </w:pPr>
            <w:r>
              <w:rPr>
                <w:b/>
                <w:sz w:val="18"/>
              </w:rPr>
              <w:t>УА</w:t>
            </w:r>
          </w:p>
        </w:tc>
        <w:tc>
          <w:tcPr>
            <w:tcW w:w="61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pPr>
            <w:r>
              <w:rPr>
                <w:b/>
                <w:sz w:val="18"/>
              </w:rPr>
              <w:t>Cu- ВМС</w:t>
            </w:r>
          </w:p>
        </w:tc>
        <w:tc>
          <w:tcPr>
            <w:tcW w:w="611"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3" w:line="259" w:lineRule="auto"/>
              <w:ind w:left="0" w:right="43" w:firstLine="0"/>
              <w:jc w:val="center"/>
            </w:pPr>
            <w:r>
              <w:rPr>
                <w:b/>
                <w:sz w:val="18"/>
              </w:rPr>
              <w:t xml:space="preserve">ЛНГ- </w:t>
            </w:r>
          </w:p>
          <w:p w:rsidR="00D27BC6" w:rsidRDefault="004D5071">
            <w:pPr>
              <w:spacing w:after="0" w:line="259" w:lineRule="auto"/>
              <w:ind w:left="113" w:right="0" w:firstLine="0"/>
              <w:jc w:val="left"/>
            </w:pPr>
            <w:r>
              <w:rPr>
                <w:b/>
                <w:sz w:val="18"/>
              </w:rPr>
              <w:t>ВМС</w:t>
            </w:r>
          </w:p>
        </w:tc>
        <w:tc>
          <w:tcPr>
            <w:tcW w:w="61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43" w:firstLine="0"/>
              <w:jc w:val="center"/>
            </w:pPr>
            <w:r>
              <w:rPr>
                <w:b/>
                <w:sz w:val="18"/>
              </w:rPr>
              <w:t>БМ</w:t>
            </w:r>
          </w:p>
        </w:tc>
        <w:tc>
          <w:tcPr>
            <w:tcW w:w="61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43" w:firstLine="0"/>
              <w:jc w:val="center"/>
            </w:pPr>
            <w:r>
              <w:rPr>
                <w:b/>
                <w:sz w:val="18"/>
              </w:rPr>
              <w:t>ХС</w:t>
            </w:r>
          </w:p>
        </w:tc>
      </w:tr>
      <w:tr w:rsidR="00D27BC6">
        <w:trPr>
          <w:trHeight w:val="1209"/>
        </w:trPr>
        <w:tc>
          <w:tcPr>
            <w:tcW w:w="16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Гестационный СД в анамнезе</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4"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4"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4"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4"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4"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3"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3"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41" w:right="0" w:firstLine="0"/>
              <w:jc w:val="left"/>
            </w:pPr>
            <w:r>
              <w:t>нд</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41" w:right="0" w:firstLine="0"/>
              <w:jc w:val="left"/>
            </w:pPr>
            <w:r>
              <w:t>нд</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42" w:right="0" w:firstLine="0"/>
              <w:jc w:val="left"/>
            </w:pPr>
            <w:r>
              <w:t>нд</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3"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3"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3"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88" w:right="0" w:firstLine="0"/>
              <w:jc w:val="left"/>
            </w:pPr>
            <w:r>
              <w:t>A</w:t>
            </w:r>
          </w:p>
        </w:tc>
      </w:tr>
      <w:tr w:rsidR="00D27BC6">
        <w:trPr>
          <w:trHeight w:val="1209"/>
        </w:trPr>
        <w:tc>
          <w:tcPr>
            <w:tcW w:w="16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СД 1 типа </w:t>
            </w:r>
          </w:p>
          <w:p w:rsidR="00D27BC6" w:rsidRDefault="004D5071">
            <w:pPr>
              <w:spacing w:after="0" w:line="259" w:lineRule="auto"/>
              <w:ind w:left="0" w:right="0" w:firstLine="0"/>
              <w:jc w:val="left"/>
            </w:pPr>
            <w:r>
              <w:t>БЕЗ сосудистых осложнений</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3"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3"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3"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3"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3"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3"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3"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42" w:right="0" w:firstLine="0"/>
              <w:jc w:val="left"/>
            </w:pPr>
            <w:r>
              <w:t>нд</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42" w:right="0" w:firstLine="0"/>
              <w:jc w:val="left"/>
            </w:pPr>
            <w:r>
              <w:t>нд</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42" w:right="0" w:firstLine="0"/>
              <w:jc w:val="left"/>
            </w:pPr>
            <w:r>
              <w:t>нд</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2"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2"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2"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2" w:firstLine="0"/>
              <w:jc w:val="center"/>
            </w:pPr>
            <w:r>
              <w:t>C</w:t>
            </w:r>
          </w:p>
        </w:tc>
      </w:tr>
      <w:tr w:rsidR="00D27BC6">
        <w:trPr>
          <w:trHeight w:val="1209"/>
        </w:trPr>
        <w:tc>
          <w:tcPr>
            <w:tcW w:w="16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 xml:space="preserve">СД 2 типа </w:t>
            </w:r>
          </w:p>
          <w:p w:rsidR="00D27BC6" w:rsidRDefault="004D5071">
            <w:pPr>
              <w:spacing w:after="0" w:line="259" w:lineRule="auto"/>
              <w:ind w:left="1" w:right="0" w:firstLine="0"/>
              <w:jc w:val="left"/>
            </w:pPr>
            <w:r>
              <w:t>БЕЗ сосудистых осложнений</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2"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2"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2"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2"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2"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2"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2"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42" w:right="0" w:firstLine="0"/>
              <w:jc w:val="left"/>
            </w:pPr>
            <w:r>
              <w:t>нд</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42" w:right="0" w:firstLine="0"/>
              <w:jc w:val="left"/>
            </w:pPr>
            <w:r>
              <w:t>нд</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42" w:right="0" w:firstLine="0"/>
              <w:jc w:val="left"/>
            </w:pPr>
            <w:r>
              <w:t>нд</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2"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2"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1"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2" w:firstLine="0"/>
              <w:jc w:val="center"/>
            </w:pPr>
            <w:r>
              <w:t>C</w:t>
            </w:r>
          </w:p>
        </w:tc>
      </w:tr>
      <w:tr w:rsidR="00D27BC6">
        <w:trPr>
          <w:trHeight w:val="1209"/>
        </w:trPr>
        <w:tc>
          <w:tcPr>
            <w:tcW w:w="16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99" w:firstLine="0"/>
              <w:jc w:val="left"/>
            </w:pPr>
            <w:r>
              <w:t>СД в сочетании с нейропатией/ ретино-патией/ нефропатией</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13" w:right="0" w:firstLine="0"/>
              <w:jc w:val="left"/>
            </w:pPr>
            <w:r>
              <w:t>3/4</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13" w:right="0" w:firstLine="0"/>
              <w:jc w:val="left"/>
            </w:pPr>
            <w:r>
              <w:t>3/4</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13" w:right="0" w:firstLine="0"/>
              <w:jc w:val="left"/>
            </w:pPr>
            <w:r>
              <w:t>3/4</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13" w:right="0" w:firstLine="0"/>
              <w:jc w:val="left"/>
            </w:pPr>
            <w:r>
              <w:t>3/4</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1"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1" w:firstLine="0"/>
              <w:jc w:val="center"/>
            </w:pPr>
            <w:r>
              <w:t>3</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1"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43" w:right="0" w:firstLine="0"/>
              <w:jc w:val="left"/>
            </w:pPr>
            <w:r>
              <w:t>нд</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43" w:right="0" w:firstLine="0"/>
              <w:jc w:val="left"/>
            </w:pPr>
            <w:r>
              <w:t>нд</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43" w:right="0" w:firstLine="0"/>
              <w:jc w:val="left"/>
            </w:pPr>
            <w:r>
              <w:t>нд</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1"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1"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1"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1" w:firstLine="0"/>
              <w:jc w:val="center"/>
            </w:pPr>
            <w:r>
              <w:t>S</w:t>
            </w:r>
          </w:p>
        </w:tc>
      </w:tr>
      <w:tr w:rsidR="00D27BC6">
        <w:trPr>
          <w:trHeight w:val="1760"/>
        </w:trPr>
        <w:tc>
          <w:tcPr>
            <w:tcW w:w="16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2" w:firstLine="0"/>
              <w:jc w:val="left"/>
            </w:pPr>
            <w:r>
              <w:t>СД продолжительностью  более 20 лет либо наличие  макрососудистых осложнений</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14" w:right="0" w:firstLine="0"/>
              <w:jc w:val="left"/>
            </w:pPr>
            <w:r>
              <w:t>3/4</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14" w:right="0" w:firstLine="0"/>
              <w:jc w:val="left"/>
            </w:pPr>
            <w:r>
              <w:t>3/4</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14" w:right="0" w:firstLine="0"/>
              <w:jc w:val="left"/>
            </w:pPr>
            <w:r>
              <w:t>3/4</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14" w:right="0" w:firstLine="0"/>
              <w:jc w:val="left"/>
            </w:pPr>
            <w:r>
              <w:t>3/4</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0"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0" w:firstLine="0"/>
              <w:jc w:val="center"/>
            </w:pPr>
            <w:r>
              <w:t>3</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0"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43" w:right="0" w:firstLine="0"/>
              <w:jc w:val="left"/>
            </w:pPr>
            <w:r>
              <w:t>нд</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43" w:right="0" w:firstLine="0"/>
              <w:jc w:val="left"/>
            </w:pPr>
            <w:r>
              <w:t>нд</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43" w:right="0" w:firstLine="0"/>
              <w:jc w:val="left"/>
            </w:pPr>
            <w:r>
              <w:t>нд</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0"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0" w:firstLine="0"/>
              <w:jc w:val="center"/>
            </w:pPr>
            <w:r>
              <w:t>2</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9" w:firstLine="0"/>
              <w:jc w:val="center"/>
            </w:pPr>
            <w:r>
              <w:t>1</w:t>
            </w:r>
          </w:p>
        </w:tc>
        <w:tc>
          <w:tcPr>
            <w:tcW w:w="61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9" w:firstLine="0"/>
              <w:jc w:val="center"/>
            </w:pPr>
            <w:r>
              <w:t>S</w:t>
            </w:r>
          </w:p>
        </w:tc>
      </w:tr>
    </w:tbl>
    <w:p w:rsidR="00D27BC6" w:rsidRDefault="004D5071">
      <w:pPr>
        <w:spacing w:after="4"/>
        <w:ind w:left="-3" w:right="0"/>
      </w:pPr>
      <w:r>
        <w:rPr>
          <w:b/>
          <w:sz w:val="16"/>
        </w:rPr>
        <w:t xml:space="preserve">Примечания: </w:t>
      </w:r>
      <w:r>
        <w:rPr>
          <w:sz w:val="16"/>
        </w:rPr>
        <w:t>КОК – комбинированные оральные контрацептивы; КГКП – комбинированные гормональные контрацептивные пластыри; КГКВК – комбинированное гормональное контрацептивное вагинальное кольцо; КГИК – комбинированный гормональный инъекционный контрацептив; ППП –перорал</w:t>
      </w:r>
      <w:r>
        <w:rPr>
          <w:sz w:val="16"/>
        </w:rPr>
        <w:t>ьные прогестагенные препараты; МПАД – медроксипрогестерона ацетата депо; НЭСЭ – норэтистерона энантат в инъекционной форме; ЛНГ/ЭТ – имплант, содержащий левоноргестрел или этоногестрел; КОКЭ – КОК для экстренной контрацепции; ЛНГЭ – левоноргестрел для экст</w:t>
      </w:r>
      <w:r>
        <w:rPr>
          <w:sz w:val="16"/>
        </w:rPr>
        <w:t xml:space="preserve">ренной контрацепции; УА – улипристала ацетат для экстренной контрацепции; нд – нет данных; Cu-ВМС – медь-содержащее внутриматочное средство; ЛНГ-ВМС – левоноргестрел-высвобождающая внутриматочная контрацептивная система; БМ – барьерные методы контрацепции </w:t>
      </w:r>
      <w:r>
        <w:rPr>
          <w:sz w:val="16"/>
        </w:rPr>
        <w:t>(презервативы, спермициды, диафрагмы); ХС – хирургическая стерилизация.</w:t>
      </w:r>
    </w:p>
    <w:p w:rsidR="00D27BC6" w:rsidRDefault="004D5071">
      <w:pPr>
        <w:pStyle w:val="Heading2"/>
        <w:ind w:left="-3"/>
      </w:pPr>
      <w:r>
        <w:t>Выбор метода контрацепции</w:t>
      </w:r>
    </w:p>
    <w:tbl>
      <w:tblPr>
        <w:tblStyle w:val="TableGrid"/>
        <w:tblW w:w="10191" w:type="dxa"/>
        <w:tblInd w:w="9" w:type="dxa"/>
        <w:tblCellMar>
          <w:top w:w="9" w:type="dxa"/>
          <w:left w:w="56" w:type="dxa"/>
          <w:bottom w:w="0" w:type="dxa"/>
          <w:right w:w="65" w:type="dxa"/>
        </w:tblCellMar>
        <w:tblLook w:val="04A0" w:firstRow="1" w:lastRow="0" w:firstColumn="1" w:lastColumn="0" w:noHBand="0" w:noVBand="1"/>
      </w:tblPr>
      <w:tblGrid>
        <w:gridCol w:w="2969"/>
        <w:gridCol w:w="3855"/>
        <w:gridCol w:w="3366"/>
      </w:tblGrid>
      <w:tr w:rsidR="00D27BC6">
        <w:trPr>
          <w:trHeight w:val="320"/>
        </w:trPr>
        <w:tc>
          <w:tcPr>
            <w:tcW w:w="2969" w:type="dxa"/>
            <w:vMerge w:val="restart"/>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10" w:right="0" w:firstLine="0"/>
              <w:jc w:val="center"/>
            </w:pPr>
            <w:r>
              <w:rPr>
                <w:b/>
              </w:rPr>
              <w:t>Состояние здоровья женщины с СД</w:t>
            </w:r>
          </w:p>
        </w:tc>
        <w:tc>
          <w:tcPr>
            <w:tcW w:w="7221"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9" w:right="0" w:firstLine="0"/>
              <w:jc w:val="center"/>
            </w:pPr>
            <w:r>
              <w:rPr>
                <w:b/>
              </w:rPr>
              <w:t>Метод контрацепции</w:t>
            </w:r>
          </w:p>
        </w:tc>
      </w:tr>
      <w:tr w:rsidR="00D27BC6">
        <w:trPr>
          <w:trHeight w:val="32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385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9" w:right="0" w:firstLine="0"/>
              <w:jc w:val="center"/>
            </w:pPr>
            <w:r>
              <w:rPr>
                <w:b/>
              </w:rPr>
              <w:t>Таблетированные препараты</w:t>
            </w:r>
          </w:p>
        </w:tc>
        <w:tc>
          <w:tcPr>
            <w:tcW w:w="3366"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9" w:right="0" w:firstLine="0"/>
              <w:jc w:val="center"/>
            </w:pPr>
            <w:r>
              <w:rPr>
                <w:b/>
              </w:rPr>
              <w:t>Механические, местные</w:t>
            </w:r>
          </w:p>
        </w:tc>
      </w:tr>
      <w:tr w:rsidR="00D27BC6">
        <w:trPr>
          <w:trHeight w:val="2593"/>
        </w:trPr>
        <w:tc>
          <w:tcPr>
            <w:tcW w:w="296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Больные СД 1 типа, достигшие целей гликемического контроля, без выраженных сосудистых осложнений</w:t>
            </w:r>
          </w:p>
        </w:tc>
        <w:tc>
          <w:tcPr>
            <w:tcW w:w="385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04"/>
              </w:numPr>
              <w:spacing w:after="57" w:line="236" w:lineRule="auto"/>
              <w:ind w:right="165" w:hanging="170"/>
            </w:pPr>
            <w:r>
              <w:t>Эстрадиола валерат/диеногест (контрацептив с динамическим режимом дозирования и эстрадиолом, идентичным эндогенному);</w:t>
            </w:r>
          </w:p>
          <w:p w:rsidR="00D27BC6" w:rsidRDefault="004D5071">
            <w:pPr>
              <w:numPr>
                <w:ilvl w:val="0"/>
                <w:numId w:val="304"/>
              </w:numPr>
              <w:spacing w:after="57" w:line="236" w:lineRule="auto"/>
              <w:ind w:right="165" w:hanging="170"/>
            </w:pPr>
            <w:r>
              <w:t>Эстрадиол/номегестрол (контрацептив с мон</w:t>
            </w:r>
            <w:r>
              <w:t>офазным режимом дозирования, содержащий эстрадиол идентичный натуральному эндогенному эстрогену);</w:t>
            </w:r>
          </w:p>
          <w:p w:rsidR="00D27BC6" w:rsidRDefault="004D5071">
            <w:pPr>
              <w:numPr>
                <w:ilvl w:val="0"/>
                <w:numId w:val="304"/>
              </w:numPr>
              <w:spacing w:after="0" w:line="259" w:lineRule="auto"/>
              <w:ind w:right="165" w:hanging="170"/>
            </w:pPr>
            <w:r>
              <w:t xml:space="preserve">КОК с этинилэстрадиолом, низко- и микродозированные КОК. </w:t>
            </w:r>
          </w:p>
        </w:tc>
        <w:tc>
          <w:tcPr>
            <w:tcW w:w="3366"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33" w:line="259" w:lineRule="auto"/>
              <w:ind w:left="0" w:right="0" w:firstLine="0"/>
              <w:jc w:val="left"/>
            </w:pPr>
            <w:r>
              <w:t xml:space="preserve">• Гормональные рилизинг-системы: </w:t>
            </w:r>
          </w:p>
          <w:p w:rsidR="00D27BC6" w:rsidRDefault="004D5071">
            <w:pPr>
              <w:spacing w:after="0" w:line="259" w:lineRule="auto"/>
              <w:ind w:left="340" w:right="0" w:firstLine="0"/>
              <w:jc w:val="left"/>
            </w:pPr>
            <w:r>
              <w:t xml:space="preserve">а) имплантационные </w:t>
            </w:r>
          </w:p>
          <w:p w:rsidR="00D27BC6" w:rsidRDefault="004D5071">
            <w:pPr>
              <w:spacing w:after="90" w:line="259" w:lineRule="auto"/>
              <w:ind w:left="340" w:right="0" w:firstLine="0"/>
              <w:jc w:val="left"/>
            </w:pPr>
            <w:r>
              <w:t xml:space="preserve">(этоногестрел), </w:t>
            </w:r>
          </w:p>
          <w:p w:rsidR="00D27BC6" w:rsidRDefault="004D5071">
            <w:pPr>
              <w:spacing w:after="90" w:line="259" w:lineRule="auto"/>
              <w:ind w:left="340" w:right="0" w:firstLine="0"/>
              <w:jc w:val="left"/>
            </w:pPr>
            <w:r>
              <w:t xml:space="preserve">б) внутриматочные ( 19.5мг), </w:t>
            </w:r>
          </w:p>
          <w:p w:rsidR="00D27BC6" w:rsidRDefault="004D5071">
            <w:pPr>
              <w:spacing w:after="113" w:line="236" w:lineRule="auto"/>
              <w:ind w:left="340" w:right="0" w:firstLine="0"/>
              <w:jc w:val="left"/>
            </w:pPr>
            <w:r>
              <w:t xml:space="preserve">в) вагинальные (этинилэстрадиол + этоногестрел) – кольца интравагинальные прогестаген- и эстрогенсодержащие), </w:t>
            </w:r>
          </w:p>
          <w:p w:rsidR="00D27BC6" w:rsidRDefault="004D5071">
            <w:pPr>
              <w:spacing w:after="113" w:line="236" w:lineRule="auto"/>
              <w:ind w:left="340" w:right="0" w:firstLine="0"/>
              <w:jc w:val="left"/>
            </w:pPr>
            <w:r>
              <w:t>г) трансдермальные (этинилэстрадиол + норэлгестромин)</w:t>
            </w:r>
          </w:p>
          <w:p w:rsidR="00D27BC6" w:rsidRDefault="004D5071">
            <w:pPr>
              <w:spacing w:after="0" w:line="259" w:lineRule="auto"/>
              <w:ind w:left="0" w:right="0" w:firstLine="0"/>
              <w:jc w:val="left"/>
            </w:pPr>
            <w:r>
              <w:t>• Металлосодержащие ВМС</w:t>
            </w:r>
          </w:p>
        </w:tc>
      </w:tr>
      <w:tr w:rsidR="00D27BC6">
        <w:trPr>
          <w:trHeight w:val="4147"/>
        </w:trPr>
        <w:tc>
          <w:tcPr>
            <w:tcW w:w="296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Больные СД 2 типа, достигшие целей гликемического контроля, без выраженных сосудистых осложнений</w:t>
            </w:r>
          </w:p>
        </w:tc>
        <w:tc>
          <w:tcPr>
            <w:tcW w:w="385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05"/>
              </w:numPr>
              <w:spacing w:after="57" w:line="236" w:lineRule="auto"/>
              <w:ind w:right="137" w:hanging="170"/>
              <w:jc w:val="left"/>
            </w:pPr>
            <w:r>
              <w:t>Эстрадиола валерат/диеногест (контрацептив с динамическим режимом дозирования и эстрадиолом идентичным эндогенному);</w:t>
            </w:r>
          </w:p>
          <w:p w:rsidR="00D27BC6" w:rsidRDefault="004D5071">
            <w:pPr>
              <w:numPr>
                <w:ilvl w:val="0"/>
                <w:numId w:val="305"/>
              </w:numPr>
              <w:spacing w:after="57" w:line="236" w:lineRule="auto"/>
              <w:ind w:right="137" w:hanging="170"/>
              <w:jc w:val="left"/>
            </w:pPr>
            <w:r>
              <w:t>Эстрадиол/номегестрол (контрацептив с моно</w:t>
            </w:r>
            <w:r>
              <w:t>фазным режимом дозирования, содержащий эстрадиол идентичный натуральному эндогенному эстрогену);</w:t>
            </w:r>
          </w:p>
          <w:p w:rsidR="00D27BC6" w:rsidRDefault="004D5071">
            <w:pPr>
              <w:numPr>
                <w:ilvl w:val="0"/>
                <w:numId w:val="305"/>
              </w:numPr>
              <w:spacing w:after="57" w:line="236" w:lineRule="auto"/>
              <w:ind w:right="137" w:hanging="170"/>
              <w:jc w:val="left"/>
            </w:pPr>
            <w:r>
              <w:t>20 мкг этинилэстрадиола/ дроспиренон (+кальция левомефолат 0,451 мг);</w:t>
            </w:r>
          </w:p>
          <w:p w:rsidR="00D27BC6" w:rsidRDefault="004D5071">
            <w:pPr>
              <w:numPr>
                <w:ilvl w:val="0"/>
                <w:numId w:val="305"/>
              </w:numPr>
              <w:spacing w:after="0" w:line="259" w:lineRule="auto"/>
              <w:ind w:right="137" w:hanging="170"/>
              <w:jc w:val="left"/>
            </w:pPr>
            <w:r>
              <w:t xml:space="preserve">30 мкг этинилэстрадиола/ дроспиренон </w:t>
            </w:r>
          </w:p>
          <w:p w:rsidR="00D27BC6" w:rsidRDefault="004D5071">
            <w:pPr>
              <w:spacing w:after="33" w:line="259" w:lineRule="auto"/>
              <w:ind w:left="170" w:right="0" w:firstLine="0"/>
              <w:jc w:val="left"/>
            </w:pPr>
            <w:r>
              <w:t>(+кальция левомефолат 0,451 мг);</w:t>
            </w:r>
          </w:p>
          <w:p w:rsidR="00D27BC6" w:rsidRDefault="004D5071">
            <w:pPr>
              <w:numPr>
                <w:ilvl w:val="0"/>
                <w:numId w:val="305"/>
              </w:numPr>
              <w:spacing w:after="0" w:line="259" w:lineRule="auto"/>
              <w:ind w:right="137" w:hanging="170"/>
              <w:jc w:val="left"/>
            </w:pPr>
            <w:r>
              <w:t>КОК с эстрадиолом, низко- и микродозированные КОК, чистые прогестагены, содержащие 15–30 мкг этинилэстрадиола).</w:t>
            </w: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1633"/>
        </w:trPr>
        <w:tc>
          <w:tcPr>
            <w:tcW w:w="296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Больные СД 2 типа с гипертриглицеридемией и нарушениями функции печени</w:t>
            </w:r>
          </w:p>
        </w:tc>
        <w:tc>
          <w:tcPr>
            <w:tcW w:w="385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Не показаны</w:t>
            </w:r>
          </w:p>
        </w:tc>
        <w:tc>
          <w:tcPr>
            <w:tcW w:w="3366" w:type="dxa"/>
            <w:tcBorders>
              <w:top w:val="single" w:sz="6" w:space="0" w:color="000000"/>
              <w:left w:val="single" w:sz="6" w:space="0" w:color="000000"/>
              <w:bottom w:val="single" w:sz="6" w:space="0" w:color="000000"/>
              <w:right w:val="single" w:sz="6" w:space="0" w:color="000000"/>
            </w:tcBorders>
          </w:tcPr>
          <w:p w:rsidR="00D27BC6" w:rsidRDefault="004D5071">
            <w:pPr>
              <w:spacing w:after="90" w:line="259" w:lineRule="auto"/>
              <w:ind w:left="0" w:right="0" w:firstLine="0"/>
              <w:jc w:val="left"/>
            </w:pPr>
            <w:r>
              <w:t xml:space="preserve">а) металлосодержащие ВМС: </w:t>
            </w:r>
          </w:p>
          <w:p w:rsidR="00D27BC6" w:rsidRDefault="004D5071">
            <w:pPr>
              <w:spacing w:after="0" w:line="259" w:lineRule="auto"/>
              <w:ind w:left="0" w:right="105" w:firstLine="0"/>
              <w:jc w:val="left"/>
            </w:pPr>
            <w:r>
              <w:t>б) гормональные рилизингсистемы (система внутриматочная терапевтическая, 19.5 мг; система внутриматочная терапевтическая, 52 мг)</w:t>
            </w:r>
          </w:p>
        </w:tc>
      </w:tr>
      <w:tr w:rsidR="00D27BC6">
        <w:trPr>
          <w:trHeight w:val="2227"/>
        </w:trPr>
        <w:tc>
          <w:tcPr>
            <w:tcW w:w="296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36" w:lineRule="auto"/>
              <w:ind w:left="0" w:right="0" w:firstLine="0"/>
              <w:jc w:val="left"/>
            </w:pPr>
            <w:r>
              <w:t xml:space="preserve">Больные СД 1 типа и СД 2 типа, не достигшие целей </w:t>
            </w:r>
          </w:p>
          <w:p w:rsidR="00D27BC6" w:rsidRDefault="004D5071">
            <w:pPr>
              <w:spacing w:after="0" w:line="259" w:lineRule="auto"/>
              <w:ind w:left="0" w:right="0" w:firstLine="0"/>
              <w:jc w:val="left"/>
            </w:pPr>
            <w:r>
              <w:t>гликемического контроля и/или с выраженными сосудистыми осложнениями</w:t>
            </w:r>
          </w:p>
        </w:tc>
        <w:tc>
          <w:tcPr>
            <w:tcW w:w="385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Не показаны КОК и чистые прогестагены.</w:t>
            </w:r>
          </w:p>
        </w:tc>
        <w:tc>
          <w:tcPr>
            <w:tcW w:w="3366" w:type="dxa"/>
            <w:tcBorders>
              <w:top w:val="single" w:sz="6" w:space="0" w:color="000000"/>
              <w:left w:val="single" w:sz="6" w:space="0" w:color="000000"/>
              <w:bottom w:val="single" w:sz="6" w:space="0" w:color="000000"/>
              <w:right w:val="single" w:sz="6" w:space="0" w:color="000000"/>
            </w:tcBorders>
          </w:tcPr>
          <w:p w:rsidR="00D27BC6" w:rsidRDefault="004D5071">
            <w:pPr>
              <w:spacing w:after="90" w:line="259" w:lineRule="auto"/>
              <w:ind w:left="0" w:right="0" w:firstLine="0"/>
              <w:jc w:val="left"/>
            </w:pPr>
            <w:r>
              <w:t xml:space="preserve">а) металлосодержащие ВМС: </w:t>
            </w:r>
          </w:p>
          <w:p w:rsidR="00D27BC6" w:rsidRDefault="004D5071">
            <w:pPr>
              <w:spacing w:after="0" w:line="236" w:lineRule="auto"/>
              <w:ind w:left="0" w:right="105" w:firstLine="0"/>
              <w:jc w:val="left"/>
            </w:pPr>
            <w:r>
              <w:t xml:space="preserve">б) гормональные рилизингсистемы (система внутриматочная терапевтическая, 19.5 мг; система внутриматочная терапевтическая, </w:t>
            </w:r>
          </w:p>
          <w:p w:rsidR="00D27BC6" w:rsidRDefault="004D5071">
            <w:pPr>
              <w:spacing w:after="90" w:line="259" w:lineRule="auto"/>
              <w:ind w:left="0" w:right="0" w:firstLine="0"/>
              <w:jc w:val="left"/>
            </w:pPr>
            <w:r>
              <w:t>52 мг)</w:t>
            </w:r>
          </w:p>
          <w:p w:rsidR="00D27BC6" w:rsidRDefault="004D5071">
            <w:pPr>
              <w:spacing w:after="0" w:line="259" w:lineRule="auto"/>
              <w:ind w:left="0" w:right="0" w:firstLine="0"/>
              <w:jc w:val="left"/>
            </w:pPr>
            <w:r>
              <w:t>в) барьерные метода (спермициды, презерватив и др.)</w:t>
            </w:r>
          </w:p>
        </w:tc>
      </w:tr>
      <w:tr w:rsidR="00D27BC6">
        <w:trPr>
          <w:trHeight w:val="2712"/>
        </w:trPr>
        <w:tc>
          <w:tcPr>
            <w:tcW w:w="296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5" w:firstLine="0"/>
              <w:jc w:val="left"/>
            </w:pPr>
            <w:r>
              <w:t>Больные СД 1 типа, имеющие 2 и более детей и/или тяжелое течение основного заболевания</w:t>
            </w:r>
          </w:p>
        </w:tc>
        <w:tc>
          <w:tcPr>
            <w:tcW w:w="385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Не показаны</w:t>
            </w:r>
          </w:p>
        </w:tc>
        <w:tc>
          <w:tcPr>
            <w:tcW w:w="3366" w:type="dxa"/>
            <w:tcBorders>
              <w:top w:val="single" w:sz="6" w:space="0" w:color="000000"/>
              <w:left w:val="single" w:sz="6" w:space="0" w:color="000000"/>
              <w:bottom w:val="single" w:sz="6" w:space="0" w:color="000000"/>
              <w:right w:val="single" w:sz="6" w:space="0" w:color="000000"/>
            </w:tcBorders>
          </w:tcPr>
          <w:p w:rsidR="00D27BC6" w:rsidRDefault="004D5071">
            <w:pPr>
              <w:spacing w:after="33" w:line="259" w:lineRule="auto"/>
              <w:ind w:left="0" w:right="0" w:firstLine="0"/>
              <w:jc w:val="left"/>
            </w:pPr>
            <w:r>
              <w:t>а) металлосодержащие ВМС;</w:t>
            </w:r>
          </w:p>
          <w:p w:rsidR="00D27BC6" w:rsidRDefault="004D5071">
            <w:pPr>
              <w:spacing w:after="0" w:line="236" w:lineRule="auto"/>
              <w:ind w:left="0" w:right="105" w:firstLine="0"/>
              <w:jc w:val="left"/>
            </w:pPr>
            <w:r>
              <w:t xml:space="preserve">б) гормональные рилизингсистемы (система внутриматочная терапевтическая, 19.5 мг; система внутриматочная терапевтическая, </w:t>
            </w:r>
          </w:p>
          <w:p w:rsidR="00D27BC6" w:rsidRDefault="004D5071">
            <w:pPr>
              <w:spacing w:after="33" w:line="259" w:lineRule="auto"/>
              <w:ind w:left="0" w:right="0" w:firstLine="0"/>
              <w:jc w:val="left"/>
            </w:pPr>
            <w:r>
              <w:t>52 мг)</w:t>
            </w:r>
          </w:p>
          <w:p w:rsidR="00D27BC6" w:rsidRDefault="004D5071">
            <w:pPr>
              <w:spacing w:after="57" w:line="236" w:lineRule="auto"/>
              <w:ind w:left="0" w:right="0" w:firstLine="0"/>
              <w:jc w:val="left"/>
            </w:pPr>
            <w:r>
              <w:t>в</w:t>
            </w:r>
            <w:r>
              <w:t xml:space="preserve">) барьерные метода (спермициды, презерватив и др.), </w:t>
            </w:r>
          </w:p>
          <w:p w:rsidR="00D27BC6" w:rsidRDefault="004D5071">
            <w:pPr>
              <w:spacing w:after="0" w:line="259" w:lineRule="auto"/>
              <w:ind w:left="0" w:right="0" w:firstLine="0"/>
              <w:jc w:val="left"/>
            </w:pPr>
            <w:r>
              <w:t>г) добровольная хирургическая стерилизация</w:t>
            </w:r>
          </w:p>
        </w:tc>
      </w:tr>
    </w:tbl>
    <w:p w:rsidR="00D27BC6" w:rsidRDefault="004D5071">
      <w:pPr>
        <w:ind w:left="281" w:right="51"/>
        <w:jc w:val="left"/>
      </w:pPr>
      <w:r>
        <w:rPr>
          <w:b/>
        </w:rPr>
        <w:t>Больным СД не рекомендуются следующие методы контрацепции:</w:t>
      </w:r>
    </w:p>
    <w:p w:rsidR="00D27BC6" w:rsidRDefault="004D5071">
      <w:pPr>
        <w:numPr>
          <w:ilvl w:val="0"/>
          <w:numId w:val="141"/>
        </w:numPr>
        <w:ind w:left="568" w:right="0" w:hanging="283"/>
      </w:pPr>
      <w:r>
        <w:t>чистые прогестагены у больных СД 1 типа (кроме гормональных рилизинг-систем (система внутриматочная терапевтическая, 19.5 мг; система внутриматочная терапевтическая, 52 мг));</w:t>
      </w:r>
    </w:p>
    <w:p w:rsidR="00D27BC6" w:rsidRDefault="004D5071">
      <w:pPr>
        <w:numPr>
          <w:ilvl w:val="0"/>
          <w:numId w:val="141"/>
        </w:numPr>
        <w:ind w:left="568" w:right="0" w:hanging="283"/>
      </w:pPr>
      <w:r>
        <w:t>влагалищная диафрагма;</w:t>
      </w:r>
    </w:p>
    <w:p w:rsidR="00D27BC6" w:rsidRDefault="004D5071">
      <w:pPr>
        <w:numPr>
          <w:ilvl w:val="0"/>
          <w:numId w:val="141"/>
        </w:numPr>
        <w:spacing w:after="226"/>
        <w:ind w:left="568" w:right="0" w:hanging="283"/>
      </w:pPr>
      <w:r>
        <w:t>ритмический метод контрацепции.</w:t>
      </w:r>
    </w:p>
    <w:p w:rsidR="00D27BC6" w:rsidRDefault="004D5071">
      <w:pPr>
        <w:ind w:left="281" w:right="51"/>
        <w:jc w:val="left"/>
      </w:pPr>
      <w:r>
        <w:rPr>
          <w:b/>
        </w:rPr>
        <w:t>Негормональные методы контрацепции у больных СД</w:t>
      </w:r>
    </w:p>
    <w:p w:rsidR="00D27BC6" w:rsidRDefault="004D5071">
      <w:pPr>
        <w:numPr>
          <w:ilvl w:val="0"/>
          <w:numId w:val="141"/>
        </w:numPr>
        <w:ind w:left="568" w:right="0" w:hanging="283"/>
      </w:pPr>
      <w:r>
        <w:t>Больные СД могут успешно и безопасно применять барьерные методы контрацепции.</w:t>
      </w:r>
    </w:p>
    <w:p w:rsidR="00D27BC6" w:rsidRDefault="004D5071">
      <w:pPr>
        <w:numPr>
          <w:ilvl w:val="0"/>
          <w:numId w:val="141"/>
        </w:numPr>
        <w:spacing w:after="230"/>
        <w:ind w:left="568" w:right="0" w:hanging="283"/>
      </w:pPr>
      <w:r>
        <w:t>Хирургическая стерилизация у больных СД представляет собой эффективный метод контрацепции, однако само оперативное вмешательство у</w:t>
      </w:r>
      <w:r>
        <w:t xml:space="preserve"> больных СД даже в отсутствие сосудистых осложнений чревато более медленным заживлением операционной раны, а наличие таких осложнений повышает риск осложненного течения послеоперационного периода (в частности, инфекционных осложнений). В связи с этим, в сл</w:t>
      </w:r>
      <w:r>
        <w:t>учае решения использовать этот метод контрацепции рекомендуется назначение профилактических курсов антибиотиков.</w:t>
      </w:r>
    </w:p>
    <w:p w:rsidR="00D27BC6" w:rsidRDefault="004D5071">
      <w:pPr>
        <w:ind w:left="281" w:right="51"/>
        <w:jc w:val="left"/>
      </w:pPr>
      <w:r>
        <w:rPr>
          <w:b/>
        </w:rPr>
        <w:t>В период лактации рекомендуются следующие методы контрацепции:</w:t>
      </w:r>
    </w:p>
    <w:p w:rsidR="00D27BC6" w:rsidRDefault="004D5071">
      <w:pPr>
        <w:numPr>
          <w:ilvl w:val="0"/>
          <w:numId w:val="141"/>
        </w:numPr>
        <w:ind w:left="568" w:right="0" w:hanging="283"/>
      </w:pPr>
      <w:r>
        <w:t xml:space="preserve">дезогестрел, таблетки; </w:t>
      </w:r>
    </w:p>
    <w:p w:rsidR="00D27BC6" w:rsidRDefault="004D5071">
      <w:pPr>
        <w:numPr>
          <w:ilvl w:val="0"/>
          <w:numId w:val="141"/>
        </w:numPr>
        <w:ind w:left="568" w:right="0" w:hanging="283"/>
      </w:pPr>
      <w:r>
        <w:t>металлосодержащие ВМС – не ранее, чем через 6 недель пос</w:t>
      </w:r>
      <w:r>
        <w:t>ле родов;</w:t>
      </w:r>
    </w:p>
    <w:p w:rsidR="00D27BC6" w:rsidRDefault="004D5071">
      <w:pPr>
        <w:numPr>
          <w:ilvl w:val="0"/>
          <w:numId w:val="141"/>
        </w:numPr>
        <w:spacing w:after="335" w:line="231" w:lineRule="auto"/>
        <w:ind w:left="568" w:right="0" w:hanging="283"/>
      </w:pPr>
      <w:r>
        <w:t xml:space="preserve">гормональные рилизинг-системы (система внутриматочная терапевтическая, 19.5 мг; система внутриматочная терапевтическая, 52 мг)– не ранее, чем через 4 недели после родов; • </w:t>
      </w:r>
      <w:r>
        <w:tab/>
        <w:t xml:space="preserve">барьерные (презерватив, спермициды и др.). </w:t>
      </w:r>
    </w:p>
    <w:p w:rsidR="00D27BC6" w:rsidRDefault="004D5071">
      <w:pPr>
        <w:pStyle w:val="Heading1"/>
        <w:spacing w:after="324"/>
        <w:ind w:left="313" w:right="309"/>
      </w:pPr>
      <w:r>
        <w:t>20. САХАРНЫЙ ДИАБЕТ У ДЕТЕЙ И ПОДРОСТКОВ</w:t>
      </w:r>
    </w:p>
    <w:p w:rsidR="00D27BC6" w:rsidRDefault="004D5071">
      <w:pPr>
        <w:spacing w:after="226"/>
        <w:ind w:left="290" w:right="286"/>
        <w:jc w:val="center"/>
      </w:pPr>
      <w:r>
        <w:rPr>
          <w:b/>
        </w:rPr>
        <w:t>20.1. САХАРНЫЙ ДИАБЕТ 1 ТИПА</w:t>
      </w:r>
    </w:p>
    <w:p w:rsidR="00D27BC6" w:rsidRDefault="004D5071">
      <w:pPr>
        <w:pStyle w:val="Heading2"/>
        <w:ind w:left="-3"/>
      </w:pPr>
      <w:r>
        <w:t xml:space="preserve">Целевые показатели гликемического контроля в детском возрасте </w:t>
      </w:r>
    </w:p>
    <w:tbl>
      <w:tblPr>
        <w:tblStyle w:val="TableGrid"/>
        <w:tblW w:w="10185" w:type="dxa"/>
        <w:tblInd w:w="9" w:type="dxa"/>
        <w:tblCellMar>
          <w:top w:w="9" w:type="dxa"/>
          <w:left w:w="57" w:type="dxa"/>
          <w:bottom w:w="0" w:type="dxa"/>
          <w:right w:w="115" w:type="dxa"/>
        </w:tblCellMar>
        <w:tblLook w:val="04A0" w:firstRow="1" w:lastRow="0" w:firstColumn="1" w:lastColumn="0" w:noHBand="0" w:noVBand="1"/>
      </w:tblPr>
      <w:tblGrid>
        <w:gridCol w:w="2485"/>
        <w:gridCol w:w="3850"/>
        <w:gridCol w:w="3850"/>
      </w:tblGrid>
      <w:tr w:rsidR="00D27BC6">
        <w:trPr>
          <w:trHeight w:val="320"/>
        </w:trPr>
        <w:tc>
          <w:tcPr>
            <w:tcW w:w="2485"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Глюкоза плазмы (ммоль/л)</w:t>
            </w:r>
          </w:p>
        </w:tc>
        <w:tc>
          <w:tcPr>
            <w:tcW w:w="385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Натощак / перед едой</w:t>
            </w:r>
          </w:p>
        </w:tc>
        <w:tc>
          <w:tcPr>
            <w:tcW w:w="385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4,0–7,0</w:t>
            </w:r>
          </w:p>
        </w:tc>
      </w:tr>
      <w:tr w:rsidR="00D27BC6">
        <w:trPr>
          <w:trHeight w:val="32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385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Через 2 часа после еды</w:t>
            </w:r>
          </w:p>
        </w:tc>
        <w:tc>
          <w:tcPr>
            <w:tcW w:w="385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5,0–10,0</w:t>
            </w:r>
          </w:p>
        </w:tc>
      </w:tr>
      <w:tr w:rsidR="00D27BC6">
        <w:trPr>
          <w:trHeight w:val="32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385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На ночь / ночью</w:t>
            </w:r>
          </w:p>
        </w:tc>
        <w:tc>
          <w:tcPr>
            <w:tcW w:w="385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4,4–7,8</w:t>
            </w:r>
          </w:p>
        </w:tc>
      </w:tr>
      <w:tr w:rsidR="00D27BC6">
        <w:trPr>
          <w:trHeight w:val="320"/>
        </w:trPr>
        <w:tc>
          <w:tcPr>
            <w:tcW w:w="2485" w:type="dxa"/>
            <w:tcBorders>
              <w:top w:val="single" w:sz="6" w:space="0" w:color="000000"/>
              <w:left w:val="single" w:sz="6" w:space="0" w:color="000000"/>
              <w:bottom w:val="single" w:sz="6" w:space="0" w:color="000000"/>
              <w:right w:val="nil"/>
            </w:tcBorders>
            <w:shd w:val="clear" w:color="auto" w:fill="DADAD9"/>
          </w:tcPr>
          <w:p w:rsidR="00D27BC6" w:rsidRDefault="004D5071">
            <w:pPr>
              <w:spacing w:after="0" w:line="259" w:lineRule="auto"/>
              <w:ind w:left="0" w:right="0" w:firstLine="0"/>
              <w:jc w:val="left"/>
            </w:pPr>
            <w:r>
              <w:rPr>
                <w:b/>
              </w:rPr>
              <w:t>НbА1с</w:t>
            </w:r>
            <w:r>
              <w:rPr>
                <w:b/>
                <w:sz w:val="18"/>
                <w:vertAlign w:val="superscript"/>
              </w:rPr>
              <w:t>1</w:t>
            </w:r>
            <w:r>
              <w:rPr>
                <w:b/>
              </w:rPr>
              <w:t xml:space="preserve"> (%)</w:t>
            </w:r>
          </w:p>
        </w:tc>
        <w:tc>
          <w:tcPr>
            <w:tcW w:w="3850" w:type="dxa"/>
            <w:tcBorders>
              <w:top w:val="single" w:sz="6" w:space="0" w:color="000000"/>
              <w:left w:val="nil"/>
              <w:bottom w:val="single" w:sz="6" w:space="0" w:color="000000"/>
              <w:right w:val="single" w:sz="6" w:space="0" w:color="000000"/>
            </w:tcBorders>
            <w:shd w:val="clear" w:color="auto" w:fill="DADAD9"/>
          </w:tcPr>
          <w:p w:rsidR="00D27BC6" w:rsidRDefault="00D27BC6">
            <w:pPr>
              <w:spacing w:after="160" w:line="259" w:lineRule="auto"/>
              <w:ind w:left="0" w:right="0" w:firstLine="0"/>
              <w:jc w:val="left"/>
            </w:pPr>
          </w:p>
        </w:tc>
        <w:tc>
          <w:tcPr>
            <w:tcW w:w="385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&lt;7,0</w:t>
            </w:r>
            <w:r>
              <w:rPr>
                <w:sz w:val="18"/>
                <w:vertAlign w:val="superscript"/>
              </w:rPr>
              <w:t>2</w:t>
            </w:r>
          </w:p>
        </w:tc>
      </w:tr>
      <w:tr w:rsidR="00D27BC6">
        <w:trPr>
          <w:trHeight w:val="320"/>
        </w:trPr>
        <w:tc>
          <w:tcPr>
            <w:tcW w:w="2485" w:type="dxa"/>
            <w:tcBorders>
              <w:top w:val="single" w:sz="6" w:space="0" w:color="000000"/>
              <w:left w:val="single" w:sz="6" w:space="0" w:color="000000"/>
              <w:bottom w:val="single" w:sz="6" w:space="0" w:color="000000"/>
              <w:right w:val="nil"/>
            </w:tcBorders>
            <w:shd w:val="clear" w:color="auto" w:fill="DADAD9"/>
          </w:tcPr>
          <w:p w:rsidR="00D27BC6" w:rsidRDefault="004D5071">
            <w:pPr>
              <w:spacing w:after="0" w:line="259" w:lineRule="auto"/>
              <w:ind w:left="0" w:right="0" w:firstLine="0"/>
              <w:jc w:val="left"/>
            </w:pPr>
            <w:r>
              <w:rPr>
                <w:b/>
              </w:rPr>
              <w:t>НМГ</w:t>
            </w:r>
          </w:p>
        </w:tc>
        <w:tc>
          <w:tcPr>
            <w:tcW w:w="3850" w:type="dxa"/>
            <w:tcBorders>
              <w:top w:val="single" w:sz="6" w:space="0" w:color="000000"/>
              <w:left w:val="nil"/>
              <w:bottom w:val="single" w:sz="6" w:space="0" w:color="000000"/>
              <w:right w:val="single" w:sz="6" w:space="0" w:color="000000"/>
            </w:tcBorders>
            <w:shd w:val="clear" w:color="auto" w:fill="DADAD9"/>
          </w:tcPr>
          <w:p w:rsidR="00D27BC6" w:rsidRDefault="00D27BC6">
            <w:pPr>
              <w:spacing w:after="160" w:line="259" w:lineRule="auto"/>
              <w:ind w:left="0" w:right="0" w:firstLine="0"/>
              <w:jc w:val="left"/>
            </w:pPr>
          </w:p>
        </w:tc>
        <w:tc>
          <w:tcPr>
            <w:tcW w:w="385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см. раздел 3.1</w:t>
            </w:r>
          </w:p>
        </w:tc>
      </w:tr>
    </w:tbl>
    <w:p w:rsidR="00D27BC6" w:rsidRDefault="004D5071">
      <w:pPr>
        <w:numPr>
          <w:ilvl w:val="0"/>
          <w:numId w:val="142"/>
        </w:numPr>
        <w:spacing w:after="4"/>
        <w:ind w:right="0" w:hanging="93"/>
      </w:pPr>
      <w:r>
        <w:rPr>
          <w:sz w:val="16"/>
        </w:rPr>
        <w:t xml:space="preserve">Нормальный уровень в соответствии со стандартами </w:t>
      </w:r>
      <w:r>
        <w:t>DCCT: до 6%.</w:t>
      </w:r>
    </w:p>
    <w:p w:rsidR="00D27BC6" w:rsidRDefault="004D5071">
      <w:pPr>
        <w:numPr>
          <w:ilvl w:val="0"/>
          <w:numId w:val="142"/>
        </w:numPr>
        <w:spacing w:after="4"/>
        <w:ind w:right="0" w:hanging="93"/>
      </w:pPr>
      <w:r>
        <w:rPr>
          <w:sz w:val="16"/>
        </w:rPr>
        <w:t>Целевые уровни глюкозы крови, Н</w:t>
      </w:r>
      <w:r>
        <w:t>b</w:t>
      </w:r>
      <w:r>
        <w:rPr>
          <w:sz w:val="16"/>
        </w:rPr>
        <w:t xml:space="preserve">А1с и НМГ должны быть </w:t>
      </w:r>
      <w:r>
        <w:rPr>
          <w:b/>
          <w:sz w:val="16"/>
        </w:rPr>
        <w:t>индивидуализированы</w:t>
      </w:r>
      <w:r>
        <w:rPr>
          <w:sz w:val="16"/>
        </w:rPr>
        <w:t xml:space="preserve"> для каждого пациента:</w:t>
      </w:r>
    </w:p>
    <w:p w:rsidR="00D27BC6" w:rsidRDefault="004D5071">
      <w:pPr>
        <w:numPr>
          <w:ilvl w:val="0"/>
          <w:numId w:val="143"/>
        </w:numPr>
        <w:spacing w:after="4"/>
        <w:ind w:right="0" w:hanging="170"/>
      </w:pPr>
      <w:r>
        <w:rPr>
          <w:sz w:val="16"/>
        </w:rPr>
        <w:t>Более высокие показатели гликемии перед сном (4,0–10,0 ммоль/л) допустимы в случае предшествующих физических нагрузок, эпизодов гипогликемии или при нарушении распознавания гипогликемии.</w:t>
      </w:r>
    </w:p>
    <w:p w:rsidR="00D27BC6" w:rsidRDefault="004D5071">
      <w:pPr>
        <w:numPr>
          <w:ilvl w:val="0"/>
          <w:numId w:val="143"/>
        </w:numPr>
        <w:spacing w:after="4"/>
        <w:ind w:right="0" w:hanging="170"/>
      </w:pPr>
      <w:r>
        <w:rPr>
          <w:sz w:val="16"/>
        </w:rPr>
        <w:t>НbА1с &lt; 6,5% (&lt;48 ммоль/моль) рекомендуется в период частичной ремисс</w:t>
      </w:r>
      <w:r>
        <w:rPr>
          <w:sz w:val="16"/>
        </w:rPr>
        <w:t>ии (медового месяца) и в случае использования НМГ или систем автоматического введения инсулина в сочетании с необходимым уровнем обучения и наблюдения. Такой целевой уровень целесообразен только при отсутствии необоснованного риска тяжелой гипогликемии и с</w:t>
      </w:r>
      <w:r>
        <w:rPr>
          <w:sz w:val="16"/>
        </w:rPr>
        <w:t>нижения качества жизни ребенка и родителей;</w:t>
      </w:r>
    </w:p>
    <w:p w:rsidR="00D27BC6" w:rsidRDefault="004D5071">
      <w:pPr>
        <w:numPr>
          <w:ilvl w:val="0"/>
          <w:numId w:val="143"/>
        </w:numPr>
        <w:spacing w:after="4"/>
        <w:ind w:right="0" w:hanging="170"/>
      </w:pPr>
      <w:r>
        <w:rPr>
          <w:sz w:val="16"/>
        </w:rPr>
        <w:t>Более высокий уровень НbА1с (&lt;7,5%) целесообразен у детей, которые не могут сообщить о симптомах гипогликемии, с нарушением восприятия гипогликемии или тяжелой гипогликемией в анамнезе.</w:t>
      </w:r>
    </w:p>
    <w:p w:rsidR="00D27BC6" w:rsidRDefault="004D5071">
      <w:pPr>
        <w:spacing w:after="4"/>
        <w:ind w:left="-3" w:right="0"/>
      </w:pPr>
      <w:r>
        <w:rPr>
          <w:b/>
          <w:sz w:val="16"/>
        </w:rPr>
        <w:t>Примечание:</w:t>
      </w:r>
      <w:r>
        <w:rPr>
          <w:sz w:val="16"/>
        </w:rPr>
        <w:t xml:space="preserve"> необходимыми у</w:t>
      </w:r>
      <w:r>
        <w:rPr>
          <w:sz w:val="16"/>
        </w:rPr>
        <w:t>словиями достижения целевого уровня гликемического контроля являются:</w:t>
      </w:r>
    </w:p>
    <w:p w:rsidR="00D27BC6" w:rsidRDefault="004D5071">
      <w:pPr>
        <w:numPr>
          <w:ilvl w:val="0"/>
          <w:numId w:val="143"/>
        </w:numPr>
        <w:spacing w:after="4"/>
        <w:ind w:right="0" w:hanging="170"/>
      </w:pPr>
      <w:r>
        <w:rPr>
          <w:sz w:val="16"/>
        </w:rPr>
        <w:t>Регулярный контроль НbА1с.</w:t>
      </w:r>
    </w:p>
    <w:p w:rsidR="00D27BC6" w:rsidRDefault="004D5071">
      <w:pPr>
        <w:numPr>
          <w:ilvl w:val="0"/>
          <w:numId w:val="143"/>
        </w:numPr>
        <w:spacing w:after="4"/>
        <w:ind w:right="0" w:hanging="170"/>
      </w:pPr>
      <w:r>
        <w:rPr>
          <w:sz w:val="16"/>
        </w:rPr>
        <w:t>Использование непрерывного мониторинга или регулярный самоконтроль гликемии не менее 6 раз в сутки.</w:t>
      </w:r>
    </w:p>
    <w:p w:rsidR="00D27BC6" w:rsidRDefault="004D5071">
      <w:pPr>
        <w:numPr>
          <w:ilvl w:val="0"/>
          <w:numId w:val="143"/>
        </w:numPr>
        <w:spacing w:after="259"/>
        <w:ind w:right="0" w:hanging="170"/>
      </w:pPr>
      <w:r>
        <w:rPr>
          <w:sz w:val="16"/>
        </w:rPr>
        <w:t>Регулярная оценка и коррекция лечения.</w:t>
      </w:r>
    </w:p>
    <w:p w:rsidR="00D27BC6" w:rsidRDefault="004D5071">
      <w:pPr>
        <w:spacing w:after="10"/>
        <w:ind w:left="162" w:right="156"/>
        <w:jc w:val="center"/>
      </w:pPr>
      <w:r>
        <w:rPr>
          <w:b/>
          <w:color w:val="1E5D99"/>
        </w:rPr>
        <w:t xml:space="preserve">Рекомендации по оценке гликемического контроля  </w:t>
      </w:r>
    </w:p>
    <w:p w:rsidR="00D27BC6" w:rsidRDefault="004D5071">
      <w:pPr>
        <w:pStyle w:val="Heading3"/>
        <w:ind w:left="162" w:right="156"/>
      </w:pPr>
      <w:r>
        <w:t>(ISPAD, 2024 с дополнениями)</w:t>
      </w:r>
    </w:p>
    <w:p w:rsidR="00D27BC6" w:rsidRDefault="004D5071">
      <w:pPr>
        <w:numPr>
          <w:ilvl w:val="0"/>
          <w:numId w:val="144"/>
        </w:numPr>
        <w:ind w:right="0" w:hanging="283"/>
      </w:pPr>
      <w:r>
        <w:t>Пациентам, находящимся на интенсифицированной инсулинотерапии или на терапии с помощью инсулиновой помпы, рекомендуется проводить исследование гликемии не менее 6 раз в сутки.</w:t>
      </w:r>
    </w:p>
    <w:p w:rsidR="00D27BC6" w:rsidRDefault="004D5071">
      <w:pPr>
        <w:numPr>
          <w:ilvl w:val="0"/>
          <w:numId w:val="144"/>
        </w:numPr>
        <w:ind w:right="0" w:hanging="283"/>
      </w:pPr>
      <w:r>
        <w:t>При использовании непрерывного мониторинга глюкозы частота контроля гликемии может быть меньше (4 раза в сутки при использовании НМГ в реальном времени и 2 раза в сутки при использовании ФМГ).</w:t>
      </w:r>
    </w:p>
    <w:p w:rsidR="00D27BC6" w:rsidRDefault="004D5071">
      <w:pPr>
        <w:numPr>
          <w:ilvl w:val="0"/>
          <w:numId w:val="144"/>
        </w:numPr>
        <w:ind w:right="0" w:hanging="283"/>
      </w:pPr>
      <w:r>
        <w:t>Количество исследований гликемии может повышаться при подборе д</w:t>
      </w:r>
      <w:r>
        <w:t>озы инсулина у пациентов с недостижением целевых уровней гликемического контроля, при стрессах, интеркуррентных заболеваниях и физических нагрузках.</w:t>
      </w:r>
    </w:p>
    <w:p w:rsidR="00D27BC6" w:rsidRDefault="004D5071">
      <w:pPr>
        <w:numPr>
          <w:ilvl w:val="0"/>
          <w:numId w:val="144"/>
        </w:numPr>
        <w:ind w:right="0" w:hanging="283"/>
      </w:pPr>
      <w:r>
        <w:t>Исследование кетоновых тел в крови или моче должно проводиться при заболеваниях с повышением температуры и/</w:t>
      </w:r>
      <w:r>
        <w:t>или рвотой, при плохом самочувствии и уровне глюкозы плазмы выше 14 ммоль/л, особенно на помповой инсулинотерапии, при полиурии, сонливости, болях в животе, одышке.</w:t>
      </w:r>
    </w:p>
    <w:p w:rsidR="00D27BC6" w:rsidRDefault="004D5071">
      <w:pPr>
        <w:numPr>
          <w:ilvl w:val="0"/>
          <w:numId w:val="144"/>
        </w:numPr>
        <w:ind w:right="0" w:hanging="283"/>
      </w:pPr>
      <w:r>
        <w:t>Частота проведения анализов на HbA1c составляет 1 раз в 3 мес.</w:t>
      </w:r>
    </w:p>
    <w:p w:rsidR="00D27BC6" w:rsidRDefault="00D27BC6">
      <w:pPr>
        <w:sectPr w:rsidR="00D27BC6">
          <w:headerReference w:type="even" r:id="rId81"/>
          <w:headerReference w:type="default" r:id="rId82"/>
          <w:footerReference w:type="even" r:id="rId83"/>
          <w:footerReference w:type="default" r:id="rId84"/>
          <w:headerReference w:type="first" r:id="rId85"/>
          <w:footerReference w:type="first" r:id="rId86"/>
          <w:footnotePr>
            <w:numRestart w:val="eachPage"/>
          </w:footnotePr>
          <w:pgSz w:w="11906" w:h="16724"/>
          <w:pgMar w:top="963" w:right="844" w:bottom="1098" w:left="848" w:header="429" w:footer="624" w:gutter="0"/>
          <w:pgNumType w:start="3"/>
          <w:cols w:space="720"/>
        </w:sectPr>
      </w:pPr>
    </w:p>
    <w:p w:rsidR="00D27BC6" w:rsidRDefault="004D5071">
      <w:pPr>
        <w:spacing w:after="230"/>
        <w:ind w:left="294" w:right="0"/>
      </w:pPr>
      <w:r>
        <w:t>В дополнение к оценке НbА1с рекомендуется использование стандартизированных показателей непрерывного мониторинга глюкозы за период 14 дней (время в целевом диапазоне, время выше целевого диапазона, время ниже целевого диапазона).</w:t>
      </w:r>
    </w:p>
    <w:p w:rsidR="00D27BC6" w:rsidRDefault="004D5071">
      <w:pPr>
        <w:spacing w:after="229"/>
        <w:ind w:left="162" w:right="153"/>
        <w:jc w:val="center"/>
      </w:pPr>
      <w:r>
        <w:rPr>
          <w:b/>
          <w:color w:val="1E5D99"/>
        </w:rPr>
        <w:t>Особенности применения НМГ</w:t>
      </w:r>
      <w:r>
        <w:rPr>
          <w:b/>
          <w:color w:val="1E5D99"/>
        </w:rPr>
        <w:t xml:space="preserve"> у детей и подростков.</w:t>
      </w:r>
    </w:p>
    <w:p w:rsidR="00D27BC6" w:rsidRDefault="004D5071">
      <w:pPr>
        <w:ind w:left="-11" w:right="0" w:firstLine="283"/>
      </w:pPr>
      <w:r>
        <w:t>Согласно Международным исследованиям и Национальным клиническим рекомендациям по СД 1 типа у детей, при отсутствии возможности обеспечения НМГ всех детей, следует рассмотреть возможность обеспечения в следующих случаях:</w:t>
      </w:r>
    </w:p>
    <w:p w:rsidR="00D27BC6" w:rsidRDefault="004D5071">
      <w:pPr>
        <w:numPr>
          <w:ilvl w:val="0"/>
          <w:numId w:val="144"/>
        </w:numPr>
        <w:ind w:right="0" w:hanging="283"/>
      </w:pPr>
      <w:r>
        <w:t>HbA1c выше ин</w:t>
      </w:r>
      <w:r>
        <w:t>дивидуального целевого показателя;</w:t>
      </w:r>
    </w:p>
    <w:p w:rsidR="00D27BC6" w:rsidRDefault="004D5071">
      <w:pPr>
        <w:numPr>
          <w:ilvl w:val="0"/>
          <w:numId w:val="144"/>
        </w:numPr>
        <w:ind w:right="0" w:hanging="283"/>
      </w:pPr>
      <w:r>
        <w:t>тяжелые гипогликемии (1 раз за последний год);</w:t>
      </w:r>
    </w:p>
    <w:p w:rsidR="00D27BC6" w:rsidRDefault="004D5071">
      <w:pPr>
        <w:numPr>
          <w:ilvl w:val="0"/>
          <w:numId w:val="144"/>
        </w:numPr>
        <w:ind w:right="0" w:hanging="283"/>
      </w:pPr>
      <w:r>
        <w:t>высокая вариабельность гликемии независимо от уровня HвA1c;</w:t>
      </w:r>
    </w:p>
    <w:p w:rsidR="00D27BC6" w:rsidRDefault="004D5071">
      <w:pPr>
        <w:numPr>
          <w:ilvl w:val="0"/>
          <w:numId w:val="144"/>
        </w:numPr>
        <w:ind w:right="0" w:hanging="283"/>
      </w:pPr>
      <w:r>
        <w:t>частые эпизоды легкой гипогликемии;</w:t>
      </w:r>
    </w:p>
    <w:p w:rsidR="00D27BC6" w:rsidRDefault="004D5071">
      <w:pPr>
        <w:numPr>
          <w:ilvl w:val="0"/>
          <w:numId w:val="144"/>
        </w:numPr>
        <w:ind w:right="0" w:hanging="283"/>
      </w:pPr>
      <w:r>
        <w:t>выраженное снижение качества жизни;</w:t>
      </w:r>
    </w:p>
    <w:p w:rsidR="00D27BC6" w:rsidRDefault="004D5071">
      <w:pPr>
        <w:numPr>
          <w:ilvl w:val="0"/>
          <w:numId w:val="144"/>
        </w:numPr>
        <w:spacing w:after="226"/>
        <w:ind w:right="0" w:hanging="283"/>
      </w:pPr>
      <w:r>
        <w:t>время в целевом диапазоне менее 50% по дан</w:t>
      </w:r>
      <w:r>
        <w:t>ным НМГ.</w:t>
      </w:r>
    </w:p>
    <w:p w:rsidR="00D27BC6" w:rsidRDefault="004D5071">
      <w:pPr>
        <w:ind w:left="293" w:right="64"/>
        <w:jc w:val="center"/>
      </w:pPr>
      <w:r>
        <w:t>Применение НМГ в реальном времени с функцией сигналов тревоги должно быть рассмотрено в следующих группах:</w:t>
      </w:r>
    </w:p>
    <w:p w:rsidR="00D27BC6" w:rsidRDefault="004D5071">
      <w:pPr>
        <w:numPr>
          <w:ilvl w:val="0"/>
          <w:numId w:val="144"/>
        </w:numPr>
        <w:ind w:right="0" w:hanging="283"/>
      </w:pPr>
      <w:r>
        <w:t>дети, которые не могут сообщить о симптомах гипо- или гипергликемии;</w:t>
      </w:r>
    </w:p>
    <w:p w:rsidR="00D27BC6" w:rsidRDefault="004D5071">
      <w:pPr>
        <w:numPr>
          <w:ilvl w:val="0"/>
          <w:numId w:val="144"/>
        </w:numPr>
        <w:ind w:right="0" w:hanging="283"/>
      </w:pPr>
      <w:r>
        <w:t>дети с нарушением восприятия гипогликемии;</w:t>
      </w:r>
    </w:p>
    <w:p w:rsidR="00D27BC6" w:rsidRDefault="004D5071">
      <w:pPr>
        <w:numPr>
          <w:ilvl w:val="0"/>
          <w:numId w:val="144"/>
        </w:numPr>
        <w:spacing w:after="226"/>
        <w:ind w:right="0" w:hanging="283"/>
      </w:pPr>
      <w:r>
        <w:t>дети младше 4-х лет (в связи</w:t>
      </w:r>
      <w:r>
        <w:t xml:space="preserve"> с противопоказаниями к использованию ФМГ).</w:t>
      </w:r>
    </w:p>
    <w:p w:rsidR="00D27BC6" w:rsidRDefault="004D5071">
      <w:pPr>
        <w:pStyle w:val="Heading2"/>
        <w:ind w:left="-3"/>
      </w:pPr>
      <w:r>
        <w:t>Потребность в инсулине в детском возрасте</w:t>
      </w:r>
    </w:p>
    <w:tbl>
      <w:tblPr>
        <w:tblStyle w:val="TableGrid"/>
        <w:tblW w:w="10195" w:type="dxa"/>
        <w:tblInd w:w="7" w:type="dxa"/>
        <w:tblCellMar>
          <w:top w:w="9" w:type="dxa"/>
          <w:left w:w="57" w:type="dxa"/>
          <w:bottom w:w="0" w:type="dxa"/>
          <w:right w:w="115" w:type="dxa"/>
        </w:tblCellMar>
        <w:tblLook w:val="04A0" w:firstRow="1" w:lastRow="0" w:firstColumn="1" w:lastColumn="0" w:noHBand="0" w:noVBand="1"/>
      </w:tblPr>
      <w:tblGrid>
        <w:gridCol w:w="5097"/>
        <w:gridCol w:w="5097"/>
      </w:tblGrid>
      <w:tr w:rsidR="00D27BC6">
        <w:trPr>
          <w:trHeight w:val="32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D27BC6">
            <w:pPr>
              <w:spacing w:after="160" w:line="259" w:lineRule="auto"/>
              <w:ind w:left="0" w:right="0" w:firstLine="0"/>
              <w:jc w:val="left"/>
            </w:pPr>
          </w:p>
        </w:tc>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Средняя суточная потребность, ЕД/кг массы тела</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Фаза частичной ремиссии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менее 0,5</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Препубертатный возраст</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0,7–1,0</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Пубертатный возраст</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1,0–2,0</w:t>
            </w:r>
          </w:p>
        </w:tc>
      </w:tr>
    </w:tbl>
    <w:p w:rsidR="00D27BC6" w:rsidRDefault="004D5071">
      <w:pPr>
        <w:pStyle w:val="Heading3"/>
        <w:ind w:left="162" w:right="152"/>
      </w:pPr>
      <w:r>
        <w:t>Особенности диабетического кетоацидоза (ДКА) у детей и подростков</w:t>
      </w:r>
    </w:p>
    <w:p w:rsidR="00D27BC6" w:rsidRDefault="004D5071">
      <w:pPr>
        <w:ind w:left="-11" w:right="0" w:firstLine="283"/>
      </w:pPr>
      <w:r>
        <w:t>Лечение следует проводить в центрах, имеющих опыт работы с ДКА у детей и подростков, и где могут регулярно проверять показатели жизненно важных функций, неврологический статус и лабораторные</w:t>
      </w:r>
      <w:r>
        <w:t xml:space="preserve"> результаты. Если имеются ограничения для транспортировки, до перевода в специализированный центр следует организовать телефонную связь с врачом, обладающим экспертными знаниями в области ДКА.</w:t>
      </w:r>
    </w:p>
    <w:p w:rsidR="00D27BC6" w:rsidRDefault="004D5071">
      <w:pPr>
        <w:spacing w:after="230"/>
        <w:ind w:left="-11" w:right="0" w:firstLine="283"/>
      </w:pPr>
      <w:r>
        <w:t xml:space="preserve">Возмещение жидкости следует начать до инсулиновой терапии. При </w:t>
      </w:r>
      <w:r>
        <w:t>необходимости расширяют объем для восстановления периферической циркуляции. Рассчитывают дальнейший объем приема жидкости, включая обеспечение суточной физиологической потребности, стремясь равномерно восполнить предполагаемый дефицит жидкости за 24–48 ч.</w:t>
      </w:r>
    </w:p>
    <w:p w:rsidR="00D27BC6" w:rsidRDefault="004D5071">
      <w:pPr>
        <w:spacing w:after="0" w:line="259" w:lineRule="auto"/>
        <w:ind w:left="-3" w:right="0"/>
        <w:jc w:val="left"/>
      </w:pPr>
      <w:r>
        <w:rPr>
          <w:b/>
          <w:color w:val="6F6F6E"/>
        </w:rPr>
        <w:t>Замещающий объем приема жидкости обычно не должен превышать суточную физиологическую потребность более чем в 1,5–2 раза. Суточная физиологическая потребность зависит от возраста ребенка и составляет:</w:t>
      </w:r>
    </w:p>
    <w:tbl>
      <w:tblPr>
        <w:tblStyle w:val="TableGrid"/>
        <w:tblW w:w="10205" w:type="dxa"/>
        <w:tblInd w:w="7" w:type="dxa"/>
        <w:tblCellMar>
          <w:top w:w="65" w:type="dxa"/>
          <w:left w:w="57" w:type="dxa"/>
          <w:bottom w:w="0" w:type="dxa"/>
          <w:right w:w="115" w:type="dxa"/>
        </w:tblCellMar>
        <w:tblLook w:val="04A0" w:firstRow="1" w:lastRow="0" w:firstColumn="1" w:lastColumn="0" w:noHBand="0" w:noVBand="1"/>
      </w:tblPr>
      <w:tblGrid>
        <w:gridCol w:w="960"/>
        <w:gridCol w:w="4622"/>
        <w:gridCol w:w="4622"/>
      </w:tblGrid>
      <w:tr w:rsidR="00D27BC6">
        <w:trPr>
          <w:trHeight w:val="433"/>
        </w:trPr>
        <w:tc>
          <w:tcPr>
            <w:tcW w:w="960"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Масса тела</w:t>
            </w:r>
          </w:p>
        </w:tc>
        <w:tc>
          <w:tcPr>
            <w:tcW w:w="9245"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Требуемый объем жидкости</w:t>
            </w:r>
          </w:p>
        </w:tc>
      </w:tr>
      <w:tr w:rsidR="00D27BC6">
        <w:trPr>
          <w:trHeight w:val="433"/>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462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почасовой</w:t>
            </w:r>
          </w:p>
        </w:tc>
        <w:tc>
          <w:tcPr>
            <w:tcW w:w="462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суточный</w:t>
            </w:r>
          </w:p>
        </w:tc>
      </w:tr>
      <w:tr w:rsidR="00D27BC6">
        <w:trPr>
          <w:trHeight w:val="442"/>
        </w:trPr>
        <w:tc>
          <w:tcPr>
            <w:tcW w:w="96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≤10 кг</w:t>
            </w:r>
          </w:p>
        </w:tc>
        <w:tc>
          <w:tcPr>
            <w:tcW w:w="462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4 мл/кг/ч</w:t>
            </w:r>
          </w:p>
        </w:tc>
        <w:tc>
          <w:tcPr>
            <w:tcW w:w="462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100 мл/кг/24 ч</w:t>
            </w:r>
          </w:p>
        </w:tc>
      </w:tr>
      <w:tr w:rsidR="00D27BC6">
        <w:trPr>
          <w:trHeight w:val="442"/>
        </w:trPr>
        <w:tc>
          <w:tcPr>
            <w:tcW w:w="96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11–20 кг</w:t>
            </w:r>
          </w:p>
        </w:tc>
        <w:tc>
          <w:tcPr>
            <w:tcW w:w="462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40 + 2 мл/кг/ч на каждый кг от 11 до 20 </w:t>
            </w:r>
          </w:p>
        </w:tc>
        <w:tc>
          <w:tcPr>
            <w:tcW w:w="462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1000 мл + 5 мл/кг/24 ч на каждый кг от 11 до 20 </w:t>
            </w:r>
          </w:p>
        </w:tc>
      </w:tr>
      <w:tr w:rsidR="00D27BC6">
        <w:trPr>
          <w:trHeight w:val="442"/>
        </w:trPr>
        <w:tc>
          <w:tcPr>
            <w:tcW w:w="96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&gt;20 кг</w:t>
            </w:r>
          </w:p>
        </w:tc>
        <w:tc>
          <w:tcPr>
            <w:tcW w:w="462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60 + 1 мл/кг/ч на каждый кг &gt;20 кг</w:t>
            </w:r>
          </w:p>
        </w:tc>
        <w:tc>
          <w:tcPr>
            <w:tcW w:w="462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1500 мл + 20 мл/кг/24 на каждый кг &gt;20 кг </w:t>
            </w:r>
          </w:p>
        </w:tc>
      </w:tr>
    </w:tbl>
    <w:p w:rsidR="00D27BC6" w:rsidRDefault="004D5071">
      <w:pPr>
        <w:ind w:left="-11" w:right="0" w:firstLine="283"/>
      </w:pPr>
      <w:r>
        <w:t>К рассчитанной физиологической потребности в зависимости от степени дегидратации необходимо добавить дефицит жидкости (за вычетом болюса для расширения объема) .</w:t>
      </w:r>
    </w:p>
    <w:p w:rsidR="00D27BC6" w:rsidRDefault="004D5071">
      <w:pPr>
        <w:ind w:left="-11" w:right="0" w:firstLine="283"/>
      </w:pPr>
      <w:r>
        <w:t>Инсулинотерапию начинают с 0,05–0,1 ЕД/кг/ч в течение 1–2 ч после начала терапии возмещения жи</w:t>
      </w:r>
      <w:r>
        <w:t>дкости, до разрешения ДКА, с последующей коррекций.</w:t>
      </w:r>
    </w:p>
    <w:p w:rsidR="00D27BC6" w:rsidRDefault="004D5071">
      <w:pPr>
        <w:ind w:left="-11" w:right="0" w:firstLine="283"/>
      </w:pPr>
      <w:r>
        <w:t>Во время первоначального восполнения объема уровень ГП резко снижается. После начала инсулинотерапии концентрация ГП обычно снижается со скоростью 2–5 ммоль/л в час в зависимости от времени и количества н</w:t>
      </w:r>
      <w:r>
        <w:t>азначаемой глюкозы.</w:t>
      </w:r>
    </w:p>
    <w:p w:rsidR="00D27BC6" w:rsidRDefault="004D5071">
      <w:pPr>
        <w:ind w:left="294" w:right="0"/>
      </w:pPr>
      <w:r>
        <w:t>Для предотвращения чрезмерно быстрого снижения концентрации ГП и гипогликемии необходимо добавить 5% раствор глюкозы к в/в вводимым растворам, когда уровень ГП снизится примерно до 17 ммоль/л или раньше, если скорость снижения очень выс</w:t>
      </w:r>
      <w:r>
        <w:t>ока (более чем на 5 ммоль/л в час). Может возникнуть необходимость использования 10% раствора глюкозы при продолжающемся введении инсулина для коррекции метаболического ацидоза.</w:t>
      </w:r>
    </w:p>
    <w:p w:rsidR="00D27BC6" w:rsidRDefault="004D5071">
      <w:pPr>
        <w:numPr>
          <w:ilvl w:val="0"/>
          <w:numId w:val="145"/>
        </w:numPr>
        <w:spacing w:after="233"/>
        <w:ind w:right="0" w:hanging="283"/>
      </w:pPr>
      <w:r>
        <w:t>Калий. При уровне калия в крови менее 5,5 ммоль/л, к инфузионной терапии добавляют КCI из расчета 40 ммоль на литр жидкости до нормализации электролитных нарушений. При исходной гипокалиемии менее 3,5 ммоль/л, до начала инсулинотерапии вводится 0,5 ммоль/к</w:t>
      </w:r>
      <w:r>
        <w:t>г раствора калия хлорида. Проводится мониторирование ЭКГ до нормализации Т-волн, контроль АД. Введение бикарбоната не рекомендуется, за исключением лечения гиперкалиемии, угрожающей жизни.</w:t>
      </w:r>
    </w:p>
    <w:p w:rsidR="00D27BC6" w:rsidRDefault="004D5071">
      <w:pPr>
        <w:ind w:left="-11" w:right="0" w:firstLine="284"/>
      </w:pPr>
      <w:r>
        <w:rPr>
          <w:b/>
          <w:i/>
        </w:rPr>
        <w:t>Отек головного мозга</w:t>
      </w:r>
      <w:r>
        <w:t xml:space="preserve"> – грозное осложнение ДКА. Распространенность с</w:t>
      </w:r>
      <w:r>
        <w:t>оставляет 0,5–0,9%, показатель смертности – 21–24%. Редко проявляется старше подросткового возраста. Возможные факторы риска развития отека мозга при диагностике или при терапии ДКА:</w:t>
      </w:r>
    </w:p>
    <w:p w:rsidR="00D27BC6" w:rsidRDefault="004D5071">
      <w:pPr>
        <w:numPr>
          <w:ilvl w:val="0"/>
          <w:numId w:val="145"/>
        </w:numPr>
        <w:ind w:right="0" w:hanging="283"/>
      </w:pPr>
      <w:r>
        <w:t>выраженная гиперкапния при первичном осмотре после определения степени ац</w:t>
      </w:r>
      <w:r>
        <w:t>идоза;</w:t>
      </w:r>
    </w:p>
    <w:p w:rsidR="00D27BC6" w:rsidRDefault="004D5071">
      <w:pPr>
        <w:numPr>
          <w:ilvl w:val="0"/>
          <w:numId w:val="145"/>
        </w:numPr>
        <w:ind w:right="0" w:hanging="283"/>
      </w:pPr>
      <w:r>
        <w:t>повышенный уровень мочевины при первичном обследовании;</w:t>
      </w:r>
    </w:p>
    <w:p w:rsidR="00D27BC6" w:rsidRDefault="004D5071">
      <w:pPr>
        <w:numPr>
          <w:ilvl w:val="0"/>
          <w:numId w:val="145"/>
        </w:numPr>
        <w:ind w:right="0" w:hanging="283"/>
      </w:pPr>
      <w:r>
        <w:t>тяжелый ацидоз при первичном обследовании;</w:t>
      </w:r>
    </w:p>
    <w:p w:rsidR="00D27BC6" w:rsidRDefault="004D5071">
      <w:pPr>
        <w:numPr>
          <w:ilvl w:val="0"/>
          <w:numId w:val="145"/>
        </w:numPr>
        <w:ind w:right="0" w:hanging="283"/>
      </w:pPr>
      <w:r>
        <w:t>терапия бикарбонатом для коррекции ацидоза;</w:t>
      </w:r>
    </w:p>
    <w:p w:rsidR="00D27BC6" w:rsidRDefault="004D5071">
      <w:pPr>
        <w:numPr>
          <w:ilvl w:val="0"/>
          <w:numId w:val="145"/>
        </w:numPr>
        <w:ind w:right="0" w:hanging="283"/>
      </w:pPr>
      <w:r>
        <w:t>быстрое снижение эффективной осмолярности плазмы;</w:t>
      </w:r>
    </w:p>
    <w:p w:rsidR="00D27BC6" w:rsidRDefault="004D5071">
      <w:pPr>
        <w:numPr>
          <w:ilvl w:val="0"/>
          <w:numId w:val="145"/>
        </w:numPr>
        <w:ind w:right="0" w:hanging="283"/>
      </w:pPr>
      <w:r>
        <w:t>снижение скорости повышения уровня натрия плазмы или ран</w:t>
      </w:r>
      <w:r>
        <w:t>нее снижение натрия, скорректированного на  глюкозу в ходе терапии;</w:t>
      </w:r>
    </w:p>
    <w:p w:rsidR="00D27BC6" w:rsidRDefault="004D5071">
      <w:pPr>
        <w:numPr>
          <w:ilvl w:val="0"/>
          <w:numId w:val="145"/>
        </w:numPr>
        <w:ind w:right="0" w:hanging="283"/>
      </w:pPr>
      <w:r>
        <w:t>большие объемы жидкости, назначаемые в первые 4 ч;</w:t>
      </w:r>
    </w:p>
    <w:p w:rsidR="00D27BC6" w:rsidRDefault="004D5071">
      <w:pPr>
        <w:numPr>
          <w:ilvl w:val="0"/>
          <w:numId w:val="145"/>
        </w:numPr>
        <w:spacing w:after="226"/>
        <w:ind w:right="0" w:hanging="283"/>
      </w:pPr>
      <w:r>
        <w:t>инсулинотерапия в течение первого часа инфузионной терапии.</w:t>
      </w:r>
    </w:p>
    <w:p w:rsidR="00D27BC6" w:rsidRDefault="004D5071">
      <w:pPr>
        <w:ind w:left="281" w:right="51"/>
        <w:jc w:val="left"/>
      </w:pPr>
      <w:r>
        <w:rPr>
          <w:b/>
        </w:rPr>
        <w:t>Признаки и симптомы отека головного мозга</w:t>
      </w:r>
    </w:p>
    <w:p w:rsidR="00D27BC6" w:rsidRDefault="004D5071">
      <w:pPr>
        <w:numPr>
          <w:ilvl w:val="0"/>
          <w:numId w:val="145"/>
        </w:numPr>
        <w:ind w:right="0" w:hanging="283"/>
      </w:pPr>
      <w:r>
        <w:t xml:space="preserve">Головные боли и замедление частоты </w:t>
      </w:r>
      <w:r>
        <w:t>сердечных сокращений.</w:t>
      </w:r>
    </w:p>
    <w:p w:rsidR="00D27BC6" w:rsidRDefault="004D5071">
      <w:pPr>
        <w:numPr>
          <w:ilvl w:val="0"/>
          <w:numId w:val="145"/>
        </w:numPr>
        <w:ind w:right="0" w:hanging="283"/>
      </w:pPr>
      <w:r>
        <w:t>Изменения неврологического статуса (беспокойство, раздражительность, повышенная сонливость, недержание мочи).</w:t>
      </w:r>
    </w:p>
    <w:p w:rsidR="00D27BC6" w:rsidRDefault="004D5071">
      <w:pPr>
        <w:numPr>
          <w:ilvl w:val="0"/>
          <w:numId w:val="145"/>
        </w:numPr>
        <w:ind w:right="0" w:hanging="283"/>
      </w:pPr>
      <w:r>
        <w:t>Специфические неврологические признаки (например, парезы черепно-мозговых нервов).</w:t>
      </w:r>
    </w:p>
    <w:p w:rsidR="00D27BC6" w:rsidRDefault="004D5071">
      <w:pPr>
        <w:numPr>
          <w:ilvl w:val="0"/>
          <w:numId w:val="145"/>
        </w:numPr>
        <w:ind w:right="0" w:hanging="283"/>
      </w:pPr>
      <w:r>
        <w:t>Повышение АД.</w:t>
      </w:r>
    </w:p>
    <w:p w:rsidR="00D27BC6" w:rsidRDefault="004D5071">
      <w:pPr>
        <w:numPr>
          <w:ilvl w:val="0"/>
          <w:numId w:val="145"/>
        </w:numPr>
        <w:spacing w:after="226"/>
        <w:ind w:right="0" w:hanging="283"/>
      </w:pPr>
      <w:r>
        <w:t>Снижение насыщения O2.</w:t>
      </w:r>
    </w:p>
    <w:p w:rsidR="00D27BC6" w:rsidRDefault="004D5071">
      <w:pPr>
        <w:ind w:left="281" w:right="51"/>
        <w:jc w:val="left"/>
      </w:pPr>
      <w:r>
        <w:rPr>
          <w:b/>
        </w:rPr>
        <w:t>Лече</w:t>
      </w:r>
      <w:r>
        <w:rPr>
          <w:b/>
        </w:rPr>
        <w:t>ние отека головного мозга начинают, как только возникнут подозрения на его развитие</w:t>
      </w:r>
    </w:p>
    <w:p w:rsidR="00D27BC6" w:rsidRDefault="004D5071">
      <w:pPr>
        <w:numPr>
          <w:ilvl w:val="0"/>
          <w:numId w:val="145"/>
        </w:numPr>
        <w:ind w:right="0" w:hanging="283"/>
      </w:pPr>
      <w:r>
        <w:t>Уменьшают скорость введения жидкостей на треть.</w:t>
      </w:r>
    </w:p>
    <w:p w:rsidR="00D27BC6" w:rsidRDefault="004D5071">
      <w:pPr>
        <w:numPr>
          <w:ilvl w:val="0"/>
          <w:numId w:val="145"/>
        </w:numPr>
        <w:ind w:right="0" w:hanging="283"/>
      </w:pPr>
      <w:r>
        <w:t>Вводят маннитол в дозе 0,5–1,0 г/кг в/в в течение 10–15 мин и повторяют назначение, если нет ответной реакции в период от 30 мин до 2 ч.</w:t>
      </w:r>
    </w:p>
    <w:p w:rsidR="00D27BC6" w:rsidRDefault="004D5071">
      <w:pPr>
        <w:numPr>
          <w:ilvl w:val="0"/>
          <w:numId w:val="145"/>
        </w:numPr>
        <w:ind w:right="0" w:hanging="283"/>
      </w:pPr>
      <w:r>
        <w:t xml:space="preserve">Гипертонический солевой раствор (3%) в дозе 2,5–5,0 мл/кг в течение 10–15 мин может быть альтернативой маннитолу, если </w:t>
      </w:r>
      <w:r>
        <w:t>нет первичной ответной реакции на маннитол.</w:t>
      </w:r>
    </w:p>
    <w:p w:rsidR="00D27BC6" w:rsidRDefault="004D5071">
      <w:pPr>
        <w:numPr>
          <w:ilvl w:val="0"/>
          <w:numId w:val="145"/>
        </w:numPr>
        <w:ind w:right="0" w:hanging="283"/>
      </w:pPr>
      <w:r>
        <w:t>Гиперосмолярные агенты должны быть доступны у постели больного.</w:t>
      </w:r>
    </w:p>
    <w:p w:rsidR="00D27BC6" w:rsidRDefault="004D5071">
      <w:pPr>
        <w:numPr>
          <w:ilvl w:val="0"/>
          <w:numId w:val="145"/>
        </w:numPr>
        <w:ind w:right="0" w:hanging="283"/>
      </w:pPr>
      <w:r>
        <w:t>Необходимо приподнять изголовье кровати до 30°.</w:t>
      </w:r>
    </w:p>
    <w:p w:rsidR="00D27BC6" w:rsidRDefault="004D5071">
      <w:pPr>
        <w:numPr>
          <w:ilvl w:val="0"/>
          <w:numId w:val="145"/>
        </w:numPr>
        <w:ind w:right="0" w:hanging="283"/>
      </w:pPr>
      <w:r>
        <w:t>Интубация может быть необходима для пациентов с угрозой дыхательной недостаточности.</w:t>
      </w:r>
    </w:p>
    <w:p w:rsidR="00D27BC6" w:rsidRDefault="004D5071">
      <w:pPr>
        <w:numPr>
          <w:ilvl w:val="0"/>
          <w:numId w:val="145"/>
        </w:numPr>
        <w:spacing w:after="230"/>
        <w:ind w:right="0" w:hanging="283"/>
      </w:pPr>
      <w:r>
        <w:t>После начала терапии отека головного мозга провести компьютерную томографию для исключения состояний, требующие срочной нейрохирургической операции (внутричерепное кровотечение, цереброваскулярный тромбоз и пр.).</w:t>
      </w:r>
    </w:p>
    <w:p w:rsidR="00D27BC6" w:rsidRDefault="004D5071">
      <w:pPr>
        <w:pStyle w:val="Heading3"/>
        <w:ind w:left="162" w:right="153"/>
      </w:pPr>
      <w:r>
        <w:t xml:space="preserve">Особенности осложнений СД 1 типа у детей и </w:t>
      </w:r>
      <w:r>
        <w:t>подростков Скрининг на диабетические осложнения</w:t>
      </w:r>
    </w:p>
    <w:p w:rsidR="00D27BC6" w:rsidRDefault="004D5071">
      <w:pPr>
        <w:ind w:left="293" w:right="0"/>
      </w:pPr>
      <w:r>
        <w:rPr>
          <w:b/>
        </w:rPr>
        <w:t>Ретинопатия</w:t>
      </w:r>
      <w:r>
        <w:t xml:space="preserve"> – проводится ежегодно, начиная с возраста 11 лет при длительности заболевания более 2 лет.</w:t>
      </w:r>
    </w:p>
    <w:p w:rsidR="00D27BC6" w:rsidRDefault="004D5071">
      <w:pPr>
        <w:ind w:left="293" w:right="0"/>
      </w:pPr>
      <w:r>
        <w:rPr>
          <w:b/>
        </w:rPr>
        <w:t>Нефропатия</w:t>
      </w:r>
      <w:r>
        <w:t xml:space="preserve"> – проводится ежегодно, начиная с возраста 11 лет при длительности заболевания более 2 лет.</w:t>
      </w:r>
    </w:p>
    <w:p w:rsidR="00D27BC6" w:rsidRDefault="004D5071">
      <w:pPr>
        <w:ind w:left="293" w:right="0"/>
      </w:pPr>
      <w:r>
        <w:rPr>
          <w:b/>
        </w:rPr>
        <w:t>Ней</w:t>
      </w:r>
      <w:r>
        <w:rPr>
          <w:b/>
        </w:rPr>
        <w:t>ропатия</w:t>
      </w:r>
      <w:r>
        <w:t xml:space="preserve"> – проводится ежегодно, начиная с возраста 11 лет при длительности заболевания более 2 лет.</w:t>
      </w:r>
    </w:p>
    <w:p w:rsidR="00D27BC6" w:rsidRDefault="004D5071">
      <w:pPr>
        <w:spacing w:after="230"/>
        <w:ind w:left="-11" w:right="0" w:firstLine="283"/>
      </w:pPr>
      <w:r>
        <w:rPr>
          <w:b/>
        </w:rPr>
        <w:t>Макроангиопатия</w:t>
      </w:r>
      <w:r>
        <w:t xml:space="preserve"> – липидный профиль при диагностике СД, затем каждые 3 года с возраста 11 лет, АД –  ежегодно.</w:t>
      </w:r>
    </w:p>
    <w:p w:rsidR="00D27BC6" w:rsidRDefault="004D5071">
      <w:pPr>
        <w:ind w:left="-11" w:right="0" w:firstLine="283"/>
      </w:pPr>
      <w:r>
        <w:rPr>
          <w:u w:val="single" w:color="000000"/>
        </w:rPr>
        <w:t>При появлении микроальбуминурии</w:t>
      </w:r>
      <w:r>
        <w:t xml:space="preserve"> – исключить заб</w:t>
      </w:r>
      <w:r>
        <w:t>олевания/состояния, которые могут быть причиной появления белка в моче:</w:t>
      </w:r>
    </w:p>
    <w:p w:rsidR="00D27BC6" w:rsidRDefault="004D5071">
      <w:pPr>
        <w:numPr>
          <w:ilvl w:val="0"/>
          <w:numId w:val="146"/>
        </w:numPr>
        <w:ind w:right="0" w:hanging="283"/>
      </w:pPr>
      <w:r>
        <w:t>декомпенсация СД с кетозом;</w:t>
      </w:r>
    </w:p>
    <w:p w:rsidR="00D27BC6" w:rsidRDefault="004D5071">
      <w:pPr>
        <w:numPr>
          <w:ilvl w:val="0"/>
          <w:numId w:val="146"/>
        </w:numPr>
        <w:ind w:right="0" w:hanging="283"/>
      </w:pPr>
      <w:r>
        <w:t>фебрильная температура;</w:t>
      </w:r>
    </w:p>
    <w:p w:rsidR="00D27BC6" w:rsidRDefault="004D5071">
      <w:pPr>
        <w:numPr>
          <w:ilvl w:val="0"/>
          <w:numId w:val="146"/>
        </w:numPr>
        <w:ind w:right="0" w:hanging="283"/>
      </w:pPr>
      <w:r>
        <w:t>инфекция мочевыводящих путей;</w:t>
      </w:r>
    </w:p>
    <w:p w:rsidR="00D27BC6" w:rsidRDefault="004D5071">
      <w:pPr>
        <w:numPr>
          <w:ilvl w:val="0"/>
          <w:numId w:val="146"/>
        </w:numPr>
        <w:ind w:right="0" w:hanging="283"/>
      </w:pPr>
      <w:r>
        <w:t>интенсивная физическая нагрузка;</w:t>
      </w:r>
    </w:p>
    <w:p w:rsidR="00D27BC6" w:rsidRDefault="004D5071">
      <w:pPr>
        <w:ind w:left="-11" w:right="5923" w:firstLine="283"/>
      </w:pPr>
      <w:r>
        <w:t xml:space="preserve">высокобелковая диета (&gt; 1,5 г/кг массы тела); • </w:t>
      </w:r>
      <w:r>
        <w:tab/>
        <w:t>повышенная подвижнос</w:t>
      </w:r>
      <w:r>
        <w:t>ть почек;</w:t>
      </w:r>
    </w:p>
    <w:p w:rsidR="00D27BC6" w:rsidRDefault="004D5071">
      <w:pPr>
        <w:numPr>
          <w:ilvl w:val="0"/>
          <w:numId w:val="146"/>
        </w:numPr>
        <w:ind w:right="0" w:hanging="283"/>
      </w:pPr>
      <w:r>
        <w:t>ортостатическая протеинурия.</w:t>
      </w:r>
    </w:p>
    <w:p w:rsidR="00D27BC6" w:rsidRDefault="004D5071">
      <w:pPr>
        <w:spacing w:after="230"/>
        <w:ind w:left="-11" w:right="0" w:firstLine="284"/>
      </w:pPr>
      <w:r>
        <w:t>Стойко повышенная альбуминурия должна быть подтверждена анализом разовой порции утренней мочи на соотношение альбумин/креатинин в моче. Подтверждением диабетической микроальбуминурии является 2 положительных результата из 3 образцов мочи в течение 3–6 меся</w:t>
      </w:r>
      <w:r>
        <w:t>цев.</w:t>
      </w:r>
    </w:p>
    <w:p w:rsidR="00D27BC6" w:rsidRDefault="004D5071">
      <w:pPr>
        <w:ind w:left="281" w:right="51"/>
        <w:jc w:val="left"/>
      </w:pPr>
      <w:r>
        <w:rPr>
          <w:b/>
        </w:rPr>
        <w:t>Ограниченная подвижность суставов (ОПС), или хайропатия</w:t>
      </w:r>
    </w:p>
    <w:p w:rsidR="00D27BC6" w:rsidRDefault="004D5071">
      <w:pPr>
        <w:numPr>
          <w:ilvl w:val="0"/>
          <w:numId w:val="146"/>
        </w:numPr>
        <w:ind w:right="0" w:hanging="283"/>
      </w:pPr>
      <w:r>
        <w:t>ОПС – двусторонние безболезненные контрактуры суставов, в первую очередь кистей рук, при прогрессировании – лучезапястных, локтевых суставов, шейного отдела позвоночника и др.</w:t>
      </w:r>
    </w:p>
    <w:p w:rsidR="00D27BC6" w:rsidRDefault="004D5071">
      <w:pPr>
        <w:numPr>
          <w:ilvl w:val="0"/>
          <w:numId w:val="146"/>
        </w:numPr>
        <w:ind w:right="0" w:hanging="283"/>
      </w:pPr>
      <w:r>
        <w:t>В основе развития О</w:t>
      </w:r>
      <w:r>
        <w:t>ПС лежит избыточное гликирование коллагена.</w:t>
      </w:r>
    </w:p>
    <w:p w:rsidR="00D27BC6" w:rsidRDefault="004D5071">
      <w:pPr>
        <w:numPr>
          <w:ilvl w:val="0"/>
          <w:numId w:val="146"/>
        </w:numPr>
        <w:ind w:right="0" w:hanging="283"/>
      </w:pPr>
      <w:r>
        <w:t>Наблюдается у длительно декомпенсированных больных, часто – в сочетании с другими осложнениями СД, в том числе с задержкой физического развития и катарактой.</w:t>
      </w:r>
    </w:p>
    <w:p w:rsidR="00D27BC6" w:rsidRDefault="004D5071">
      <w:pPr>
        <w:numPr>
          <w:ilvl w:val="0"/>
          <w:numId w:val="146"/>
        </w:numPr>
        <w:ind w:right="0" w:hanging="283"/>
      </w:pPr>
      <w:r>
        <w:t>Диагностика: визуальная – путем складывания кистей рук</w:t>
      </w:r>
      <w:r>
        <w:t xml:space="preserve"> ладонной поверхностью внутрь.</w:t>
      </w:r>
    </w:p>
    <w:p w:rsidR="00D27BC6" w:rsidRDefault="004D5071">
      <w:pPr>
        <w:numPr>
          <w:ilvl w:val="0"/>
          <w:numId w:val="146"/>
        </w:numPr>
        <w:spacing w:after="226"/>
        <w:ind w:right="0" w:hanging="283"/>
      </w:pPr>
      <w:r>
        <w:t>Методы терапии отсутствуют.</w:t>
      </w:r>
    </w:p>
    <w:p w:rsidR="00D27BC6" w:rsidRDefault="004D5071">
      <w:pPr>
        <w:spacing w:after="226"/>
        <w:ind w:left="290" w:right="283"/>
        <w:jc w:val="center"/>
      </w:pPr>
      <w:r>
        <w:rPr>
          <w:b/>
        </w:rPr>
        <w:t>20.2. НЕИММУННЫЕ ФОРМЫ СД</w:t>
      </w:r>
    </w:p>
    <w:p w:rsidR="00D27BC6" w:rsidRDefault="004D5071">
      <w:pPr>
        <w:ind w:left="281" w:right="51"/>
        <w:jc w:val="left"/>
      </w:pPr>
      <w:r>
        <w:rPr>
          <w:b/>
        </w:rPr>
        <w:t>Неиммунные формы СД («СД не 1 типа») могут составлять до 10% всех случаев СД у детей и подростков:</w:t>
      </w:r>
    </w:p>
    <w:p w:rsidR="00D27BC6" w:rsidRDefault="004D5071">
      <w:pPr>
        <w:numPr>
          <w:ilvl w:val="0"/>
          <w:numId w:val="146"/>
        </w:numPr>
        <w:ind w:right="0" w:hanging="283"/>
      </w:pPr>
      <w:r>
        <w:t>СД 2 типа;</w:t>
      </w:r>
    </w:p>
    <w:p w:rsidR="00D27BC6" w:rsidRDefault="004D5071">
      <w:pPr>
        <w:numPr>
          <w:ilvl w:val="0"/>
          <w:numId w:val="146"/>
        </w:numPr>
        <w:ind w:right="0" w:hanging="283"/>
      </w:pPr>
      <w:r>
        <w:t>Моногенный СД: МОDY (СД «зрелого типа» у молодых), неонатальн</w:t>
      </w:r>
      <w:r>
        <w:t>ый СД, диабет с внепанкреатическими проявлениями, моногенные синдромы инсулинорезистентности;</w:t>
      </w:r>
    </w:p>
    <w:p w:rsidR="00D27BC6" w:rsidRDefault="004D5071">
      <w:pPr>
        <w:numPr>
          <w:ilvl w:val="0"/>
          <w:numId w:val="146"/>
        </w:numPr>
        <w:spacing w:after="230"/>
        <w:ind w:right="0" w:hanging="283"/>
      </w:pPr>
      <w:r>
        <w:t>СД, ассоциированный с генетическими синдромами (DIDMOAD, синдром Альстрема, синдром Прадера-Вилли и др.).</w:t>
      </w:r>
    </w:p>
    <w:p w:rsidR="00D27BC6" w:rsidRDefault="004D5071">
      <w:pPr>
        <w:ind w:left="0" w:right="51" w:firstLine="283"/>
        <w:jc w:val="left"/>
      </w:pPr>
      <w:r>
        <w:rPr>
          <w:b/>
        </w:rPr>
        <w:t>Возможность других типов СД следует рассмотреть у ребенк</w:t>
      </w:r>
      <w:r>
        <w:rPr>
          <w:b/>
        </w:rPr>
        <w:t>а, не имеющего аутоантител, ассоциированных с СД 1 типа в следующих случаях:</w:t>
      </w:r>
    </w:p>
    <w:p w:rsidR="00D27BC6" w:rsidRDefault="004D5071">
      <w:pPr>
        <w:numPr>
          <w:ilvl w:val="0"/>
          <w:numId w:val="146"/>
        </w:numPr>
        <w:ind w:right="0" w:hanging="283"/>
      </w:pPr>
      <w:r>
        <w:t>Наличие СД в семье с аутосомно-доминантным типом наследования;</w:t>
      </w:r>
    </w:p>
    <w:p w:rsidR="00D27BC6" w:rsidRDefault="004D5071">
      <w:pPr>
        <w:numPr>
          <w:ilvl w:val="0"/>
          <w:numId w:val="146"/>
        </w:numPr>
        <w:ind w:right="0" w:hanging="283"/>
      </w:pPr>
      <w:r>
        <w:t>Возраст манифестации на первом году и особенно первые 6 месяцев жизни;</w:t>
      </w:r>
    </w:p>
    <w:p w:rsidR="00D27BC6" w:rsidRDefault="004D5071">
      <w:pPr>
        <w:numPr>
          <w:ilvl w:val="0"/>
          <w:numId w:val="146"/>
        </w:numPr>
        <w:ind w:right="0" w:hanging="283"/>
      </w:pPr>
      <w:r>
        <w:t>Умеренная гипергликемия натощак (5,5–8,5 ммол</w:t>
      </w:r>
      <w:r>
        <w:t>ь/л), особенно в младшем возрасте, без ожирения или асимптоматическая;</w:t>
      </w:r>
    </w:p>
    <w:p w:rsidR="00D27BC6" w:rsidRDefault="004D5071">
      <w:pPr>
        <w:numPr>
          <w:ilvl w:val="0"/>
          <w:numId w:val="146"/>
        </w:numPr>
        <w:ind w:right="0" w:hanging="283"/>
      </w:pPr>
      <w:r>
        <w:t>Длительный «медовый месяц» более 1 года или необычно низкая потребность в инсулине (менее 0,5 Ед/кг/сут) при длительности СД более года;</w:t>
      </w:r>
    </w:p>
    <w:p w:rsidR="00D27BC6" w:rsidRDefault="004D5071">
      <w:pPr>
        <w:numPr>
          <w:ilvl w:val="0"/>
          <w:numId w:val="146"/>
        </w:numPr>
        <w:spacing w:after="230"/>
        <w:ind w:right="0" w:hanging="283"/>
      </w:pPr>
      <w:r>
        <w:t>Ассоциированные состояния, такие как глухота, атрофия диска зрительных нервов (ДЗН), или синдромальные формы (митохондриальные болезни).</w:t>
      </w:r>
    </w:p>
    <w:p w:rsidR="00D27BC6" w:rsidRDefault="004D5071">
      <w:pPr>
        <w:pStyle w:val="Heading2"/>
        <w:ind w:left="-3"/>
      </w:pPr>
      <w:r>
        <w:t>Алгоритм дифференциальной диагностики СД у детей и подростков в сложноклассифицируемых случаях</w:t>
      </w:r>
    </w:p>
    <w:p w:rsidR="00D27BC6" w:rsidRDefault="004D5071">
      <w:pPr>
        <w:spacing w:after="0" w:line="259" w:lineRule="auto"/>
        <w:ind w:left="1581" w:right="0" w:firstLine="0"/>
        <w:jc w:val="left"/>
      </w:pPr>
      <w:r>
        <w:rPr>
          <w:noProof/>
          <w:sz w:val="22"/>
        </w:rPr>
        <mc:AlternateContent>
          <mc:Choice Requires="wpg">
            <w:drawing>
              <wp:inline distT="0" distB="0" distL="0" distR="0">
                <wp:extent cx="4473004" cy="3343796"/>
                <wp:effectExtent l="0" t="0" r="0" b="0"/>
                <wp:docPr id="293679" name="Group 293679"/>
                <wp:cNvGraphicFramePr/>
                <a:graphic xmlns:a="http://schemas.openxmlformats.org/drawingml/2006/main">
                  <a:graphicData uri="http://schemas.microsoft.com/office/word/2010/wordprocessingGroup">
                    <wpg:wgp>
                      <wpg:cNvGrpSpPr/>
                      <wpg:grpSpPr>
                        <a:xfrm>
                          <a:off x="0" y="0"/>
                          <a:ext cx="4473004" cy="3343796"/>
                          <a:chOff x="0" y="0"/>
                          <a:chExt cx="4473004" cy="3343796"/>
                        </a:xfrm>
                      </wpg:grpSpPr>
                      <wps:wsp>
                        <wps:cNvPr id="22977" name="Rectangle 22977"/>
                        <wps:cNvSpPr/>
                        <wps:spPr>
                          <a:xfrm>
                            <a:off x="1161856" y="54807"/>
                            <a:ext cx="2858093" cy="203029"/>
                          </a:xfrm>
                          <a:prstGeom prst="rect">
                            <a:avLst/>
                          </a:prstGeom>
                          <a:ln>
                            <a:noFill/>
                          </a:ln>
                        </wps:spPr>
                        <wps:txbx>
                          <w:txbxContent>
                            <w:p w:rsidR="00D27BC6" w:rsidRDefault="004D5071">
                              <w:pPr>
                                <w:spacing w:after="160" w:line="259" w:lineRule="auto"/>
                                <w:ind w:left="0" w:right="0" w:firstLine="0"/>
                                <w:jc w:val="left"/>
                              </w:pPr>
                              <w:r>
                                <w:rPr>
                                  <w:w w:val="104"/>
                                </w:rPr>
                                <w:t>Специфические</w:t>
                              </w:r>
                              <w:r>
                                <w:rPr>
                                  <w:spacing w:val="-3"/>
                                  <w:w w:val="104"/>
                                </w:rPr>
                                <w:t xml:space="preserve"> </w:t>
                              </w:r>
                              <w:r>
                                <w:rPr>
                                  <w:w w:val="104"/>
                                </w:rPr>
                                <w:t>островк</w:t>
                              </w:r>
                              <w:r>
                                <w:rPr>
                                  <w:w w:val="104"/>
                                </w:rPr>
                                <w:t>овые</w:t>
                              </w:r>
                              <w:r>
                                <w:rPr>
                                  <w:spacing w:val="-3"/>
                                  <w:w w:val="104"/>
                                </w:rPr>
                                <w:t xml:space="preserve"> </w:t>
                              </w:r>
                              <w:r>
                                <w:rPr>
                                  <w:w w:val="104"/>
                                </w:rPr>
                                <w:t>антитела</w:t>
                              </w:r>
                            </w:p>
                          </w:txbxContent>
                        </wps:txbx>
                        <wps:bodyPr horzOverflow="overflow" vert="horz" lIns="0" tIns="0" rIns="0" bIns="0" rtlCol="0">
                          <a:noAutofit/>
                        </wps:bodyPr>
                      </wps:wsp>
                      <wps:wsp>
                        <wps:cNvPr id="293234" name="Rectangle 293234"/>
                        <wps:cNvSpPr/>
                        <wps:spPr>
                          <a:xfrm>
                            <a:off x="2713402" y="207207"/>
                            <a:ext cx="47971" cy="203029"/>
                          </a:xfrm>
                          <a:prstGeom prst="rect">
                            <a:avLst/>
                          </a:prstGeom>
                          <a:ln>
                            <a:noFill/>
                          </a:ln>
                        </wps:spPr>
                        <wps:txbx>
                          <w:txbxContent>
                            <w:p w:rsidR="00D27BC6" w:rsidRDefault="004D5071">
                              <w:pPr>
                                <w:spacing w:after="160" w:line="259" w:lineRule="auto"/>
                                <w:ind w:left="0" w:right="0" w:firstLine="0"/>
                                <w:jc w:val="left"/>
                              </w:pPr>
                              <w:r>
                                <w:rPr>
                                  <w:w w:val="95"/>
                                </w:rPr>
                                <w:t>)</w:t>
                              </w:r>
                            </w:p>
                          </w:txbxContent>
                        </wps:txbx>
                        <wps:bodyPr horzOverflow="overflow" vert="horz" lIns="0" tIns="0" rIns="0" bIns="0" rtlCol="0">
                          <a:noAutofit/>
                        </wps:bodyPr>
                      </wps:wsp>
                      <wps:wsp>
                        <wps:cNvPr id="293236" name="Rectangle 293236"/>
                        <wps:cNvSpPr/>
                        <wps:spPr>
                          <a:xfrm>
                            <a:off x="1759264" y="207207"/>
                            <a:ext cx="1269004" cy="203029"/>
                          </a:xfrm>
                          <a:prstGeom prst="rect">
                            <a:avLst/>
                          </a:prstGeom>
                          <a:ln>
                            <a:noFill/>
                          </a:ln>
                        </wps:spPr>
                        <wps:txbx>
                          <w:txbxContent>
                            <w:p w:rsidR="00D27BC6" w:rsidRDefault="004D5071">
                              <w:pPr>
                                <w:spacing w:after="160" w:line="259" w:lineRule="auto"/>
                                <w:ind w:left="0" w:right="0" w:firstLine="0"/>
                                <w:jc w:val="left"/>
                              </w:pPr>
                              <w:r>
                                <w:rPr>
                                  <w:w w:val="102"/>
                                </w:rPr>
                                <w:t>не</w:t>
                              </w:r>
                              <w:r>
                                <w:rPr>
                                  <w:spacing w:val="-3"/>
                                  <w:w w:val="102"/>
                                </w:rPr>
                                <w:t xml:space="preserve"> </w:t>
                              </w:r>
                              <w:r>
                                <w:rPr>
                                  <w:w w:val="102"/>
                                </w:rPr>
                                <w:t>менее</w:t>
                              </w:r>
                              <w:r>
                                <w:rPr>
                                  <w:spacing w:val="-3"/>
                                  <w:w w:val="102"/>
                                </w:rPr>
                                <w:t xml:space="preserve"> </w:t>
                              </w:r>
                              <w:r>
                                <w:rPr>
                                  <w:w w:val="102"/>
                                </w:rPr>
                                <w:t>3</w:t>
                              </w:r>
                              <w:r>
                                <w:rPr>
                                  <w:spacing w:val="-3"/>
                                  <w:w w:val="102"/>
                                </w:rPr>
                                <w:t xml:space="preserve"> </w:t>
                              </w:r>
                              <w:r>
                                <w:rPr>
                                  <w:w w:val="102"/>
                                </w:rPr>
                                <w:t>видов</w:t>
                              </w:r>
                            </w:p>
                          </w:txbxContent>
                        </wps:txbx>
                        <wps:bodyPr horzOverflow="overflow" vert="horz" lIns="0" tIns="0" rIns="0" bIns="0" rtlCol="0">
                          <a:noAutofit/>
                        </wps:bodyPr>
                      </wps:wsp>
                      <wps:wsp>
                        <wps:cNvPr id="293233" name="Rectangle 293233"/>
                        <wps:cNvSpPr/>
                        <wps:spPr>
                          <a:xfrm>
                            <a:off x="1723196" y="207207"/>
                            <a:ext cx="47970" cy="203029"/>
                          </a:xfrm>
                          <a:prstGeom prst="rect">
                            <a:avLst/>
                          </a:prstGeom>
                          <a:ln>
                            <a:noFill/>
                          </a:ln>
                        </wps:spPr>
                        <wps:txbx>
                          <w:txbxContent>
                            <w:p w:rsidR="00D27BC6" w:rsidRDefault="004D5071">
                              <w:pPr>
                                <w:spacing w:after="160" w:line="259" w:lineRule="auto"/>
                                <w:ind w:left="0" w:right="0" w:firstLine="0"/>
                                <w:jc w:val="left"/>
                              </w:pPr>
                              <w:r>
                                <w:rPr>
                                  <w:w w:val="95"/>
                                </w:rPr>
                                <w:t>(</w:t>
                              </w:r>
                            </w:p>
                          </w:txbxContent>
                        </wps:txbx>
                        <wps:bodyPr horzOverflow="overflow" vert="horz" lIns="0" tIns="0" rIns="0" bIns="0" rtlCol="0">
                          <a:noAutofit/>
                        </wps:bodyPr>
                      </wps:wsp>
                      <wps:wsp>
                        <wps:cNvPr id="22979" name="Shape 22979"/>
                        <wps:cNvSpPr/>
                        <wps:spPr>
                          <a:xfrm>
                            <a:off x="0" y="0"/>
                            <a:ext cx="4473004" cy="408597"/>
                          </a:xfrm>
                          <a:custGeom>
                            <a:avLst/>
                            <a:gdLst/>
                            <a:ahLst/>
                            <a:cxnLst/>
                            <a:rect l="0" t="0" r="0" b="0"/>
                            <a:pathLst>
                              <a:path w="4473004" h="408597">
                                <a:moveTo>
                                  <a:pt x="0" y="408597"/>
                                </a:moveTo>
                                <a:lnTo>
                                  <a:pt x="4473004" y="408597"/>
                                </a:lnTo>
                                <a:lnTo>
                                  <a:pt x="4473004"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2980" name="Rectangle 22980"/>
                        <wps:cNvSpPr/>
                        <wps:spPr>
                          <a:xfrm>
                            <a:off x="268690" y="963613"/>
                            <a:ext cx="2086174" cy="203030"/>
                          </a:xfrm>
                          <a:prstGeom prst="rect">
                            <a:avLst/>
                          </a:prstGeom>
                          <a:ln>
                            <a:noFill/>
                          </a:ln>
                        </wps:spPr>
                        <wps:txbx>
                          <w:txbxContent>
                            <w:p w:rsidR="00D27BC6" w:rsidRDefault="004D5071">
                              <w:pPr>
                                <w:spacing w:after="160" w:line="259" w:lineRule="auto"/>
                                <w:ind w:left="0" w:right="0" w:firstLine="0"/>
                                <w:jc w:val="left"/>
                              </w:pPr>
                              <w:r>
                                <w:rPr>
                                  <w:w w:val="103"/>
                                </w:rPr>
                                <w:t>Молекулярно-генетическое</w:t>
                              </w:r>
                              <w:r>
                                <w:rPr>
                                  <w:spacing w:val="-3"/>
                                  <w:w w:val="103"/>
                                </w:rPr>
                                <w:t xml:space="preserve"> </w:t>
                              </w:r>
                            </w:p>
                          </w:txbxContent>
                        </wps:txbx>
                        <wps:bodyPr horzOverflow="overflow" vert="horz" lIns="0" tIns="0" rIns="0" bIns="0" rtlCol="0">
                          <a:noAutofit/>
                        </wps:bodyPr>
                      </wps:wsp>
                      <wps:wsp>
                        <wps:cNvPr id="22981" name="Rectangle 22981"/>
                        <wps:cNvSpPr/>
                        <wps:spPr>
                          <a:xfrm>
                            <a:off x="649944" y="1116013"/>
                            <a:ext cx="1036094" cy="203030"/>
                          </a:xfrm>
                          <a:prstGeom prst="rect">
                            <a:avLst/>
                          </a:prstGeom>
                          <a:ln>
                            <a:noFill/>
                          </a:ln>
                        </wps:spPr>
                        <wps:txbx>
                          <w:txbxContent>
                            <w:p w:rsidR="00D27BC6" w:rsidRDefault="004D5071">
                              <w:pPr>
                                <w:spacing w:after="160" w:line="259" w:lineRule="auto"/>
                                <w:ind w:left="0" w:right="0" w:firstLine="0"/>
                                <w:jc w:val="left"/>
                              </w:pPr>
                              <w:r>
                                <w:rPr>
                                  <w:w w:val="102"/>
                                </w:rPr>
                                <w:t>исследование</w:t>
                              </w:r>
                            </w:p>
                          </w:txbxContent>
                        </wps:txbx>
                        <wps:bodyPr horzOverflow="overflow" vert="horz" lIns="0" tIns="0" rIns="0" bIns="0" rtlCol="0">
                          <a:noAutofit/>
                        </wps:bodyPr>
                      </wps:wsp>
                      <wps:wsp>
                        <wps:cNvPr id="22982" name="Shape 22982"/>
                        <wps:cNvSpPr/>
                        <wps:spPr>
                          <a:xfrm>
                            <a:off x="0" y="908800"/>
                            <a:ext cx="2079003" cy="408597"/>
                          </a:xfrm>
                          <a:custGeom>
                            <a:avLst/>
                            <a:gdLst/>
                            <a:ahLst/>
                            <a:cxnLst/>
                            <a:rect l="0" t="0" r="0" b="0"/>
                            <a:pathLst>
                              <a:path w="2079003" h="408597">
                                <a:moveTo>
                                  <a:pt x="0" y="408597"/>
                                </a:moveTo>
                                <a:lnTo>
                                  <a:pt x="2079003" y="408597"/>
                                </a:lnTo>
                                <a:lnTo>
                                  <a:pt x="207900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2983" name="Rectangle 22983"/>
                        <wps:cNvSpPr/>
                        <wps:spPr>
                          <a:xfrm>
                            <a:off x="268247" y="1522413"/>
                            <a:ext cx="2087373" cy="203030"/>
                          </a:xfrm>
                          <a:prstGeom prst="rect">
                            <a:avLst/>
                          </a:prstGeom>
                          <a:ln>
                            <a:noFill/>
                          </a:ln>
                        </wps:spPr>
                        <wps:txbx>
                          <w:txbxContent>
                            <w:p w:rsidR="00D27BC6" w:rsidRDefault="004D5071">
                              <w:pPr>
                                <w:spacing w:after="160" w:line="259" w:lineRule="auto"/>
                                <w:ind w:left="0" w:right="0" w:firstLine="0"/>
                                <w:jc w:val="left"/>
                              </w:pPr>
                              <w:r>
                                <w:rPr>
                                  <w:w w:val="103"/>
                                </w:rPr>
                                <w:t>Мутаций,</w:t>
                              </w:r>
                              <w:r>
                                <w:rPr>
                                  <w:spacing w:val="-3"/>
                                  <w:w w:val="103"/>
                                </w:rPr>
                                <w:t xml:space="preserve"> </w:t>
                              </w:r>
                              <w:r>
                                <w:rPr>
                                  <w:w w:val="103"/>
                                </w:rPr>
                                <w:t>ассоциированных</w:t>
                              </w:r>
                              <w:r>
                                <w:rPr>
                                  <w:spacing w:val="-3"/>
                                  <w:w w:val="103"/>
                                </w:rPr>
                                <w:t xml:space="preserve"> </w:t>
                              </w:r>
                            </w:p>
                          </w:txbxContent>
                        </wps:txbx>
                        <wps:bodyPr horzOverflow="overflow" vert="horz" lIns="0" tIns="0" rIns="0" bIns="0" rtlCol="0">
                          <a:noAutofit/>
                        </wps:bodyPr>
                      </wps:wsp>
                      <wps:wsp>
                        <wps:cNvPr id="22984" name="Rectangle 22984"/>
                        <wps:cNvSpPr/>
                        <wps:spPr>
                          <a:xfrm>
                            <a:off x="412900" y="1674813"/>
                            <a:ext cx="1666770" cy="203030"/>
                          </a:xfrm>
                          <a:prstGeom prst="rect">
                            <a:avLst/>
                          </a:prstGeom>
                          <a:ln>
                            <a:noFill/>
                          </a:ln>
                        </wps:spPr>
                        <wps:txbx>
                          <w:txbxContent>
                            <w:p w:rsidR="00D27BC6" w:rsidRDefault="004D5071">
                              <w:pPr>
                                <w:spacing w:after="160" w:line="259" w:lineRule="auto"/>
                                <w:ind w:left="0" w:right="0" w:firstLine="0"/>
                                <w:jc w:val="left"/>
                              </w:pPr>
                              <w:r>
                                <w:rPr>
                                  <w:w w:val="102"/>
                                </w:rPr>
                                <w:t>с</w:t>
                              </w:r>
                              <w:r>
                                <w:rPr>
                                  <w:spacing w:val="-3"/>
                                  <w:w w:val="102"/>
                                </w:rPr>
                                <w:t xml:space="preserve"> </w:t>
                              </w:r>
                              <w:r>
                                <w:rPr>
                                  <w:w w:val="102"/>
                                </w:rPr>
                                <w:t>моногенными</w:t>
                              </w:r>
                              <w:r>
                                <w:rPr>
                                  <w:spacing w:val="-3"/>
                                  <w:w w:val="102"/>
                                </w:rPr>
                                <w:t xml:space="preserve"> </w:t>
                              </w:r>
                              <w:r>
                                <w:rPr>
                                  <w:w w:val="102"/>
                                </w:rPr>
                                <w:t>СД</w:t>
                              </w:r>
                              <w:r>
                                <w:rPr>
                                  <w:spacing w:val="-3"/>
                                  <w:w w:val="102"/>
                                </w:rPr>
                                <w:t xml:space="preserve"> </w:t>
                              </w:r>
                              <w:r>
                                <w:rPr>
                                  <w:w w:val="102"/>
                                </w:rPr>
                                <w:t>нет</w:t>
                              </w:r>
                            </w:p>
                          </w:txbxContent>
                        </wps:txbx>
                        <wps:bodyPr horzOverflow="overflow" vert="horz" lIns="0" tIns="0" rIns="0" bIns="0" rtlCol="0">
                          <a:noAutofit/>
                        </wps:bodyPr>
                      </wps:wsp>
                      <wps:wsp>
                        <wps:cNvPr id="22985" name="Shape 22985"/>
                        <wps:cNvSpPr/>
                        <wps:spPr>
                          <a:xfrm>
                            <a:off x="0" y="1467600"/>
                            <a:ext cx="2079003" cy="408597"/>
                          </a:xfrm>
                          <a:custGeom>
                            <a:avLst/>
                            <a:gdLst/>
                            <a:ahLst/>
                            <a:cxnLst/>
                            <a:rect l="0" t="0" r="0" b="0"/>
                            <a:pathLst>
                              <a:path w="2079003" h="408597">
                                <a:moveTo>
                                  <a:pt x="0" y="408597"/>
                                </a:moveTo>
                                <a:lnTo>
                                  <a:pt x="2079003" y="408597"/>
                                </a:lnTo>
                                <a:lnTo>
                                  <a:pt x="207900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2986" name="Rectangle 22986"/>
                        <wps:cNvSpPr/>
                        <wps:spPr>
                          <a:xfrm>
                            <a:off x="223798" y="2081213"/>
                            <a:ext cx="2205593" cy="203030"/>
                          </a:xfrm>
                          <a:prstGeom prst="rect">
                            <a:avLst/>
                          </a:prstGeom>
                          <a:ln>
                            <a:noFill/>
                          </a:ln>
                        </wps:spPr>
                        <wps:txbx>
                          <w:txbxContent>
                            <w:p w:rsidR="00D27BC6" w:rsidRDefault="004D5071">
                              <w:pPr>
                                <w:spacing w:after="160" w:line="259" w:lineRule="auto"/>
                                <w:ind w:left="0" w:right="0" w:firstLine="0"/>
                                <w:jc w:val="left"/>
                              </w:pPr>
                              <w:r>
                                <w:rPr>
                                  <w:w w:val="103"/>
                                </w:rPr>
                                <w:t>Уровень</w:t>
                              </w:r>
                              <w:r>
                                <w:rPr>
                                  <w:spacing w:val="-3"/>
                                  <w:w w:val="103"/>
                                </w:rPr>
                                <w:t xml:space="preserve"> </w:t>
                              </w:r>
                              <w:r>
                                <w:rPr>
                                  <w:w w:val="103"/>
                                </w:rPr>
                                <w:t>С-пептида,</w:t>
                              </w:r>
                              <w:r>
                                <w:rPr>
                                  <w:spacing w:val="-3"/>
                                  <w:w w:val="103"/>
                                </w:rPr>
                                <w:t xml:space="preserve"> </w:t>
                              </w:r>
                              <w:r>
                                <w:rPr>
                                  <w:w w:val="103"/>
                                </w:rPr>
                                <w:t>инсулина</w:t>
                              </w:r>
                              <w:r>
                                <w:rPr>
                                  <w:spacing w:val="-3"/>
                                  <w:w w:val="103"/>
                                </w:rPr>
                                <w:t xml:space="preserve"> </w:t>
                              </w:r>
                            </w:p>
                          </w:txbxContent>
                        </wps:txbx>
                        <wps:bodyPr horzOverflow="overflow" vert="horz" lIns="0" tIns="0" rIns="0" bIns="0" rtlCol="0">
                          <a:noAutofit/>
                        </wps:bodyPr>
                      </wps:wsp>
                      <wps:wsp>
                        <wps:cNvPr id="22987" name="Rectangle 22987"/>
                        <wps:cNvSpPr/>
                        <wps:spPr>
                          <a:xfrm>
                            <a:off x="806347" y="2233613"/>
                            <a:ext cx="620069" cy="203030"/>
                          </a:xfrm>
                          <a:prstGeom prst="rect">
                            <a:avLst/>
                          </a:prstGeom>
                          <a:ln>
                            <a:noFill/>
                          </a:ln>
                        </wps:spPr>
                        <wps:txbx>
                          <w:txbxContent>
                            <w:p w:rsidR="00D27BC6" w:rsidRDefault="004D5071">
                              <w:pPr>
                                <w:spacing w:after="160" w:line="259" w:lineRule="auto"/>
                                <w:ind w:left="0" w:right="0" w:firstLine="0"/>
                                <w:jc w:val="left"/>
                              </w:pPr>
                              <w:r>
                                <w:rPr>
                                  <w:w w:val="103"/>
                                </w:rPr>
                                <w:t>натощак</w:t>
                              </w:r>
                            </w:p>
                          </w:txbxContent>
                        </wps:txbx>
                        <wps:bodyPr horzOverflow="overflow" vert="horz" lIns="0" tIns="0" rIns="0" bIns="0" rtlCol="0">
                          <a:noAutofit/>
                        </wps:bodyPr>
                      </wps:wsp>
                      <wps:wsp>
                        <wps:cNvPr id="22988" name="Shape 22988"/>
                        <wps:cNvSpPr/>
                        <wps:spPr>
                          <a:xfrm>
                            <a:off x="0" y="2026400"/>
                            <a:ext cx="2079003" cy="408597"/>
                          </a:xfrm>
                          <a:custGeom>
                            <a:avLst/>
                            <a:gdLst/>
                            <a:ahLst/>
                            <a:cxnLst/>
                            <a:rect l="0" t="0" r="0" b="0"/>
                            <a:pathLst>
                              <a:path w="2079003" h="408597">
                                <a:moveTo>
                                  <a:pt x="0" y="408597"/>
                                </a:moveTo>
                                <a:lnTo>
                                  <a:pt x="2079003" y="408597"/>
                                </a:lnTo>
                                <a:lnTo>
                                  <a:pt x="207900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2989" name="Rectangle 22989"/>
                        <wps:cNvSpPr/>
                        <wps:spPr>
                          <a:xfrm>
                            <a:off x="396516" y="2716211"/>
                            <a:ext cx="1710383" cy="203030"/>
                          </a:xfrm>
                          <a:prstGeom prst="rect">
                            <a:avLst/>
                          </a:prstGeom>
                          <a:ln>
                            <a:noFill/>
                          </a:ln>
                        </wps:spPr>
                        <wps:txbx>
                          <w:txbxContent>
                            <w:p w:rsidR="00D27BC6" w:rsidRDefault="004D5071">
                              <w:pPr>
                                <w:spacing w:after="160" w:line="259" w:lineRule="auto"/>
                                <w:ind w:left="0" w:right="0" w:firstLine="0"/>
                                <w:jc w:val="left"/>
                              </w:pPr>
                              <w:r>
                                <w:rPr>
                                  <w:w w:val="103"/>
                                </w:rPr>
                                <w:t>Нормальный,</w:t>
                              </w:r>
                              <w:r>
                                <w:rPr>
                                  <w:spacing w:val="-3"/>
                                  <w:w w:val="103"/>
                                </w:rPr>
                                <w:t xml:space="preserve"> </w:t>
                              </w:r>
                              <w:r>
                                <w:rPr>
                                  <w:w w:val="103"/>
                                </w:rPr>
                                <w:t>повышен</w:t>
                              </w:r>
                            </w:p>
                          </w:txbxContent>
                        </wps:txbx>
                        <wps:bodyPr horzOverflow="overflow" vert="horz" lIns="0" tIns="0" rIns="0" bIns="0" rtlCol="0">
                          <a:noAutofit/>
                        </wps:bodyPr>
                      </wps:wsp>
                      <wps:wsp>
                        <wps:cNvPr id="22990" name="Shape 22990"/>
                        <wps:cNvSpPr/>
                        <wps:spPr>
                          <a:xfrm>
                            <a:off x="0" y="2585200"/>
                            <a:ext cx="2079003" cy="408597"/>
                          </a:xfrm>
                          <a:custGeom>
                            <a:avLst/>
                            <a:gdLst/>
                            <a:ahLst/>
                            <a:cxnLst/>
                            <a:rect l="0" t="0" r="0" b="0"/>
                            <a:pathLst>
                              <a:path w="2079003" h="408597">
                                <a:moveTo>
                                  <a:pt x="0" y="408597"/>
                                </a:moveTo>
                                <a:lnTo>
                                  <a:pt x="2079003" y="408597"/>
                                </a:lnTo>
                                <a:lnTo>
                                  <a:pt x="207900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0637" name="Shape 380637"/>
                        <wps:cNvSpPr/>
                        <wps:spPr>
                          <a:xfrm>
                            <a:off x="443255" y="3144000"/>
                            <a:ext cx="1192505" cy="199796"/>
                          </a:xfrm>
                          <a:custGeom>
                            <a:avLst/>
                            <a:gdLst/>
                            <a:ahLst/>
                            <a:cxnLst/>
                            <a:rect l="0" t="0" r="0" b="0"/>
                            <a:pathLst>
                              <a:path w="1192505" h="199796">
                                <a:moveTo>
                                  <a:pt x="0" y="0"/>
                                </a:moveTo>
                                <a:lnTo>
                                  <a:pt x="1192505" y="0"/>
                                </a:lnTo>
                                <a:lnTo>
                                  <a:pt x="1192505" y="199796"/>
                                </a:lnTo>
                                <a:lnTo>
                                  <a:pt x="0" y="199796"/>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2992" name="Rectangle 22992"/>
                        <wps:cNvSpPr/>
                        <wps:spPr>
                          <a:xfrm>
                            <a:off x="776050" y="3170613"/>
                            <a:ext cx="700808" cy="203029"/>
                          </a:xfrm>
                          <a:prstGeom prst="rect">
                            <a:avLst/>
                          </a:prstGeom>
                          <a:ln>
                            <a:noFill/>
                          </a:ln>
                        </wps:spPr>
                        <wps:txbx>
                          <w:txbxContent>
                            <w:p w:rsidR="00D27BC6" w:rsidRDefault="004D5071">
                              <w:pPr>
                                <w:spacing w:after="160" w:line="259" w:lineRule="auto"/>
                                <w:ind w:left="0" w:right="0" w:firstLine="0"/>
                                <w:jc w:val="left"/>
                              </w:pPr>
                              <w:r>
                                <w:rPr>
                                  <w:w w:val="103"/>
                                </w:rPr>
                                <w:t>СД</w:t>
                              </w:r>
                              <w:r>
                                <w:rPr>
                                  <w:spacing w:val="-3"/>
                                  <w:w w:val="103"/>
                                </w:rPr>
                                <w:t xml:space="preserve"> </w:t>
                              </w:r>
                              <w:r>
                                <w:rPr>
                                  <w:w w:val="103"/>
                                </w:rPr>
                                <w:t>2</w:t>
                              </w:r>
                              <w:r>
                                <w:rPr>
                                  <w:spacing w:val="-3"/>
                                  <w:w w:val="103"/>
                                </w:rPr>
                                <w:t xml:space="preserve"> </w:t>
                              </w:r>
                              <w:r>
                                <w:rPr>
                                  <w:w w:val="103"/>
                                </w:rPr>
                                <w:t>типа</w:t>
                              </w:r>
                            </w:p>
                          </w:txbxContent>
                        </wps:txbx>
                        <wps:bodyPr horzOverflow="overflow" vert="horz" lIns="0" tIns="0" rIns="0" bIns="0" rtlCol="0">
                          <a:noAutofit/>
                        </wps:bodyPr>
                      </wps:wsp>
                      <wps:wsp>
                        <wps:cNvPr id="22993" name="Shape 22993"/>
                        <wps:cNvSpPr/>
                        <wps:spPr>
                          <a:xfrm>
                            <a:off x="443255" y="3144000"/>
                            <a:ext cx="1192505" cy="199796"/>
                          </a:xfrm>
                          <a:custGeom>
                            <a:avLst/>
                            <a:gdLst/>
                            <a:ahLst/>
                            <a:cxnLst/>
                            <a:rect l="0" t="0" r="0" b="0"/>
                            <a:pathLst>
                              <a:path w="1192505" h="199796">
                                <a:moveTo>
                                  <a:pt x="0" y="199796"/>
                                </a:moveTo>
                                <a:lnTo>
                                  <a:pt x="1192505" y="199796"/>
                                </a:lnTo>
                                <a:lnTo>
                                  <a:pt x="11925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2994" name="Rectangle 22994"/>
                        <wps:cNvSpPr/>
                        <wps:spPr>
                          <a:xfrm>
                            <a:off x="947177" y="585412"/>
                            <a:ext cx="245595" cy="203029"/>
                          </a:xfrm>
                          <a:prstGeom prst="rect">
                            <a:avLst/>
                          </a:prstGeom>
                          <a:ln>
                            <a:noFill/>
                          </a:ln>
                        </wps:spPr>
                        <wps:txbx>
                          <w:txbxContent>
                            <w:p w:rsidR="00D27BC6" w:rsidRDefault="004D5071">
                              <w:pPr>
                                <w:spacing w:after="160" w:line="259" w:lineRule="auto"/>
                                <w:ind w:left="0" w:right="0" w:firstLine="0"/>
                                <w:jc w:val="left"/>
                              </w:pPr>
                              <w:r>
                                <w:rPr>
                                  <w:w w:val="103"/>
                                </w:rPr>
                                <w:t>нет</w:t>
                              </w:r>
                            </w:p>
                          </w:txbxContent>
                        </wps:txbx>
                        <wps:bodyPr horzOverflow="overflow" vert="horz" lIns="0" tIns="0" rIns="0" bIns="0" rtlCol="0">
                          <a:noAutofit/>
                        </wps:bodyPr>
                      </wps:wsp>
                      <wps:wsp>
                        <wps:cNvPr id="22995" name="Shape 22995"/>
                        <wps:cNvSpPr/>
                        <wps:spPr>
                          <a:xfrm>
                            <a:off x="733501" y="558800"/>
                            <a:ext cx="612000" cy="199796"/>
                          </a:xfrm>
                          <a:custGeom>
                            <a:avLst/>
                            <a:gdLst/>
                            <a:ahLst/>
                            <a:cxnLst/>
                            <a:rect l="0" t="0" r="0" b="0"/>
                            <a:pathLst>
                              <a:path w="612000" h="199796">
                                <a:moveTo>
                                  <a:pt x="0" y="199796"/>
                                </a:moveTo>
                                <a:lnTo>
                                  <a:pt x="612000" y="199796"/>
                                </a:lnTo>
                                <a:lnTo>
                                  <a:pt x="612000"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2996" name="Shape 22996"/>
                        <wps:cNvSpPr/>
                        <wps:spPr>
                          <a:xfrm>
                            <a:off x="1039505" y="413144"/>
                            <a:ext cx="0" cy="77191"/>
                          </a:xfrm>
                          <a:custGeom>
                            <a:avLst/>
                            <a:gdLst/>
                            <a:ahLst/>
                            <a:cxnLst/>
                            <a:rect l="0" t="0" r="0" b="0"/>
                            <a:pathLst>
                              <a:path h="77191">
                                <a:moveTo>
                                  <a:pt x="0" y="0"/>
                                </a:moveTo>
                                <a:lnTo>
                                  <a:pt x="0" y="7719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2997" name="Shape 22997"/>
                        <wps:cNvSpPr/>
                        <wps:spPr>
                          <a:xfrm>
                            <a:off x="1008949" y="470296"/>
                            <a:ext cx="61113" cy="84036"/>
                          </a:xfrm>
                          <a:custGeom>
                            <a:avLst/>
                            <a:gdLst/>
                            <a:ahLst/>
                            <a:cxnLst/>
                            <a:rect l="0" t="0" r="0" b="0"/>
                            <a:pathLst>
                              <a:path w="61113" h="84036">
                                <a:moveTo>
                                  <a:pt x="0" y="0"/>
                                </a:moveTo>
                                <a:lnTo>
                                  <a:pt x="30556" y="20041"/>
                                </a:lnTo>
                                <a:lnTo>
                                  <a:pt x="61113" y="0"/>
                                </a:lnTo>
                                <a:lnTo>
                                  <a:pt x="30556" y="8403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2998" name="Shape 22998"/>
                        <wps:cNvSpPr/>
                        <wps:spPr>
                          <a:xfrm>
                            <a:off x="1039505" y="763188"/>
                            <a:ext cx="0" cy="77191"/>
                          </a:xfrm>
                          <a:custGeom>
                            <a:avLst/>
                            <a:gdLst/>
                            <a:ahLst/>
                            <a:cxnLst/>
                            <a:rect l="0" t="0" r="0" b="0"/>
                            <a:pathLst>
                              <a:path h="77191">
                                <a:moveTo>
                                  <a:pt x="0" y="0"/>
                                </a:moveTo>
                                <a:lnTo>
                                  <a:pt x="0" y="7719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2999" name="Shape 22999"/>
                        <wps:cNvSpPr/>
                        <wps:spPr>
                          <a:xfrm>
                            <a:off x="1008949" y="820340"/>
                            <a:ext cx="61113" cy="84036"/>
                          </a:xfrm>
                          <a:custGeom>
                            <a:avLst/>
                            <a:gdLst/>
                            <a:ahLst/>
                            <a:cxnLst/>
                            <a:rect l="0" t="0" r="0" b="0"/>
                            <a:pathLst>
                              <a:path w="61113" h="84036">
                                <a:moveTo>
                                  <a:pt x="0" y="0"/>
                                </a:moveTo>
                                <a:lnTo>
                                  <a:pt x="30556" y="20041"/>
                                </a:lnTo>
                                <a:lnTo>
                                  <a:pt x="61113" y="0"/>
                                </a:lnTo>
                                <a:lnTo>
                                  <a:pt x="30556" y="8403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000" name="Rectangle 23000"/>
                        <wps:cNvSpPr/>
                        <wps:spPr>
                          <a:xfrm>
                            <a:off x="2674759" y="1522413"/>
                            <a:ext cx="2054081" cy="203030"/>
                          </a:xfrm>
                          <a:prstGeom prst="rect">
                            <a:avLst/>
                          </a:prstGeom>
                          <a:ln>
                            <a:noFill/>
                          </a:ln>
                        </wps:spPr>
                        <wps:txbx>
                          <w:txbxContent>
                            <w:p w:rsidR="00D27BC6" w:rsidRDefault="004D5071">
                              <w:pPr>
                                <w:spacing w:after="160" w:line="259" w:lineRule="auto"/>
                                <w:ind w:left="0" w:right="0" w:firstLine="0"/>
                                <w:jc w:val="left"/>
                              </w:pPr>
                              <w:r>
                                <w:rPr>
                                  <w:w w:val="103"/>
                                </w:rPr>
                                <w:t>Мутация,</w:t>
                              </w:r>
                              <w:r>
                                <w:rPr>
                                  <w:spacing w:val="-3"/>
                                  <w:w w:val="103"/>
                                </w:rPr>
                                <w:t xml:space="preserve"> </w:t>
                              </w:r>
                              <w:r>
                                <w:rPr>
                                  <w:w w:val="103"/>
                                </w:rPr>
                                <w:t>ассоциированная</w:t>
                              </w:r>
                              <w:r>
                                <w:rPr>
                                  <w:spacing w:val="-3"/>
                                  <w:w w:val="103"/>
                                </w:rPr>
                                <w:t xml:space="preserve"> </w:t>
                              </w:r>
                            </w:p>
                          </w:txbxContent>
                        </wps:txbx>
                        <wps:bodyPr horzOverflow="overflow" vert="horz" lIns="0" tIns="0" rIns="0" bIns="0" rtlCol="0">
                          <a:noAutofit/>
                        </wps:bodyPr>
                      </wps:wsp>
                      <wps:wsp>
                        <wps:cNvPr id="23001" name="Rectangle 23001"/>
                        <wps:cNvSpPr/>
                        <wps:spPr>
                          <a:xfrm>
                            <a:off x="2815855" y="1674813"/>
                            <a:ext cx="1642971" cy="203030"/>
                          </a:xfrm>
                          <a:prstGeom prst="rect">
                            <a:avLst/>
                          </a:prstGeom>
                          <a:ln>
                            <a:noFill/>
                          </a:ln>
                        </wps:spPr>
                        <wps:txbx>
                          <w:txbxContent>
                            <w:p w:rsidR="00D27BC6" w:rsidRDefault="004D5071">
                              <w:pPr>
                                <w:spacing w:after="160" w:line="259" w:lineRule="auto"/>
                                <w:ind w:left="0" w:right="0" w:firstLine="0"/>
                                <w:jc w:val="left"/>
                              </w:pPr>
                              <w:r>
                                <w:rPr>
                                  <w:w w:val="103"/>
                                </w:rPr>
                                <w:t>с</w:t>
                              </w:r>
                              <w:r>
                                <w:rPr>
                                  <w:spacing w:val="-3"/>
                                  <w:w w:val="103"/>
                                </w:rPr>
                                <w:t xml:space="preserve"> </w:t>
                              </w:r>
                              <w:r>
                                <w:rPr>
                                  <w:w w:val="103"/>
                                </w:rPr>
                                <w:t>моногенным</w:t>
                              </w:r>
                              <w:r>
                                <w:rPr>
                                  <w:spacing w:val="-3"/>
                                  <w:w w:val="103"/>
                                </w:rPr>
                                <w:t xml:space="preserve"> </w:t>
                              </w:r>
                              <w:r>
                                <w:rPr>
                                  <w:w w:val="103"/>
                                </w:rPr>
                                <w:t>СД</w:t>
                              </w:r>
                              <w:r>
                                <w:rPr>
                                  <w:spacing w:val="-3"/>
                                  <w:w w:val="103"/>
                                </w:rPr>
                                <w:t xml:space="preserve"> </w:t>
                              </w:r>
                              <w:r>
                                <w:rPr>
                                  <w:w w:val="103"/>
                                </w:rPr>
                                <w:t>есть</w:t>
                              </w:r>
                            </w:p>
                          </w:txbxContent>
                        </wps:txbx>
                        <wps:bodyPr horzOverflow="overflow" vert="horz" lIns="0" tIns="0" rIns="0" bIns="0" rtlCol="0">
                          <a:noAutofit/>
                        </wps:bodyPr>
                      </wps:wsp>
                      <wps:wsp>
                        <wps:cNvPr id="23002" name="Shape 23002"/>
                        <wps:cNvSpPr/>
                        <wps:spPr>
                          <a:xfrm>
                            <a:off x="2394001" y="1467600"/>
                            <a:ext cx="2079003" cy="408597"/>
                          </a:xfrm>
                          <a:custGeom>
                            <a:avLst/>
                            <a:gdLst/>
                            <a:ahLst/>
                            <a:cxnLst/>
                            <a:rect l="0" t="0" r="0" b="0"/>
                            <a:pathLst>
                              <a:path w="2079003" h="408597">
                                <a:moveTo>
                                  <a:pt x="0" y="408597"/>
                                </a:moveTo>
                                <a:lnTo>
                                  <a:pt x="2079003" y="408597"/>
                                </a:lnTo>
                                <a:lnTo>
                                  <a:pt x="2079003"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0659" name="Shape 380659"/>
                        <wps:cNvSpPr/>
                        <wps:spPr>
                          <a:xfrm>
                            <a:off x="2842997" y="908799"/>
                            <a:ext cx="1181011" cy="199797"/>
                          </a:xfrm>
                          <a:custGeom>
                            <a:avLst/>
                            <a:gdLst/>
                            <a:ahLst/>
                            <a:cxnLst/>
                            <a:rect l="0" t="0" r="0" b="0"/>
                            <a:pathLst>
                              <a:path w="1181011" h="199797">
                                <a:moveTo>
                                  <a:pt x="0" y="0"/>
                                </a:moveTo>
                                <a:lnTo>
                                  <a:pt x="1181011" y="0"/>
                                </a:lnTo>
                                <a:lnTo>
                                  <a:pt x="1181011" y="199797"/>
                                </a:lnTo>
                                <a:lnTo>
                                  <a:pt x="0" y="199797"/>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3004" name="Rectangle 23004"/>
                        <wps:cNvSpPr/>
                        <wps:spPr>
                          <a:xfrm>
                            <a:off x="3170050" y="935413"/>
                            <a:ext cx="700807" cy="203029"/>
                          </a:xfrm>
                          <a:prstGeom prst="rect">
                            <a:avLst/>
                          </a:prstGeom>
                          <a:ln>
                            <a:noFill/>
                          </a:ln>
                        </wps:spPr>
                        <wps:txbx>
                          <w:txbxContent>
                            <w:p w:rsidR="00D27BC6" w:rsidRDefault="004D5071">
                              <w:pPr>
                                <w:spacing w:after="160" w:line="259" w:lineRule="auto"/>
                                <w:ind w:left="0" w:right="0" w:firstLine="0"/>
                                <w:jc w:val="left"/>
                              </w:pPr>
                              <w:r>
                                <w:rPr>
                                  <w:w w:val="103"/>
                                </w:rPr>
                                <w:t>СД</w:t>
                              </w:r>
                              <w:r>
                                <w:rPr>
                                  <w:spacing w:val="-3"/>
                                  <w:w w:val="103"/>
                                </w:rPr>
                                <w:t xml:space="preserve"> </w:t>
                              </w:r>
                              <w:r>
                                <w:rPr>
                                  <w:w w:val="103"/>
                                </w:rPr>
                                <w:t>1</w:t>
                              </w:r>
                              <w:r>
                                <w:rPr>
                                  <w:spacing w:val="-3"/>
                                  <w:w w:val="103"/>
                                </w:rPr>
                                <w:t xml:space="preserve"> </w:t>
                              </w:r>
                              <w:r>
                                <w:rPr>
                                  <w:w w:val="103"/>
                                </w:rPr>
                                <w:t>типа</w:t>
                              </w:r>
                            </w:p>
                          </w:txbxContent>
                        </wps:txbx>
                        <wps:bodyPr horzOverflow="overflow" vert="horz" lIns="0" tIns="0" rIns="0" bIns="0" rtlCol="0">
                          <a:noAutofit/>
                        </wps:bodyPr>
                      </wps:wsp>
                      <wps:wsp>
                        <wps:cNvPr id="23005" name="Shape 23005"/>
                        <wps:cNvSpPr/>
                        <wps:spPr>
                          <a:xfrm>
                            <a:off x="2842997" y="908799"/>
                            <a:ext cx="1181011" cy="199797"/>
                          </a:xfrm>
                          <a:custGeom>
                            <a:avLst/>
                            <a:gdLst/>
                            <a:ahLst/>
                            <a:cxnLst/>
                            <a:rect l="0" t="0" r="0" b="0"/>
                            <a:pathLst>
                              <a:path w="1181011" h="199797">
                                <a:moveTo>
                                  <a:pt x="0" y="199797"/>
                                </a:moveTo>
                                <a:lnTo>
                                  <a:pt x="1181011" y="199797"/>
                                </a:lnTo>
                                <a:lnTo>
                                  <a:pt x="1181011"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0666" name="Shape 380666"/>
                        <wps:cNvSpPr/>
                        <wps:spPr>
                          <a:xfrm>
                            <a:off x="2837256" y="3144000"/>
                            <a:ext cx="1192505" cy="199796"/>
                          </a:xfrm>
                          <a:custGeom>
                            <a:avLst/>
                            <a:gdLst/>
                            <a:ahLst/>
                            <a:cxnLst/>
                            <a:rect l="0" t="0" r="0" b="0"/>
                            <a:pathLst>
                              <a:path w="1192505" h="199796">
                                <a:moveTo>
                                  <a:pt x="0" y="0"/>
                                </a:moveTo>
                                <a:lnTo>
                                  <a:pt x="1192505" y="0"/>
                                </a:lnTo>
                                <a:lnTo>
                                  <a:pt x="1192505" y="199796"/>
                                </a:lnTo>
                                <a:lnTo>
                                  <a:pt x="0" y="199796"/>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3007" name="Rectangle 23007"/>
                        <wps:cNvSpPr/>
                        <wps:spPr>
                          <a:xfrm>
                            <a:off x="2877825" y="3170613"/>
                            <a:ext cx="1478115" cy="203029"/>
                          </a:xfrm>
                          <a:prstGeom prst="rect">
                            <a:avLst/>
                          </a:prstGeom>
                          <a:ln>
                            <a:noFill/>
                          </a:ln>
                        </wps:spPr>
                        <wps:txbx>
                          <w:txbxContent>
                            <w:p w:rsidR="00D27BC6" w:rsidRDefault="004D5071">
                              <w:pPr>
                                <w:spacing w:after="160" w:line="259" w:lineRule="auto"/>
                                <w:ind w:left="0" w:right="0" w:firstLine="0"/>
                                <w:jc w:val="left"/>
                              </w:pPr>
                              <w:r>
                                <w:rPr>
                                  <w:w w:val="104"/>
                                  <w:bdr w:val="single" w:sz="11" w:space="0" w:color="000000"/>
                                </w:rPr>
                                <w:t>Идиопатический</w:t>
                              </w:r>
                              <w:r>
                                <w:rPr>
                                  <w:spacing w:val="-3"/>
                                  <w:w w:val="104"/>
                                  <w:bdr w:val="single" w:sz="11" w:space="0" w:color="000000"/>
                                </w:rPr>
                                <w:t xml:space="preserve"> </w:t>
                              </w:r>
                              <w:r>
                                <w:rPr>
                                  <w:w w:val="104"/>
                                  <w:bdr w:val="single" w:sz="11" w:space="0" w:color="000000"/>
                                </w:rPr>
                                <w:t>СД</w:t>
                              </w:r>
                            </w:p>
                          </w:txbxContent>
                        </wps:txbx>
                        <wps:bodyPr horzOverflow="overflow" vert="horz" lIns="0" tIns="0" rIns="0" bIns="0" rtlCol="0">
                          <a:noAutofit/>
                        </wps:bodyPr>
                      </wps:wsp>
                      <wps:wsp>
                        <wps:cNvPr id="380671" name="Shape 380671"/>
                        <wps:cNvSpPr/>
                        <wps:spPr>
                          <a:xfrm>
                            <a:off x="2837256" y="2026400"/>
                            <a:ext cx="1192505" cy="199796"/>
                          </a:xfrm>
                          <a:custGeom>
                            <a:avLst/>
                            <a:gdLst/>
                            <a:ahLst/>
                            <a:cxnLst/>
                            <a:rect l="0" t="0" r="0" b="0"/>
                            <a:pathLst>
                              <a:path w="1192505" h="199796">
                                <a:moveTo>
                                  <a:pt x="0" y="0"/>
                                </a:moveTo>
                                <a:lnTo>
                                  <a:pt x="1192505" y="0"/>
                                </a:lnTo>
                                <a:lnTo>
                                  <a:pt x="1192505" y="199796"/>
                                </a:lnTo>
                                <a:lnTo>
                                  <a:pt x="0" y="199796"/>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23010" name="Rectangle 23010"/>
                        <wps:cNvSpPr/>
                        <wps:spPr>
                          <a:xfrm>
                            <a:off x="2984694" y="2053012"/>
                            <a:ext cx="1193839" cy="203030"/>
                          </a:xfrm>
                          <a:prstGeom prst="rect">
                            <a:avLst/>
                          </a:prstGeom>
                          <a:ln>
                            <a:noFill/>
                          </a:ln>
                        </wps:spPr>
                        <wps:txbx>
                          <w:txbxContent>
                            <w:p w:rsidR="00D27BC6" w:rsidRDefault="004D5071">
                              <w:pPr>
                                <w:spacing w:after="160" w:line="259" w:lineRule="auto"/>
                                <w:ind w:left="0" w:right="0" w:firstLine="0"/>
                                <w:jc w:val="left"/>
                              </w:pPr>
                              <w:r>
                                <w:rPr>
                                  <w:w w:val="102"/>
                                </w:rPr>
                                <w:t>Моногенный</w:t>
                              </w:r>
                              <w:r>
                                <w:rPr>
                                  <w:spacing w:val="-3"/>
                                  <w:w w:val="102"/>
                                </w:rPr>
                                <w:t xml:space="preserve"> </w:t>
                              </w:r>
                              <w:r>
                                <w:rPr>
                                  <w:w w:val="102"/>
                                </w:rPr>
                                <w:t>СД</w:t>
                              </w:r>
                            </w:p>
                          </w:txbxContent>
                        </wps:txbx>
                        <wps:bodyPr horzOverflow="overflow" vert="horz" lIns="0" tIns="0" rIns="0" bIns="0" rtlCol="0">
                          <a:noAutofit/>
                        </wps:bodyPr>
                      </wps:wsp>
                      <wps:wsp>
                        <wps:cNvPr id="23011" name="Shape 23011"/>
                        <wps:cNvSpPr/>
                        <wps:spPr>
                          <a:xfrm>
                            <a:off x="2837256" y="2026400"/>
                            <a:ext cx="1192505" cy="199796"/>
                          </a:xfrm>
                          <a:custGeom>
                            <a:avLst/>
                            <a:gdLst/>
                            <a:ahLst/>
                            <a:cxnLst/>
                            <a:rect l="0" t="0" r="0" b="0"/>
                            <a:pathLst>
                              <a:path w="1192505" h="199796">
                                <a:moveTo>
                                  <a:pt x="0" y="199796"/>
                                </a:moveTo>
                                <a:lnTo>
                                  <a:pt x="1192505" y="199796"/>
                                </a:lnTo>
                                <a:lnTo>
                                  <a:pt x="11925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012" name="Rectangle 23012"/>
                        <wps:cNvSpPr/>
                        <wps:spPr>
                          <a:xfrm>
                            <a:off x="3314953" y="585412"/>
                            <a:ext cx="315355" cy="203029"/>
                          </a:xfrm>
                          <a:prstGeom prst="rect">
                            <a:avLst/>
                          </a:prstGeom>
                          <a:ln>
                            <a:noFill/>
                          </a:ln>
                        </wps:spPr>
                        <wps:txbx>
                          <w:txbxContent>
                            <w:p w:rsidR="00D27BC6" w:rsidRDefault="004D5071">
                              <w:pPr>
                                <w:spacing w:after="160" w:line="259" w:lineRule="auto"/>
                                <w:ind w:left="0" w:right="0" w:firstLine="0"/>
                                <w:jc w:val="left"/>
                              </w:pPr>
                              <w:r>
                                <w:rPr>
                                  <w:w w:val="105"/>
                                </w:rPr>
                                <w:t>есть</w:t>
                              </w:r>
                            </w:p>
                          </w:txbxContent>
                        </wps:txbx>
                        <wps:bodyPr horzOverflow="overflow" vert="horz" lIns="0" tIns="0" rIns="0" bIns="0" rtlCol="0">
                          <a:noAutofit/>
                        </wps:bodyPr>
                      </wps:wsp>
                      <wps:wsp>
                        <wps:cNvPr id="23013" name="Shape 23013"/>
                        <wps:cNvSpPr/>
                        <wps:spPr>
                          <a:xfrm>
                            <a:off x="3127502" y="558800"/>
                            <a:ext cx="612000" cy="199796"/>
                          </a:xfrm>
                          <a:custGeom>
                            <a:avLst/>
                            <a:gdLst/>
                            <a:ahLst/>
                            <a:cxnLst/>
                            <a:rect l="0" t="0" r="0" b="0"/>
                            <a:pathLst>
                              <a:path w="612000" h="199796">
                                <a:moveTo>
                                  <a:pt x="0" y="199796"/>
                                </a:moveTo>
                                <a:lnTo>
                                  <a:pt x="612000" y="199796"/>
                                </a:lnTo>
                                <a:lnTo>
                                  <a:pt x="612000"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014" name="Rectangle 23014"/>
                        <wps:cNvSpPr/>
                        <wps:spPr>
                          <a:xfrm>
                            <a:off x="3226752" y="2820612"/>
                            <a:ext cx="549971" cy="203030"/>
                          </a:xfrm>
                          <a:prstGeom prst="rect">
                            <a:avLst/>
                          </a:prstGeom>
                          <a:ln>
                            <a:noFill/>
                          </a:ln>
                        </wps:spPr>
                        <wps:txbx>
                          <w:txbxContent>
                            <w:p w:rsidR="00D27BC6" w:rsidRDefault="004D5071">
                              <w:pPr>
                                <w:spacing w:after="160" w:line="259" w:lineRule="auto"/>
                                <w:ind w:left="0" w:right="0" w:firstLine="0"/>
                                <w:jc w:val="left"/>
                              </w:pPr>
                              <w:r>
                                <w:rPr>
                                  <w:w w:val="102"/>
                                </w:rPr>
                                <w:t>снижен</w:t>
                              </w:r>
                            </w:p>
                          </w:txbxContent>
                        </wps:txbx>
                        <wps:bodyPr horzOverflow="overflow" vert="horz" lIns="0" tIns="0" rIns="0" bIns="0" rtlCol="0">
                          <a:noAutofit/>
                        </wps:bodyPr>
                      </wps:wsp>
                      <wps:wsp>
                        <wps:cNvPr id="23015" name="Shape 23015"/>
                        <wps:cNvSpPr/>
                        <wps:spPr>
                          <a:xfrm>
                            <a:off x="3127502" y="2794000"/>
                            <a:ext cx="612000" cy="199796"/>
                          </a:xfrm>
                          <a:custGeom>
                            <a:avLst/>
                            <a:gdLst/>
                            <a:ahLst/>
                            <a:cxnLst/>
                            <a:rect l="0" t="0" r="0" b="0"/>
                            <a:pathLst>
                              <a:path w="612000" h="199796">
                                <a:moveTo>
                                  <a:pt x="0" y="199796"/>
                                </a:moveTo>
                                <a:lnTo>
                                  <a:pt x="612000" y="199796"/>
                                </a:lnTo>
                                <a:lnTo>
                                  <a:pt x="612000"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016" name="Shape 23016"/>
                        <wps:cNvSpPr/>
                        <wps:spPr>
                          <a:xfrm>
                            <a:off x="3433505" y="413144"/>
                            <a:ext cx="0" cy="77191"/>
                          </a:xfrm>
                          <a:custGeom>
                            <a:avLst/>
                            <a:gdLst/>
                            <a:ahLst/>
                            <a:cxnLst/>
                            <a:rect l="0" t="0" r="0" b="0"/>
                            <a:pathLst>
                              <a:path h="77191">
                                <a:moveTo>
                                  <a:pt x="0" y="0"/>
                                </a:moveTo>
                                <a:lnTo>
                                  <a:pt x="0" y="7719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017" name="Shape 23017"/>
                        <wps:cNvSpPr/>
                        <wps:spPr>
                          <a:xfrm>
                            <a:off x="3402949" y="470296"/>
                            <a:ext cx="61113" cy="84036"/>
                          </a:xfrm>
                          <a:custGeom>
                            <a:avLst/>
                            <a:gdLst/>
                            <a:ahLst/>
                            <a:cxnLst/>
                            <a:rect l="0" t="0" r="0" b="0"/>
                            <a:pathLst>
                              <a:path w="61113" h="84036">
                                <a:moveTo>
                                  <a:pt x="0" y="0"/>
                                </a:moveTo>
                                <a:lnTo>
                                  <a:pt x="30556" y="20041"/>
                                </a:lnTo>
                                <a:lnTo>
                                  <a:pt x="61113" y="0"/>
                                </a:lnTo>
                                <a:lnTo>
                                  <a:pt x="30556" y="8403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018" name="Shape 23018"/>
                        <wps:cNvSpPr/>
                        <wps:spPr>
                          <a:xfrm>
                            <a:off x="3433505" y="763188"/>
                            <a:ext cx="0" cy="77191"/>
                          </a:xfrm>
                          <a:custGeom>
                            <a:avLst/>
                            <a:gdLst/>
                            <a:ahLst/>
                            <a:cxnLst/>
                            <a:rect l="0" t="0" r="0" b="0"/>
                            <a:pathLst>
                              <a:path h="77191">
                                <a:moveTo>
                                  <a:pt x="0" y="0"/>
                                </a:moveTo>
                                <a:lnTo>
                                  <a:pt x="0" y="7719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019" name="Shape 23019"/>
                        <wps:cNvSpPr/>
                        <wps:spPr>
                          <a:xfrm>
                            <a:off x="3402949" y="820340"/>
                            <a:ext cx="61113" cy="84036"/>
                          </a:xfrm>
                          <a:custGeom>
                            <a:avLst/>
                            <a:gdLst/>
                            <a:ahLst/>
                            <a:cxnLst/>
                            <a:rect l="0" t="0" r="0" b="0"/>
                            <a:pathLst>
                              <a:path w="61113" h="84036">
                                <a:moveTo>
                                  <a:pt x="0" y="0"/>
                                </a:moveTo>
                                <a:lnTo>
                                  <a:pt x="30556" y="20041"/>
                                </a:lnTo>
                                <a:lnTo>
                                  <a:pt x="61113" y="0"/>
                                </a:lnTo>
                                <a:lnTo>
                                  <a:pt x="30556" y="8403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020" name="Shape 23020"/>
                        <wps:cNvSpPr/>
                        <wps:spPr>
                          <a:xfrm>
                            <a:off x="3433505" y="2998388"/>
                            <a:ext cx="0" cy="77191"/>
                          </a:xfrm>
                          <a:custGeom>
                            <a:avLst/>
                            <a:gdLst/>
                            <a:ahLst/>
                            <a:cxnLst/>
                            <a:rect l="0" t="0" r="0" b="0"/>
                            <a:pathLst>
                              <a:path h="77191">
                                <a:moveTo>
                                  <a:pt x="0" y="0"/>
                                </a:moveTo>
                                <a:lnTo>
                                  <a:pt x="0" y="7719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021" name="Shape 23021"/>
                        <wps:cNvSpPr/>
                        <wps:spPr>
                          <a:xfrm>
                            <a:off x="3402949" y="3055540"/>
                            <a:ext cx="61113" cy="84036"/>
                          </a:xfrm>
                          <a:custGeom>
                            <a:avLst/>
                            <a:gdLst/>
                            <a:ahLst/>
                            <a:cxnLst/>
                            <a:rect l="0" t="0" r="0" b="0"/>
                            <a:pathLst>
                              <a:path w="61113" h="84036">
                                <a:moveTo>
                                  <a:pt x="0" y="0"/>
                                </a:moveTo>
                                <a:lnTo>
                                  <a:pt x="30556" y="20041"/>
                                </a:lnTo>
                                <a:lnTo>
                                  <a:pt x="61113" y="0"/>
                                </a:lnTo>
                                <a:lnTo>
                                  <a:pt x="30556" y="8403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022" name="Shape 23022"/>
                        <wps:cNvSpPr/>
                        <wps:spPr>
                          <a:xfrm>
                            <a:off x="3433505" y="1880788"/>
                            <a:ext cx="0" cy="77191"/>
                          </a:xfrm>
                          <a:custGeom>
                            <a:avLst/>
                            <a:gdLst/>
                            <a:ahLst/>
                            <a:cxnLst/>
                            <a:rect l="0" t="0" r="0" b="0"/>
                            <a:pathLst>
                              <a:path h="77191">
                                <a:moveTo>
                                  <a:pt x="0" y="0"/>
                                </a:moveTo>
                                <a:lnTo>
                                  <a:pt x="0" y="7719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023" name="Shape 23023"/>
                        <wps:cNvSpPr/>
                        <wps:spPr>
                          <a:xfrm>
                            <a:off x="3402949" y="1937940"/>
                            <a:ext cx="61113" cy="84036"/>
                          </a:xfrm>
                          <a:custGeom>
                            <a:avLst/>
                            <a:gdLst/>
                            <a:ahLst/>
                            <a:cxnLst/>
                            <a:rect l="0" t="0" r="0" b="0"/>
                            <a:pathLst>
                              <a:path w="61113" h="84036">
                                <a:moveTo>
                                  <a:pt x="0" y="0"/>
                                </a:moveTo>
                                <a:lnTo>
                                  <a:pt x="30556" y="20041"/>
                                </a:lnTo>
                                <a:lnTo>
                                  <a:pt x="61113" y="0"/>
                                </a:lnTo>
                                <a:lnTo>
                                  <a:pt x="30556" y="8403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024" name="Shape 23024"/>
                        <wps:cNvSpPr/>
                        <wps:spPr>
                          <a:xfrm>
                            <a:off x="1039505" y="1321988"/>
                            <a:ext cx="0" cy="77191"/>
                          </a:xfrm>
                          <a:custGeom>
                            <a:avLst/>
                            <a:gdLst/>
                            <a:ahLst/>
                            <a:cxnLst/>
                            <a:rect l="0" t="0" r="0" b="0"/>
                            <a:pathLst>
                              <a:path h="77191">
                                <a:moveTo>
                                  <a:pt x="0" y="0"/>
                                </a:moveTo>
                                <a:lnTo>
                                  <a:pt x="0" y="7719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025" name="Shape 23025"/>
                        <wps:cNvSpPr/>
                        <wps:spPr>
                          <a:xfrm>
                            <a:off x="1008949" y="1379140"/>
                            <a:ext cx="61113" cy="84036"/>
                          </a:xfrm>
                          <a:custGeom>
                            <a:avLst/>
                            <a:gdLst/>
                            <a:ahLst/>
                            <a:cxnLst/>
                            <a:rect l="0" t="0" r="0" b="0"/>
                            <a:pathLst>
                              <a:path w="61113" h="84036">
                                <a:moveTo>
                                  <a:pt x="0" y="0"/>
                                </a:moveTo>
                                <a:lnTo>
                                  <a:pt x="30556" y="20041"/>
                                </a:lnTo>
                                <a:lnTo>
                                  <a:pt x="61113" y="0"/>
                                </a:lnTo>
                                <a:lnTo>
                                  <a:pt x="30556" y="8403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026" name="Shape 23026"/>
                        <wps:cNvSpPr/>
                        <wps:spPr>
                          <a:xfrm>
                            <a:off x="1039505" y="1880788"/>
                            <a:ext cx="0" cy="77191"/>
                          </a:xfrm>
                          <a:custGeom>
                            <a:avLst/>
                            <a:gdLst/>
                            <a:ahLst/>
                            <a:cxnLst/>
                            <a:rect l="0" t="0" r="0" b="0"/>
                            <a:pathLst>
                              <a:path h="77191">
                                <a:moveTo>
                                  <a:pt x="0" y="0"/>
                                </a:moveTo>
                                <a:lnTo>
                                  <a:pt x="0" y="7719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027" name="Shape 23027"/>
                        <wps:cNvSpPr/>
                        <wps:spPr>
                          <a:xfrm>
                            <a:off x="1008949" y="1937940"/>
                            <a:ext cx="61113" cy="84036"/>
                          </a:xfrm>
                          <a:custGeom>
                            <a:avLst/>
                            <a:gdLst/>
                            <a:ahLst/>
                            <a:cxnLst/>
                            <a:rect l="0" t="0" r="0" b="0"/>
                            <a:pathLst>
                              <a:path w="61113" h="84036">
                                <a:moveTo>
                                  <a:pt x="0" y="0"/>
                                </a:moveTo>
                                <a:lnTo>
                                  <a:pt x="30556" y="20041"/>
                                </a:lnTo>
                                <a:lnTo>
                                  <a:pt x="61113" y="0"/>
                                </a:lnTo>
                                <a:lnTo>
                                  <a:pt x="30556" y="8403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028" name="Shape 23028"/>
                        <wps:cNvSpPr/>
                        <wps:spPr>
                          <a:xfrm>
                            <a:off x="1039505" y="2433932"/>
                            <a:ext cx="0" cy="77191"/>
                          </a:xfrm>
                          <a:custGeom>
                            <a:avLst/>
                            <a:gdLst/>
                            <a:ahLst/>
                            <a:cxnLst/>
                            <a:rect l="0" t="0" r="0" b="0"/>
                            <a:pathLst>
                              <a:path h="77191">
                                <a:moveTo>
                                  <a:pt x="0" y="0"/>
                                </a:moveTo>
                                <a:lnTo>
                                  <a:pt x="0" y="7719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029" name="Shape 23029"/>
                        <wps:cNvSpPr/>
                        <wps:spPr>
                          <a:xfrm>
                            <a:off x="1008949" y="2491085"/>
                            <a:ext cx="61113" cy="84036"/>
                          </a:xfrm>
                          <a:custGeom>
                            <a:avLst/>
                            <a:gdLst/>
                            <a:ahLst/>
                            <a:cxnLst/>
                            <a:rect l="0" t="0" r="0" b="0"/>
                            <a:pathLst>
                              <a:path w="61113" h="84036">
                                <a:moveTo>
                                  <a:pt x="0" y="0"/>
                                </a:moveTo>
                                <a:lnTo>
                                  <a:pt x="30556" y="20041"/>
                                </a:lnTo>
                                <a:lnTo>
                                  <a:pt x="61113" y="0"/>
                                </a:lnTo>
                                <a:lnTo>
                                  <a:pt x="30556" y="8403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030" name="Shape 23030"/>
                        <wps:cNvSpPr/>
                        <wps:spPr>
                          <a:xfrm>
                            <a:off x="1039505" y="2998388"/>
                            <a:ext cx="0" cy="77191"/>
                          </a:xfrm>
                          <a:custGeom>
                            <a:avLst/>
                            <a:gdLst/>
                            <a:ahLst/>
                            <a:cxnLst/>
                            <a:rect l="0" t="0" r="0" b="0"/>
                            <a:pathLst>
                              <a:path h="77191">
                                <a:moveTo>
                                  <a:pt x="0" y="0"/>
                                </a:moveTo>
                                <a:lnTo>
                                  <a:pt x="0" y="77191"/>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031" name="Shape 23031"/>
                        <wps:cNvSpPr/>
                        <wps:spPr>
                          <a:xfrm>
                            <a:off x="1008949" y="3055540"/>
                            <a:ext cx="61113" cy="84036"/>
                          </a:xfrm>
                          <a:custGeom>
                            <a:avLst/>
                            <a:gdLst/>
                            <a:ahLst/>
                            <a:cxnLst/>
                            <a:rect l="0" t="0" r="0" b="0"/>
                            <a:pathLst>
                              <a:path w="61113" h="84036">
                                <a:moveTo>
                                  <a:pt x="0" y="0"/>
                                </a:moveTo>
                                <a:lnTo>
                                  <a:pt x="30556" y="20041"/>
                                </a:lnTo>
                                <a:lnTo>
                                  <a:pt x="61113" y="0"/>
                                </a:lnTo>
                                <a:lnTo>
                                  <a:pt x="30556" y="8403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032" name="Shape 23032"/>
                        <wps:cNvSpPr/>
                        <wps:spPr>
                          <a:xfrm>
                            <a:off x="2083505" y="1117696"/>
                            <a:ext cx="547154" cy="281483"/>
                          </a:xfrm>
                          <a:custGeom>
                            <a:avLst/>
                            <a:gdLst/>
                            <a:ahLst/>
                            <a:cxnLst/>
                            <a:rect l="0" t="0" r="0" b="0"/>
                            <a:pathLst>
                              <a:path w="547154" h="281483">
                                <a:moveTo>
                                  <a:pt x="0" y="0"/>
                                </a:moveTo>
                                <a:lnTo>
                                  <a:pt x="547154" y="0"/>
                                </a:lnTo>
                                <a:lnTo>
                                  <a:pt x="547154" y="281483"/>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033" name="Shape 23033"/>
                        <wps:cNvSpPr/>
                        <wps:spPr>
                          <a:xfrm>
                            <a:off x="2600107" y="1379140"/>
                            <a:ext cx="61113" cy="84036"/>
                          </a:xfrm>
                          <a:custGeom>
                            <a:avLst/>
                            <a:gdLst/>
                            <a:ahLst/>
                            <a:cxnLst/>
                            <a:rect l="0" t="0" r="0" b="0"/>
                            <a:pathLst>
                              <a:path w="61113" h="84036">
                                <a:moveTo>
                                  <a:pt x="0" y="0"/>
                                </a:moveTo>
                                <a:lnTo>
                                  <a:pt x="30556" y="20041"/>
                                </a:lnTo>
                                <a:lnTo>
                                  <a:pt x="61113" y="0"/>
                                </a:lnTo>
                                <a:lnTo>
                                  <a:pt x="30556" y="8403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034" name="Shape 23034"/>
                        <wps:cNvSpPr/>
                        <wps:spPr>
                          <a:xfrm>
                            <a:off x="2083505" y="2235594"/>
                            <a:ext cx="980046" cy="666953"/>
                          </a:xfrm>
                          <a:custGeom>
                            <a:avLst/>
                            <a:gdLst/>
                            <a:ahLst/>
                            <a:cxnLst/>
                            <a:rect l="0" t="0" r="0" b="0"/>
                            <a:pathLst>
                              <a:path w="980046" h="666953">
                                <a:moveTo>
                                  <a:pt x="0" y="0"/>
                                </a:moveTo>
                                <a:lnTo>
                                  <a:pt x="532803" y="0"/>
                                </a:lnTo>
                                <a:lnTo>
                                  <a:pt x="532803" y="666953"/>
                                </a:lnTo>
                                <a:lnTo>
                                  <a:pt x="980046" y="666953"/>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035" name="Shape 23035"/>
                        <wps:cNvSpPr/>
                        <wps:spPr>
                          <a:xfrm>
                            <a:off x="3043533" y="2871986"/>
                            <a:ext cx="83972" cy="61113"/>
                          </a:xfrm>
                          <a:custGeom>
                            <a:avLst/>
                            <a:gdLst/>
                            <a:ahLst/>
                            <a:cxnLst/>
                            <a:rect l="0" t="0" r="0" b="0"/>
                            <a:pathLst>
                              <a:path w="83972" h="61113">
                                <a:moveTo>
                                  <a:pt x="0" y="0"/>
                                </a:moveTo>
                                <a:lnTo>
                                  <a:pt x="83972" y="30556"/>
                                </a:lnTo>
                                <a:lnTo>
                                  <a:pt x="0" y="61113"/>
                                </a:lnTo>
                                <a:lnTo>
                                  <a:pt x="20015" y="30556"/>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293679" style="width:352.205pt;height:263.291pt;mso-position-horizontal-relative:char;mso-position-vertical-relative:line" coordsize="44730,33437">
                <v:rect id="Rectangle 22977" style="position:absolute;width:28580;height:2030;left:11618;top:548;" filled="f" stroked="f">
                  <v:textbox inset="0,0,0,0">
                    <w:txbxContent>
                      <w:p>
                        <w:pPr>
                          <w:spacing w:before="0" w:after="160" w:line="259" w:lineRule="auto"/>
                          <w:ind w:left="0" w:right="0" w:firstLine="0"/>
                          <w:jc w:val="left"/>
                        </w:pPr>
                        <w:r>
                          <w:rPr>
                            <w:w w:val="104"/>
                          </w:rPr>
                          <w:t xml:space="preserve">Специфические</w:t>
                        </w:r>
                        <w:r>
                          <w:rPr>
                            <w:spacing w:val="-3"/>
                            <w:w w:val="104"/>
                          </w:rPr>
                          <w:t xml:space="preserve"> </w:t>
                        </w:r>
                        <w:r>
                          <w:rPr>
                            <w:w w:val="104"/>
                          </w:rPr>
                          <w:t xml:space="preserve">островковые</w:t>
                        </w:r>
                        <w:r>
                          <w:rPr>
                            <w:spacing w:val="-3"/>
                            <w:w w:val="104"/>
                          </w:rPr>
                          <w:t xml:space="preserve"> </w:t>
                        </w:r>
                        <w:r>
                          <w:rPr>
                            <w:w w:val="104"/>
                          </w:rPr>
                          <w:t xml:space="preserve">антитела</w:t>
                        </w:r>
                      </w:p>
                    </w:txbxContent>
                  </v:textbox>
                </v:rect>
                <v:rect id="Rectangle 293234" style="position:absolute;width:479;height:2030;left:27134;top:2072;" filled="f" stroked="f">
                  <v:textbox inset="0,0,0,0">
                    <w:txbxContent>
                      <w:p>
                        <w:pPr>
                          <w:spacing w:before="0" w:after="160" w:line="259" w:lineRule="auto"/>
                          <w:ind w:left="0" w:right="0" w:firstLine="0"/>
                          <w:jc w:val="left"/>
                        </w:pPr>
                        <w:r>
                          <w:rPr>
                            <w:w w:val="95"/>
                          </w:rPr>
                          <w:t xml:space="preserve">)</w:t>
                        </w:r>
                      </w:p>
                    </w:txbxContent>
                  </v:textbox>
                </v:rect>
                <v:rect id="Rectangle 293236" style="position:absolute;width:12690;height:2030;left:17592;top:2072;" filled="f" stroked="f">
                  <v:textbox inset="0,0,0,0">
                    <w:txbxContent>
                      <w:p>
                        <w:pPr>
                          <w:spacing w:before="0" w:after="160" w:line="259" w:lineRule="auto"/>
                          <w:ind w:left="0" w:right="0" w:firstLine="0"/>
                          <w:jc w:val="left"/>
                        </w:pPr>
                        <w:r>
                          <w:rPr>
                            <w:w w:val="102"/>
                          </w:rPr>
                          <w:t xml:space="preserve">не</w:t>
                        </w:r>
                        <w:r>
                          <w:rPr>
                            <w:spacing w:val="-3"/>
                            <w:w w:val="102"/>
                          </w:rPr>
                          <w:t xml:space="preserve"> </w:t>
                        </w:r>
                        <w:r>
                          <w:rPr>
                            <w:w w:val="102"/>
                          </w:rPr>
                          <w:t xml:space="preserve">менее</w:t>
                        </w:r>
                        <w:r>
                          <w:rPr>
                            <w:spacing w:val="-3"/>
                            <w:w w:val="102"/>
                          </w:rPr>
                          <w:t xml:space="preserve"> </w:t>
                        </w:r>
                        <w:r>
                          <w:rPr>
                            <w:w w:val="102"/>
                          </w:rPr>
                          <w:t xml:space="preserve">3</w:t>
                        </w:r>
                        <w:r>
                          <w:rPr>
                            <w:spacing w:val="-3"/>
                            <w:w w:val="102"/>
                          </w:rPr>
                          <w:t xml:space="preserve"> </w:t>
                        </w:r>
                        <w:r>
                          <w:rPr>
                            <w:w w:val="102"/>
                          </w:rPr>
                          <w:t xml:space="preserve">видов</w:t>
                        </w:r>
                      </w:p>
                    </w:txbxContent>
                  </v:textbox>
                </v:rect>
                <v:rect id="Rectangle 293233" style="position:absolute;width:479;height:2030;left:17231;top:2072;" filled="f" stroked="f">
                  <v:textbox inset="0,0,0,0">
                    <w:txbxContent>
                      <w:p>
                        <w:pPr>
                          <w:spacing w:before="0" w:after="160" w:line="259" w:lineRule="auto"/>
                          <w:ind w:left="0" w:right="0" w:firstLine="0"/>
                          <w:jc w:val="left"/>
                        </w:pPr>
                        <w:r>
                          <w:rPr>
                            <w:w w:val="95"/>
                          </w:rPr>
                          <w:t xml:space="preserve">(</w:t>
                        </w:r>
                      </w:p>
                    </w:txbxContent>
                  </v:textbox>
                </v:rect>
                <v:shape id="Shape 22979" style="position:absolute;width:44730;height:4085;left:0;top:0;" coordsize="4473004,408597" path="m0,408597l4473004,408597l4473004,0l0,0x">
                  <v:stroke weight="0.709pt" endcap="flat" joinstyle="miter" miterlimit="4" on="true" color="#000000"/>
                  <v:fill on="false" color="#000000" opacity="0"/>
                </v:shape>
                <v:rect id="Rectangle 22980" style="position:absolute;width:20861;height:2030;left:2686;top:9636;" filled="f" stroked="f">
                  <v:textbox inset="0,0,0,0">
                    <w:txbxContent>
                      <w:p>
                        <w:pPr>
                          <w:spacing w:before="0" w:after="160" w:line="259" w:lineRule="auto"/>
                          <w:ind w:left="0" w:right="0" w:firstLine="0"/>
                          <w:jc w:val="left"/>
                        </w:pPr>
                        <w:r>
                          <w:rPr>
                            <w:w w:val="103"/>
                          </w:rPr>
                          <w:t xml:space="preserve">Молекулярно-генетическое</w:t>
                        </w:r>
                        <w:r>
                          <w:rPr>
                            <w:spacing w:val="-3"/>
                            <w:w w:val="103"/>
                          </w:rPr>
                          <w:t xml:space="preserve"> </w:t>
                        </w:r>
                      </w:p>
                    </w:txbxContent>
                  </v:textbox>
                </v:rect>
                <v:rect id="Rectangle 22981" style="position:absolute;width:10360;height:2030;left:6499;top:11160;" filled="f" stroked="f">
                  <v:textbox inset="0,0,0,0">
                    <w:txbxContent>
                      <w:p>
                        <w:pPr>
                          <w:spacing w:before="0" w:after="160" w:line="259" w:lineRule="auto"/>
                          <w:ind w:left="0" w:right="0" w:firstLine="0"/>
                          <w:jc w:val="left"/>
                        </w:pPr>
                        <w:r>
                          <w:rPr>
                            <w:w w:val="102"/>
                          </w:rPr>
                          <w:t xml:space="preserve">исследование</w:t>
                        </w:r>
                      </w:p>
                    </w:txbxContent>
                  </v:textbox>
                </v:rect>
                <v:shape id="Shape 22982" style="position:absolute;width:20790;height:4085;left:0;top:9088;" coordsize="2079003,408597" path="m0,408597l2079003,408597l2079003,0l0,0x">
                  <v:stroke weight="0.709pt" endcap="flat" joinstyle="miter" miterlimit="4" on="true" color="#000000"/>
                  <v:fill on="false" color="#000000" opacity="0"/>
                </v:shape>
                <v:rect id="Rectangle 22983" style="position:absolute;width:20873;height:2030;left:2682;top:15224;" filled="f" stroked="f">
                  <v:textbox inset="0,0,0,0">
                    <w:txbxContent>
                      <w:p>
                        <w:pPr>
                          <w:spacing w:before="0" w:after="160" w:line="259" w:lineRule="auto"/>
                          <w:ind w:left="0" w:right="0" w:firstLine="0"/>
                          <w:jc w:val="left"/>
                        </w:pPr>
                        <w:r>
                          <w:rPr>
                            <w:w w:val="103"/>
                          </w:rPr>
                          <w:t xml:space="preserve">Мутаций,</w:t>
                        </w:r>
                        <w:r>
                          <w:rPr>
                            <w:spacing w:val="-3"/>
                            <w:w w:val="103"/>
                          </w:rPr>
                          <w:t xml:space="preserve"> </w:t>
                        </w:r>
                        <w:r>
                          <w:rPr>
                            <w:w w:val="103"/>
                          </w:rPr>
                          <w:t xml:space="preserve">ассоциированных</w:t>
                        </w:r>
                        <w:r>
                          <w:rPr>
                            <w:spacing w:val="-3"/>
                            <w:w w:val="103"/>
                          </w:rPr>
                          <w:t xml:space="preserve"> </w:t>
                        </w:r>
                      </w:p>
                    </w:txbxContent>
                  </v:textbox>
                </v:rect>
                <v:rect id="Rectangle 22984" style="position:absolute;width:16667;height:2030;left:4129;top:16748;" filled="f" stroked="f">
                  <v:textbox inset="0,0,0,0">
                    <w:txbxContent>
                      <w:p>
                        <w:pPr>
                          <w:spacing w:before="0" w:after="160" w:line="259" w:lineRule="auto"/>
                          <w:ind w:left="0" w:right="0" w:firstLine="0"/>
                          <w:jc w:val="left"/>
                        </w:pPr>
                        <w:r>
                          <w:rPr>
                            <w:w w:val="102"/>
                          </w:rPr>
                          <w:t xml:space="preserve">с</w:t>
                        </w:r>
                        <w:r>
                          <w:rPr>
                            <w:spacing w:val="-3"/>
                            <w:w w:val="102"/>
                          </w:rPr>
                          <w:t xml:space="preserve"> </w:t>
                        </w:r>
                        <w:r>
                          <w:rPr>
                            <w:w w:val="102"/>
                          </w:rPr>
                          <w:t xml:space="preserve">моногенными</w:t>
                        </w:r>
                        <w:r>
                          <w:rPr>
                            <w:spacing w:val="-3"/>
                            <w:w w:val="102"/>
                          </w:rPr>
                          <w:t xml:space="preserve"> </w:t>
                        </w:r>
                        <w:r>
                          <w:rPr>
                            <w:w w:val="102"/>
                          </w:rPr>
                          <w:t xml:space="preserve">СД</w:t>
                        </w:r>
                        <w:r>
                          <w:rPr>
                            <w:spacing w:val="-3"/>
                            <w:w w:val="102"/>
                          </w:rPr>
                          <w:t xml:space="preserve"> </w:t>
                        </w:r>
                        <w:r>
                          <w:rPr>
                            <w:w w:val="102"/>
                          </w:rPr>
                          <w:t xml:space="preserve">нет</w:t>
                        </w:r>
                      </w:p>
                    </w:txbxContent>
                  </v:textbox>
                </v:rect>
                <v:shape id="Shape 22985" style="position:absolute;width:20790;height:4085;left:0;top:14676;" coordsize="2079003,408597" path="m0,408597l2079003,408597l2079003,0l0,0x">
                  <v:stroke weight="0.709pt" endcap="flat" joinstyle="miter" miterlimit="4" on="true" color="#000000"/>
                  <v:fill on="false" color="#000000" opacity="0"/>
                </v:shape>
                <v:rect id="Rectangle 22986" style="position:absolute;width:22055;height:2030;left:2237;top:20812;" filled="f" stroked="f">
                  <v:textbox inset="0,0,0,0">
                    <w:txbxContent>
                      <w:p>
                        <w:pPr>
                          <w:spacing w:before="0" w:after="160" w:line="259" w:lineRule="auto"/>
                          <w:ind w:left="0" w:right="0" w:firstLine="0"/>
                          <w:jc w:val="left"/>
                        </w:pPr>
                        <w:r>
                          <w:rPr>
                            <w:w w:val="103"/>
                          </w:rPr>
                          <w:t xml:space="preserve">Уровень</w:t>
                        </w:r>
                        <w:r>
                          <w:rPr>
                            <w:spacing w:val="-3"/>
                            <w:w w:val="103"/>
                          </w:rPr>
                          <w:t xml:space="preserve"> </w:t>
                        </w:r>
                        <w:r>
                          <w:rPr>
                            <w:w w:val="103"/>
                          </w:rPr>
                          <w:t xml:space="preserve">С-пептида,</w:t>
                        </w:r>
                        <w:r>
                          <w:rPr>
                            <w:spacing w:val="-3"/>
                            <w:w w:val="103"/>
                          </w:rPr>
                          <w:t xml:space="preserve"> </w:t>
                        </w:r>
                        <w:r>
                          <w:rPr>
                            <w:w w:val="103"/>
                          </w:rPr>
                          <w:t xml:space="preserve">инсулина</w:t>
                        </w:r>
                        <w:r>
                          <w:rPr>
                            <w:spacing w:val="-3"/>
                            <w:w w:val="103"/>
                          </w:rPr>
                          <w:t xml:space="preserve"> </w:t>
                        </w:r>
                      </w:p>
                    </w:txbxContent>
                  </v:textbox>
                </v:rect>
                <v:rect id="Rectangle 22987" style="position:absolute;width:6200;height:2030;left:8063;top:22336;" filled="f" stroked="f">
                  <v:textbox inset="0,0,0,0">
                    <w:txbxContent>
                      <w:p>
                        <w:pPr>
                          <w:spacing w:before="0" w:after="160" w:line="259" w:lineRule="auto"/>
                          <w:ind w:left="0" w:right="0" w:firstLine="0"/>
                          <w:jc w:val="left"/>
                        </w:pPr>
                        <w:r>
                          <w:rPr>
                            <w:w w:val="103"/>
                          </w:rPr>
                          <w:t xml:space="preserve">натощак</w:t>
                        </w:r>
                      </w:p>
                    </w:txbxContent>
                  </v:textbox>
                </v:rect>
                <v:shape id="Shape 22988" style="position:absolute;width:20790;height:4085;left:0;top:20264;" coordsize="2079003,408597" path="m0,408597l2079003,408597l2079003,0l0,0x">
                  <v:stroke weight="0.709pt" endcap="flat" joinstyle="miter" miterlimit="4" on="true" color="#000000"/>
                  <v:fill on="false" color="#000000" opacity="0"/>
                </v:shape>
                <v:rect id="Rectangle 22989" style="position:absolute;width:17103;height:2030;left:3965;top:27162;" filled="f" stroked="f">
                  <v:textbox inset="0,0,0,0">
                    <w:txbxContent>
                      <w:p>
                        <w:pPr>
                          <w:spacing w:before="0" w:after="160" w:line="259" w:lineRule="auto"/>
                          <w:ind w:left="0" w:right="0" w:firstLine="0"/>
                          <w:jc w:val="left"/>
                        </w:pPr>
                        <w:r>
                          <w:rPr>
                            <w:w w:val="103"/>
                          </w:rPr>
                          <w:t xml:space="preserve">Нормальный,</w:t>
                        </w:r>
                        <w:r>
                          <w:rPr>
                            <w:spacing w:val="-3"/>
                            <w:w w:val="103"/>
                          </w:rPr>
                          <w:t xml:space="preserve"> </w:t>
                        </w:r>
                        <w:r>
                          <w:rPr>
                            <w:w w:val="103"/>
                          </w:rPr>
                          <w:t xml:space="preserve">повышен</w:t>
                        </w:r>
                      </w:p>
                    </w:txbxContent>
                  </v:textbox>
                </v:rect>
                <v:shape id="Shape 22990" style="position:absolute;width:20790;height:4085;left:0;top:25852;" coordsize="2079003,408597" path="m0,408597l2079003,408597l2079003,0l0,0x">
                  <v:stroke weight="0.709pt" endcap="flat" joinstyle="miter" miterlimit="4" on="true" color="#000000"/>
                  <v:fill on="false" color="#000000" opacity="0"/>
                </v:shape>
                <v:shape id="Shape 380725" style="position:absolute;width:11925;height:1997;left:4432;top:31440;" coordsize="1192505,199796" path="m0,0l1192505,0l1192505,199796l0,199796l0,0">
                  <v:stroke weight="0pt" endcap="flat" joinstyle="miter" miterlimit="4" on="false" color="#000000" opacity="0"/>
                  <v:fill on="true" color="#dadad9"/>
                </v:shape>
                <v:rect id="Rectangle 22992" style="position:absolute;width:7008;height:2030;left:7760;top:31706;" filled="f" stroked="f">
                  <v:textbox inset="0,0,0,0">
                    <w:txbxContent>
                      <w:p>
                        <w:pPr>
                          <w:spacing w:before="0" w:after="160" w:line="259" w:lineRule="auto"/>
                          <w:ind w:left="0" w:right="0" w:firstLine="0"/>
                          <w:jc w:val="left"/>
                        </w:pPr>
                        <w:r>
                          <w:rPr>
                            <w:w w:val="103"/>
                          </w:rPr>
                          <w:t xml:space="preserve">СД</w:t>
                        </w:r>
                        <w:r>
                          <w:rPr>
                            <w:spacing w:val="-3"/>
                            <w:w w:val="103"/>
                          </w:rPr>
                          <w:t xml:space="preserve"> </w:t>
                        </w:r>
                        <w:r>
                          <w:rPr>
                            <w:w w:val="103"/>
                          </w:rPr>
                          <w:t xml:space="preserve">2</w:t>
                        </w:r>
                        <w:r>
                          <w:rPr>
                            <w:spacing w:val="-3"/>
                            <w:w w:val="103"/>
                          </w:rPr>
                          <w:t xml:space="preserve"> </w:t>
                        </w:r>
                        <w:r>
                          <w:rPr>
                            <w:w w:val="103"/>
                          </w:rPr>
                          <w:t xml:space="preserve">типа</w:t>
                        </w:r>
                      </w:p>
                    </w:txbxContent>
                  </v:textbox>
                </v:rect>
                <v:shape id="Shape 22993" style="position:absolute;width:11925;height:1997;left:4432;top:31440;" coordsize="1192505,199796" path="m0,199796l1192505,199796l1192505,0l0,0x">
                  <v:stroke weight="0.709pt" endcap="flat" joinstyle="miter" miterlimit="4" on="true" color="#000000"/>
                  <v:fill on="false" color="#000000" opacity="0"/>
                </v:shape>
                <v:rect id="Rectangle 22994" style="position:absolute;width:2455;height:2030;left:9471;top:5854;" filled="f" stroked="f">
                  <v:textbox inset="0,0,0,0">
                    <w:txbxContent>
                      <w:p>
                        <w:pPr>
                          <w:spacing w:before="0" w:after="160" w:line="259" w:lineRule="auto"/>
                          <w:ind w:left="0" w:right="0" w:firstLine="0"/>
                          <w:jc w:val="left"/>
                        </w:pPr>
                        <w:r>
                          <w:rPr>
                            <w:w w:val="103"/>
                          </w:rPr>
                          <w:t xml:space="preserve">нет</w:t>
                        </w:r>
                      </w:p>
                    </w:txbxContent>
                  </v:textbox>
                </v:rect>
                <v:shape id="Shape 22995" style="position:absolute;width:6120;height:1997;left:7335;top:5588;" coordsize="612000,199796" path="m0,199796l612000,199796l612000,0l0,0x">
                  <v:stroke weight="0.709pt" endcap="flat" joinstyle="miter" miterlimit="4" on="true" color="#000000"/>
                  <v:fill on="false" color="#000000" opacity="0"/>
                </v:shape>
                <v:shape id="Shape 22996" style="position:absolute;width:0;height:771;left:10395;top:4131;" coordsize="0,77191" path="m0,0l0,77191">
                  <v:stroke weight="0.709pt" endcap="flat" joinstyle="miter" miterlimit="4" on="true" color="#000000"/>
                  <v:fill on="false" color="#000000" opacity="0"/>
                </v:shape>
                <v:shape id="Shape 22997" style="position:absolute;width:611;height:840;left:10089;top:4702;" coordsize="61113,84036" path="m0,0l30556,20041l61113,0l30556,84036l0,0x">
                  <v:stroke weight="0pt" endcap="flat" joinstyle="miter" miterlimit="4" on="false" color="#000000" opacity="0"/>
                  <v:fill on="true" color="#000000"/>
                </v:shape>
                <v:shape id="Shape 22998" style="position:absolute;width:0;height:771;left:10395;top:7631;" coordsize="0,77191" path="m0,0l0,77191">
                  <v:stroke weight="0.709pt" endcap="flat" joinstyle="miter" miterlimit="4" on="true" color="#000000"/>
                  <v:fill on="false" color="#000000" opacity="0"/>
                </v:shape>
                <v:shape id="Shape 22999" style="position:absolute;width:611;height:840;left:10089;top:8203;" coordsize="61113,84036" path="m0,0l30556,20041l61113,0l30556,84036l0,0x">
                  <v:stroke weight="0pt" endcap="flat" joinstyle="miter" miterlimit="4" on="false" color="#000000" opacity="0"/>
                  <v:fill on="true" color="#000000"/>
                </v:shape>
                <v:rect id="Rectangle 23000" style="position:absolute;width:20540;height:2030;left:26747;top:15224;" filled="f" stroked="f">
                  <v:textbox inset="0,0,0,0">
                    <w:txbxContent>
                      <w:p>
                        <w:pPr>
                          <w:spacing w:before="0" w:after="160" w:line="259" w:lineRule="auto"/>
                          <w:ind w:left="0" w:right="0" w:firstLine="0"/>
                          <w:jc w:val="left"/>
                        </w:pPr>
                        <w:r>
                          <w:rPr>
                            <w:w w:val="103"/>
                          </w:rPr>
                          <w:t xml:space="preserve">Мутация,</w:t>
                        </w:r>
                        <w:r>
                          <w:rPr>
                            <w:spacing w:val="-3"/>
                            <w:w w:val="103"/>
                          </w:rPr>
                          <w:t xml:space="preserve"> </w:t>
                        </w:r>
                        <w:r>
                          <w:rPr>
                            <w:w w:val="103"/>
                          </w:rPr>
                          <w:t xml:space="preserve">ассоциированная</w:t>
                        </w:r>
                        <w:r>
                          <w:rPr>
                            <w:spacing w:val="-3"/>
                            <w:w w:val="103"/>
                          </w:rPr>
                          <w:t xml:space="preserve"> </w:t>
                        </w:r>
                      </w:p>
                    </w:txbxContent>
                  </v:textbox>
                </v:rect>
                <v:rect id="Rectangle 23001" style="position:absolute;width:16429;height:2030;left:28158;top:16748;" filled="f" stroked="f">
                  <v:textbox inset="0,0,0,0">
                    <w:txbxContent>
                      <w:p>
                        <w:pPr>
                          <w:spacing w:before="0" w:after="160" w:line="259" w:lineRule="auto"/>
                          <w:ind w:left="0" w:right="0" w:firstLine="0"/>
                          <w:jc w:val="left"/>
                        </w:pPr>
                        <w:r>
                          <w:rPr>
                            <w:w w:val="103"/>
                          </w:rPr>
                          <w:t xml:space="preserve">с</w:t>
                        </w:r>
                        <w:r>
                          <w:rPr>
                            <w:spacing w:val="-3"/>
                            <w:w w:val="103"/>
                          </w:rPr>
                          <w:t xml:space="preserve"> </w:t>
                        </w:r>
                        <w:r>
                          <w:rPr>
                            <w:w w:val="103"/>
                          </w:rPr>
                          <w:t xml:space="preserve">моногенным</w:t>
                        </w:r>
                        <w:r>
                          <w:rPr>
                            <w:spacing w:val="-3"/>
                            <w:w w:val="103"/>
                          </w:rPr>
                          <w:t xml:space="preserve"> </w:t>
                        </w:r>
                        <w:r>
                          <w:rPr>
                            <w:w w:val="103"/>
                          </w:rPr>
                          <w:t xml:space="preserve">СД</w:t>
                        </w:r>
                        <w:r>
                          <w:rPr>
                            <w:spacing w:val="-3"/>
                            <w:w w:val="103"/>
                          </w:rPr>
                          <w:t xml:space="preserve"> </w:t>
                        </w:r>
                        <w:r>
                          <w:rPr>
                            <w:w w:val="103"/>
                          </w:rPr>
                          <w:t xml:space="preserve">есть</w:t>
                        </w:r>
                      </w:p>
                    </w:txbxContent>
                  </v:textbox>
                </v:rect>
                <v:shape id="Shape 23002" style="position:absolute;width:20790;height:4085;left:23940;top:14676;" coordsize="2079003,408597" path="m0,408597l2079003,408597l2079003,0l0,0x">
                  <v:stroke weight="0.709pt" endcap="flat" joinstyle="miter" miterlimit="4" on="true" color="#000000"/>
                  <v:fill on="false" color="#000000" opacity="0"/>
                </v:shape>
                <v:shape id="Shape 380747" style="position:absolute;width:11810;height:1997;left:28429;top:9087;" coordsize="1181011,199797" path="m0,0l1181011,0l1181011,199797l0,199797l0,0">
                  <v:stroke weight="0pt" endcap="flat" joinstyle="miter" miterlimit="4" on="false" color="#000000" opacity="0"/>
                  <v:fill on="true" color="#dadad9"/>
                </v:shape>
                <v:rect id="Rectangle 23004" style="position:absolute;width:7008;height:2030;left:31700;top:9354;" filled="f" stroked="f">
                  <v:textbox inset="0,0,0,0">
                    <w:txbxContent>
                      <w:p>
                        <w:pPr>
                          <w:spacing w:before="0" w:after="160" w:line="259" w:lineRule="auto"/>
                          <w:ind w:left="0" w:right="0" w:firstLine="0"/>
                          <w:jc w:val="left"/>
                        </w:pPr>
                        <w:r>
                          <w:rPr>
                            <w:w w:val="103"/>
                          </w:rPr>
                          <w:t xml:space="preserve">СД</w:t>
                        </w:r>
                        <w:r>
                          <w:rPr>
                            <w:spacing w:val="-3"/>
                            <w:w w:val="103"/>
                          </w:rPr>
                          <w:t xml:space="preserve"> </w:t>
                        </w:r>
                        <w:r>
                          <w:rPr>
                            <w:w w:val="103"/>
                          </w:rPr>
                          <w:t xml:space="preserve">1</w:t>
                        </w:r>
                        <w:r>
                          <w:rPr>
                            <w:spacing w:val="-3"/>
                            <w:w w:val="103"/>
                          </w:rPr>
                          <w:t xml:space="preserve"> </w:t>
                        </w:r>
                        <w:r>
                          <w:rPr>
                            <w:w w:val="103"/>
                          </w:rPr>
                          <w:t xml:space="preserve">типа</w:t>
                        </w:r>
                      </w:p>
                    </w:txbxContent>
                  </v:textbox>
                </v:rect>
                <v:shape id="Shape 23005" style="position:absolute;width:11810;height:1997;left:28429;top:9087;" coordsize="1181011,199797" path="m0,199797l1181011,199797l1181011,0l0,0x">
                  <v:stroke weight="0.709pt" endcap="flat" joinstyle="miter" miterlimit="4" on="true" color="#000000"/>
                  <v:fill on="false" color="#000000" opacity="0"/>
                </v:shape>
                <v:shape id="Shape 380754" style="position:absolute;width:11925;height:1997;left:28372;top:31440;" coordsize="1192505,199796" path="m0,0l1192505,0l1192505,199796l0,199796l0,0">
                  <v:stroke weight="0pt" endcap="flat" joinstyle="miter" miterlimit="4" on="false" color="#000000" opacity="0"/>
                  <v:fill on="true" color="#dadad9"/>
                </v:shape>
                <v:rect id="Rectangle 23007" style="position:absolute;width:14781;height:2030;left:28778;top:31706;" filled="f" stroked="f">
                  <v:textbox inset="0,0,0,0">
                    <w:txbxContent>
                      <w:p>
                        <w:pPr>
                          <w:spacing w:before="0" w:after="160" w:line="259" w:lineRule="auto"/>
                          <w:ind w:left="0" w:right="0" w:firstLine="0"/>
                          <w:jc w:val="left"/>
                        </w:pPr>
                        <w:r>
                          <w:rPr>
                            <w:w w:val="104"/>
                            <w:bdr w:val="single" w:color="000000" w:sz="11"/>
                          </w:rPr>
                          <w:t xml:space="preserve">Идиопатический</w:t>
                        </w:r>
                        <w:r>
                          <w:rPr>
                            <w:spacing w:val="-3"/>
                            <w:w w:val="104"/>
                            <w:bdr w:val="single" w:color="000000" w:sz="11"/>
                          </w:rPr>
                          <w:t xml:space="preserve"> </w:t>
                        </w:r>
                        <w:r>
                          <w:rPr>
                            <w:w w:val="104"/>
                            <w:bdr w:val="single" w:color="000000" w:sz="11"/>
                          </w:rPr>
                          <w:t xml:space="preserve">СД</w:t>
                        </w:r>
                      </w:p>
                    </w:txbxContent>
                  </v:textbox>
                </v:rect>
                <v:shape id="Shape 380759" style="position:absolute;width:11925;height:1997;left:28372;top:20264;" coordsize="1192505,199796" path="m0,0l1192505,0l1192505,199796l0,199796l0,0">
                  <v:stroke weight="0pt" endcap="flat" joinstyle="miter" miterlimit="4" on="false" color="#000000" opacity="0"/>
                  <v:fill on="true" color="#dadad9"/>
                </v:shape>
                <v:rect id="Rectangle 23010" style="position:absolute;width:11938;height:2030;left:29846;top:20530;" filled="f" stroked="f">
                  <v:textbox inset="0,0,0,0">
                    <w:txbxContent>
                      <w:p>
                        <w:pPr>
                          <w:spacing w:before="0" w:after="160" w:line="259" w:lineRule="auto"/>
                          <w:ind w:left="0" w:right="0" w:firstLine="0"/>
                          <w:jc w:val="left"/>
                        </w:pPr>
                        <w:r>
                          <w:rPr>
                            <w:w w:val="102"/>
                          </w:rPr>
                          <w:t xml:space="preserve">Моногенный</w:t>
                        </w:r>
                        <w:r>
                          <w:rPr>
                            <w:spacing w:val="-3"/>
                            <w:w w:val="102"/>
                          </w:rPr>
                          <w:t xml:space="preserve"> </w:t>
                        </w:r>
                        <w:r>
                          <w:rPr>
                            <w:w w:val="102"/>
                          </w:rPr>
                          <w:t xml:space="preserve">СД</w:t>
                        </w:r>
                      </w:p>
                    </w:txbxContent>
                  </v:textbox>
                </v:rect>
                <v:shape id="Shape 23011" style="position:absolute;width:11925;height:1997;left:28372;top:20264;" coordsize="1192505,199796" path="m0,199796l1192505,199796l1192505,0l0,0x">
                  <v:stroke weight="0.709pt" endcap="flat" joinstyle="miter" miterlimit="4" on="true" color="#000000"/>
                  <v:fill on="false" color="#000000" opacity="0"/>
                </v:shape>
                <v:rect id="Rectangle 23012" style="position:absolute;width:3153;height:2030;left:33149;top:5854;" filled="f" stroked="f">
                  <v:textbox inset="0,0,0,0">
                    <w:txbxContent>
                      <w:p>
                        <w:pPr>
                          <w:spacing w:before="0" w:after="160" w:line="259" w:lineRule="auto"/>
                          <w:ind w:left="0" w:right="0" w:firstLine="0"/>
                          <w:jc w:val="left"/>
                        </w:pPr>
                        <w:r>
                          <w:rPr>
                            <w:w w:val="105"/>
                          </w:rPr>
                          <w:t xml:space="preserve">есть</w:t>
                        </w:r>
                      </w:p>
                    </w:txbxContent>
                  </v:textbox>
                </v:rect>
                <v:shape id="Shape 23013" style="position:absolute;width:6120;height:1997;left:31275;top:5588;" coordsize="612000,199796" path="m0,199796l612000,199796l612000,0l0,0x">
                  <v:stroke weight="0.709pt" endcap="flat" joinstyle="miter" miterlimit="4" on="true" color="#000000"/>
                  <v:fill on="false" color="#000000" opacity="0"/>
                </v:shape>
                <v:rect id="Rectangle 23014" style="position:absolute;width:5499;height:2030;left:32267;top:28206;" filled="f" stroked="f">
                  <v:textbox inset="0,0,0,0">
                    <w:txbxContent>
                      <w:p>
                        <w:pPr>
                          <w:spacing w:before="0" w:after="160" w:line="259" w:lineRule="auto"/>
                          <w:ind w:left="0" w:right="0" w:firstLine="0"/>
                          <w:jc w:val="left"/>
                        </w:pPr>
                        <w:r>
                          <w:rPr>
                            <w:w w:val="102"/>
                          </w:rPr>
                          <w:t xml:space="preserve">снижен</w:t>
                        </w:r>
                      </w:p>
                    </w:txbxContent>
                  </v:textbox>
                </v:rect>
                <v:shape id="Shape 23015" style="position:absolute;width:6120;height:1997;left:31275;top:27940;" coordsize="612000,199796" path="m0,199796l612000,199796l612000,0l0,0x">
                  <v:stroke weight="0.709pt" endcap="flat" joinstyle="miter" miterlimit="4" on="true" color="#000000"/>
                  <v:fill on="false" color="#000000" opacity="0"/>
                </v:shape>
                <v:shape id="Shape 23016" style="position:absolute;width:0;height:771;left:34335;top:4131;" coordsize="0,77191" path="m0,0l0,77191">
                  <v:stroke weight="0.709pt" endcap="flat" joinstyle="miter" miterlimit="4" on="true" color="#000000"/>
                  <v:fill on="false" color="#000000" opacity="0"/>
                </v:shape>
                <v:shape id="Shape 23017" style="position:absolute;width:611;height:840;left:34029;top:4702;" coordsize="61113,84036" path="m0,0l30556,20041l61113,0l30556,84036l0,0x">
                  <v:stroke weight="0pt" endcap="flat" joinstyle="miter" miterlimit="4" on="false" color="#000000" opacity="0"/>
                  <v:fill on="true" color="#000000"/>
                </v:shape>
                <v:shape id="Shape 23018" style="position:absolute;width:0;height:771;left:34335;top:7631;" coordsize="0,77191" path="m0,0l0,77191">
                  <v:stroke weight="0.709pt" endcap="flat" joinstyle="miter" miterlimit="4" on="true" color="#000000"/>
                  <v:fill on="false" color="#000000" opacity="0"/>
                </v:shape>
                <v:shape id="Shape 23019" style="position:absolute;width:611;height:840;left:34029;top:8203;" coordsize="61113,84036" path="m0,0l30556,20041l61113,0l30556,84036l0,0x">
                  <v:stroke weight="0pt" endcap="flat" joinstyle="miter" miterlimit="4" on="false" color="#000000" opacity="0"/>
                  <v:fill on="true" color="#000000"/>
                </v:shape>
                <v:shape id="Shape 23020" style="position:absolute;width:0;height:771;left:34335;top:29983;" coordsize="0,77191" path="m0,0l0,77191">
                  <v:stroke weight="0.709pt" endcap="flat" joinstyle="miter" miterlimit="4" on="true" color="#000000"/>
                  <v:fill on="false" color="#000000" opacity="0"/>
                </v:shape>
                <v:shape id="Shape 23021" style="position:absolute;width:611;height:840;left:34029;top:30555;" coordsize="61113,84036" path="m0,0l30556,20041l61113,0l30556,84036l0,0x">
                  <v:stroke weight="0pt" endcap="flat" joinstyle="miter" miterlimit="4" on="false" color="#000000" opacity="0"/>
                  <v:fill on="true" color="#000000"/>
                </v:shape>
                <v:shape id="Shape 23022" style="position:absolute;width:0;height:771;left:34335;top:18807;" coordsize="0,77191" path="m0,0l0,77191">
                  <v:stroke weight="0.709pt" endcap="flat" joinstyle="miter" miterlimit="4" on="true" color="#000000"/>
                  <v:fill on="false" color="#000000" opacity="0"/>
                </v:shape>
                <v:shape id="Shape 23023" style="position:absolute;width:611;height:840;left:34029;top:19379;" coordsize="61113,84036" path="m0,0l30556,20041l61113,0l30556,84036l0,0x">
                  <v:stroke weight="0pt" endcap="flat" joinstyle="miter" miterlimit="4" on="false" color="#000000" opacity="0"/>
                  <v:fill on="true" color="#000000"/>
                </v:shape>
                <v:shape id="Shape 23024" style="position:absolute;width:0;height:771;left:10395;top:13219;" coordsize="0,77191" path="m0,0l0,77191">
                  <v:stroke weight="0.709pt" endcap="flat" joinstyle="miter" miterlimit="4" on="true" color="#000000"/>
                  <v:fill on="false" color="#000000" opacity="0"/>
                </v:shape>
                <v:shape id="Shape 23025" style="position:absolute;width:611;height:840;left:10089;top:13791;" coordsize="61113,84036" path="m0,0l30556,20041l61113,0l30556,84036l0,0x">
                  <v:stroke weight="0pt" endcap="flat" joinstyle="miter" miterlimit="4" on="false" color="#000000" opacity="0"/>
                  <v:fill on="true" color="#000000"/>
                </v:shape>
                <v:shape id="Shape 23026" style="position:absolute;width:0;height:771;left:10395;top:18807;" coordsize="0,77191" path="m0,0l0,77191">
                  <v:stroke weight="0.709pt" endcap="flat" joinstyle="miter" miterlimit="4" on="true" color="#000000"/>
                  <v:fill on="false" color="#000000" opacity="0"/>
                </v:shape>
                <v:shape id="Shape 23027" style="position:absolute;width:611;height:840;left:10089;top:19379;" coordsize="61113,84036" path="m0,0l30556,20041l61113,0l30556,84036l0,0x">
                  <v:stroke weight="0pt" endcap="flat" joinstyle="miter" miterlimit="4" on="false" color="#000000" opacity="0"/>
                  <v:fill on="true" color="#000000"/>
                </v:shape>
                <v:shape id="Shape 23028" style="position:absolute;width:0;height:771;left:10395;top:24339;" coordsize="0,77191" path="m0,0l0,77191">
                  <v:stroke weight="0.709pt" endcap="flat" joinstyle="miter" miterlimit="4" on="true" color="#000000"/>
                  <v:fill on="false" color="#000000" opacity="0"/>
                </v:shape>
                <v:shape id="Shape 23029" style="position:absolute;width:611;height:840;left:10089;top:24910;" coordsize="61113,84036" path="m0,0l30556,20041l61113,0l30556,84036l0,0x">
                  <v:stroke weight="0pt" endcap="flat" joinstyle="miter" miterlimit="4" on="false" color="#000000" opacity="0"/>
                  <v:fill on="true" color="#000000"/>
                </v:shape>
                <v:shape id="Shape 23030" style="position:absolute;width:0;height:771;left:10395;top:29983;" coordsize="0,77191" path="m0,0l0,77191">
                  <v:stroke weight="0.709pt" endcap="flat" joinstyle="miter" miterlimit="4" on="true" color="#000000"/>
                  <v:fill on="false" color="#000000" opacity="0"/>
                </v:shape>
                <v:shape id="Shape 23031" style="position:absolute;width:611;height:840;left:10089;top:30555;" coordsize="61113,84036" path="m0,0l30556,20041l61113,0l30556,84036l0,0x">
                  <v:stroke weight="0pt" endcap="flat" joinstyle="miter" miterlimit="4" on="false" color="#000000" opacity="0"/>
                  <v:fill on="true" color="#000000"/>
                </v:shape>
                <v:shape id="Shape 23032" style="position:absolute;width:5471;height:2814;left:20835;top:11176;" coordsize="547154,281483" path="m0,0l547154,0l547154,281483">
                  <v:stroke weight="0.709pt" endcap="flat" joinstyle="miter" miterlimit="4" on="true" color="#000000"/>
                  <v:fill on="false" color="#000000" opacity="0"/>
                </v:shape>
                <v:shape id="Shape 23033" style="position:absolute;width:611;height:840;left:26001;top:13791;" coordsize="61113,84036" path="m0,0l30556,20041l61113,0l30556,84036l0,0x">
                  <v:stroke weight="0pt" endcap="flat" joinstyle="miter" miterlimit="4" on="false" color="#000000" opacity="0"/>
                  <v:fill on="true" color="#000000"/>
                </v:shape>
                <v:shape id="Shape 23034" style="position:absolute;width:9800;height:6669;left:20835;top:22355;" coordsize="980046,666953" path="m0,0l532803,0l532803,666953l980046,666953">
                  <v:stroke weight="0.709pt" endcap="flat" joinstyle="miter" miterlimit="4" on="true" color="#000000"/>
                  <v:fill on="false" color="#000000" opacity="0"/>
                </v:shape>
                <v:shape id="Shape 23035" style="position:absolute;width:839;height:611;left:30435;top:28719;" coordsize="83972,61113" path="m0,0l83972,30556l0,61113l20015,30556l0,0x">
                  <v:stroke weight="0pt" endcap="flat" joinstyle="miter" miterlimit="4" on="false" color="#000000" opacity="0"/>
                  <v:fill on="true" color="#000000"/>
                </v:shape>
              </v:group>
            </w:pict>
          </mc:Fallback>
        </mc:AlternateContent>
      </w:r>
    </w:p>
    <w:p w:rsidR="00D27BC6" w:rsidRDefault="00D27BC6">
      <w:pPr>
        <w:sectPr w:rsidR="00D27BC6">
          <w:headerReference w:type="even" r:id="rId87"/>
          <w:headerReference w:type="default" r:id="rId88"/>
          <w:footerReference w:type="even" r:id="rId89"/>
          <w:footerReference w:type="default" r:id="rId90"/>
          <w:headerReference w:type="first" r:id="rId91"/>
          <w:footerReference w:type="first" r:id="rId92"/>
          <w:footnotePr>
            <w:numRestart w:val="eachPage"/>
          </w:footnotePr>
          <w:pgSz w:w="11906" w:h="16724"/>
          <w:pgMar w:top="1010" w:right="849" w:bottom="1314" w:left="850" w:header="429" w:footer="624" w:gutter="0"/>
          <w:cols w:space="720"/>
        </w:sectPr>
      </w:pPr>
    </w:p>
    <w:p w:rsidR="00D27BC6" w:rsidRDefault="004D5071">
      <w:pPr>
        <w:pStyle w:val="Heading3"/>
        <w:spacing w:after="13"/>
        <w:ind w:left="162" w:right="152"/>
      </w:pPr>
      <w:r>
        <w:t>Сахарный диабет 2 типа</w:t>
      </w:r>
    </w:p>
    <w:tbl>
      <w:tblPr>
        <w:tblStyle w:val="TableGrid"/>
        <w:tblW w:w="10195" w:type="dxa"/>
        <w:tblInd w:w="11" w:type="dxa"/>
        <w:tblCellMar>
          <w:top w:w="28" w:type="dxa"/>
          <w:left w:w="113" w:type="dxa"/>
          <w:bottom w:w="0" w:type="dxa"/>
          <w:right w:w="61" w:type="dxa"/>
        </w:tblCellMar>
        <w:tblLook w:val="04A0" w:firstRow="1" w:lastRow="0" w:firstColumn="1" w:lastColumn="0" w:noHBand="0" w:noVBand="1"/>
      </w:tblPr>
      <w:tblGrid>
        <w:gridCol w:w="273"/>
        <w:gridCol w:w="9921"/>
      </w:tblGrid>
      <w:tr w:rsidR="00D27BC6">
        <w:trPr>
          <w:trHeight w:val="341"/>
        </w:trPr>
        <w:tc>
          <w:tcPr>
            <w:tcW w:w="273" w:type="dxa"/>
            <w:tcBorders>
              <w:top w:val="single" w:sz="8" w:space="0" w:color="000000"/>
              <w:left w:val="single" w:sz="8" w:space="0" w:color="000000"/>
              <w:bottom w:val="nil"/>
              <w:right w:val="nil"/>
            </w:tcBorders>
          </w:tcPr>
          <w:p w:rsidR="00D27BC6" w:rsidRDefault="004D5071">
            <w:pPr>
              <w:spacing w:after="0" w:line="259" w:lineRule="auto"/>
              <w:ind w:left="0" w:right="42" w:firstLine="0"/>
              <w:jc w:val="center"/>
            </w:pPr>
            <w:r>
              <w:t xml:space="preserve">• </w:t>
            </w:r>
          </w:p>
        </w:tc>
        <w:tc>
          <w:tcPr>
            <w:tcW w:w="9921" w:type="dxa"/>
            <w:tcBorders>
              <w:top w:val="single" w:sz="8" w:space="0" w:color="000000"/>
              <w:left w:val="nil"/>
              <w:bottom w:val="nil"/>
              <w:right w:val="single" w:sz="8" w:space="0" w:color="000000"/>
            </w:tcBorders>
          </w:tcPr>
          <w:p w:rsidR="00D27BC6" w:rsidRDefault="004D5071">
            <w:pPr>
              <w:spacing w:after="0" w:line="259" w:lineRule="auto"/>
              <w:ind w:left="10" w:right="0" w:firstLine="0"/>
              <w:jc w:val="left"/>
            </w:pPr>
            <w:r>
              <w:t xml:space="preserve">Может развиваться не только у молодых лиц, </w:t>
            </w:r>
            <w:r>
              <w:t>но и у пациентов пубертатного возраста.</w:t>
            </w:r>
          </w:p>
        </w:tc>
      </w:tr>
      <w:tr w:rsidR="00D27BC6">
        <w:trPr>
          <w:trHeight w:val="297"/>
        </w:trPr>
        <w:tc>
          <w:tcPr>
            <w:tcW w:w="273" w:type="dxa"/>
            <w:tcBorders>
              <w:top w:val="nil"/>
              <w:left w:val="single" w:sz="8" w:space="0" w:color="000000"/>
              <w:bottom w:val="nil"/>
              <w:right w:val="nil"/>
            </w:tcBorders>
          </w:tcPr>
          <w:p w:rsidR="00D27BC6" w:rsidRDefault="004D5071">
            <w:pPr>
              <w:spacing w:after="0" w:line="259" w:lineRule="auto"/>
              <w:ind w:left="0" w:right="42" w:firstLine="0"/>
              <w:jc w:val="center"/>
            </w:pPr>
            <w:r>
              <w:t xml:space="preserve">• </w:t>
            </w:r>
          </w:p>
        </w:tc>
        <w:tc>
          <w:tcPr>
            <w:tcW w:w="9921" w:type="dxa"/>
            <w:tcBorders>
              <w:top w:val="nil"/>
              <w:left w:val="nil"/>
              <w:bottom w:val="nil"/>
              <w:right w:val="single" w:sz="8" w:space="0" w:color="000000"/>
            </w:tcBorders>
          </w:tcPr>
          <w:p w:rsidR="00D27BC6" w:rsidRDefault="004D5071">
            <w:pPr>
              <w:spacing w:after="0" w:line="259" w:lineRule="auto"/>
              <w:ind w:left="10" w:right="0" w:firstLine="0"/>
              <w:jc w:val="left"/>
            </w:pPr>
            <w:r>
              <w:t>Часто (до 90% случаев) развивается на фоне ожирения.</w:t>
            </w:r>
          </w:p>
        </w:tc>
      </w:tr>
      <w:tr w:rsidR="00D27BC6">
        <w:trPr>
          <w:trHeight w:val="715"/>
        </w:trPr>
        <w:tc>
          <w:tcPr>
            <w:tcW w:w="273" w:type="dxa"/>
            <w:tcBorders>
              <w:top w:val="nil"/>
              <w:left w:val="single" w:sz="8" w:space="0" w:color="000000"/>
              <w:bottom w:val="single" w:sz="8" w:space="0" w:color="000000"/>
              <w:right w:val="nil"/>
            </w:tcBorders>
          </w:tcPr>
          <w:p w:rsidR="00D27BC6" w:rsidRDefault="004D5071">
            <w:pPr>
              <w:spacing w:after="0" w:line="259" w:lineRule="auto"/>
              <w:ind w:left="0" w:right="42" w:firstLine="0"/>
              <w:jc w:val="center"/>
            </w:pPr>
            <w:r>
              <w:t xml:space="preserve">• </w:t>
            </w:r>
          </w:p>
        </w:tc>
        <w:tc>
          <w:tcPr>
            <w:tcW w:w="9921" w:type="dxa"/>
            <w:tcBorders>
              <w:top w:val="nil"/>
              <w:left w:val="nil"/>
              <w:bottom w:val="single" w:sz="8" w:space="0" w:color="000000"/>
              <w:right w:val="single" w:sz="8" w:space="0" w:color="000000"/>
            </w:tcBorders>
          </w:tcPr>
          <w:p w:rsidR="00D27BC6" w:rsidRDefault="004D5071">
            <w:pPr>
              <w:spacing w:after="0" w:line="259" w:lineRule="auto"/>
              <w:ind w:left="10" w:right="0" w:firstLine="0"/>
            </w:pPr>
            <w:r>
              <w:t>Возможно быстрое развитие и прогрессирование сосудистых осложнений при развитии СД 2 типа в детском возрасте.</w:t>
            </w:r>
          </w:p>
        </w:tc>
      </w:tr>
    </w:tbl>
    <w:p w:rsidR="00D27BC6" w:rsidRDefault="004D5071">
      <w:pPr>
        <w:ind w:left="281" w:right="51"/>
        <w:jc w:val="left"/>
      </w:pPr>
      <w:r>
        <w:rPr>
          <w:b/>
        </w:rPr>
        <w:t>Особенности манифестации СД 2 типа у детей и подростков</w:t>
      </w:r>
    </w:p>
    <w:p w:rsidR="00D27BC6" w:rsidRDefault="004D5071">
      <w:pPr>
        <w:numPr>
          <w:ilvl w:val="0"/>
          <w:numId w:val="147"/>
        </w:numPr>
        <w:ind w:right="0" w:hanging="283"/>
      </w:pPr>
      <w:r>
        <w:t>У большинства больных начало бессимптомное или малосимптомное.</w:t>
      </w:r>
    </w:p>
    <w:p w:rsidR="00D27BC6" w:rsidRDefault="004D5071">
      <w:pPr>
        <w:numPr>
          <w:ilvl w:val="0"/>
          <w:numId w:val="147"/>
        </w:numPr>
        <w:ind w:right="0" w:hanging="283"/>
      </w:pPr>
      <w:r>
        <w:t>В 5–25% случаев, которые впоследствии классифицируются как СД 2 типа, в начале заболевания имеется выраженный дефицит инсулина из-за глюк</w:t>
      </w:r>
      <w:r>
        <w:t>о- и липотоксичности.</w:t>
      </w:r>
    </w:p>
    <w:p w:rsidR="00D27BC6" w:rsidRDefault="004D5071">
      <w:pPr>
        <w:numPr>
          <w:ilvl w:val="0"/>
          <w:numId w:val="147"/>
        </w:numPr>
        <w:ind w:right="0" w:hanging="283"/>
      </w:pPr>
      <w:r>
        <w:t>Обнаружение специфичных для СД 1 типа островковых аутоантител в случаях, классифицируемых клинически как СД 2 типа, однозначно свидетельствует в пользу СД 1 типа и ранней потребности в инсулинотерапии.</w:t>
      </w:r>
    </w:p>
    <w:p w:rsidR="00D27BC6" w:rsidRDefault="004D5071">
      <w:pPr>
        <w:numPr>
          <w:ilvl w:val="0"/>
          <w:numId w:val="147"/>
        </w:numPr>
        <w:spacing w:after="230"/>
        <w:ind w:right="0" w:hanging="283"/>
      </w:pPr>
      <w:r>
        <w:t>У 20–25% подростков СД 2 типа манифестирует с кетацидозом, в отдельных случаях – с гиперосмолярным гипергликемическим состоянием.</w:t>
      </w:r>
    </w:p>
    <w:p w:rsidR="00D27BC6" w:rsidRDefault="004D5071">
      <w:pPr>
        <w:ind w:left="281" w:right="51"/>
        <w:jc w:val="left"/>
      </w:pPr>
      <w:r>
        <w:rPr>
          <w:b/>
        </w:rPr>
        <w:t>Диагностические критерии гипергликемического гиперосмолярного состояния:</w:t>
      </w:r>
    </w:p>
    <w:p w:rsidR="00D27BC6" w:rsidRDefault="004D5071">
      <w:pPr>
        <w:numPr>
          <w:ilvl w:val="0"/>
          <w:numId w:val="147"/>
        </w:numPr>
        <w:ind w:right="0" w:hanging="283"/>
      </w:pPr>
      <w:r>
        <w:t>глюкоза плазмы ≥ 33 ммоль/л;</w:t>
      </w:r>
    </w:p>
    <w:p w:rsidR="00D27BC6" w:rsidRDefault="004D5071">
      <w:pPr>
        <w:numPr>
          <w:ilvl w:val="0"/>
          <w:numId w:val="147"/>
        </w:numPr>
        <w:ind w:right="0" w:hanging="283"/>
      </w:pPr>
      <w:r>
        <w:t>осмолярность плазмы ≥ 33</w:t>
      </w:r>
      <w:r>
        <w:t>0 мосм/л;</w:t>
      </w:r>
    </w:p>
    <w:p w:rsidR="00D27BC6" w:rsidRDefault="004D5071">
      <w:pPr>
        <w:numPr>
          <w:ilvl w:val="0"/>
          <w:numId w:val="147"/>
        </w:numPr>
        <w:ind w:right="0" w:hanging="283"/>
      </w:pPr>
      <w:r>
        <w:t>умеренный ацидоз – бикарбонаты ≥ 15 ммоль/л;</w:t>
      </w:r>
    </w:p>
    <w:p w:rsidR="00D27BC6" w:rsidRDefault="004D5071">
      <w:pPr>
        <w:numPr>
          <w:ilvl w:val="0"/>
          <w:numId w:val="147"/>
        </w:numPr>
        <w:spacing w:after="226"/>
        <w:ind w:right="0" w:hanging="283"/>
      </w:pPr>
      <w:r>
        <w:t>незначительная кетонурия ≤ 1,5 ммоль/л.</w:t>
      </w:r>
    </w:p>
    <w:p w:rsidR="00D27BC6" w:rsidRDefault="004D5071">
      <w:pPr>
        <w:spacing w:after="230"/>
        <w:ind w:left="-11" w:right="0" w:firstLine="283"/>
      </w:pPr>
      <w:r>
        <w:t>Все случаи СД у детей и подростков с ожирением, в том числе и при острой манифестации, требуют исключения СД 2 типа.</w:t>
      </w:r>
    </w:p>
    <w:p w:rsidR="00D27BC6" w:rsidRDefault="004D5071">
      <w:pPr>
        <w:ind w:left="281" w:right="51"/>
        <w:jc w:val="left"/>
      </w:pPr>
      <w:r>
        <w:rPr>
          <w:b/>
        </w:rPr>
        <w:t>СД 2 типа вероятен при наличии следующих признаков:</w:t>
      </w:r>
    </w:p>
    <w:p w:rsidR="00D27BC6" w:rsidRDefault="004D5071">
      <w:pPr>
        <w:numPr>
          <w:ilvl w:val="0"/>
          <w:numId w:val="147"/>
        </w:numPr>
        <w:ind w:right="0" w:hanging="283"/>
      </w:pPr>
      <w:r>
        <w:t>ожирение;</w:t>
      </w:r>
    </w:p>
    <w:p w:rsidR="00D27BC6" w:rsidRDefault="004D5071">
      <w:pPr>
        <w:numPr>
          <w:ilvl w:val="0"/>
          <w:numId w:val="147"/>
        </w:numPr>
        <w:ind w:right="0" w:hanging="283"/>
      </w:pPr>
      <w:r>
        <w:t>возраст ребенка старше 10 лет;</w:t>
      </w:r>
    </w:p>
    <w:p w:rsidR="00D27BC6" w:rsidRDefault="004D5071">
      <w:pPr>
        <w:numPr>
          <w:ilvl w:val="0"/>
          <w:numId w:val="147"/>
        </w:numPr>
        <w:ind w:right="0" w:hanging="283"/>
      </w:pPr>
      <w:r>
        <w:t>случаи СД 2 типа в семейном анамнезе;</w:t>
      </w:r>
    </w:p>
    <w:p w:rsidR="00D27BC6" w:rsidRDefault="004D5071">
      <w:pPr>
        <w:numPr>
          <w:ilvl w:val="0"/>
          <w:numId w:val="147"/>
        </w:numPr>
        <w:ind w:right="0" w:hanging="283"/>
      </w:pPr>
      <w:r>
        <w:t>аcantosis nigricans;</w:t>
      </w:r>
    </w:p>
    <w:p w:rsidR="00D27BC6" w:rsidRDefault="004D5071">
      <w:pPr>
        <w:numPr>
          <w:ilvl w:val="0"/>
          <w:numId w:val="147"/>
        </w:numPr>
        <w:ind w:right="0" w:hanging="283"/>
      </w:pPr>
      <w:r>
        <w:t>расовая или этническая группа высокого риска;</w:t>
      </w:r>
    </w:p>
    <w:p w:rsidR="00D27BC6" w:rsidRDefault="004D5071">
      <w:pPr>
        <w:numPr>
          <w:ilvl w:val="0"/>
          <w:numId w:val="147"/>
        </w:numPr>
        <w:ind w:right="0" w:hanging="283"/>
      </w:pPr>
      <w:r>
        <w:t xml:space="preserve">отсутствие островковых аутоантител; • </w:t>
      </w:r>
      <w:r>
        <w:tab/>
        <w:t xml:space="preserve">повышенный уровень </w:t>
      </w:r>
      <w:r>
        <w:t>С-пептида;</w:t>
      </w:r>
    </w:p>
    <w:p w:rsidR="00D27BC6" w:rsidRDefault="004D5071">
      <w:pPr>
        <w:numPr>
          <w:ilvl w:val="0"/>
          <w:numId w:val="147"/>
        </w:numPr>
        <w:spacing w:after="226"/>
        <w:ind w:right="0" w:hanging="283"/>
      </w:pPr>
      <w:r>
        <w:t>инсулинорезистентность.</w:t>
      </w:r>
    </w:p>
    <w:p w:rsidR="00D27BC6" w:rsidRDefault="004D5071">
      <w:pPr>
        <w:pStyle w:val="Heading2"/>
        <w:ind w:left="-3" w:right="415"/>
      </w:pPr>
      <w:r>
        <w:t>Определение инсулинорезистентности проводится с учетом концентрации иммунореактивного инсулина и уровня глюкозы плазмы натощак и в ходе ПГТТ</w:t>
      </w:r>
    </w:p>
    <w:tbl>
      <w:tblPr>
        <w:tblStyle w:val="TableGrid"/>
        <w:tblW w:w="10191" w:type="dxa"/>
        <w:tblInd w:w="8" w:type="dxa"/>
        <w:tblCellMar>
          <w:top w:w="16" w:type="dxa"/>
          <w:left w:w="57" w:type="dxa"/>
          <w:bottom w:w="0" w:type="dxa"/>
          <w:right w:w="107" w:type="dxa"/>
        </w:tblCellMar>
        <w:tblLook w:val="04A0" w:firstRow="1" w:lastRow="0" w:firstColumn="1" w:lastColumn="0" w:noHBand="0" w:noVBand="1"/>
      </w:tblPr>
      <w:tblGrid>
        <w:gridCol w:w="3395"/>
        <w:gridCol w:w="3815"/>
        <w:gridCol w:w="2981"/>
      </w:tblGrid>
      <w:tr w:rsidR="00D27BC6">
        <w:trPr>
          <w:trHeight w:val="377"/>
        </w:trPr>
        <w:tc>
          <w:tcPr>
            <w:tcW w:w="339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0" w:right="0" w:firstLine="0"/>
              <w:jc w:val="center"/>
            </w:pPr>
            <w:r>
              <w:rPr>
                <w:b/>
              </w:rPr>
              <w:t>Параметр оценки</w:t>
            </w:r>
          </w:p>
        </w:tc>
        <w:tc>
          <w:tcPr>
            <w:tcW w:w="381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0" w:right="0" w:firstLine="0"/>
              <w:jc w:val="center"/>
            </w:pPr>
            <w:r>
              <w:rPr>
                <w:b/>
              </w:rPr>
              <w:t>Формула расчета</w:t>
            </w:r>
          </w:p>
        </w:tc>
        <w:tc>
          <w:tcPr>
            <w:tcW w:w="2981"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0" w:right="0" w:firstLine="0"/>
              <w:jc w:val="center"/>
            </w:pPr>
            <w:r>
              <w:rPr>
                <w:b/>
              </w:rPr>
              <w:t>Норма</w:t>
            </w:r>
            <w:r>
              <w:rPr>
                <w:b/>
                <w:sz w:val="18"/>
                <w:vertAlign w:val="superscript"/>
              </w:rPr>
              <w:t>3</w:t>
            </w:r>
          </w:p>
        </w:tc>
      </w:tr>
      <w:tr w:rsidR="00D27BC6">
        <w:trPr>
          <w:trHeight w:val="382"/>
        </w:trPr>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Индекс HOMA-IR</w:t>
            </w:r>
            <w:r>
              <w:rPr>
                <w:sz w:val="18"/>
                <w:vertAlign w:val="superscript"/>
              </w:rPr>
              <w:footnoteReference w:id="25"/>
            </w:r>
          </w:p>
        </w:tc>
        <w:tc>
          <w:tcPr>
            <w:tcW w:w="381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0" w:right="0" w:firstLine="0"/>
              <w:jc w:val="center"/>
            </w:pPr>
            <w:r>
              <w:t>ИРИ 0 ГПН</w:t>
            </w:r>
            <w:r>
              <w:rPr>
                <w:sz w:val="18"/>
                <w:vertAlign w:val="superscript"/>
              </w:rPr>
              <w:t xml:space="preserve"> </w:t>
            </w:r>
            <w:r>
              <w:t>/ 22,5</w:t>
            </w:r>
          </w:p>
        </w:tc>
        <w:tc>
          <w:tcPr>
            <w:tcW w:w="29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0" w:right="0" w:firstLine="0"/>
              <w:jc w:val="center"/>
            </w:pPr>
            <w:r>
              <w:t>&lt; 3,2</w:t>
            </w:r>
          </w:p>
        </w:tc>
      </w:tr>
      <w:tr w:rsidR="00D27BC6">
        <w:trPr>
          <w:trHeight w:val="415"/>
        </w:trPr>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Индекс Caro</w:t>
            </w:r>
            <w:r>
              <w:rPr>
                <w:sz w:val="18"/>
                <w:vertAlign w:val="superscript"/>
              </w:rPr>
              <w:t>1</w:t>
            </w:r>
          </w:p>
        </w:tc>
        <w:tc>
          <w:tcPr>
            <w:tcW w:w="381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0" w:right="0" w:firstLine="0"/>
              <w:jc w:val="center"/>
            </w:pPr>
            <w:r>
              <w:t>ГПН</w:t>
            </w:r>
            <w:r>
              <w:rPr>
                <w:sz w:val="18"/>
                <w:vertAlign w:val="superscript"/>
              </w:rPr>
              <w:t xml:space="preserve"> </w:t>
            </w:r>
            <w:r>
              <w:t>/ ИРИ 0</w:t>
            </w:r>
          </w:p>
        </w:tc>
        <w:tc>
          <w:tcPr>
            <w:tcW w:w="29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0" w:right="0" w:firstLine="0"/>
              <w:jc w:val="center"/>
            </w:pPr>
            <w:r>
              <w:t>&gt; 0,3</w:t>
            </w:r>
          </w:p>
        </w:tc>
      </w:tr>
      <w:tr w:rsidR="00D27BC6">
        <w:trPr>
          <w:trHeight w:val="560"/>
        </w:trPr>
        <w:tc>
          <w:tcPr>
            <w:tcW w:w="33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Индекс Matsuda (по результатам ПГТТ на 0, 30, 60, 90, 120 мин)</w:t>
            </w:r>
            <w:r>
              <w:rPr>
                <w:sz w:val="18"/>
                <w:vertAlign w:val="superscript"/>
              </w:rPr>
              <w:footnoteReference w:id="26"/>
            </w:r>
            <w:r>
              <w:rPr>
                <w:sz w:val="18"/>
                <w:vertAlign w:val="superscript"/>
              </w:rPr>
              <w:footnoteReference w:id="27"/>
            </w:r>
          </w:p>
        </w:tc>
        <w:tc>
          <w:tcPr>
            <w:tcW w:w="381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noProof/>
                <w:sz w:val="22"/>
              </w:rPr>
              <mc:AlternateContent>
                <mc:Choice Requires="wpg">
                  <w:drawing>
                    <wp:anchor distT="0" distB="0" distL="114300" distR="114300" simplePos="0" relativeHeight="251667456" behindDoc="1" locked="0" layoutInCell="1" allowOverlap="1">
                      <wp:simplePos x="0" y="0"/>
                      <wp:positionH relativeFrom="column">
                        <wp:posOffset>496231</wp:posOffset>
                      </wp:positionH>
                      <wp:positionV relativeFrom="paragraph">
                        <wp:posOffset>8308</wp:posOffset>
                      </wp:positionV>
                      <wp:extent cx="1834503" cy="121501"/>
                      <wp:effectExtent l="0" t="0" r="0" b="0"/>
                      <wp:wrapNone/>
                      <wp:docPr id="312784" name="Group 312784"/>
                      <wp:cNvGraphicFramePr/>
                      <a:graphic xmlns:a="http://schemas.openxmlformats.org/drawingml/2006/main">
                        <a:graphicData uri="http://schemas.microsoft.com/office/word/2010/wordprocessingGroup">
                          <wpg:wgp>
                            <wpg:cNvGrpSpPr/>
                            <wpg:grpSpPr>
                              <a:xfrm>
                                <a:off x="0" y="0"/>
                                <a:ext cx="1834503" cy="121501"/>
                                <a:chOff x="0" y="0"/>
                                <a:chExt cx="1834503" cy="121501"/>
                              </a:xfrm>
                            </wpg:grpSpPr>
                            <wps:wsp>
                              <wps:cNvPr id="23209" name="Shape 23209"/>
                              <wps:cNvSpPr/>
                              <wps:spPr>
                                <a:xfrm>
                                  <a:off x="0" y="0"/>
                                  <a:ext cx="1834503" cy="121501"/>
                                </a:xfrm>
                                <a:custGeom>
                                  <a:avLst/>
                                  <a:gdLst/>
                                  <a:ahLst/>
                                  <a:cxnLst/>
                                  <a:rect l="0" t="0" r="0" b="0"/>
                                  <a:pathLst>
                                    <a:path w="1834503" h="121501">
                                      <a:moveTo>
                                        <a:pt x="0" y="67056"/>
                                      </a:moveTo>
                                      <a:lnTo>
                                        <a:pt x="16650" y="58954"/>
                                      </a:lnTo>
                                      <a:lnTo>
                                        <a:pt x="47244" y="121501"/>
                                      </a:lnTo>
                                      <a:lnTo>
                                        <a:pt x="67056" y="0"/>
                                      </a:lnTo>
                                      <a:lnTo>
                                        <a:pt x="1834503"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2784" style="width:144.449pt;height:9.56702pt;position:absolute;z-index:-2147483482;mso-position-horizontal-relative:text;mso-position-horizontal:absolute;margin-left:39.0733pt;mso-position-vertical-relative:text;margin-top:0.654175pt;" coordsize="18345,1215">
                      <v:shape id="Shape 23209" style="position:absolute;width:18345;height:1215;left:0;top:0;" coordsize="1834503,121501" path="m0,67056l16650,58954l47244,121501l67056,0l1834503,0">
                        <v:stroke weight="0.709pt" endcap="flat" joinstyle="miter" miterlimit="4" on="true" color="#000000"/>
                        <v:fill on="false" color="#000000" opacity="0"/>
                      </v:shape>
                    </v:group>
                  </w:pict>
                </mc:Fallback>
              </mc:AlternateContent>
            </w:r>
            <w:r>
              <w:t xml:space="preserve">10 000 /    </w:t>
            </w:r>
            <w:r>
              <w:rPr>
                <w:sz w:val="22"/>
              </w:rPr>
              <w:t xml:space="preserve"> ИРИ 0 * ГПН * ИРИ ср. * ГП ср.</w:t>
            </w:r>
            <w:r>
              <w:t xml:space="preserve"> </w:t>
            </w:r>
          </w:p>
        </w:tc>
        <w:tc>
          <w:tcPr>
            <w:tcW w:w="298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0" w:right="0" w:firstLine="0"/>
              <w:jc w:val="center"/>
            </w:pPr>
            <w:r>
              <w:t>&gt; 2,6</w:t>
            </w:r>
          </w:p>
        </w:tc>
      </w:tr>
    </w:tbl>
    <w:p w:rsidR="00D27BC6" w:rsidRDefault="004D5071">
      <w:pPr>
        <w:spacing w:after="1150"/>
        <w:ind w:left="-3" w:right="0"/>
      </w:pPr>
      <w:r>
        <w:rPr>
          <w:sz w:val="16"/>
        </w:rPr>
        <w:t>ПГТТ – пероральный глюкозотолерантный тест</w:t>
      </w:r>
    </w:p>
    <w:tbl>
      <w:tblPr>
        <w:tblStyle w:val="TableGrid"/>
        <w:tblW w:w="10195" w:type="dxa"/>
        <w:tblInd w:w="8" w:type="dxa"/>
        <w:tblCellMar>
          <w:top w:w="9" w:type="dxa"/>
          <w:left w:w="57" w:type="dxa"/>
          <w:bottom w:w="0" w:type="dxa"/>
          <w:right w:w="17" w:type="dxa"/>
        </w:tblCellMar>
        <w:tblLook w:val="04A0" w:firstRow="1" w:lastRow="0" w:firstColumn="1" w:lastColumn="0" w:noHBand="0" w:noVBand="1"/>
      </w:tblPr>
      <w:tblGrid>
        <w:gridCol w:w="2422"/>
        <w:gridCol w:w="7773"/>
      </w:tblGrid>
      <w:tr w:rsidR="00D27BC6">
        <w:trPr>
          <w:trHeight w:val="320"/>
        </w:trPr>
        <w:tc>
          <w:tcPr>
            <w:tcW w:w="242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Частота</w:t>
            </w:r>
          </w:p>
        </w:tc>
        <w:tc>
          <w:tcPr>
            <w:tcW w:w="777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Каждые 2 года, начиная с 10-летнего возраста</w:t>
            </w:r>
          </w:p>
        </w:tc>
      </w:tr>
      <w:tr w:rsidR="00D27BC6">
        <w:trPr>
          <w:trHeight w:val="823"/>
        </w:trPr>
        <w:tc>
          <w:tcPr>
            <w:tcW w:w="2422"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pPr>
            <w:r>
              <w:rPr>
                <w:b/>
              </w:rPr>
              <w:t>Группы риска, в которых проводится скрининг</w:t>
            </w:r>
          </w:p>
        </w:tc>
        <w:tc>
          <w:tcPr>
            <w:tcW w:w="7773"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06"/>
              </w:numPr>
              <w:spacing w:after="0" w:line="259" w:lineRule="auto"/>
              <w:ind w:right="0" w:hanging="170"/>
              <w:jc w:val="left"/>
            </w:pPr>
            <w:r>
              <w:t>Избыточная масса тела (ИМТ ≥ 85 перцентили)</w:t>
            </w:r>
          </w:p>
          <w:p w:rsidR="00D27BC6" w:rsidRDefault="004D5071">
            <w:pPr>
              <w:numPr>
                <w:ilvl w:val="0"/>
                <w:numId w:val="306"/>
              </w:numPr>
              <w:spacing w:after="0" w:line="259" w:lineRule="auto"/>
              <w:ind w:right="0" w:hanging="170"/>
              <w:jc w:val="left"/>
            </w:pPr>
            <w:r>
              <w:t>Наличие СД 2 типа у родственников 1-й и 2-й степени родства</w:t>
            </w:r>
          </w:p>
          <w:p w:rsidR="00D27BC6" w:rsidRDefault="004D5071">
            <w:pPr>
              <w:numPr>
                <w:ilvl w:val="0"/>
                <w:numId w:val="306"/>
              </w:numPr>
              <w:spacing w:after="0" w:line="259" w:lineRule="auto"/>
              <w:ind w:right="0" w:hanging="170"/>
              <w:jc w:val="left"/>
            </w:pPr>
            <w:r>
              <w:t>Принадлежность к этнической группе с высокой распространенностью СД 2 типа</w:t>
            </w:r>
          </w:p>
        </w:tc>
      </w:tr>
      <w:tr w:rsidR="00D27BC6">
        <w:trPr>
          <w:trHeight w:val="320"/>
        </w:trPr>
        <w:tc>
          <w:tcPr>
            <w:tcW w:w="2422"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Метод</w:t>
            </w:r>
          </w:p>
        </w:tc>
        <w:tc>
          <w:tcPr>
            <w:tcW w:w="777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Определение глюкозы плазмы натощак, при необходимости – ПГТТ</w:t>
            </w:r>
          </w:p>
        </w:tc>
      </w:tr>
    </w:tbl>
    <w:p w:rsidR="00D27BC6" w:rsidRDefault="004D5071">
      <w:pPr>
        <w:pStyle w:val="Heading3"/>
        <w:ind w:left="162" w:right="152"/>
      </w:pPr>
      <w:r>
        <w:t>Особенности течения СД 2 типа у детей и подростков</w:t>
      </w:r>
    </w:p>
    <w:p w:rsidR="00D27BC6" w:rsidRDefault="004D5071">
      <w:pPr>
        <w:numPr>
          <w:ilvl w:val="0"/>
          <w:numId w:val="148"/>
        </w:numPr>
        <w:ind w:right="0" w:hanging="283"/>
      </w:pPr>
      <w:r>
        <w:t>Может возникать временная потребность в инсулине на фоне стрессов и интеркуррентных заболеваний.</w:t>
      </w:r>
    </w:p>
    <w:p w:rsidR="00D27BC6" w:rsidRDefault="004D5071">
      <w:pPr>
        <w:numPr>
          <w:ilvl w:val="0"/>
          <w:numId w:val="148"/>
        </w:numPr>
        <w:ind w:right="0" w:hanging="283"/>
      </w:pPr>
      <w:r>
        <w:t>Рано возникает инсулинозависимость.</w:t>
      </w:r>
    </w:p>
    <w:p w:rsidR="00D27BC6" w:rsidRDefault="004D5071">
      <w:pPr>
        <w:numPr>
          <w:ilvl w:val="0"/>
          <w:numId w:val="148"/>
        </w:numPr>
        <w:ind w:right="0" w:hanging="283"/>
      </w:pPr>
      <w:r>
        <w:t xml:space="preserve">Характерны ранние микро- и макрососудистые осложнения, в том числе уже при манифестации заболевания. </w:t>
      </w:r>
      <w:r>
        <w:rPr>
          <w:b/>
          <w:color w:val="6F6F6E"/>
        </w:rPr>
        <w:t>Лечение СД 2 типа у детей и подростков</w:t>
      </w:r>
    </w:p>
    <w:tbl>
      <w:tblPr>
        <w:tblStyle w:val="TableGrid"/>
        <w:tblW w:w="10195" w:type="dxa"/>
        <w:tblInd w:w="8" w:type="dxa"/>
        <w:tblCellMar>
          <w:top w:w="9" w:type="dxa"/>
          <w:left w:w="57" w:type="dxa"/>
          <w:bottom w:w="0" w:type="dxa"/>
          <w:right w:w="115" w:type="dxa"/>
        </w:tblCellMar>
        <w:tblLook w:val="04A0" w:firstRow="1" w:lastRow="0" w:firstColumn="1" w:lastColumn="0" w:noHBand="0" w:noVBand="1"/>
      </w:tblPr>
      <w:tblGrid>
        <w:gridCol w:w="2410"/>
        <w:gridCol w:w="7785"/>
      </w:tblGrid>
      <w:tr w:rsidR="00D27BC6">
        <w:trPr>
          <w:trHeight w:val="560"/>
        </w:trPr>
        <w:tc>
          <w:tcPr>
            <w:tcW w:w="2410"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Цели гликемического контроля</w:t>
            </w:r>
          </w:p>
        </w:tc>
        <w:tc>
          <w:tcPr>
            <w:tcW w:w="778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Не отличаются от таковых при СД 1 типа (см. раздел 20.1)</w:t>
            </w:r>
          </w:p>
        </w:tc>
      </w:tr>
      <w:tr w:rsidR="00D27BC6">
        <w:trPr>
          <w:trHeight w:val="1210"/>
        </w:trPr>
        <w:tc>
          <w:tcPr>
            <w:tcW w:w="2410"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Методы</w:t>
            </w:r>
          </w:p>
        </w:tc>
        <w:tc>
          <w:tcPr>
            <w:tcW w:w="778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07"/>
              </w:numPr>
              <w:spacing w:after="33" w:line="259" w:lineRule="auto"/>
              <w:ind w:right="0" w:hanging="170"/>
              <w:jc w:val="left"/>
            </w:pPr>
            <w:r>
              <w:t xml:space="preserve">Гипокалорийная диета, </w:t>
            </w:r>
            <w:r>
              <w:t>физические нагрузки</w:t>
            </w:r>
          </w:p>
          <w:p w:rsidR="00D27BC6" w:rsidRDefault="004D5071">
            <w:pPr>
              <w:numPr>
                <w:ilvl w:val="0"/>
                <w:numId w:val="307"/>
              </w:numPr>
              <w:spacing w:after="33" w:line="259" w:lineRule="auto"/>
              <w:ind w:right="0" w:hanging="170"/>
              <w:jc w:val="left"/>
            </w:pPr>
            <w:r>
              <w:t xml:space="preserve">Метформин* </w:t>
            </w:r>
          </w:p>
          <w:p w:rsidR="00D27BC6" w:rsidRDefault="004D5071">
            <w:pPr>
              <w:numPr>
                <w:ilvl w:val="0"/>
                <w:numId w:val="307"/>
              </w:numPr>
              <w:spacing w:after="33" w:line="259" w:lineRule="auto"/>
              <w:ind w:right="0" w:hanging="170"/>
              <w:jc w:val="left"/>
            </w:pPr>
            <w:r>
              <w:t>Инсулин</w:t>
            </w:r>
          </w:p>
          <w:p w:rsidR="00D27BC6" w:rsidRDefault="004D5071">
            <w:pPr>
              <w:numPr>
                <w:ilvl w:val="0"/>
                <w:numId w:val="307"/>
              </w:numPr>
              <w:spacing w:after="0" w:line="259" w:lineRule="auto"/>
              <w:ind w:right="0" w:hanging="170"/>
              <w:jc w:val="left"/>
            </w:pPr>
            <w:r>
              <w:t>арГПП-1 (лираглутид*)</w:t>
            </w:r>
          </w:p>
        </w:tc>
      </w:tr>
    </w:tbl>
    <w:p w:rsidR="00D27BC6" w:rsidRDefault="004D5071">
      <w:pPr>
        <w:spacing w:after="252"/>
        <w:ind w:left="-3" w:right="0"/>
      </w:pPr>
      <w:r>
        <w:rPr>
          <w:sz w:val="16"/>
        </w:rPr>
        <w:t>*</w:t>
      </w:r>
      <w:r>
        <w:rPr>
          <w:sz w:val="14"/>
          <w:vertAlign w:val="superscript"/>
        </w:rPr>
        <w:t xml:space="preserve"> </w:t>
      </w:r>
      <w:r>
        <w:rPr>
          <w:sz w:val="16"/>
        </w:rPr>
        <w:t>У детей старше 10 лет</w:t>
      </w:r>
    </w:p>
    <w:p w:rsidR="00D27BC6" w:rsidRDefault="004D5071">
      <w:pPr>
        <w:pStyle w:val="Heading2"/>
        <w:spacing w:after="180"/>
        <w:ind w:left="-3"/>
      </w:pPr>
      <w:r>
        <w:t>Алгоритм терапии сахарного диабета 2 типа у детей</w:t>
      </w:r>
    </w:p>
    <w:p w:rsidR="00D27BC6" w:rsidRDefault="004D5071">
      <w:pPr>
        <w:tabs>
          <w:tab w:val="center" w:pos="2456"/>
          <w:tab w:val="center" w:pos="7756"/>
        </w:tabs>
        <w:spacing w:after="12"/>
        <w:ind w:left="0" w:right="0" w:firstLine="0"/>
        <w:jc w:val="left"/>
      </w:pPr>
      <w:r>
        <w:rPr>
          <w:sz w:val="22"/>
        </w:rPr>
        <w:tab/>
      </w:r>
      <w:r>
        <w:rPr>
          <w:b/>
        </w:rPr>
        <w:t>HbA1c &lt; 8,5%</w:t>
      </w:r>
      <w:r>
        <w:rPr>
          <w:b/>
        </w:rPr>
        <w:tab/>
        <w:t>HbA1c ≥ 8,5%</w:t>
      </w:r>
    </w:p>
    <w:p w:rsidR="00D27BC6" w:rsidRDefault="004D5071">
      <w:pPr>
        <w:tabs>
          <w:tab w:val="center" w:pos="2456"/>
          <w:tab w:val="center" w:pos="7756"/>
        </w:tabs>
        <w:spacing w:after="435"/>
        <w:ind w:left="0" w:right="0" w:firstLine="0"/>
        <w:jc w:val="left"/>
      </w:pPr>
      <w:r>
        <w:rPr>
          <w:sz w:val="22"/>
        </w:rPr>
        <w:tab/>
      </w:r>
      <w:r>
        <w:rPr>
          <w:b/>
        </w:rPr>
        <w:t xml:space="preserve">симптомы СД отсутствуют </w:t>
      </w:r>
      <w:r>
        <w:rPr>
          <w:b/>
        </w:rPr>
        <w:tab/>
        <w:t>или кетоз/кетоацидоз</w:t>
      </w:r>
    </w:p>
    <w:p w:rsidR="00D27BC6" w:rsidRDefault="004D5071">
      <w:pPr>
        <w:spacing w:after="429"/>
        <w:ind w:left="290" w:right="200"/>
        <w:jc w:val="center"/>
      </w:pPr>
      <w:r>
        <w:rPr>
          <w:b/>
        </w:rPr>
        <w:t>Физические нагрузки/Диета</w:t>
      </w:r>
    </w:p>
    <w:p w:rsidR="00D27BC6" w:rsidRDefault="004D5071">
      <w:pPr>
        <w:numPr>
          <w:ilvl w:val="0"/>
          <w:numId w:val="149"/>
        </w:numPr>
        <w:spacing w:after="0" w:line="259" w:lineRule="auto"/>
        <w:ind w:right="149" w:hanging="170"/>
      </w:pPr>
      <w:r>
        <w:t xml:space="preserve">Инсулины длительного действия и их аналоги для </w:t>
      </w:r>
    </w:p>
    <w:p w:rsidR="00D27BC6" w:rsidRDefault="004D5071">
      <w:pPr>
        <w:numPr>
          <w:ilvl w:val="0"/>
          <w:numId w:val="149"/>
        </w:numPr>
        <w:ind w:right="149" w:hanging="170"/>
      </w:pPr>
      <w:r>
        <w:t>Метформин</w:t>
      </w:r>
      <w:r>
        <w:tab/>
        <w:t>инъекционного введения 0,25–0,5 ЕД/кг</w:t>
      </w:r>
    </w:p>
    <w:p w:rsidR="00D27BC6" w:rsidRDefault="004D5071">
      <w:pPr>
        <w:numPr>
          <w:ilvl w:val="0"/>
          <w:numId w:val="150"/>
        </w:numPr>
        <w:ind w:right="0" w:hanging="170"/>
      </w:pPr>
      <w:r>
        <w:t>Стартовая доза: 500–1000 мг ежедневно 7–14 дней</w:t>
      </w:r>
      <w:r>
        <w:tab/>
        <w:t>– Метформин (после купирования кетоза)</w:t>
      </w:r>
    </w:p>
    <w:p w:rsidR="00D27BC6" w:rsidRDefault="004D5071">
      <w:pPr>
        <w:numPr>
          <w:ilvl w:val="0"/>
          <w:numId w:val="150"/>
        </w:numPr>
        <w:ind w:right="0" w:hanging="170"/>
      </w:pPr>
      <w:r>
        <w:t>Титрация: по 500–1000 мг каждые 1–2 недели</w:t>
      </w:r>
      <w:r>
        <w:tab/>
        <w:t xml:space="preserve">• Стартовая доза: 500–1000 мг </w:t>
      </w:r>
      <w:r>
        <w:t>ежедневно 7–14 дней</w:t>
      </w:r>
    </w:p>
    <w:p w:rsidR="00D27BC6" w:rsidRDefault="004D5071">
      <w:pPr>
        <w:numPr>
          <w:ilvl w:val="0"/>
          <w:numId w:val="150"/>
        </w:numPr>
        <w:ind w:right="0" w:hanging="170"/>
      </w:pPr>
      <w:r>
        <w:t xml:space="preserve">Максимальная доза: 1000 мг x 2 раза в день или </w:t>
      </w:r>
      <w:r>
        <w:tab/>
        <w:t>• Титрация: по 500–1000 мг каждые 1–2 недели</w:t>
      </w:r>
    </w:p>
    <w:p w:rsidR="00D27BC6" w:rsidRDefault="004D5071">
      <w:pPr>
        <w:tabs>
          <w:tab w:val="center" w:pos="1284"/>
          <w:tab w:val="center" w:pos="7707"/>
        </w:tabs>
        <w:ind w:left="0" w:right="0" w:firstLine="0"/>
        <w:jc w:val="left"/>
      </w:pPr>
      <w:r>
        <w:rPr>
          <w:sz w:val="22"/>
        </w:rPr>
        <w:tab/>
      </w:r>
      <w:r>
        <w:t>850 мг 3 раза в день</w:t>
      </w:r>
      <w:r>
        <w:tab/>
        <w:t xml:space="preserve">• Максимальная доза: 1000 мг x 2 раза в день или </w:t>
      </w:r>
    </w:p>
    <w:p w:rsidR="00D27BC6" w:rsidRDefault="004D5071">
      <w:pPr>
        <w:spacing w:after="429"/>
        <w:ind w:left="2973" w:right="0"/>
        <w:jc w:val="center"/>
      </w:pPr>
      <w:r>
        <w:t>850 мг 3 раза в день</w:t>
      </w:r>
    </w:p>
    <w:p w:rsidR="00D27BC6" w:rsidRDefault="004D5071">
      <w:pPr>
        <w:tabs>
          <w:tab w:val="center" w:pos="2456"/>
          <w:tab w:val="right" w:pos="10207"/>
        </w:tabs>
        <w:spacing w:after="380"/>
        <w:ind w:left="0" w:right="0" w:firstLine="0"/>
        <w:jc w:val="left"/>
      </w:pPr>
      <w:r>
        <w:rPr>
          <w:sz w:val="22"/>
        </w:rPr>
        <w:tab/>
      </w:r>
      <w:r>
        <w:rPr>
          <w:b/>
        </w:rPr>
        <w:t>HbA1c выше целевого уровня (&gt;7%)</w:t>
      </w:r>
      <w:r>
        <w:rPr>
          <w:b/>
        </w:rPr>
        <w:tab/>
        <w:t>Гликемия натощак</w:t>
      </w:r>
      <w:r>
        <w:rPr>
          <w:b/>
        </w:rPr>
        <w:t xml:space="preserve"> &lt;7 и после еды &lt;10,0 ммоль/л</w:t>
      </w:r>
    </w:p>
    <w:p w:rsidR="00D27BC6" w:rsidRDefault="004D5071">
      <w:pPr>
        <w:numPr>
          <w:ilvl w:val="0"/>
          <w:numId w:val="151"/>
        </w:numPr>
        <w:ind w:right="0" w:hanging="170"/>
      </w:pPr>
      <w:r>
        <w:rPr>
          <w:noProof/>
          <w:sz w:val="22"/>
        </w:rPr>
        <mc:AlternateContent>
          <mc:Choice Requires="wpg">
            <w:drawing>
              <wp:anchor distT="0" distB="0" distL="114300" distR="114300" simplePos="0" relativeHeight="251668480" behindDoc="1" locked="0" layoutInCell="1" allowOverlap="1">
                <wp:simplePos x="0" y="0"/>
                <wp:positionH relativeFrom="column">
                  <wp:posOffset>6769</wp:posOffset>
                </wp:positionH>
                <wp:positionV relativeFrom="paragraph">
                  <wp:posOffset>-2827777</wp:posOffset>
                </wp:positionV>
                <wp:extent cx="6470993" cy="4254602"/>
                <wp:effectExtent l="0" t="0" r="0" b="0"/>
                <wp:wrapNone/>
                <wp:docPr id="308223" name="Group 308223"/>
                <wp:cNvGraphicFramePr/>
                <a:graphic xmlns:a="http://schemas.openxmlformats.org/drawingml/2006/main">
                  <a:graphicData uri="http://schemas.microsoft.com/office/word/2010/wordprocessingGroup">
                    <wpg:wgp>
                      <wpg:cNvGrpSpPr/>
                      <wpg:grpSpPr>
                        <a:xfrm>
                          <a:off x="0" y="0"/>
                          <a:ext cx="6470993" cy="4254602"/>
                          <a:chOff x="0" y="0"/>
                          <a:chExt cx="6470993" cy="4254602"/>
                        </a:xfrm>
                      </wpg:grpSpPr>
                      <wps:wsp>
                        <wps:cNvPr id="23276" name="Shape 23276"/>
                        <wps:cNvSpPr/>
                        <wps:spPr>
                          <a:xfrm>
                            <a:off x="1543497" y="414481"/>
                            <a:ext cx="0" cy="542722"/>
                          </a:xfrm>
                          <a:custGeom>
                            <a:avLst/>
                            <a:gdLst/>
                            <a:ahLst/>
                            <a:cxnLst/>
                            <a:rect l="0" t="0" r="0" b="0"/>
                            <a:pathLst>
                              <a:path h="542722">
                                <a:moveTo>
                                  <a:pt x="0" y="0"/>
                                </a:moveTo>
                                <a:lnTo>
                                  <a:pt x="0" y="542722"/>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277" name="Shape 23277"/>
                        <wps:cNvSpPr/>
                        <wps:spPr>
                          <a:xfrm>
                            <a:off x="1512941" y="937170"/>
                            <a:ext cx="61113" cy="83934"/>
                          </a:xfrm>
                          <a:custGeom>
                            <a:avLst/>
                            <a:gdLst/>
                            <a:ahLst/>
                            <a:cxnLst/>
                            <a:rect l="0" t="0" r="0" b="0"/>
                            <a:pathLst>
                              <a:path w="61113" h="83934">
                                <a:moveTo>
                                  <a:pt x="0" y="0"/>
                                </a:moveTo>
                                <a:lnTo>
                                  <a:pt x="30556" y="20041"/>
                                </a:lnTo>
                                <a:lnTo>
                                  <a:pt x="61113" y="0"/>
                                </a:lnTo>
                                <a:lnTo>
                                  <a:pt x="30556" y="83934"/>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278" name="Shape 23278"/>
                        <wps:cNvSpPr/>
                        <wps:spPr>
                          <a:xfrm>
                            <a:off x="1543497" y="2181963"/>
                            <a:ext cx="0" cy="147638"/>
                          </a:xfrm>
                          <a:custGeom>
                            <a:avLst/>
                            <a:gdLst/>
                            <a:ahLst/>
                            <a:cxnLst/>
                            <a:rect l="0" t="0" r="0" b="0"/>
                            <a:pathLst>
                              <a:path h="147638">
                                <a:moveTo>
                                  <a:pt x="0" y="0"/>
                                </a:moveTo>
                                <a:lnTo>
                                  <a:pt x="0" y="147638"/>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279" name="Shape 23279"/>
                        <wps:cNvSpPr/>
                        <wps:spPr>
                          <a:xfrm>
                            <a:off x="1512941" y="2309563"/>
                            <a:ext cx="61113" cy="83934"/>
                          </a:xfrm>
                          <a:custGeom>
                            <a:avLst/>
                            <a:gdLst/>
                            <a:ahLst/>
                            <a:cxnLst/>
                            <a:rect l="0" t="0" r="0" b="0"/>
                            <a:pathLst>
                              <a:path w="61113" h="83934">
                                <a:moveTo>
                                  <a:pt x="0" y="0"/>
                                </a:moveTo>
                                <a:lnTo>
                                  <a:pt x="30556" y="20041"/>
                                </a:lnTo>
                                <a:lnTo>
                                  <a:pt x="61113" y="0"/>
                                </a:lnTo>
                                <a:lnTo>
                                  <a:pt x="30556" y="83934"/>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280" name="Shape 23280"/>
                        <wps:cNvSpPr/>
                        <wps:spPr>
                          <a:xfrm>
                            <a:off x="4918497" y="2181963"/>
                            <a:ext cx="0" cy="147638"/>
                          </a:xfrm>
                          <a:custGeom>
                            <a:avLst/>
                            <a:gdLst/>
                            <a:ahLst/>
                            <a:cxnLst/>
                            <a:rect l="0" t="0" r="0" b="0"/>
                            <a:pathLst>
                              <a:path h="147638">
                                <a:moveTo>
                                  <a:pt x="0" y="0"/>
                                </a:moveTo>
                                <a:lnTo>
                                  <a:pt x="0" y="147638"/>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281" name="Shape 23281"/>
                        <wps:cNvSpPr/>
                        <wps:spPr>
                          <a:xfrm>
                            <a:off x="4887941" y="2309563"/>
                            <a:ext cx="61113" cy="83934"/>
                          </a:xfrm>
                          <a:custGeom>
                            <a:avLst/>
                            <a:gdLst/>
                            <a:ahLst/>
                            <a:cxnLst/>
                            <a:rect l="0" t="0" r="0" b="0"/>
                            <a:pathLst>
                              <a:path w="61113" h="83934">
                                <a:moveTo>
                                  <a:pt x="0" y="0"/>
                                </a:moveTo>
                                <a:lnTo>
                                  <a:pt x="30556" y="20041"/>
                                </a:lnTo>
                                <a:lnTo>
                                  <a:pt x="61113" y="0"/>
                                </a:lnTo>
                                <a:lnTo>
                                  <a:pt x="30556" y="83934"/>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282" name="Shape 23282"/>
                        <wps:cNvSpPr/>
                        <wps:spPr>
                          <a:xfrm>
                            <a:off x="4918497" y="412496"/>
                            <a:ext cx="0" cy="542722"/>
                          </a:xfrm>
                          <a:custGeom>
                            <a:avLst/>
                            <a:gdLst/>
                            <a:ahLst/>
                            <a:cxnLst/>
                            <a:rect l="0" t="0" r="0" b="0"/>
                            <a:pathLst>
                              <a:path h="542722">
                                <a:moveTo>
                                  <a:pt x="0" y="0"/>
                                </a:moveTo>
                                <a:lnTo>
                                  <a:pt x="0" y="542722"/>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283" name="Shape 23283"/>
                        <wps:cNvSpPr/>
                        <wps:spPr>
                          <a:xfrm>
                            <a:off x="4887941" y="935184"/>
                            <a:ext cx="61113" cy="83934"/>
                          </a:xfrm>
                          <a:custGeom>
                            <a:avLst/>
                            <a:gdLst/>
                            <a:ahLst/>
                            <a:cxnLst/>
                            <a:rect l="0" t="0" r="0" b="0"/>
                            <a:pathLst>
                              <a:path w="61113" h="83934">
                                <a:moveTo>
                                  <a:pt x="0" y="0"/>
                                </a:moveTo>
                                <a:lnTo>
                                  <a:pt x="30556" y="20041"/>
                                </a:lnTo>
                                <a:lnTo>
                                  <a:pt x="61113" y="0"/>
                                </a:lnTo>
                                <a:lnTo>
                                  <a:pt x="30556" y="83934"/>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284" name="Shape 23284"/>
                        <wps:cNvSpPr/>
                        <wps:spPr>
                          <a:xfrm>
                            <a:off x="1543497" y="2588760"/>
                            <a:ext cx="0" cy="150419"/>
                          </a:xfrm>
                          <a:custGeom>
                            <a:avLst/>
                            <a:gdLst/>
                            <a:ahLst/>
                            <a:cxnLst/>
                            <a:rect l="0" t="0" r="0" b="0"/>
                            <a:pathLst>
                              <a:path h="150419">
                                <a:moveTo>
                                  <a:pt x="0" y="0"/>
                                </a:moveTo>
                                <a:lnTo>
                                  <a:pt x="0" y="15041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285" name="Shape 23285"/>
                        <wps:cNvSpPr/>
                        <wps:spPr>
                          <a:xfrm>
                            <a:off x="1512941" y="2719138"/>
                            <a:ext cx="61113" cy="83934"/>
                          </a:xfrm>
                          <a:custGeom>
                            <a:avLst/>
                            <a:gdLst/>
                            <a:ahLst/>
                            <a:cxnLst/>
                            <a:rect l="0" t="0" r="0" b="0"/>
                            <a:pathLst>
                              <a:path w="61113" h="83934">
                                <a:moveTo>
                                  <a:pt x="0" y="0"/>
                                </a:moveTo>
                                <a:lnTo>
                                  <a:pt x="30556" y="20041"/>
                                </a:lnTo>
                                <a:lnTo>
                                  <a:pt x="61113" y="0"/>
                                </a:lnTo>
                                <a:lnTo>
                                  <a:pt x="30556" y="83934"/>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286" name="Shape 23286"/>
                        <wps:cNvSpPr/>
                        <wps:spPr>
                          <a:xfrm>
                            <a:off x="4918497" y="2588760"/>
                            <a:ext cx="0" cy="150419"/>
                          </a:xfrm>
                          <a:custGeom>
                            <a:avLst/>
                            <a:gdLst/>
                            <a:ahLst/>
                            <a:cxnLst/>
                            <a:rect l="0" t="0" r="0" b="0"/>
                            <a:pathLst>
                              <a:path h="150419">
                                <a:moveTo>
                                  <a:pt x="0" y="0"/>
                                </a:moveTo>
                                <a:lnTo>
                                  <a:pt x="0" y="150419"/>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287" name="Shape 23287"/>
                        <wps:cNvSpPr/>
                        <wps:spPr>
                          <a:xfrm>
                            <a:off x="4887941" y="2719138"/>
                            <a:ext cx="61113" cy="83934"/>
                          </a:xfrm>
                          <a:custGeom>
                            <a:avLst/>
                            <a:gdLst/>
                            <a:ahLst/>
                            <a:cxnLst/>
                            <a:rect l="0" t="0" r="0" b="0"/>
                            <a:pathLst>
                              <a:path w="61113" h="83934">
                                <a:moveTo>
                                  <a:pt x="0" y="0"/>
                                </a:moveTo>
                                <a:lnTo>
                                  <a:pt x="30556" y="20041"/>
                                </a:lnTo>
                                <a:lnTo>
                                  <a:pt x="61113" y="0"/>
                                </a:lnTo>
                                <a:lnTo>
                                  <a:pt x="30556" y="83934"/>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288" name="Shape 23288"/>
                        <wps:cNvSpPr/>
                        <wps:spPr>
                          <a:xfrm>
                            <a:off x="3179460" y="1574747"/>
                            <a:ext cx="1739037" cy="1894281"/>
                          </a:xfrm>
                          <a:custGeom>
                            <a:avLst/>
                            <a:gdLst/>
                            <a:ahLst/>
                            <a:cxnLst/>
                            <a:rect l="0" t="0" r="0" b="0"/>
                            <a:pathLst>
                              <a:path w="1739037" h="1894281">
                                <a:moveTo>
                                  <a:pt x="1739037" y="1698028"/>
                                </a:moveTo>
                                <a:lnTo>
                                  <a:pt x="1739037" y="1894281"/>
                                </a:lnTo>
                                <a:lnTo>
                                  <a:pt x="80035" y="1894281"/>
                                </a:lnTo>
                                <a:lnTo>
                                  <a:pt x="80035" y="0"/>
                                </a:lnTo>
                                <a:lnTo>
                                  <a:pt x="0" y="0"/>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289" name="Shape 23289"/>
                        <wps:cNvSpPr/>
                        <wps:spPr>
                          <a:xfrm>
                            <a:off x="3115497" y="1544188"/>
                            <a:ext cx="83972" cy="61113"/>
                          </a:xfrm>
                          <a:custGeom>
                            <a:avLst/>
                            <a:gdLst/>
                            <a:ahLst/>
                            <a:cxnLst/>
                            <a:rect l="0" t="0" r="0" b="0"/>
                            <a:pathLst>
                              <a:path w="83972" h="61113">
                                <a:moveTo>
                                  <a:pt x="83972" y="0"/>
                                </a:moveTo>
                                <a:lnTo>
                                  <a:pt x="63957" y="30556"/>
                                </a:lnTo>
                                <a:lnTo>
                                  <a:pt x="83972" y="61113"/>
                                </a:lnTo>
                                <a:lnTo>
                                  <a:pt x="0" y="30556"/>
                                </a:lnTo>
                                <a:lnTo>
                                  <a:pt x="83972"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290" name="Shape 23290"/>
                        <wps:cNvSpPr/>
                        <wps:spPr>
                          <a:xfrm>
                            <a:off x="1543497" y="3279919"/>
                            <a:ext cx="0" cy="154978"/>
                          </a:xfrm>
                          <a:custGeom>
                            <a:avLst/>
                            <a:gdLst/>
                            <a:ahLst/>
                            <a:cxnLst/>
                            <a:rect l="0" t="0" r="0" b="0"/>
                            <a:pathLst>
                              <a:path h="154978">
                                <a:moveTo>
                                  <a:pt x="0" y="0"/>
                                </a:moveTo>
                                <a:lnTo>
                                  <a:pt x="0" y="154978"/>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291" name="Shape 23291"/>
                        <wps:cNvSpPr/>
                        <wps:spPr>
                          <a:xfrm>
                            <a:off x="1512941" y="3414856"/>
                            <a:ext cx="61113" cy="84138"/>
                          </a:xfrm>
                          <a:custGeom>
                            <a:avLst/>
                            <a:gdLst/>
                            <a:ahLst/>
                            <a:cxnLst/>
                            <a:rect l="0" t="0" r="0" b="0"/>
                            <a:pathLst>
                              <a:path w="61113" h="84138">
                                <a:moveTo>
                                  <a:pt x="0" y="0"/>
                                </a:moveTo>
                                <a:lnTo>
                                  <a:pt x="30556" y="20041"/>
                                </a:lnTo>
                                <a:lnTo>
                                  <a:pt x="61113" y="0"/>
                                </a:lnTo>
                                <a:lnTo>
                                  <a:pt x="30556" y="84138"/>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292" name="Shape 23292"/>
                        <wps:cNvSpPr/>
                        <wps:spPr>
                          <a:xfrm>
                            <a:off x="1543497" y="3672427"/>
                            <a:ext cx="0" cy="170066"/>
                          </a:xfrm>
                          <a:custGeom>
                            <a:avLst/>
                            <a:gdLst/>
                            <a:ahLst/>
                            <a:cxnLst/>
                            <a:rect l="0" t="0" r="0" b="0"/>
                            <a:pathLst>
                              <a:path h="170066">
                                <a:moveTo>
                                  <a:pt x="0" y="0"/>
                                </a:moveTo>
                                <a:lnTo>
                                  <a:pt x="0" y="170066"/>
                                </a:lnTo>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23293" name="Shape 23293"/>
                        <wps:cNvSpPr/>
                        <wps:spPr>
                          <a:xfrm>
                            <a:off x="1512941" y="3822451"/>
                            <a:ext cx="61113" cy="83934"/>
                          </a:xfrm>
                          <a:custGeom>
                            <a:avLst/>
                            <a:gdLst/>
                            <a:ahLst/>
                            <a:cxnLst/>
                            <a:rect l="0" t="0" r="0" b="0"/>
                            <a:pathLst>
                              <a:path w="61113" h="83934">
                                <a:moveTo>
                                  <a:pt x="0" y="0"/>
                                </a:moveTo>
                                <a:lnTo>
                                  <a:pt x="30556" y="20041"/>
                                </a:lnTo>
                                <a:lnTo>
                                  <a:pt x="61113" y="0"/>
                                </a:lnTo>
                                <a:lnTo>
                                  <a:pt x="30556" y="83934"/>
                                </a:ln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23297" name="Shape 23297"/>
                        <wps:cNvSpPr/>
                        <wps:spPr>
                          <a:xfrm>
                            <a:off x="0" y="0"/>
                            <a:ext cx="3104998" cy="408597"/>
                          </a:xfrm>
                          <a:custGeom>
                            <a:avLst/>
                            <a:gdLst/>
                            <a:ahLst/>
                            <a:cxnLst/>
                            <a:rect l="0" t="0" r="0" b="0"/>
                            <a:pathLst>
                              <a:path w="3104998" h="408597">
                                <a:moveTo>
                                  <a:pt x="0" y="408597"/>
                                </a:moveTo>
                                <a:lnTo>
                                  <a:pt x="3104998" y="408597"/>
                                </a:lnTo>
                                <a:lnTo>
                                  <a:pt x="3104998" y="0"/>
                                </a:lnTo>
                                <a:lnTo>
                                  <a:pt x="0" y="0"/>
                                </a:lnTo>
                                <a:close/>
                              </a:path>
                            </a:pathLst>
                          </a:custGeom>
                          <a:ln w="12598" cap="flat">
                            <a:miter lim="100000"/>
                          </a:ln>
                        </wps:spPr>
                        <wps:style>
                          <a:lnRef idx="1">
                            <a:srgbClr val="C51A1B"/>
                          </a:lnRef>
                          <a:fillRef idx="0">
                            <a:srgbClr val="000000">
                              <a:alpha val="0"/>
                            </a:srgbClr>
                          </a:fillRef>
                          <a:effectRef idx="0">
                            <a:scrgbClr r="0" g="0" b="0"/>
                          </a:effectRef>
                          <a:fontRef idx="none"/>
                        </wps:style>
                        <wps:bodyPr/>
                      </wps:wsp>
                      <wps:wsp>
                        <wps:cNvPr id="23301" name="Shape 23301"/>
                        <wps:cNvSpPr/>
                        <wps:spPr>
                          <a:xfrm>
                            <a:off x="3365995" y="0"/>
                            <a:ext cx="3104997" cy="408597"/>
                          </a:xfrm>
                          <a:custGeom>
                            <a:avLst/>
                            <a:gdLst/>
                            <a:ahLst/>
                            <a:cxnLst/>
                            <a:rect l="0" t="0" r="0" b="0"/>
                            <a:pathLst>
                              <a:path w="3104997" h="408597">
                                <a:moveTo>
                                  <a:pt x="0" y="408597"/>
                                </a:moveTo>
                                <a:lnTo>
                                  <a:pt x="3104997" y="408597"/>
                                </a:lnTo>
                                <a:lnTo>
                                  <a:pt x="3104997" y="0"/>
                                </a:lnTo>
                                <a:lnTo>
                                  <a:pt x="0" y="0"/>
                                </a:lnTo>
                                <a:close/>
                              </a:path>
                            </a:pathLst>
                          </a:custGeom>
                          <a:ln w="12598" cap="flat">
                            <a:miter lim="100000"/>
                          </a:ln>
                        </wps:spPr>
                        <wps:style>
                          <a:lnRef idx="1">
                            <a:srgbClr val="C51A1B"/>
                          </a:lnRef>
                          <a:fillRef idx="0">
                            <a:srgbClr val="000000">
                              <a:alpha val="0"/>
                            </a:srgbClr>
                          </a:fillRef>
                          <a:effectRef idx="0">
                            <a:scrgbClr r="0" g="0" b="0"/>
                          </a:effectRef>
                          <a:fontRef idx="none"/>
                        </wps:style>
                        <wps:bodyPr/>
                      </wps:wsp>
                      <wps:wsp>
                        <wps:cNvPr id="380768" name="Shape 380768"/>
                        <wps:cNvSpPr/>
                        <wps:spPr>
                          <a:xfrm>
                            <a:off x="1428001" y="617651"/>
                            <a:ext cx="3662464" cy="200546"/>
                          </a:xfrm>
                          <a:custGeom>
                            <a:avLst/>
                            <a:gdLst/>
                            <a:ahLst/>
                            <a:cxnLst/>
                            <a:rect l="0" t="0" r="0" b="0"/>
                            <a:pathLst>
                              <a:path w="3662464" h="200546">
                                <a:moveTo>
                                  <a:pt x="0" y="0"/>
                                </a:moveTo>
                                <a:lnTo>
                                  <a:pt x="3662464" y="0"/>
                                </a:lnTo>
                                <a:lnTo>
                                  <a:pt x="3662464" y="200546"/>
                                </a:lnTo>
                                <a:lnTo>
                                  <a:pt x="0" y="200546"/>
                                </a:lnTo>
                                <a:lnTo>
                                  <a:pt x="0" y="0"/>
                                </a:lnTo>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3304" name="Shape 23304"/>
                        <wps:cNvSpPr/>
                        <wps:spPr>
                          <a:xfrm>
                            <a:off x="1428001" y="617651"/>
                            <a:ext cx="3662464" cy="200546"/>
                          </a:xfrm>
                          <a:custGeom>
                            <a:avLst/>
                            <a:gdLst/>
                            <a:ahLst/>
                            <a:cxnLst/>
                            <a:rect l="0" t="0" r="0" b="0"/>
                            <a:pathLst>
                              <a:path w="3662464" h="200546">
                                <a:moveTo>
                                  <a:pt x="0" y="200546"/>
                                </a:moveTo>
                                <a:lnTo>
                                  <a:pt x="3662464" y="200546"/>
                                </a:lnTo>
                                <a:lnTo>
                                  <a:pt x="3662464" y="0"/>
                                </a:lnTo>
                                <a:lnTo>
                                  <a:pt x="0" y="0"/>
                                </a:lnTo>
                                <a:close/>
                              </a:path>
                            </a:pathLst>
                          </a:custGeom>
                          <a:ln w="12598" cap="flat">
                            <a:miter lim="100000"/>
                          </a:ln>
                        </wps:spPr>
                        <wps:style>
                          <a:lnRef idx="1">
                            <a:srgbClr val="94C11E"/>
                          </a:lnRef>
                          <a:fillRef idx="0">
                            <a:srgbClr val="000000">
                              <a:alpha val="0"/>
                            </a:srgbClr>
                          </a:fillRef>
                          <a:effectRef idx="0">
                            <a:scrgbClr r="0" g="0" b="0"/>
                          </a:effectRef>
                          <a:fontRef idx="none"/>
                        </wps:style>
                        <wps:bodyPr/>
                      </wps:wsp>
                      <wps:wsp>
                        <wps:cNvPr id="380769" name="Shape 380769"/>
                        <wps:cNvSpPr/>
                        <wps:spPr>
                          <a:xfrm>
                            <a:off x="0" y="1027252"/>
                            <a:ext cx="3104998" cy="1163396"/>
                          </a:xfrm>
                          <a:custGeom>
                            <a:avLst/>
                            <a:gdLst/>
                            <a:ahLst/>
                            <a:cxnLst/>
                            <a:rect l="0" t="0" r="0" b="0"/>
                            <a:pathLst>
                              <a:path w="3104998" h="1163396">
                                <a:moveTo>
                                  <a:pt x="0" y="0"/>
                                </a:moveTo>
                                <a:lnTo>
                                  <a:pt x="3104998" y="0"/>
                                </a:lnTo>
                                <a:lnTo>
                                  <a:pt x="3104998" y="1163396"/>
                                </a:lnTo>
                                <a:lnTo>
                                  <a:pt x="0" y="1163396"/>
                                </a:lnTo>
                                <a:lnTo>
                                  <a:pt x="0" y="0"/>
                                </a:lnTo>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3316" name="Shape 23316"/>
                        <wps:cNvSpPr/>
                        <wps:spPr>
                          <a:xfrm>
                            <a:off x="0" y="1027252"/>
                            <a:ext cx="3104998" cy="1163396"/>
                          </a:xfrm>
                          <a:custGeom>
                            <a:avLst/>
                            <a:gdLst/>
                            <a:ahLst/>
                            <a:cxnLst/>
                            <a:rect l="0" t="0" r="0" b="0"/>
                            <a:pathLst>
                              <a:path w="3104998" h="1163396">
                                <a:moveTo>
                                  <a:pt x="0" y="1163396"/>
                                </a:moveTo>
                                <a:lnTo>
                                  <a:pt x="3104998" y="1163396"/>
                                </a:lnTo>
                                <a:lnTo>
                                  <a:pt x="3104998" y="0"/>
                                </a:lnTo>
                                <a:lnTo>
                                  <a:pt x="0" y="0"/>
                                </a:lnTo>
                                <a:close/>
                              </a:path>
                            </a:pathLst>
                          </a:custGeom>
                          <a:ln w="12598" cap="flat">
                            <a:miter lim="100000"/>
                          </a:ln>
                        </wps:spPr>
                        <wps:style>
                          <a:lnRef idx="1">
                            <a:srgbClr val="94C11E"/>
                          </a:lnRef>
                          <a:fillRef idx="0">
                            <a:srgbClr val="000000">
                              <a:alpha val="0"/>
                            </a:srgbClr>
                          </a:fillRef>
                          <a:effectRef idx="0">
                            <a:scrgbClr r="0" g="0" b="0"/>
                          </a:effectRef>
                          <a:fontRef idx="none"/>
                        </wps:style>
                        <wps:bodyPr/>
                      </wps:wsp>
                      <wps:wsp>
                        <wps:cNvPr id="380770" name="Shape 380770"/>
                        <wps:cNvSpPr/>
                        <wps:spPr>
                          <a:xfrm>
                            <a:off x="0" y="2809303"/>
                            <a:ext cx="3104998" cy="484645"/>
                          </a:xfrm>
                          <a:custGeom>
                            <a:avLst/>
                            <a:gdLst/>
                            <a:ahLst/>
                            <a:cxnLst/>
                            <a:rect l="0" t="0" r="0" b="0"/>
                            <a:pathLst>
                              <a:path w="3104998" h="484645">
                                <a:moveTo>
                                  <a:pt x="0" y="0"/>
                                </a:moveTo>
                                <a:lnTo>
                                  <a:pt x="3104998" y="0"/>
                                </a:lnTo>
                                <a:lnTo>
                                  <a:pt x="3104998" y="484645"/>
                                </a:lnTo>
                                <a:lnTo>
                                  <a:pt x="0" y="484645"/>
                                </a:lnTo>
                                <a:lnTo>
                                  <a:pt x="0" y="0"/>
                                </a:lnTo>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3323" name="Shape 23323"/>
                        <wps:cNvSpPr/>
                        <wps:spPr>
                          <a:xfrm>
                            <a:off x="0" y="2809303"/>
                            <a:ext cx="3104998" cy="484645"/>
                          </a:xfrm>
                          <a:custGeom>
                            <a:avLst/>
                            <a:gdLst/>
                            <a:ahLst/>
                            <a:cxnLst/>
                            <a:rect l="0" t="0" r="0" b="0"/>
                            <a:pathLst>
                              <a:path w="3104998" h="484645">
                                <a:moveTo>
                                  <a:pt x="0" y="484645"/>
                                </a:moveTo>
                                <a:lnTo>
                                  <a:pt x="3104998" y="484645"/>
                                </a:lnTo>
                                <a:lnTo>
                                  <a:pt x="3104998" y="0"/>
                                </a:lnTo>
                                <a:lnTo>
                                  <a:pt x="0" y="0"/>
                                </a:lnTo>
                                <a:close/>
                              </a:path>
                            </a:pathLst>
                          </a:custGeom>
                          <a:ln w="12598" cap="flat">
                            <a:miter lim="100000"/>
                          </a:ln>
                        </wps:spPr>
                        <wps:style>
                          <a:lnRef idx="1">
                            <a:srgbClr val="94C11E"/>
                          </a:lnRef>
                          <a:fillRef idx="0">
                            <a:srgbClr val="000000">
                              <a:alpha val="0"/>
                            </a:srgbClr>
                          </a:fillRef>
                          <a:effectRef idx="0">
                            <a:scrgbClr r="0" g="0" b="0"/>
                          </a:effectRef>
                          <a:fontRef idx="none"/>
                        </wps:style>
                        <wps:bodyPr/>
                      </wps:wsp>
                      <wps:wsp>
                        <wps:cNvPr id="380771" name="Shape 380771"/>
                        <wps:cNvSpPr/>
                        <wps:spPr>
                          <a:xfrm>
                            <a:off x="3365995" y="2812910"/>
                            <a:ext cx="3104997" cy="484645"/>
                          </a:xfrm>
                          <a:custGeom>
                            <a:avLst/>
                            <a:gdLst/>
                            <a:ahLst/>
                            <a:cxnLst/>
                            <a:rect l="0" t="0" r="0" b="0"/>
                            <a:pathLst>
                              <a:path w="3104997" h="484645">
                                <a:moveTo>
                                  <a:pt x="0" y="0"/>
                                </a:moveTo>
                                <a:lnTo>
                                  <a:pt x="3104997" y="0"/>
                                </a:lnTo>
                                <a:lnTo>
                                  <a:pt x="3104997" y="484645"/>
                                </a:lnTo>
                                <a:lnTo>
                                  <a:pt x="0" y="484645"/>
                                </a:lnTo>
                                <a:lnTo>
                                  <a:pt x="0" y="0"/>
                                </a:lnTo>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3329" name="Shape 23329"/>
                        <wps:cNvSpPr/>
                        <wps:spPr>
                          <a:xfrm>
                            <a:off x="3365995" y="2812910"/>
                            <a:ext cx="3104997" cy="484645"/>
                          </a:xfrm>
                          <a:custGeom>
                            <a:avLst/>
                            <a:gdLst/>
                            <a:ahLst/>
                            <a:cxnLst/>
                            <a:rect l="0" t="0" r="0" b="0"/>
                            <a:pathLst>
                              <a:path w="3104997" h="484645">
                                <a:moveTo>
                                  <a:pt x="0" y="484645"/>
                                </a:moveTo>
                                <a:lnTo>
                                  <a:pt x="3104997" y="484645"/>
                                </a:lnTo>
                                <a:lnTo>
                                  <a:pt x="3104997" y="0"/>
                                </a:lnTo>
                                <a:lnTo>
                                  <a:pt x="0" y="0"/>
                                </a:lnTo>
                                <a:close/>
                              </a:path>
                            </a:pathLst>
                          </a:custGeom>
                          <a:ln w="12598" cap="flat">
                            <a:miter lim="100000"/>
                          </a:ln>
                        </wps:spPr>
                        <wps:style>
                          <a:lnRef idx="1">
                            <a:srgbClr val="94C11E"/>
                          </a:lnRef>
                          <a:fillRef idx="0">
                            <a:srgbClr val="000000">
                              <a:alpha val="0"/>
                            </a:srgbClr>
                          </a:fillRef>
                          <a:effectRef idx="0">
                            <a:scrgbClr r="0" g="0" b="0"/>
                          </a:effectRef>
                          <a:fontRef idx="none"/>
                        </wps:style>
                        <wps:bodyPr/>
                      </wps:wsp>
                      <wps:wsp>
                        <wps:cNvPr id="23334" name="Shape 23334"/>
                        <wps:cNvSpPr/>
                        <wps:spPr>
                          <a:xfrm>
                            <a:off x="0" y="3912603"/>
                            <a:ext cx="3104998" cy="341999"/>
                          </a:xfrm>
                          <a:custGeom>
                            <a:avLst/>
                            <a:gdLst/>
                            <a:ahLst/>
                            <a:cxnLst/>
                            <a:rect l="0" t="0" r="0" b="0"/>
                            <a:pathLst>
                              <a:path w="3104998" h="341999">
                                <a:moveTo>
                                  <a:pt x="0" y="341999"/>
                                </a:moveTo>
                                <a:lnTo>
                                  <a:pt x="3104998" y="341999"/>
                                </a:lnTo>
                                <a:lnTo>
                                  <a:pt x="3104998" y="0"/>
                                </a:lnTo>
                                <a:lnTo>
                                  <a:pt x="0" y="0"/>
                                </a:lnTo>
                                <a:close/>
                              </a:path>
                            </a:pathLst>
                          </a:custGeom>
                          <a:ln w="12598" cap="flat">
                            <a:miter lim="100000"/>
                          </a:ln>
                        </wps:spPr>
                        <wps:style>
                          <a:lnRef idx="1">
                            <a:srgbClr val="94C11E"/>
                          </a:lnRef>
                          <a:fillRef idx="0">
                            <a:srgbClr val="000000">
                              <a:alpha val="0"/>
                            </a:srgbClr>
                          </a:fillRef>
                          <a:effectRef idx="0">
                            <a:scrgbClr r="0" g="0" b="0"/>
                          </a:effectRef>
                          <a:fontRef idx="none"/>
                        </wps:style>
                        <wps:bodyPr/>
                      </wps:wsp>
                      <wps:wsp>
                        <wps:cNvPr id="380772" name="Shape 380772"/>
                        <wps:cNvSpPr/>
                        <wps:spPr>
                          <a:xfrm>
                            <a:off x="3365995" y="1027252"/>
                            <a:ext cx="3104997" cy="1163396"/>
                          </a:xfrm>
                          <a:custGeom>
                            <a:avLst/>
                            <a:gdLst/>
                            <a:ahLst/>
                            <a:cxnLst/>
                            <a:rect l="0" t="0" r="0" b="0"/>
                            <a:pathLst>
                              <a:path w="3104997" h="1163396">
                                <a:moveTo>
                                  <a:pt x="0" y="0"/>
                                </a:moveTo>
                                <a:lnTo>
                                  <a:pt x="3104997" y="0"/>
                                </a:lnTo>
                                <a:lnTo>
                                  <a:pt x="3104997" y="1163396"/>
                                </a:lnTo>
                                <a:lnTo>
                                  <a:pt x="0" y="1163396"/>
                                </a:lnTo>
                                <a:lnTo>
                                  <a:pt x="0" y="0"/>
                                </a:lnTo>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3350" name="Shape 23350"/>
                        <wps:cNvSpPr/>
                        <wps:spPr>
                          <a:xfrm>
                            <a:off x="3365995" y="1027252"/>
                            <a:ext cx="3104997" cy="1163396"/>
                          </a:xfrm>
                          <a:custGeom>
                            <a:avLst/>
                            <a:gdLst/>
                            <a:ahLst/>
                            <a:cxnLst/>
                            <a:rect l="0" t="0" r="0" b="0"/>
                            <a:pathLst>
                              <a:path w="3104997" h="1163396">
                                <a:moveTo>
                                  <a:pt x="0" y="1163396"/>
                                </a:moveTo>
                                <a:lnTo>
                                  <a:pt x="3104997" y="1163396"/>
                                </a:lnTo>
                                <a:lnTo>
                                  <a:pt x="3104997" y="0"/>
                                </a:lnTo>
                                <a:lnTo>
                                  <a:pt x="0" y="0"/>
                                </a:lnTo>
                                <a:close/>
                              </a:path>
                            </a:pathLst>
                          </a:custGeom>
                          <a:ln w="12598" cap="flat">
                            <a:miter lim="100000"/>
                          </a:ln>
                        </wps:spPr>
                        <wps:style>
                          <a:lnRef idx="1">
                            <a:srgbClr val="94C11E"/>
                          </a:lnRef>
                          <a:fillRef idx="0">
                            <a:srgbClr val="000000">
                              <a:alpha val="0"/>
                            </a:srgbClr>
                          </a:fillRef>
                          <a:effectRef idx="0">
                            <a:scrgbClr r="0" g="0" b="0"/>
                          </a:effectRef>
                          <a:fontRef idx="none"/>
                        </wps:style>
                        <wps:bodyPr/>
                      </wps:wsp>
                      <wps:wsp>
                        <wps:cNvPr id="380773" name="Shape 380773"/>
                        <wps:cNvSpPr/>
                        <wps:spPr>
                          <a:xfrm>
                            <a:off x="0" y="2399703"/>
                            <a:ext cx="3104998" cy="200546"/>
                          </a:xfrm>
                          <a:custGeom>
                            <a:avLst/>
                            <a:gdLst/>
                            <a:ahLst/>
                            <a:cxnLst/>
                            <a:rect l="0" t="0" r="0" b="0"/>
                            <a:pathLst>
                              <a:path w="3104998" h="200546">
                                <a:moveTo>
                                  <a:pt x="0" y="0"/>
                                </a:moveTo>
                                <a:lnTo>
                                  <a:pt x="3104998" y="0"/>
                                </a:lnTo>
                                <a:lnTo>
                                  <a:pt x="3104998" y="200546"/>
                                </a:lnTo>
                                <a:lnTo>
                                  <a:pt x="0" y="200546"/>
                                </a:lnTo>
                                <a:lnTo>
                                  <a:pt x="0" y="0"/>
                                </a:lnTo>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3353" name="Shape 23353"/>
                        <wps:cNvSpPr/>
                        <wps:spPr>
                          <a:xfrm>
                            <a:off x="0" y="2399703"/>
                            <a:ext cx="3104998" cy="200546"/>
                          </a:xfrm>
                          <a:custGeom>
                            <a:avLst/>
                            <a:gdLst/>
                            <a:ahLst/>
                            <a:cxnLst/>
                            <a:rect l="0" t="0" r="0" b="0"/>
                            <a:pathLst>
                              <a:path w="3104998" h="200546">
                                <a:moveTo>
                                  <a:pt x="0" y="200546"/>
                                </a:moveTo>
                                <a:lnTo>
                                  <a:pt x="3104998" y="200546"/>
                                </a:lnTo>
                                <a:lnTo>
                                  <a:pt x="3104998" y="0"/>
                                </a:lnTo>
                                <a:lnTo>
                                  <a:pt x="0" y="0"/>
                                </a:lnTo>
                                <a:close/>
                              </a:path>
                            </a:pathLst>
                          </a:custGeom>
                          <a:ln w="12598" cap="flat">
                            <a:miter lim="100000"/>
                          </a:ln>
                        </wps:spPr>
                        <wps:style>
                          <a:lnRef idx="1">
                            <a:srgbClr val="009EE3"/>
                          </a:lnRef>
                          <a:fillRef idx="0">
                            <a:srgbClr val="000000">
                              <a:alpha val="0"/>
                            </a:srgbClr>
                          </a:fillRef>
                          <a:effectRef idx="0">
                            <a:scrgbClr r="0" g="0" b="0"/>
                          </a:effectRef>
                          <a:fontRef idx="none"/>
                        </wps:style>
                        <wps:bodyPr/>
                      </wps:wsp>
                      <wps:wsp>
                        <wps:cNvPr id="380774" name="Shape 380774"/>
                        <wps:cNvSpPr/>
                        <wps:spPr>
                          <a:xfrm>
                            <a:off x="3365995" y="2399703"/>
                            <a:ext cx="3104997" cy="200546"/>
                          </a:xfrm>
                          <a:custGeom>
                            <a:avLst/>
                            <a:gdLst/>
                            <a:ahLst/>
                            <a:cxnLst/>
                            <a:rect l="0" t="0" r="0" b="0"/>
                            <a:pathLst>
                              <a:path w="3104997" h="200546">
                                <a:moveTo>
                                  <a:pt x="0" y="0"/>
                                </a:moveTo>
                                <a:lnTo>
                                  <a:pt x="3104997" y="0"/>
                                </a:lnTo>
                                <a:lnTo>
                                  <a:pt x="3104997" y="200546"/>
                                </a:lnTo>
                                <a:lnTo>
                                  <a:pt x="0" y="200546"/>
                                </a:lnTo>
                                <a:lnTo>
                                  <a:pt x="0" y="0"/>
                                </a:lnTo>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3356" name="Shape 23356"/>
                        <wps:cNvSpPr/>
                        <wps:spPr>
                          <a:xfrm>
                            <a:off x="3365995" y="2399703"/>
                            <a:ext cx="3104997" cy="200546"/>
                          </a:xfrm>
                          <a:custGeom>
                            <a:avLst/>
                            <a:gdLst/>
                            <a:ahLst/>
                            <a:cxnLst/>
                            <a:rect l="0" t="0" r="0" b="0"/>
                            <a:pathLst>
                              <a:path w="3104997" h="200546">
                                <a:moveTo>
                                  <a:pt x="0" y="200546"/>
                                </a:moveTo>
                                <a:lnTo>
                                  <a:pt x="3104997" y="200546"/>
                                </a:lnTo>
                                <a:lnTo>
                                  <a:pt x="3104997" y="0"/>
                                </a:lnTo>
                                <a:lnTo>
                                  <a:pt x="0" y="0"/>
                                </a:lnTo>
                                <a:close/>
                              </a:path>
                            </a:pathLst>
                          </a:custGeom>
                          <a:ln w="12598" cap="flat">
                            <a:miter lim="100000"/>
                          </a:ln>
                        </wps:spPr>
                        <wps:style>
                          <a:lnRef idx="1">
                            <a:srgbClr val="009EE3"/>
                          </a:lnRef>
                          <a:fillRef idx="0">
                            <a:srgbClr val="000000">
                              <a:alpha val="0"/>
                            </a:srgbClr>
                          </a:fillRef>
                          <a:effectRef idx="0">
                            <a:scrgbClr r="0" g="0" b="0"/>
                          </a:effectRef>
                          <a:fontRef idx="none"/>
                        </wps:style>
                        <wps:bodyPr/>
                      </wps:wsp>
                      <wps:wsp>
                        <wps:cNvPr id="380775" name="Shape 380775"/>
                        <wps:cNvSpPr/>
                        <wps:spPr>
                          <a:xfrm>
                            <a:off x="0" y="3503003"/>
                            <a:ext cx="3104998" cy="200546"/>
                          </a:xfrm>
                          <a:custGeom>
                            <a:avLst/>
                            <a:gdLst/>
                            <a:ahLst/>
                            <a:cxnLst/>
                            <a:rect l="0" t="0" r="0" b="0"/>
                            <a:pathLst>
                              <a:path w="3104998" h="200546">
                                <a:moveTo>
                                  <a:pt x="0" y="0"/>
                                </a:moveTo>
                                <a:lnTo>
                                  <a:pt x="3104998" y="0"/>
                                </a:lnTo>
                                <a:lnTo>
                                  <a:pt x="3104998" y="200546"/>
                                </a:lnTo>
                                <a:lnTo>
                                  <a:pt x="0" y="200546"/>
                                </a:lnTo>
                                <a:lnTo>
                                  <a:pt x="0" y="0"/>
                                </a:lnTo>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23359" name="Shape 23359"/>
                        <wps:cNvSpPr/>
                        <wps:spPr>
                          <a:xfrm>
                            <a:off x="0" y="3503003"/>
                            <a:ext cx="3104998" cy="200546"/>
                          </a:xfrm>
                          <a:custGeom>
                            <a:avLst/>
                            <a:gdLst/>
                            <a:ahLst/>
                            <a:cxnLst/>
                            <a:rect l="0" t="0" r="0" b="0"/>
                            <a:pathLst>
                              <a:path w="3104998" h="200546">
                                <a:moveTo>
                                  <a:pt x="0" y="200546"/>
                                </a:moveTo>
                                <a:lnTo>
                                  <a:pt x="3104998" y="200546"/>
                                </a:lnTo>
                                <a:lnTo>
                                  <a:pt x="3104998" y="0"/>
                                </a:lnTo>
                                <a:lnTo>
                                  <a:pt x="0" y="0"/>
                                </a:lnTo>
                                <a:close/>
                              </a:path>
                            </a:pathLst>
                          </a:custGeom>
                          <a:ln w="12598" cap="flat">
                            <a:miter lim="100000"/>
                          </a:ln>
                        </wps:spPr>
                        <wps:style>
                          <a:lnRef idx="1">
                            <a:srgbClr val="009EE3"/>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08223" style="width:509.527pt;height:335.008pt;position:absolute;z-index:-2147483580;mso-position-horizontal-relative:text;mso-position-horizontal:absolute;margin-left:0.532997pt;mso-position-vertical-relative:text;margin-top:-222.66pt;" coordsize="64709,42546">
                <v:shape id="Shape 23276" style="position:absolute;width:0;height:5427;left:15434;top:4144;" coordsize="0,542722" path="m0,0l0,542722">
                  <v:stroke weight="0.709pt" endcap="flat" joinstyle="miter" miterlimit="4" on="true" color="#000000"/>
                  <v:fill on="false" color="#000000" opacity="0"/>
                </v:shape>
                <v:shape id="Shape 23277" style="position:absolute;width:611;height:839;left:15129;top:9371;" coordsize="61113,83934" path="m0,0l30556,20041l61113,0l30556,83934l0,0x">
                  <v:stroke weight="0pt" endcap="flat" joinstyle="miter" miterlimit="4" on="false" color="#000000" opacity="0"/>
                  <v:fill on="true" color="#000000"/>
                </v:shape>
                <v:shape id="Shape 23278" style="position:absolute;width:0;height:1476;left:15434;top:21819;" coordsize="0,147638" path="m0,0l0,147638">
                  <v:stroke weight="0.709pt" endcap="flat" joinstyle="miter" miterlimit="4" on="true" color="#000000"/>
                  <v:fill on="false" color="#000000" opacity="0"/>
                </v:shape>
                <v:shape id="Shape 23279" style="position:absolute;width:611;height:839;left:15129;top:23095;" coordsize="61113,83934" path="m0,0l30556,20041l61113,0l30556,83934l0,0x">
                  <v:stroke weight="0pt" endcap="flat" joinstyle="miter" miterlimit="4" on="false" color="#000000" opacity="0"/>
                  <v:fill on="true" color="#000000"/>
                </v:shape>
                <v:shape id="Shape 23280" style="position:absolute;width:0;height:1476;left:49184;top:21819;" coordsize="0,147638" path="m0,0l0,147638">
                  <v:stroke weight="0.709pt" endcap="flat" joinstyle="miter" miterlimit="4" on="true" color="#000000"/>
                  <v:fill on="false" color="#000000" opacity="0"/>
                </v:shape>
                <v:shape id="Shape 23281" style="position:absolute;width:611;height:839;left:48879;top:23095;" coordsize="61113,83934" path="m0,0l30556,20041l61113,0l30556,83934l0,0x">
                  <v:stroke weight="0pt" endcap="flat" joinstyle="miter" miterlimit="4" on="false" color="#000000" opacity="0"/>
                  <v:fill on="true" color="#000000"/>
                </v:shape>
                <v:shape id="Shape 23282" style="position:absolute;width:0;height:5427;left:49184;top:4124;" coordsize="0,542722" path="m0,0l0,542722">
                  <v:stroke weight="0.709pt" endcap="flat" joinstyle="miter" miterlimit="4" on="true" color="#000000"/>
                  <v:fill on="false" color="#000000" opacity="0"/>
                </v:shape>
                <v:shape id="Shape 23283" style="position:absolute;width:611;height:839;left:48879;top:9351;" coordsize="61113,83934" path="m0,0l30556,20041l61113,0l30556,83934l0,0x">
                  <v:stroke weight="0pt" endcap="flat" joinstyle="miter" miterlimit="4" on="false" color="#000000" opacity="0"/>
                  <v:fill on="true" color="#000000"/>
                </v:shape>
                <v:shape id="Shape 23284" style="position:absolute;width:0;height:1504;left:15434;top:25887;" coordsize="0,150419" path="m0,0l0,150419">
                  <v:stroke weight="0.709pt" endcap="flat" joinstyle="miter" miterlimit="4" on="true" color="#000000"/>
                  <v:fill on="false" color="#000000" opacity="0"/>
                </v:shape>
                <v:shape id="Shape 23285" style="position:absolute;width:611;height:839;left:15129;top:27191;" coordsize="61113,83934" path="m0,0l30556,20041l61113,0l30556,83934l0,0x">
                  <v:stroke weight="0pt" endcap="flat" joinstyle="miter" miterlimit="4" on="false" color="#000000" opacity="0"/>
                  <v:fill on="true" color="#000000"/>
                </v:shape>
                <v:shape id="Shape 23286" style="position:absolute;width:0;height:1504;left:49184;top:25887;" coordsize="0,150419" path="m0,0l0,150419">
                  <v:stroke weight="0.709pt" endcap="flat" joinstyle="miter" miterlimit="4" on="true" color="#000000"/>
                  <v:fill on="false" color="#000000" opacity="0"/>
                </v:shape>
                <v:shape id="Shape 23287" style="position:absolute;width:611;height:839;left:48879;top:27191;" coordsize="61113,83934" path="m0,0l30556,20041l61113,0l30556,83934l0,0x">
                  <v:stroke weight="0pt" endcap="flat" joinstyle="miter" miterlimit="4" on="false" color="#000000" opacity="0"/>
                  <v:fill on="true" color="#000000"/>
                </v:shape>
                <v:shape id="Shape 23288" style="position:absolute;width:17390;height:18942;left:31794;top:15747;" coordsize="1739037,1894281" path="m1739037,1698028l1739037,1894281l80035,1894281l80035,0l0,0">
                  <v:stroke weight="0.709pt" endcap="flat" joinstyle="miter" miterlimit="4" on="true" color="#000000"/>
                  <v:fill on="false" color="#000000" opacity="0"/>
                </v:shape>
                <v:shape id="Shape 23289" style="position:absolute;width:839;height:611;left:31154;top:15441;" coordsize="83972,61113" path="m83972,0l63957,30556l83972,61113l0,30556l83972,0x">
                  <v:stroke weight="0pt" endcap="flat" joinstyle="miter" miterlimit="4" on="false" color="#000000" opacity="0"/>
                  <v:fill on="true" color="#000000"/>
                </v:shape>
                <v:shape id="Shape 23290" style="position:absolute;width:0;height:1549;left:15434;top:32799;" coordsize="0,154978" path="m0,0l0,154978">
                  <v:stroke weight="0.709pt" endcap="flat" joinstyle="miter" miterlimit="4" on="true" color="#000000"/>
                  <v:fill on="false" color="#000000" opacity="0"/>
                </v:shape>
                <v:shape id="Shape 23291" style="position:absolute;width:611;height:841;left:15129;top:34148;" coordsize="61113,84138" path="m0,0l30556,20041l61113,0l30556,84138l0,0x">
                  <v:stroke weight="0pt" endcap="flat" joinstyle="miter" miterlimit="4" on="false" color="#000000" opacity="0"/>
                  <v:fill on="true" color="#000000"/>
                </v:shape>
                <v:shape id="Shape 23292" style="position:absolute;width:0;height:1700;left:15434;top:36724;" coordsize="0,170066" path="m0,0l0,170066">
                  <v:stroke weight="0.709pt" endcap="flat" joinstyle="miter" miterlimit="4" on="true" color="#000000"/>
                  <v:fill on="false" color="#000000" opacity="0"/>
                </v:shape>
                <v:shape id="Shape 23293" style="position:absolute;width:611;height:839;left:15129;top:38224;" coordsize="61113,83934" path="m0,0l30556,20041l61113,0l30556,83934l0,0x">
                  <v:stroke weight="0pt" endcap="flat" joinstyle="miter" miterlimit="4" on="false" color="#000000" opacity="0"/>
                  <v:fill on="true" color="#000000"/>
                </v:shape>
                <v:shape id="Shape 23297" style="position:absolute;width:31049;height:4085;left:0;top:0;" coordsize="3104998,408597" path="m0,408597l3104998,408597l3104998,0l0,0x">
                  <v:stroke weight="0.992pt" endcap="flat" joinstyle="miter" miterlimit="4" on="true" color="#c51a1b"/>
                  <v:fill on="false" color="#000000" opacity="0"/>
                </v:shape>
                <v:shape id="Shape 23301" style="position:absolute;width:31049;height:4085;left:33659;top:0;" coordsize="3104997,408597" path="m0,408597l3104997,408597l3104997,0l0,0x">
                  <v:stroke weight="0.992pt" endcap="flat" joinstyle="miter" miterlimit="4" on="true" color="#c51a1b"/>
                  <v:fill on="false" color="#000000" opacity="0"/>
                </v:shape>
                <v:shape id="Shape 380776" style="position:absolute;width:36624;height:2005;left:14280;top:6176;" coordsize="3662464,200546" path="m0,0l3662464,0l3662464,200546l0,200546l0,0">
                  <v:stroke weight="0pt" endcap="flat" joinstyle="miter" miterlimit="4" on="false" color="#000000" opacity="0"/>
                  <v:fill on="true" color="#ffffff"/>
                </v:shape>
                <v:shape id="Shape 23304" style="position:absolute;width:36624;height:2005;left:14280;top:6176;" coordsize="3662464,200546" path="m0,200546l3662464,200546l3662464,0l0,0x">
                  <v:stroke weight="0.992pt" endcap="flat" joinstyle="miter" miterlimit="4" on="true" color="#94c11e"/>
                  <v:fill on="false" color="#000000" opacity="0"/>
                </v:shape>
                <v:shape id="Shape 380777" style="position:absolute;width:31049;height:11633;left:0;top:10272;" coordsize="3104998,1163396" path="m0,0l3104998,0l3104998,1163396l0,1163396l0,0">
                  <v:stroke weight="0pt" endcap="flat" joinstyle="miter" miterlimit="4" on="false" color="#000000" opacity="0"/>
                  <v:fill on="true" color="#ffffff"/>
                </v:shape>
                <v:shape id="Shape 23316" style="position:absolute;width:31049;height:11633;left:0;top:10272;" coordsize="3104998,1163396" path="m0,1163396l3104998,1163396l3104998,0l0,0x">
                  <v:stroke weight="0.992pt" endcap="flat" joinstyle="miter" miterlimit="4" on="true" color="#94c11e"/>
                  <v:fill on="false" color="#000000" opacity="0"/>
                </v:shape>
                <v:shape id="Shape 380778" style="position:absolute;width:31049;height:4846;left:0;top:28093;" coordsize="3104998,484645" path="m0,0l3104998,0l3104998,484645l0,484645l0,0">
                  <v:stroke weight="0pt" endcap="flat" joinstyle="miter" miterlimit="4" on="false" color="#000000" opacity="0"/>
                  <v:fill on="true" color="#ffffff"/>
                </v:shape>
                <v:shape id="Shape 23323" style="position:absolute;width:31049;height:4846;left:0;top:28093;" coordsize="3104998,484645" path="m0,484645l3104998,484645l3104998,0l0,0x">
                  <v:stroke weight="0.992pt" endcap="flat" joinstyle="miter" miterlimit="4" on="true" color="#94c11e"/>
                  <v:fill on="false" color="#000000" opacity="0"/>
                </v:shape>
                <v:shape id="Shape 380779" style="position:absolute;width:31049;height:4846;left:33659;top:28129;" coordsize="3104997,484645" path="m0,0l3104997,0l3104997,484645l0,484645l0,0">
                  <v:stroke weight="0pt" endcap="flat" joinstyle="miter" miterlimit="4" on="false" color="#000000" opacity="0"/>
                  <v:fill on="true" color="#ffffff"/>
                </v:shape>
                <v:shape id="Shape 23329" style="position:absolute;width:31049;height:4846;left:33659;top:28129;" coordsize="3104997,484645" path="m0,484645l3104997,484645l3104997,0l0,0x">
                  <v:stroke weight="0.992pt" endcap="flat" joinstyle="miter" miterlimit="4" on="true" color="#94c11e"/>
                  <v:fill on="false" color="#000000" opacity="0"/>
                </v:shape>
                <v:shape id="Shape 23334" style="position:absolute;width:31049;height:3419;left:0;top:39126;" coordsize="3104998,341999" path="m0,341999l3104998,341999l3104998,0l0,0x">
                  <v:stroke weight="0.992pt" endcap="flat" joinstyle="miter" miterlimit="4" on="true" color="#94c11e"/>
                  <v:fill on="false" color="#000000" opacity="0"/>
                </v:shape>
                <v:shape id="Shape 380780" style="position:absolute;width:31049;height:11633;left:33659;top:10272;" coordsize="3104997,1163396" path="m0,0l3104997,0l3104997,1163396l0,1163396l0,0">
                  <v:stroke weight="0pt" endcap="flat" joinstyle="miter" miterlimit="4" on="false" color="#000000" opacity="0"/>
                  <v:fill on="true" color="#ffffff"/>
                </v:shape>
                <v:shape id="Shape 23350" style="position:absolute;width:31049;height:11633;left:33659;top:10272;" coordsize="3104997,1163396" path="m0,1163396l3104997,1163396l3104997,0l0,0x">
                  <v:stroke weight="0.992pt" endcap="flat" joinstyle="miter" miterlimit="4" on="true" color="#94c11e"/>
                  <v:fill on="false" color="#000000" opacity="0"/>
                </v:shape>
                <v:shape id="Shape 380781" style="position:absolute;width:31049;height:2005;left:0;top:23997;" coordsize="3104998,200546" path="m0,0l3104998,0l3104998,200546l0,200546l0,0">
                  <v:stroke weight="0pt" endcap="flat" joinstyle="miter" miterlimit="4" on="false" color="#000000" opacity="0"/>
                  <v:fill on="true" color="#ffffff"/>
                </v:shape>
                <v:shape id="Shape 23353" style="position:absolute;width:31049;height:2005;left:0;top:23997;" coordsize="3104998,200546" path="m0,200546l3104998,200546l3104998,0l0,0x">
                  <v:stroke weight="0.992pt" endcap="flat" joinstyle="miter" miterlimit="4" on="true" color="#009ee3"/>
                  <v:fill on="false" color="#000000" opacity="0"/>
                </v:shape>
                <v:shape id="Shape 380782" style="position:absolute;width:31049;height:2005;left:33659;top:23997;" coordsize="3104997,200546" path="m0,0l3104997,0l3104997,200546l0,200546l0,0">
                  <v:stroke weight="0pt" endcap="flat" joinstyle="miter" miterlimit="4" on="false" color="#000000" opacity="0"/>
                  <v:fill on="true" color="#ffffff"/>
                </v:shape>
                <v:shape id="Shape 23356" style="position:absolute;width:31049;height:2005;left:33659;top:23997;" coordsize="3104997,200546" path="m0,200546l3104997,200546l3104997,0l0,0x">
                  <v:stroke weight="0.992pt" endcap="flat" joinstyle="miter" miterlimit="4" on="true" color="#009ee3"/>
                  <v:fill on="false" color="#000000" opacity="0"/>
                </v:shape>
                <v:shape id="Shape 380783" style="position:absolute;width:31049;height:2005;left:0;top:35030;" coordsize="3104998,200546" path="m0,0l3104998,0l3104998,200546l0,200546l0,0">
                  <v:stroke weight="0pt" endcap="flat" joinstyle="miter" miterlimit="4" on="false" color="#000000" opacity="0"/>
                  <v:fill on="true" color="#ffffff"/>
                </v:shape>
                <v:shape id="Shape 23359" style="position:absolute;width:31049;height:2005;left:0;top:35030;" coordsize="3104998,200546" path="m0,200546l3104998,200546l3104998,0l0,0x">
                  <v:stroke weight="0.992pt" endcap="flat" joinstyle="miter" miterlimit="4" on="true" color="#009ee3"/>
                  <v:fill on="false" color="#000000" opacity="0"/>
                </v:shape>
              </v:group>
            </w:pict>
          </mc:Fallback>
        </mc:AlternateContent>
      </w:r>
      <w:r>
        <w:t xml:space="preserve">Добавить инсулин длительного действия и его </w:t>
      </w:r>
      <w:r>
        <w:tab/>
        <w:t>• Снижение дозы инсулина длительного действия аналоги для инъекционного введения до 1,5 ЕД/кг</w:t>
      </w:r>
      <w:r>
        <w:tab/>
        <w:t xml:space="preserve">и его аналогов для инъекционного введения </w:t>
      </w:r>
    </w:p>
    <w:p w:rsidR="00D27BC6" w:rsidRDefault="004D5071">
      <w:pPr>
        <w:numPr>
          <w:ilvl w:val="0"/>
          <w:numId w:val="151"/>
        </w:numPr>
        <w:spacing w:after="375"/>
        <w:ind w:right="0" w:hanging="170"/>
      </w:pPr>
      <w:r>
        <w:t>Рассмотреть Лираглутид</w:t>
      </w:r>
      <w:r>
        <w:tab/>
        <w:t>на 30–50% при каждой</w:t>
      </w:r>
      <w:r>
        <w:t xml:space="preserve"> титрации метформина**</w:t>
      </w:r>
    </w:p>
    <w:p w:rsidR="00D27BC6" w:rsidRDefault="004D5071">
      <w:pPr>
        <w:spacing w:after="382"/>
        <w:ind w:left="788" w:right="0"/>
      </w:pPr>
      <w:r>
        <w:rPr>
          <w:b/>
        </w:rPr>
        <w:t>HbA1c выше целевого уровня (&gt;7%)</w:t>
      </w:r>
    </w:p>
    <w:p w:rsidR="00D27BC6" w:rsidRDefault="004D5071">
      <w:pPr>
        <w:numPr>
          <w:ilvl w:val="0"/>
          <w:numId w:val="151"/>
        </w:numPr>
        <w:spacing w:after="397"/>
        <w:ind w:right="0" w:hanging="170"/>
      </w:pPr>
      <w:r>
        <w:t>Добавить инсулин короткого действия и его аналоги для инъекционного введения</w:t>
      </w:r>
    </w:p>
    <w:p w:rsidR="00D27BC6" w:rsidRDefault="004D5071">
      <w:pPr>
        <w:pStyle w:val="Heading3"/>
        <w:ind w:left="162" w:right="152"/>
      </w:pPr>
      <w:r>
        <w:t>Мониторинг углеводного обмена</w:t>
      </w:r>
    </w:p>
    <w:p w:rsidR="00D27BC6" w:rsidRDefault="004D5071">
      <w:pPr>
        <w:numPr>
          <w:ilvl w:val="0"/>
          <w:numId w:val="152"/>
        </w:numPr>
        <w:ind w:right="0" w:hanging="283"/>
      </w:pPr>
      <w:r>
        <w:t>Самоконтроль гликемии должен включать определение уровня ГП как натощак, так и постпрандиально, а частота определения зависит от вида сахароснижающей терапии и степени достижения целевого уровня гликемического контроля:</w:t>
      </w:r>
    </w:p>
    <w:p w:rsidR="00D27BC6" w:rsidRDefault="004D5071">
      <w:pPr>
        <w:numPr>
          <w:ilvl w:val="1"/>
          <w:numId w:val="152"/>
        </w:numPr>
        <w:ind w:left="567" w:right="0" w:hanging="283"/>
      </w:pPr>
      <w:r>
        <w:t>на интенсифицированной инсулинотерапии: не менее 6 раз в сутки;</w:t>
      </w:r>
    </w:p>
    <w:p w:rsidR="00D27BC6" w:rsidRDefault="004D5071">
      <w:pPr>
        <w:numPr>
          <w:ilvl w:val="1"/>
          <w:numId w:val="152"/>
        </w:numPr>
        <w:ind w:left="567" w:right="0" w:hanging="283"/>
      </w:pPr>
      <w:r>
        <w:t xml:space="preserve">на пероральной сахароснижающей терапии и/или базальном инсулине: не реже 3–4 раз в неделю у детей на монотерапии метформином. При целевом уровне гликированного гемоглобина на фоне монотерапии </w:t>
      </w:r>
      <w:r>
        <w:t>метформином обычно достаточно нескольких измерений гликемии в течение недели: натощак и постпрандиально;</w:t>
      </w:r>
    </w:p>
    <w:p w:rsidR="00D27BC6" w:rsidRDefault="004D5071">
      <w:pPr>
        <w:numPr>
          <w:ilvl w:val="1"/>
          <w:numId w:val="152"/>
        </w:numPr>
        <w:ind w:left="567" w:right="0" w:hanging="283"/>
      </w:pPr>
      <w:r>
        <w:t>количество исследований может увеличиваться у пациентов с недостижением целевых уровней гликемического контроля, при стрессах, интеркуррентных заболева</w:t>
      </w:r>
      <w:r>
        <w:t>ниях и физических нагрузках.</w:t>
      </w:r>
    </w:p>
    <w:p w:rsidR="00D27BC6" w:rsidRDefault="004D5071">
      <w:pPr>
        <w:numPr>
          <w:ilvl w:val="0"/>
          <w:numId w:val="152"/>
        </w:numPr>
        <w:ind w:right="0" w:hanging="283"/>
      </w:pPr>
      <w:r>
        <w:t>Уровень HbA1c определяется минимум 1 раз в 3 мес.</w:t>
      </w:r>
    </w:p>
    <w:p w:rsidR="00D27BC6" w:rsidRDefault="004D5071">
      <w:pPr>
        <w:pStyle w:val="Heading3"/>
        <w:ind w:left="162" w:right="152"/>
      </w:pPr>
      <w:r>
        <w:t>Тестирование на сопутствующие заболевания и осложнения</w:t>
      </w:r>
    </w:p>
    <w:p w:rsidR="00D27BC6" w:rsidRDefault="004D5071">
      <w:pPr>
        <w:numPr>
          <w:ilvl w:val="0"/>
          <w:numId w:val="153"/>
        </w:numPr>
        <w:ind w:right="0" w:hanging="283"/>
      </w:pPr>
      <w:r>
        <w:t>Исследование микро- и макроальбуминурии, консультация окулиста, невролога, диагностика неалкогольной жировой дистрофии печ</w:t>
      </w:r>
      <w:r>
        <w:t>ени – при установлении диагноза и впоследствии ежегодно.</w:t>
      </w:r>
    </w:p>
    <w:p w:rsidR="00D27BC6" w:rsidRDefault="004D5071">
      <w:pPr>
        <w:numPr>
          <w:ilvl w:val="0"/>
          <w:numId w:val="153"/>
        </w:numPr>
        <w:ind w:right="0" w:hanging="283"/>
      </w:pPr>
      <w:r>
        <w:t>Контроль АД – при установлении диагноза артериальной гипертензии и при каждом последующем визите.</w:t>
      </w:r>
    </w:p>
    <w:p w:rsidR="00D27BC6" w:rsidRDefault="004D5071">
      <w:pPr>
        <w:numPr>
          <w:ilvl w:val="0"/>
          <w:numId w:val="153"/>
        </w:numPr>
        <w:ind w:right="0" w:hanging="283"/>
      </w:pPr>
      <w:r>
        <w:t>Дислипидемия исследуется при установлении диагноза, скрининг проводится после стабилизации метаболиче</w:t>
      </w:r>
      <w:r>
        <w:t>ских показателей.</w:t>
      </w:r>
    </w:p>
    <w:p w:rsidR="00D27BC6" w:rsidRDefault="004D5071">
      <w:pPr>
        <w:numPr>
          <w:ilvl w:val="0"/>
          <w:numId w:val="153"/>
        </w:numPr>
        <w:spacing w:after="230"/>
        <w:ind w:right="0" w:hanging="283"/>
      </w:pPr>
      <w:r>
        <w:t>Анализ полового созревания, менструальных нарушений и наличия обструктивного апноэ во сне – в пубертатном возрасте и регулярно впоследствии.</w:t>
      </w:r>
    </w:p>
    <w:p w:rsidR="00D27BC6" w:rsidRDefault="004D5071">
      <w:pPr>
        <w:spacing w:after="10"/>
        <w:ind w:left="162" w:right="152"/>
        <w:jc w:val="center"/>
      </w:pPr>
      <w:r>
        <w:rPr>
          <w:b/>
          <w:color w:val="1E5D99"/>
        </w:rPr>
        <w:t xml:space="preserve">Моногенные формы СД </w:t>
      </w:r>
    </w:p>
    <w:p w:rsidR="00D27BC6" w:rsidRDefault="004D5071">
      <w:pPr>
        <w:pStyle w:val="Heading3"/>
        <w:ind w:left="162" w:right="152"/>
      </w:pPr>
      <w:r>
        <w:t>СД зрелого типа у молодых (Maturity-Onset Diabetes of the Young, MODY)</w:t>
      </w:r>
    </w:p>
    <w:p w:rsidR="00D27BC6" w:rsidRDefault="004D5071">
      <w:pPr>
        <w:spacing w:after="230"/>
        <w:ind w:left="-11" w:right="0" w:firstLine="283"/>
      </w:pPr>
      <w:r>
        <w:t xml:space="preserve">MODY </w:t>
      </w:r>
      <w:r>
        <w:t>представляет собой гетерогенную группу нарушений углеводного обмена, обусловленную гетерозиготными мутациями различных генов, ассоциированных с секрецией и/или действием инсулина, закладкой и развитием поджелудочной железы. MODY характеризуется ранним нача</w:t>
      </w:r>
      <w:r>
        <w:t>лом, аутосомно-доминантным типом наследования, в большинстве случаем мягким течением. К настоящему времени идентифицировано более 14 генов MODY, которые не описывают все случаи, клинически похожие на MODY. Таким образом, существуют еще неизвестные гены, пр</w:t>
      </w:r>
      <w:r>
        <w:t xml:space="preserve">иводящие к развитию MODY, и их еще предстоит идентифицировать. Мутации в генах </w:t>
      </w:r>
      <w:r>
        <w:rPr>
          <w:i/>
        </w:rPr>
        <w:t>GCK</w:t>
      </w:r>
      <w:r>
        <w:t xml:space="preserve"> (MODY2), </w:t>
      </w:r>
      <w:r>
        <w:rPr>
          <w:i/>
        </w:rPr>
        <w:t>HNF1A</w:t>
      </w:r>
      <w:r>
        <w:t xml:space="preserve"> (MODY3), </w:t>
      </w:r>
      <w:r>
        <w:rPr>
          <w:i/>
        </w:rPr>
        <w:t>HNF4A</w:t>
      </w:r>
      <w:r>
        <w:t xml:space="preserve"> (MODY1) являются наиболее частыми причинами MODY.</w:t>
      </w:r>
    </w:p>
    <w:p w:rsidR="00D27BC6" w:rsidRDefault="004D5071">
      <w:pPr>
        <w:ind w:left="281" w:right="51"/>
        <w:jc w:val="left"/>
      </w:pPr>
      <w:r>
        <w:rPr>
          <w:b/>
        </w:rPr>
        <w:t>Характеристики:</w:t>
      </w:r>
    </w:p>
    <w:p w:rsidR="00D27BC6" w:rsidRDefault="004D5071">
      <w:pPr>
        <w:numPr>
          <w:ilvl w:val="0"/>
          <w:numId w:val="154"/>
        </w:numPr>
        <w:ind w:right="0" w:hanging="283"/>
      </w:pPr>
      <w:r>
        <w:t>дисфункция β-клеток;</w:t>
      </w:r>
    </w:p>
    <w:p w:rsidR="00D27BC6" w:rsidRDefault="004D5071">
      <w:pPr>
        <w:numPr>
          <w:ilvl w:val="0"/>
          <w:numId w:val="154"/>
        </w:numPr>
        <w:ind w:right="0" w:hanging="283"/>
      </w:pPr>
      <w:r>
        <w:t>начало в молодом возрасте (до 25 лет);</w:t>
      </w:r>
    </w:p>
    <w:p w:rsidR="00D27BC6" w:rsidRDefault="004D5071">
      <w:pPr>
        <w:numPr>
          <w:ilvl w:val="0"/>
          <w:numId w:val="154"/>
        </w:numPr>
        <w:ind w:right="0" w:hanging="283"/>
      </w:pPr>
      <w:r>
        <w:t>аутосомно-доминантное наследование;</w:t>
      </w:r>
    </w:p>
    <w:p w:rsidR="00D27BC6" w:rsidRDefault="004D5071">
      <w:pPr>
        <w:numPr>
          <w:ilvl w:val="0"/>
          <w:numId w:val="154"/>
        </w:numPr>
        <w:ind w:right="0" w:hanging="283"/>
      </w:pPr>
      <w:r>
        <w:t>мягкое течение, не требующее инсулинотерапии или с небольшой потребностью в инсулине, в большинстве случаев высокая чувствительность к ПСМ;</w:t>
      </w:r>
    </w:p>
    <w:p w:rsidR="00D27BC6" w:rsidRDefault="004D5071">
      <w:pPr>
        <w:numPr>
          <w:ilvl w:val="0"/>
          <w:numId w:val="154"/>
        </w:numPr>
        <w:ind w:right="0" w:hanging="283"/>
      </w:pPr>
      <w:r>
        <w:t>отсутствии специфических островковых антител.</w:t>
      </w:r>
    </w:p>
    <w:p w:rsidR="00D27BC6" w:rsidRDefault="004D5071">
      <w:pPr>
        <w:numPr>
          <w:ilvl w:val="0"/>
          <w:numId w:val="154"/>
        </w:numPr>
        <w:spacing w:after="229"/>
        <w:ind w:right="0" w:hanging="283"/>
      </w:pPr>
      <w:r>
        <w:t>выделяют 14 подтипов MODY, различа</w:t>
      </w:r>
      <w:r>
        <w:t>ющихся клинически.</w:t>
      </w:r>
    </w:p>
    <w:p w:rsidR="00D27BC6" w:rsidRDefault="004D5071">
      <w:pPr>
        <w:ind w:left="281" w:right="51"/>
        <w:jc w:val="left"/>
      </w:pPr>
      <w:r>
        <w:rPr>
          <w:b/>
        </w:rPr>
        <w:t>MODY должен быть заподозрен у лиц с развитием СД до 25 лет и:</w:t>
      </w:r>
    </w:p>
    <w:p w:rsidR="00D27BC6" w:rsidRDefault="004D5071">
      <w:pPr>
        <w:numPr>
          <w:ilvl w:val="0"/>
          <w:numId w:val="154"/>
        </w:numPr>
        <w:ind w:right="0" w:hanging="283"/>
      </w:pPr>
      <w:r>
        <w:t>отсутствии специфичных для СД 1 типа аутоантител;</w:t>
      </w:r>
    </w:p>
    <w:p w:rsidR="00D27BC6" w:rsidRDefault="004D5071">
      <w:pPr>
        <w:numPr>
          <w:ilvl w:val="0"/>
          <w:numId w:val="154"/>
        </w:numPr>
        <w:ind w:right="0" w:hanging="283"/>
      </w:pPr>
      <w:r>
        <w:t>у не страдающих ожирением пациентов;</w:t>
      </w:r>
    </w:p>
    <w:p w:rsidR="00D27BC6" w:rsidRDefault="004D5071">
      <w:pPr>
        <w:numPr>
          <w:ilvl w:val="0"/>
          <w:numId w:val="154"/>
        </w:numPr>
        <w:ind w:right="0" w:hanging="283"/>
      </w:pPr>
      <w:r>
        <w:t>при непрогрессирующем течении СД, сохраненной секреции С-пептида или возможности обходит</w:t>
      </w:r>
      <w:r>
        <w:t>ься без инсулинотерапии при длительности диабета более 3–5 лет;</w:t>
      </w:r>
    </w:p>
    <w:p w:rsidR="00D27BC6" w:rsidRDefault="004D5071">
      <w:pPr>
        <w:numPr>
          <w:ilvl w:val="0"/>
          <w:numId w:val="154"/>
        </w:numPr>
        <w:spacing w:after="226"/>
        <w:ind w:right="0" w:hanging="283"/>
      </w:pPr>
      <w:r>
        <w:t>наличии СД у родственников 1 ст. родства или в трех поколениях.</w:t>
      </w:r>
    </w:p>
    <w:p w:rsidR="00D27BC6" w:rsidRDefault="004D5071">
      <w:pPr>
        <w:ind w:left="-11" w:right="0" w:firstLine="283"/>
      </w:pPr>
      <w:r>
        <w:rPr>
          <w:i/>
        </w:rPr>
        <w:t>GCK</w:t>
      </w:r>
      <w:r>
        <w:t>-MODY вызван гетерозиготной инактивирующей мутацией гена глюкокиназы, занимает первое по частоте место среди MODY в РФ. MODY2</w:t>
      </w:r>
      <w:r>
        <w:t xml:space="preserve"> – это непрогрессирущая доброкачественная гипергликемия, которая может диагностироваться с рождения, характеризуется небольшой гипергликемией натощак (5,5–8,5 ммоль/л), наблюдаемой в течение месяцев или лет, и небольшим приростом гликемии (чаще не более 3,</w:t>
      </w:r>
      <w:r>
        <w:t>5 ммоль/л) при проведении ПГТТ. В родословной может быть СД 2 типа, гестационного сахарного диабета либо случаи СД могут отсутствовать, однако при обследовании у одного из родителей может выявляться легкая гипергликемия натощак. Лечение: диеты достаточно д</w:t>
      </w:r>
      <w:r>
        <w:t>ля поддержания адекватного контроля углеводного обмена, сахароснижающая терапия, в том числе инсулин мало эффективны. Риск развития сосудистых осложнений низкий, даже при отсутствии лечения на протяжении всей жизни. Терапия может быть необходима во время б</w:t>
      </w:r>
      <w:r>
        <w:t xml:space="preserve">еременности в связи с возможным развитием диабетической фетопатии у плода. </w:t>
      </w:r>
    </w:p>
    <w:p w:rsidR="00D27BC6" w:rsidRDefault="004D5071">
      <w:pPr>
        <w:ind w:left="-11" w:right="0" w:firstLine="283"/>
      </w:pPr>
      <w:r>
        <w:t>MODY3 (HNF1α-MODY) – второй по частоте встречаемости в Российской популяции. Обусловлен мутацией гена ядерного фактора гепатоцитов 1α (HNF-1α). Возникает в возрасте 12–25 лет, хара</w:t>
      </w:r>
      <w:r>
        <w:t xml:space="preserve">ктеризуется прогрессирующим течением, хороший гликемический контроль достигается на малых дозах инсулина, определяемый уровень С-пептида (при гликемии не ниже 8 ммоль/л) после завершения периода ремиссии — через 3 года от манифестации. При проведении ПГТТ </w:t>
      </w:r>
      <w:r>
        <w:t>на ранних стадиях характерен подъем гликемии через 2 ч на более чем 5 ммоль/л. Наличие случаев СД в родословной, который может быть диагностирован у подростков или молодых взрослых, часто расценивается как СД 1 или 2 типа. Еще до развития нарушения углевод</w:t>
      </w:r>
      <w:r>
        <w:t>ного обмена у большинства пациентов отмечается глюкозурия в связи с низким почечным порогом. В отличие от MODY2, характерна высокая постпрандиальная гликемия и умеренное снижение секреции инсулина при нагрузке углеводами.</w:t>
      </w:r>
    </w:p>
    <w:p w:rsidR="00D27BC6" w:rsidRDefault="004D5071">
      <w:pPr>
        <w:ind w:left="-11" w:right="0" w:firstLine="283"/>
      </w:pPr>
      <w:r>
        <w:t>Лечение проводят сульфонилмочевинн</w:t>
      </w:r>
      <w:r>
        <w:t>ыми препаратами (например, гликлазид, 1 или 2 раза в сутки). Во избежание гипогликемии лечение начинают с небольших доз, составляющих 1/4 начальной дозы у взрослых с последующим подбором адекватной дозы. У пациентов с MODY3 терапия препаратами сульфонилмоч</w:t>
      </w:r>
      <w:r>
        <w:t>евины более эффективна, чем метформином и инсулином. По мере прогрессии заболевания может потребоваться назначение инсулина. Больные относятся к группе риска развития микро- и макрососудистых осложнений при недостаточной компенсации углеводного обмена.</w:t>
      </w:r>
    </w:p>
    <w:p w:rsidR="00D27BC6" w:rsidRDefault="004D5071">
      <w:pPr>
        <w:spacing w:after="230"/>
        <w:ind w:left="-11" w:right="0" w:firstLine="283"/>
      </w:pPr>
      <w:r>
        <w:t>Диф</w:t>
      </w:r>
      <w:r>
        <w:t>ференциальный диагноз между СД 1 и 2 типа, моногенным СД и другими формами СД имеет принципиальное значение для выбора соответствующего патогенетического метода терапии, особенностей обучения, прогноза течения заболевания. Диагностические инструменты, кото</w:t>
      </w:r>
      <w:r>
        <w:t>рые могут помочь в подтверждении типа СД, если диагноз неясен, включают в себя: ассоциированные с СД 1 типа аутоантитела: антитела к глутаматдекарбоксилазе (GADА); к тирозинфосфатазе (IA2); инсулиновые аутоантитела (IAA); и специфические для бета-клеток ау</w:t>
      </w:r>
      <w:r>
        <w:t>тоантитела к транспортеру 8 цинка (ZnT8А). Наличие одного из этих антител подтверждает диагноз СД 1 типа. Значение определения антител против островковых клеток (ICA) как в прогнозировании СД1, так и в дифференциальной диагностике с другими типами СД, с по</w:t>
      </w:r>
      <w:r>
        <w:t>явлением биохимических антител, снизилось, с учетом сложности стандартизации и выполнения исследования. Молекулярно-генетическое исследование может помочь в верификации диагноза и выборе метода терапии у детей, подозрительных на наличие моногенного СД.</w:t>
      </w:r>
    </w:p>
    <w:p w:rsidR="00D27BC6" w:rsidRDefault="004D5071">
      <w:pPr>
        <w:pStyle w:val="Heading3"/>
        <w:ind w:left="162" w:right="152"/>
      </w:pPr>
      <w:r>
        <w:t>Нео</w:t>
      </w:r>
      <w:r>
        <w:t>натальный СД (НСД)</w:t>
      </w:r>
    </w:p>
    <w:p w:rsidR="00D27BC6" w:rsidRDefault="004D5071">
      <w:pPr>
        <w:pBdr>
          <w:top w:val="single" w:sz="8" w:space="0" w:color="000000"/>
          <w:left w:val="single" w:sz="8" w:space="0" w:color="000000"/>
          <w:bottom w:val="single" w:sz="8" w:space="0" w:color="000000"/>
          <w:right w:val="single" w:sz="8" w:space="0" w:color="000000"/>
        </w:pBdr>
        <w:spacing w:after="244"/>
        <w:ind w:left="120" w:right="114"/>
      </w:pPr>
      <w:r>
        <w:t>СД, диагностируемый в первые 6 месяцев жизни. Характеризуется выраженной клинической и генетической гетерогенностью.</w:t>
      </w:r>
    </w:p>
    <w:p w:rsidR="00D27BC6" w:rsidRDefault="004D5071">
      <w:pPr>
        <w:ind w:left="281" w:right="51"/>
        <w:jc w:val="left"/>
      </w:pPr>
      <w:r>
        <w:rPr>
          <w:b/>
        </w:rPr>
        <w:t>Варианты НСД:</w:t>
      </w:r>
    </w:p>
    <w:p w:rsidR="00D27BC6" w:rsidRDefault="004D5071">
      <w:pPr>
        <w:numPr>
          <w:ilvl w:val="0"/>
          <w:numId w:val="155"/>
        </w:numPr>
        <w:ind w:right="0" w:hanging="283"/>
      </w:pPr>
      <w:r>
        <w:t>Транзиторный: потребность в инсулине исчезает спустя несколько месяцев от манифестации, рецидивы возникают в дальнейшем в 50% случаев.</w:t>
      </w:r>
    </w:p>
    <w:p w:rsidR="00D27BC6" w:rsidRDefault="004D5071">
      <w:pPr>
        <w:numPr>
          <w:ilvl w:val="0"/>
          <w:numId w:val="155"/>
        </w:numPr>
        <w:spacing w:after="226"/>
        <w:ind w:right="0" w:hanging="283"/>
      </w:pPr>
      <w:r>
        <w:t>Перманентный: перерыва в потребности в инсулинотерапии не наблюдается.</w:t>
      </w:r>
    </w:p>
    <w:p w:rsidR="00D27BC6" w:rsidRDefault="004D5071">
      <w:pPr>
        <w:ind w:left="-11" w:right="0" w:firstLine="283"/>
      </w:pPr>
      <w:r>
        <w:t>НСД может быть компонентом ряда генетических синдр</w:t>
      </w:r>
      <w:r>
        <w:t>омов (IPEX-синдром, синдром Уолкотт–Роллисона, НСД в сочетании с аплазией или гипоплазией поджелудочной железы, некоторые подтипы MODY и др.).</w:t>
      </w:r>
    </w:p>
    <w:p w:rsidR="00D27BC6" w:rsidRDefault="004D5071">
      <w:pPr>
        <w:spacing w:after="230"/>
        <w:ind w:left="-11" w:right="0" w:firstLine="283"/>
      </w:pPr>
      <w:r>
        <w:t xml:space="preserve">При НСД обнаруживается множество мутаций, наибольшее практическое значение из которых имеет мутация в генах </w:t>
      </w:r>
      <w:r>
        <w:rPr>
          <w:i/>
        </w:rPr>
        <w:t>KCNI1</w:t>
      </w:r>
      <w:r>
        <w:rPr>
          <w:i/>
        </w:rPr>
        <w:t>1</w:t>
      </w:r>
      <w:r>
        <w:t xml:space="preserve"> и АВСС8, кодирующих </w:t>
      </w:r>
      <w:r>
        <w:rPr>
          <w:i/>
        </w:rPr>
        <w:t>Kir</w:t>
      </w:r>
      <w:r>
        <w:t xml:space="preserve"> 6.2 и </w:t>
      </w:r>
      <w:r>
        <w:rPr>
          <w:i/>
        </w:rPr>
        <w:t>SUR1</w:t>
      </w:r>
      <w:r>
        <w:t>-субъединицы АТФ-зависимых калиевых каналов, поскольку до 90% пациентов с этими мутациями могут быть успешно переведены с инсулина на ПСМ, независимо от длительности СД.</w:t>
      </w:r>
    </w:p>
    <w:p w:rsidR="00D27BC6" w:rsidRDefault="004D5071">
      <w:pPr>
        <w:ind w:left="281" w:right="51"/>
        <w:jc w:val="left"/>
      </w:pPr>
      <w:r>
        <w:rPr>
          <w:b/>
        </w:rPr>
        <w:t>НСД вероятен в следующих случаях:</w:t>
      </w:r>
    </w:p>
    <w:p w:rsidR="00D27BC6" w:rsidRDefault="004D5071">
      <w:pPr>
        <w:numPr>
          <w:ilvl w:val="0"/>
          <w:numId w:val="155"/>
        </w:numPr>
        <w:spacing w:after="230"/>
        <w:ind w:right="0" w:hanging="283"/>
      </w:pPr>
      <w:r>
        <w:t>СД, диагностированный в первые 6 месяцев жизни, а также у детей, заболевших в возрасте 6–12 месяцев, при отсутствии антител, ассоциированных с СД 1 типа</w:t>
      </w:r>
    </w:p>
    <w:p w:rsidR="00D27BC6" w:rsidRDefault="004D5071">
      <w:pPr>
        <w:pStyle w:val="Heading2"/>
        <w:ind w:left="-3"/>
      </w:pPr>
      <w:r>
        <w:t>Наиболее часто встречающиеся генетические синдромы, связанные с СД</w:t>
      </w:r>
    </w:p>
    <w:tbl>
      <w:tblPr>
        <w:tblStyle w:val="TableGrid"/>
        <w:tblW w:w="10191" w:type="dxa"/>
        <w:tblInd w:w="8" w:type="dxa"/>
        <w:tblCellMar>
          <w:top w:w="9" w:type="dxa"/>
          <w:left w:w="57" w:type="dxa"/>
          <w:bottom w:w="0" w:type="dxa"/>
          <w:right w:w="44" w:type="dxa"/>
        </w:tblCellMar>
        <w:tblLook w:val="04A0" w:firstRow="1" w:lastRow="0" w:firstColumn="1" w:lastColumn="0" w:noHBand="0" w:noVBand="1"/>
      </w:tblPr>
      <w:tblGrid>
        <w:gridCol w:w="1547"/>
        <w:gridCol w:w="1904"/>
        <w:gridCol w:w="1547"/>
        <w:gridCol w:w="1547"/>
        <w:gridCol w:w="1064"/>
        <w:gridCol w:w="2582"/>
      </w:tblGrid>
      <w:tr w:rsidR="00D27BC6">
        <w:trPr>
          <w:trHeight w:val="800"/>
        </w:trPr>
        <w:tc>
          <w:tcPr>
            <w:tcW w:w="1547"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13" w:firstLine="0"/>
              <w:jc w:val="center"/>
            </w:pPr>
            <w:r>
              <w:rPr>
                <w:b/>
              </w:rPr>
              <w:t>Синдром</w:t>
            </w:r>
          </w:p>
        </w:tc>
        <w:tc>
          <w:tcPr>
            <w:tcW w:w="1904"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Тип наследования. Ген</w:t>
            </w:r>
          </w:p>
        </w:tc>
        <w:tc>
          <w:tcPr>
            <w:tcW w:w="154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Возраст манифестации СД</w:t>
            </w:r>
          </w:p>
        </w:tc>
        <w:tc>
          <w:tcPr>
            <w:tcW w:w="1547"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Инсулинозависимость</w:t>
            </w:r>
          </w:p>
        </w:tc>
        <w:tc>
          <w:tcPr>
            <w:tcW w:w="1064"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Уровень инсулина</w:t>
            </w:r>
          </w:p>
        </w:tc>
        <w:tc>
          <w:tcPr>
            <w:tcW w:w="2582"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Другие клинические проявления</w:t>
            </w:r>
          </w:p>
        </w:tc>
      </w:tr>
      <w:tr w:rsidR="00D27BC6">
        <w:trPr>
          <w:trHeight w:val="1520"/>
        </w:trPr>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Вольфрама</w:t>
            </w:r>
          </w:p>
        </w:tc>
        <w:tc>
          <w:tcPr>
            <w:tcW w:w="190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993" w:firstLine="0"/>
              <w:jc w:val="left"/>
            </w:pPr>
            <w:r>
              <w:t xml:space="preserve">АРН </w:t>
            </w:r>
            <w:r>
              <w:rPr>
                <w:i/>
              </w:rPr>
              <w:t>WES1</w:t>
            </w:r>
          </w:p>
        </w:tc>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6 лет</w:t>
            </w:r>
          </w:p>
          <w:p w:rsidR="00D27BC6" w:rsidRDefault="004D5071">
            <w:pPr>
              <w:spacing w:after="0" w:line="259" w:lineRule="auto"/>
              <w:ind w:left="0" w:right="0" w:firstLine="0"/>
              <w:jc w:val="left"/>
            </w:pPr>
            <w:r>
              <w:t>(5–8)</w:t>
            </w:r>
          </w:p>
        </w:tc>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Да</w:t>
            </w:r>
          </w:p>
        </w:tc>
        <w:tc>
          <w:tcPr>
            <w:tcW w:w="106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Низкий</w:t>
            </w:r>
          </w:p>
        </w:tc>
        <w:tc>
          <w:tcPr>
            <w:tcW w:w="258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45" w:firstLine="0"/>
              <w:jc w:val="left"/>
            </w:pPr>
            <w:r>
              <w:t>Атрофия диска зрительного нерва, тугоухость, несахарный диабет, поражение мочевыделительной системы и ЦНС</w:t>
            </w:r>
          </w:p>
        </w:tc>
      </w:tr>
      <w:tr w:rsidR="00D27BC6">
        <w:trPr>
          <w:trHeight w:val="1040"/>
        </w:trPr>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Роджерса</w:t>
            </w:r>
          </w:p>
        </w:tc>
        <w:tc>
          <w:tcPr>
            <w:tcW w:w="190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АРН</w:t>
            </w:r>
          </w:p>
          <w:p w:rsidR="00D27BC6" w:rsidRDefault="004D5071">
            <w:pPr>
              <w:spacing w:after="0" w:line="259" w:lineRule="auto"/>
              <w:ind w:left="0" w:right="0" w:firstLine="0"/>
              <w:jc w:val="left"/>
            </w:pPr>
            <w:r>
              <w:rPr>
                <w:i/>
              </w:rPr>
              <w:t>SLC19A2</w:t>
            </w:r>
          </w:p>
        </w:tc>
        <w:tc>
          <w:tcPr>
            <w:tcW w:w="1547"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154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83" w:firstLine="0"/>
              <w:jc w:val="left"/>
            </w:pPr>
            <w:r>
              <w:t>Да. В начале заболев. – чувств. к тиамину</w:t>
            </w:r>
          </w:p>
        </w:tc>
        <w:tc>
          <w:tcPr>
            <w:tcW w:w="106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Низкий</w:t>
            </w:r>
          </w:p>
        </w:tc>
        <w:tc>
          <w:tcPr>
            <w:tcW w:w="258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Мегалобластическая анемия, сенсорная глухота</w:t>
            </w:r>
          </w:p>
        </w:tc>
      </w:tr>
      <w:tr w:rsidR="00D27BC6">
        <w:trPr>
          <w:trHeight w:val="1280"/>
        </w:trPr>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MODY5</w:t>
            </w:r>
          </w:p>
        </w:tc>
        <w:tc>
          <w:tcPr>
            <w:tcW w:w="190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АДН</w:t>
            </w:r>
          </w:p>
          <w:p w:rsidR="00D27BC6" w:rsidRDefault="004D5071">
            <w:pPr>
              <w:spacing w:after="0" w:line="259" w:lineRule="auto"/>
              <w:ind w:left="0" w:right="0" w:firstLine="0"/>
              <w:jc w:val="left"/>
            </w:pPr>
            <w:r>
              <w:rPr>
                <w:i/>
              </w:rPr>
              <w:t>HNF-1В</w:t>
            </w:r>
          </w:p>
        </w:tc>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708" w:firstLine="0"/>
              <w:jc w:val="left"/>
            </w:pPr>
            <w:r>
              <w:t>После 10 лет</w:t>
            </w:r>
          </w:p>
        </w:tc>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Да</w:t>
            </w:r>
          </w:p>
        </w:tc>
        <w:tc>
          <w:tcPr>
            <w:tcW w:w="106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Умеренно снижен</w:t>
            </w:r>
          </w:p>
        </w:tc>
        <w:tc>
          <w:tcPr>
            <w:tcW w:w="258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257" w:firstLine="0"/>
              <w:jc w:val="left"/>
            </w:pPr>
            <w:r>
              <w:t>Поликистоз почек, аномалии внутренних половых органов, ранняя недиабетическая протеинурия</w:t>
            </w:r>
          </w:p>
        </w:tc>
      </w:tr>
      <w:tr w:rsidR="00D27BC6">
        <w:trPr>
          <w:trHeight w:val="1280"/>
        </w:trPr>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 xml:space="preserve">Лепречаунизм </w:t>
            </w:r>
          </w:p>
          <w:p w:rsidR="00D27BC6" w:rsidRDefault="004D5071">
            <w:pPr>
              <w:spacing w:after="0" w:line="259" w:lineRule="auto"/>
              <w:ind w:left="1" w:right="0" w:firstLine="0"/>
              <w:jc w:val="left"/>
            </w:pPr>
            <w:r>
              <w:t xml:space="preserve">(синдром </w:t>
            </w:r>
          </w:p>
          <w:p w:rsidR="00D27BC6" w:rsidRDefault="004D5071">
            <w:pPr>
              <w:spacing w:after="0" w:line="259" w:lineRule="auto"/>
              <w:ind w:left="1" w:right="0" w:firstLine="0"/>
              <w:jc w:val="left"/>
            </w:pPr>
            <w:r>
              <w:t>Донохью)</w:t>
            </w:r>
          </w:p>
        </w:tc>
        <w:tc>
          <w:tcPr>
            <w:tcW w:w="190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 xml:space="preserve">АДН </w:t>
            </w:r>
            <w:r>
              <w:rPr>
                <w:i/>
              </w:rPr>
              <w:t>INSR</w:t>
            </w:r>
          </w:p>
        </w:tc>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Врожденный</w:t>
            </w:r>
          </w:p>
        </w:tc>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Да</w:t>
            </w:r>
          </w:p>
        </w:tc>
        <w:tc>
          <w:tcPr>
            <w:tcW w:w="106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Очень высокий</w:t>
            </w:r>
          </w:p>
        </w:tc>
        <w:tc>
          <w:tcPr>
            <w:tcW w:w="258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63" w:firstLine="0"/>
              <w:jc w:val="left"/>
            </w:pPr>
            <w:r>
              <w:t>Измененные черты лица, большие гениталии, низкий вес и рост, Acantosis nigricans, редко выживают до 6 мес.</w:t>
            </w:r>
          </w:p>
        </w:tc>
      </w:tr>
      <w:tr w:rsidR="00D27BC6">
        <w:trPr>
          <w:trHeight w:val="800"/>
        </w:trPr>
        <w:tc>
          <w:tcPr>
            <w:tcW w:w="1547"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13" w:firstLine="0"/>
              <w:jc w:val="center"/>
            </w:pPr>
            <w:r>
              <w:rPr>
                <w:b/>
              </w:rPr>
              <w:t>Синдром</w:t>
            </w:r>
          </w:p>
        </w:tc>
        <w:tc>
          <w:tcPr>
            <w:tcW w:w="1904"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Тип наследования. Ген</w:t>
            </w:r>
          </w:p>
        </w:tc>
        <w:tc>
          <w:tcPr>
            <w:tcW w:w="154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Возраст манифестации СД</w:t>
            </w:r>
          </w:p>
        </w:tc>
        <w:tc>
          <w:tcPr>
            <w:tcW w:w="1547"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Инсулинозависимость</w:t>
            </w:r>
          </w:p>
        </w:tc>
        <w:tc>
          <w:tcPr>
            <w:tcW w:w="1064"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Уровень инсулина</w:t>
            </w:r>
          </w:p>
        </w:tc>
        <w:tc>
          <w:tcPr>
            <w:tcW w:w="2582"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Другие клинические проявления</w:t>
            </w:r>
          </w:p>
        </w:tc>
      </w:tr>
      <w:tr w:rsidR="00D27BC6">
        <w:trPr>
          <w:trHeight w:val="1040"/>
        </w:trPr>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Рабсона – </w:t>
            </w:r>
          </w:p>
          <w:p w:rsidR="00D27BC6" w:rsidRDefault="004D5071">
            <w:pPr>
              <w:spacing w:after="0" w:line="259" w:lineRule="auto"/>
              <w:ind w:left="0" w:right="0" w:firstLine="0"/>
              <w:jc w:val="left"/>
            </w:pPr>
            <w:r>
              <w:t>Менделхолла</w:t>
            </w:r>
          </w:p>
        </w:tc>
        <w:tc>
          <w:tcPr>
            <w:tcW w:w="190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АДН </w:t>
            </w:r>
            <w:r>
              <w:rPr>
                <w:i/>
              </w:rPr>
              <w:t>INSR</w:t>
            </w:r>
          </w:p>
        </w:tc>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Врожденный</w:t>
            </w:r>
          </w:p>
        </w:tc>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Да</w:t>
            </w:r>
          </w:p>
        </w:tc>
        <w:tc>
          <w:tcPr>
            <w:tcW w:w="106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Очень высокий</w:t>
            </w:r>
          </w:p>
        </w:tc>
        <w:tc>
          <w:tcPr>
            <w:tcW w:w="258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Выраженная задержка роста, ненормальное расположение зубов, Acanthosis nigricans, СПЯ</w:t>
            </w:r>
          </w:p>
        </w:tc>
      </w:tr>
      <w:tr w:rsidR="00D27BC6">
        <w:trPr>
          <w:trHeight w:val="1040"/>
        </w:trPr>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Инсулино- резистентность, тип А</w:t>
            </w:r>
          </w:p>
        </w:tc>
        <w:tc>
          <w:tcPr>
            <w:tcW w:w="190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АДН </w:t>
            </w:r>
            <w:r>
              <w:rPr>
                <w:i/>
              </w:rPr>
              <w:t>INSR</w:t>
            </w:r>
          </w:p>
        </w:tc>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Подростковый</w:t>
            </w:r>
          </w:p>
        </w:tc>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Эффективен метформин</w:t>
            </w:r>
          </w:p>
        </w:tc>
        <w:tc>
          <w:tcPr>
            <w:tcW w:w="106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Очень высокий</w:t>
            </w:r>
          </w:p>
        </w:tc>
        <w:tc>
          <w:tcPr>
            <w:tcW w:w="2582"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Инсулинорезистентность без избытка массы тела, Acanthosis nigricans, СПЯ</w:t>
            </w:r>
          </w:p>
        </w:tc>
      </w:tr>
      <w:tr w:rsidR="00D27BC6">
        <w:trPr>
          <w:trHeight w:val="2240"/>
        </w:trPr>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pPr>
            <w:r>
              <w:t>Липодистрофия</w:t>
            </w:r>
          </w:p>
        </w:tc>
        <w:tc>
          <w:tcPr>
            <w:tcW w:w="190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36" w:lineRule="auto"/>
              <w:ind w:left="0" w:right="0" w:firstLine="0"/>
              <w:jc w:val="left"/>
            </w:pPr>
            <w:r>
              <w:t xml:space="preserve">Генерализованная – </w:t>
            </w:r>
            <w:r>
              <w:rPr>
                <w:i/>
              </w:rPr>
              <w:t>BSCL2</w:t>
            </w:r>
            <w:r>
              <w:t xml:space="preserve">, </w:t>
            </w:r>
            <w:r>
              <w:rPr>
                <w:i/>
              </w:rPr>
              <w:t>AGPAT2</w:t>
            </w:r>
            <w:r>
              <w:t xml:space="preserve"> (АРН), парциальная – </w:t>
            </w:r>
            <w:r>
              <w:rPr>
                <w:i/>
              </w:rPr>
              <w:t>LMNA</w:t>
            </w:r>
            <w:r>
              <w:t xml:space="preserve">, </w:t>
            </w:r>
            <w:r>
              <w:rPr>
                <w:i/>
              </w:rPr>
              <w:t>PPARG</w:t>
            </w:r>
            <w:r>
              <w:t xml:space="preserve"> и др. </w:t>
            </w:r>
          </w:p>
          <w:p w:rsidR="00D27BC6" w:rsidRDefault="004D5071">
            <w:pPr>
              <w:spacing w:after="0" w:line="259" w:lineRule="auto"/>
              <w:ind w:left="0" w:right="0" w:firstLine="0"/>
              <w:jc w:val="left"/>
            </w:pPr>
            <w:r>
              <w:t>(АДН)</w:t>
            </w:r>
          </w:p>
        </w:tc>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Любой</w:t>
            </w:r>
          </w:p>
        </w:tc>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176" w:firstLine="0"/>
              <w:jc w:val="left"/>
            </w:pPr>
            <w:r>
              <w:t>Да. На ранних стадиях может быть эффективен метформин</w:t>
            </w:r>
          </w:p>
        </w:tc>
        <w:tc>
          <w:tcPr>
            <w:tcW w:w="106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Высокий</w:t>
            </w:r>
          </w:p>
        </w:tc>
        <w:tc>
          <w:tcPr>
            <w:tcW w:w="258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183" w:firstLine="0"/>
              <w:jc w:val="left"/>
            </w:pPr>
            <w:r>
              <w:t>Потеря ПЖК, акромегалоидные черты, пупочная грыжа, acanthosis nigricans, гирсутизм, гепатомегалия, дислипидемия, панкреатиты, нарушения менструального цикла и поликистозные яичники</w:t>
            </w:r>
          </w:p>
        </w:tc>
      </w:tr>
      <w:tr w:rsidR="00D27BC6">
        <w:trPr>
          <w:trHeight w:val="1280"/>
        </w:trPr>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Альстрема</w:t>
            </w:r>
          </w:p>
        </w:tc>
        <w:tc>
          <w:tcPr>
            <w:tcW w:w="190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993" w:firstLine="0"/>
              <w:jc w:val="left"/>
            </w:pPr>
            <w:r>
              <w:t xml:space="preserve">АРН </w:t>
            </w:r>
            <w:r>
              <w:rPr>
                <w:i/>
              </w:rPr>
              <w:t>ALSM 1</w:t>
            </w:r>
          </w:p>
        </w:tc>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После 10 лет</w:t>
            </w:r>
          </w:p>
        </w:tc>
        <w:tc>
          <w:tcPr>
            <w:tcW w:w="154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Эффективен метформин</w:t>
            </w:r>
          </w:p>
        </w:tc>
        <w:tc>
          <w:tcPr>
            <w:tcW w:w="106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 высокого до очень высокого</w:t>
            </w:r>
          </w:p>
        </w:tc>
        <w:tc>
          <w:tcPr>
            <w:tcW w:w="258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332" w:firstLine="0"/>
              <w:jc w:val="left"/>
            </w:pPr>
            <w:r>
              <w:t>Ожирение, светобоязнь, дистрофия сетчатки – до 1 года, тугоухость, может быть острая кардиомиопатия</w:t>
            </w:r>
          </w:p>
        </w:tc>
      </w:tr>
    </w:tbl>
    <w:p w:rsidR="00D27BC6" w:rsidRDefault="004D5071">
      <w:pPr>
        <w:spacing w:after="348"/>
        <w:ind w:left="-3" w:right="0"/>
      </w:pPr>
      <w:r>
        <w:rPr>
          <w:b/>
          <w:sz w:val="16"/>
        </w:rPr>
        <w:t xml:space="preserve">Примечания: </w:t>
      </w:r>
      <w:r>
        <w:rPr>
          <w:sz w:val="16"/>
        </w:rPr>
        <w:t>АРН – аутосомно-рецессивное наследование; АДН – аутосомно-доминантное наследование; ЦНС – центральная нервная система; СПЯ – синдром поликистоза яичников; ПЖК – подкожно-жировая клетчатка.</w:t>
      </w:r>
    </w:p>
    <w:p w:rsidR="00D27BC6" w:rsidRDefault="004D5071">
      <w:pPr>
        <w:spacing w:after="230"/>
        <w:ind w:left="-11" w:right="0" w:firstLine="283"/>
      </w:pPr>
      <w:r>
        <w:t>Благодаря успехам молекулярной генетики были идентифицированы гены,</w:t>
      </w:r>
      <w:r>
        <w:t xml:space="preserve"> связанные со многими клиническими подгруппами СД. Это объясняет клиническую гетерогенность течения заболевания, сроков диагностики, например, неонатальный СД и MODY. В настоящее время для диагностики моногенных форм СД используются молекулярно-генетически</w:t>
      </w:r>
      <w:r>
        <w:t>е исследования, что дает возможность точно верифицировать заболевание и лечение детей с СД. В связи с высокой стоимостью таких исследований их следует применять для диагностики больных, клиника которых дает основание подозревать моногенную форму СД.</w:t>
      </w:r>
    </w:p>
    <w:p w:rsidR="00D27BC6" w:rsidRDefault="004D5071">
      <w:pPr>
        <w:spacing w:after="226"/>
        <w:ind w:left="290" w:right="282"/>
        <w:jc w:val="center"/>
      </w:pPr>
      <w:r>
        <w:rPr>
          <w:b/>
        </w:rPr>
        <w:t xml:space="preserve">20.3. </w:t>
      </w:r>
      <w:r>
        <w:rPr>
          <w:b/>
        </w:rPr>
        <w:t>МЕДИКО-ГЕНЕТИЧЕСКОЕ КОНСУЛЬТИРОВАНИЕ СЕМЕЙ ПАЦИЕНТОВ С СД</w:t>
      </w:r>
    </w:p>
    <w:p w:rsidR="00D27BC6" w:rsidRDefault="004D5071">
      <w:pPr>
        <w:spacing w:after="230"/>
        <w:ind w:left="-11" w:right="0" w:firstLine="283"/>
      </w:pPr>
      <w:r>
        <w:t>СД относится к заболеваниям с наследственной предрасположенностью. По наследству передается предрасположенность к тому же типу СД, что и у пробанда. Здоровые родственники должны быть информированы о</w:t>
      </w:r>
      <w:r>
        <w:t xml:space="preserve"> риске развития заболевания у них.</w:t>
      </w:r>
    </w:p>
    <w:p w:rsidR="00D27BC6" w:rsidRDefault="004D5071">
      <w:pPr>
        <w:pStyle w:val="Heading2"/>
        <w:ind w:left="-3"/>
      </w:pPr>
      <w:r>
        <w:t>Эмпирический риск развития СД 1 типа для родственников больных СД 1 типа</w:t>
      </w:r>
    </w:p>
    <w:tbl>
      <w:tblPr>
        <w:tblStyle w:val="TableGrid"/>
        <w:tblW w:w="10195" w:type="dxa"/>
        <w:tblInd w:w="8" w:type="dxa"/>
        <w:tblCellMar>
          <w:top w:w="9" w:type="dxa"/>
          <w:left w:w="57" w:type="dxa"/>
          <w:bottom w:w="0" w:type="dxa"/>
          <w:right w:w="115" w:type="dxa"/>
        </w:tblCellMar>
        <w:tblLook w:val="04A0" w:firstRow="1" w:lastRow="0" w:firstColumn="1" w:lastColumn="0" w:noHBand="0" w:noVBand="1"/>
      </w:tblPr>
      <w:tblGrid>
        <w:gridCol w:w="5097"/>
        <w:gridCol w:w="5097"/>
      </w:tblGrid>
      <w:tr w:rsidR="00D27BC6">
        <w:trPr>
          <w:trHeight w:val="32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Родственная связь по отношению к пробанду с СД</w:t>
            </w:r>
          </w:p>
        </w:tc>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Риск</w:t>
            </w:r>
          </w:p>
        </w:tc>
      </w:tr>
      <w:tr w:rsidR="00D27BC6">
        <w:trPr>
          <w:trHeight w:val="2693"/>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90" w:line="259" w:lineRule="auto"/>
              <w:ind w:left="0" w:right="0" w:firstLine="0"/>
              <w:jc w:val="left"/>
            </w:pPr>
            <w:r>
              <w:t>Один сибс</w:t>
            </w:r>
          </w:p>
          <w:p w:rsidR="00D27BC6" w:rsidRDefault="004D5071">
            <w:pPr>
              <w:spacing w:after="90" w:line="259" w:lineRule="auto"/>
              <w:ind w:left="0" w:right="0" w:firstLine="0"/>
              <w:jc w:val="left"/>
            </w:pPr>
            <w:r>
              <w:t>Два сибса</w:t>
            </w:r>
          </w:p>
          <w:p w:rsidR="00D27BC6" w:rsidRDefault="004D5071">
            <w:pPr>
              <w:spacing w:after="90" w:line="259" w:lineRule="auto"/>
              <w:ind w:left="0" w:right="0" w:firstLine="0"/>
              <w:jc w:val="left"/>
            </w:pPr>
            <w:r>
              <w:t xml:space="preserve">Потомки отцов с СД </w:t>
            </w:r>
          </w:p>
          <w:p w:rsidR="00D27BC6" w:rsidRDefault="004D5071">
            <w:pPr>
              <w:spacing w:after="90" w:line="259" w:lineRule="auto"/>
              <w:ind w:left="0" w:right="0" w:firstLine="0"/>
              <w:jc w:val="left"/>
            </w:pPr>
            <w:r>
              <w:t>Потомки матерей с СД</w:t>
            </w:r>
          </w:p>
          <w:p w:rsidR="00D27BC6" w:rsidRDefault="004D5071">
            <w:pPr>
              <w:spacing w:after="90" w:line="259" w:lineRule="auto"/>
              <w:ind w:left="0" w:right="0" w:firstLine="0"/>
              <w:jc w:val="left"/>
            </w:pPr>
            <w:r>
              <w:t>Потомки двух больных СД родителей</w:t>
            </w:r>
          </w:p>
          <w:p w:rsidR="00D27BC6" w:rsidRDefault="004D5071">
            <w:pPr>
              <w:spacing w:after="90" w:line="259" w:lineRule="auto"/>
              <w:ind w:left="0" w:right="0" w:firstLine="0"/>
              <w:jc w:val="left"/>
            </w:pPr>
            <w:r>
              <w:t>Монозиготные близнецы</w:t>
            </w:r>
          </w:p>
          <w:p w:rsidR="00D27BC6" w:rsidRDefault="004D5071">
            <w:pPr>
              <w:spacing w:after="0" w:line="259" w:lineRule="auto"/>
              <w:ind w:left="0" w:right="0" w:firstLine="0"/>
              <w:jc w:val="left"/>
            </w:pPr>
            <w:r>
              <w:t>Дизиготные близнецы</w:t>
            </w:r>
          </w:p>
        </w:tc>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90" w:line="259" w:lineRule="auto"/>
              <w:ind w:left="58" w:right="0" w:firstLine="0"/>
              <w:jc w:val="center"/>
            </w:pPr>
            <w:r>
              <w:t>5%</w:t>
            </w:r>
          </w:p>
          <w:p w:rsidR="00D27BC6" w:rsidRDefault="004D5071">
            <w:pPr>
              <w:spacing w:after="90" w:line="259" w:lineRule="auto"/>
              <w:ind w:left="59" w:right="0" w:firstLine="0"/>
              <w:jc w:val="center"/>
            </w:pPr>
            <w:r>
              <w:t>10–12%</w:t>
            </w:r>
          </w:p>
          <w:p w:rsidR="00D27BC6" w:rsidRDefault="004D5071">
            <w:pPr>
              <w:spacing w:after="90" w:line="259" w:lineRule="auto"/>
              <w:ind w:left="58" w:right="0" w:firstLine="0"/>
              <w:jc w:val="center"/>
            </w:pPr>
            <w:r>
              <w:t>6%</w:t>
            </w:r>
          </w:p>
          <w:p w:rsidR="00D27BC6" w:rsidRDefault="004D5071">
            <w:pPr>
              <w:spacing w:after="90" w:line="259" w:lineRule="auto"/>
              <w:ind w:left="58" w:right="0" w:firstLine="0"/>
              <w:jc w:val="center"/>
            </w:pPr>
            <w:r>
              <w:t>2%</w:t>
            </w:r>
          </w:p>
          <w:p w:rsidR="00D27BC6" w:rsidRDefault="004D5071">
            <w:pPr>
              <w:spacing w:after="90" w:line="259" w:lineRule="auto"/>
              <w:ind w:left="59" w:right="0" w:firstLine="0"/>
              <w:jc w:val="center"/>
            </w:pPr>
            <w:r>
              <w:t>30–35%</w:t>
            </w:r>
          </w:p>
          <w:p w:rsidR="00D27BC6" w:rsidRDefault="004D5071">
            <w:pPr>
              <w:spacing w:after="90" w:line="259" w:lineRule="auto"/>
              <w:ind w:left="59" w:right="0" w:firstLine="0"/>
              <w:jc w:val="center"/>
            </w:pPr>
            <w:r>
              <w:t>30–50%</w:t>
            </w:r>
          </w:p>
          <w:p w:rsidR="00D27BC6" w:rsidRDefault="004D5071">
            <w:pPr>
              <w:spacing w:after="0" w:line="259" w:lineRule="auto"/>
              <w:ind w:left="58" w:right="0" w:firstLine="0"/>
              <w:jc w:val="center"/>
            </w:pPr>
            <w:r>
              <w:t>5%</w:t>
            </w:r>
          </w:p>
        </w:tc>
      </w:tr>
    </w:tbl>
    <w:p w:rsidR="00D27BC6" w:rsidRDefault="004D5071">
      <w:pPr>
        <w:ind w:left="-11" w:right="0" w:firstLine="283"/>
      </w:pPr>
      <w:r>
        <w:t>Последовательный комплексный анализ молекулярно-генетических, иммунологических и гормонально-метаболических маркеров СД 1 типа позволяет оценить риск заболевания с вероятностью более 90%.</w:t>
      </w:r>
    </w:p>
    <w:p w:rsidR="00D27BC6" w:rsidRDefault="004D5071">
      <w:pPr>
        <w:spacing w:after="230"/>
        <w:ind w:left="290" w:right="240"/>
        <w:jc w:val="center"/>
      </w:pPr>
      <w:r>
        <w:rPr>
          <w:b/>
        </w:rPr>
        <w:t>20.4. ПЕРЕХОД ПАЦИЕНТА С САХАРНЫМ ДИАБЕТОМ ИЗ ПЕДИАТРИЧЕСКОЙ ВО ВЗРО</w:t>
      </w:r>
      <w:r>
        <w:rPr>
          <w:b/>
        </w:rPr>
        <w:t>СЛУЮ МЕДИЦИНСКУЮ СЛУЖБУ</w:t>
      </w:r>
    </w:p>
    <w:p w:rsidR="00D27BC6" w:rsidRDefault="004D5071">
      <w:pPr>
        <w:ind w:left="-11" w:right="0" w:firstLine="283"/>
      </w:pPr>
      <w:r>
        <w:t>Подростковый период – переходная фаза развития между детством и взрослой жизнью, которая включает биологические и психосоциальные изменения, свойственные пубертату. В подростковом возрасте начинается период формирования независимого</w:t>
      </w:r>
      <w:r>
        <w:t xml:space="preserve"> взрослого, и это может приводить как к успеху, так и к неудачам и ошибкам. Должен быть рассмотрен запланированный, целенаправленный переход подростка или молодого человека с хроническим заболеванием из медицинской системы, ориентированной на лечение детей</w:t>
      </w:r>
      <w:r>
        <w:t xml:space="preserve"> (и семей), в медицинскую систему здравоохранения, ориентированную на помощь взрослым. Обеспечение плавного перехода от педиатрической медицинской помощи к медицинской помощи взрослым должно происходить в наиболее подходящее время. Официально переход из пе</w:t>
      </w:r>
      <w:r>
        <w:t>диатрической и подростковой медицинской службы в Российской Федерации происходит в 18 лет.</w:t>
      </w:r>
    </w:p>
    <w:p w:rsidR="00D27BC6" w:rsidRDefault="004D5071">
      <w:pPr>
        <w:ind w:left="-11" w:right="0" w:firstLine="283"/>
      </w:pPr>
      <w:r>
        <w:t>Необходимо обеспечить помощь родителям с учетом изменений их роли от полной ответственности за ребенка до постепенного перехода к самостоятельному контролю заболеван</w:t>
      </w:r>
      <w:r>
        <w:t>ия самим молодым человеком.</w:t>
      </w:r>
    </w:p>
    <w:p w:rsidR="00D27BC6" w:rsidRDefault="004D5071">
      <w:pPr>
        <w:ind w:left="-11" w:right="0" w:firstLine="283"/>
      </w:pPr>
      <w:r>
        <w:t>Есть потенциальная опасность, что при переходе во взрослую сеть молодые люди могут быть потеряны для наблюдения и прекратят регулярно посещать специализированные службы. Это с большой вероятностью приводит к плохой приверженност</w:t>
      </w:r>
      <w:r>
        <w:t>и терапии и повышению риска острых и хронических осложнений СД, включая увеличение смертности.</w:t>
      </w:r>
    </w:p>
    <w:p w:rsidR="00D27BC6" w:rsidRDefault="004D5071">
      <w:pPr>
        <w:ind w:left="294" w:right="0"/>
      </w:pPr>
      <w:r>
        <w:t>Для успешного перехода в систему здравоохранения взрослых необходимо рассмотреть следующие шаги:</w:t>
      </w:r>
    </w:p>
    <w:p w:rsidR="00D27BC6" w:rsidRDefault="004D5071">
      <w:pPr>
        <w:numPr>
          <w:ilvl w:val="0"/>
          <w:numId w:val="156"/>
        </w:numPr>
        <w:ind w:right="0" w:hanging="283"/>
      </w:pPr>
      <w:r>
        <w:t>Определение конкретного лечебного учреждения и врача-эндокриноло</w:t>
      </w:r>
      <w:r>
        <w:t>га, которые смогут обеспечить потребности молодого взрослого с СД.</w:t>
      </w:r>
    </w:p>
    <w:p w:rsidR="00D27BC6" w:rsidRDefault="004D5071">
      <w:pPr>
        <w:numPr>
          <w:ilvl w:val="0"/>
          <w:numId w:val="156"/>
        </w:numPr>
        <w:ind w:right="0" w:hanging="283"/>
      </w:pPr>
      <w:r>
        <w:t>Должен быть налажен контакт между педиатрической и взрослой медицинскими службами, который может помочь переходу молодого человека во взрослую службу, заранее, до достижения 18 лет. В частн</w:t>
      </w:r>
      <w:r>
        <w:t>ости, необходимо разработать четкий, документированный план для перехода, подготовлен медицинский эпикриз подростка, включая показатели контроля, результаты скрининга на осложнения и информацию по каким- либо сопутствующим заболеваниям, которые могут повли</w:t>
      </w:r>
      <w:r>
        <w:t>ять на дальнейшее ведение пациента.</w:t>
      </w:r>
    </w:p>
    <w:p w:rsidR="00D27BC6" w:rsidRDefault="004D5071">
      <w:pPr>
        <w:numPr>
          <w:ilvl w:val="0"/>
          <w:numId w:val="156"/>
        </w:numPr>
        <w:ind w:right="0" w:hanging="283"/>
      </w:pPr>
      <w:r>
        <w:t xml:space="preserve">Надо добиться того, чтобы не было существенного промежутка в предоставлении медицинской помощи, когда пациент оставляет педиатрическую медицинскую службу и попадает во взрослую систему, таким образом, чтобы подросток не </w:t>
      </w:r>
      <w:r>
        <w:t>был потерян для дальнейшего динамического наблюдения.</w:t>
      </w:r>
    </w:p>
    <w:p w:rsidR="00D27BC6" w:rsidRDefault="004D5071">
      <w:pPr>
        <w:numPr>
          <w:ilvl w:val="0"/>
          <w:numId w:val="156"/>
        </w:numPr>
        <w:ind w:right="0" w:hanging="283"/>
      </w:pPr>
      <w:r>
        <w:t>Взрослая медицинская служба должна быть построена таким образом, чтобы обеспечивать длительное динамическое наблюдение и оценку показателей конечных исходов у лиц с развитием СД в детском и подростковом</w:t>
      </w:r>
      <w:r>
        <w:t xml:space="preserve"> возрасте, так как у них чаще наблюдается неудовлетворительный гликемический контроль и чаще развиваются осложнения.</w:t>
      </w:r>
    </w:p>
    <w:p w:rsidR="00D27BC6" w:rsidRDefault="004D5071">
      <w:pPr>
        <w:numPr>
          <w:ilvl w:val="0"/>
          <w:numId w:val="156"/>
        </w:numPr>
        <w:ind w:right="0" w:hanging="283"/>
      </w:pPr>
      <w:r>
        <w:t>Современные технологии (помповая инсулинотерапия, непрерывный мониторинг глюкозы), а также дистанционное консультирование могут улучшить приверженность молодых людей к лечению.</w:t>
      </w:r>
    </w:p>
    <w:p w:rsidR="00D27BC6" w:rsidRDefault="004D5071">
      <w:pPr>
        <w:numPr>
          <w:ilvl w:val="0"/>
          <w:numId w:val="156"/>
        </w:numPr>
        <w:ind w:right="0" w:hanging="283"/>
      </w:pPr>
      <w:r>
        <w:t xml:space="preserve">Необходимо дать советы по трудовой карьере в областях, которые могут подходить </w:t>
      </w:r>
      <w:r>
        <w:t>и не подходить для людей с СД. Благоприятное медицинское заключение от врачей может убедить работодателей в том, что наличие болезни не должно быть проблемой при устройстве на работу.</w:t>
      </w:r>
    </w:p>
    <w:p w:rsidR="00D27BC6" w:rsidRDefault="004D5071">
      <w:pPr>
        <w:numPr>
          <w:ilvl w:val="0"/>
          <w:numId w:val="156"/>
        </w:numPr>
        <w:spacing w:after="230"/>
        <w:ind w:right="0" w:hanging="283"/>
      </w:pPr>
      <w:r>
        <w:t>Обеспечение специфической информацией (контрацепция и беременность, вожд</w:t>
      </w:r>
      <w:r>
        <w:t xml:space="preserve">ение автомобиля, вред от употребления алкоголя, наркотических препаратов, курения) приобретают все большее значение по мере того, как растет независимость подростка от семьи, особенно когда ему приходится жить далеко от дома в связи с работой, обучением в </w:t>
      </w:r>
      <w:r>
        <w:t>колледже или университете.</w:t>
      </w:r>
    </w:p>
    <w:p w:rsidR="00D27BC6" w:rsidRDefault="004D5071">
      <w:pPr>
        <w:spacing w:after="605"/>
        <w:ind w:left="-13" w:right="0" w:firstLine="283"/>
      </w:pPr>
      <w:r>
        <w:rPr>
          <w:b/>
        </w:rPr>
        <w:t>Успешный переход от педиатрической к взрослой службе может иметь такое же большое значение для качества жизни молодых людей, как и специфическое лечение СД.</w:t>
      </w:r>
    </w:p>
    <w:p w:rsidR="00D27BC6" w:rsidRDefault="004D5071">
      <w:pPr>
        <w:pStyle w:val="Heading1"/>
        <w:spacing w:after="280"/>
        <w:ind w:left="313" w:right="306"/>
      </w:pPr>
      <w:r>
        <w:t>21. САХАРНЫЙ ДИАБЕТ В ПОЖИЛОМ ВОЗРАСТЕ</w:t>
      </w:r>
    </w:p>
    <w:p w:rsidR="00D27BC6" w:rsidRDefault="004D5071">
      <w:pPr>
        <w:ind w:left="294" w:right="0"/>
      </w:pPr>
      <w:r>
        <w:t>Единого определения понятия «пожи</w:t>
      </w:r>
      <w:r>
        <w:t>лой возраст» не существует.</w:t>
      </w:r>
    </w:p>
    <w:p w:rsidR="00D27BC6" w:rsidRDefault="004D5071">
      <w:pPr>
        <w:spacing w:after="230"/>
        <w:ind w:left="-11" w:right="0" w:firstLine="283"/>
      </w:pPr>
      <w:r>
        <w:t>Применительно к медицинским рекомендациям в развитых странах наиболее часто определение «пожилой возраст» относится к лицам старше 65 лет.</w:t>
      </w:r>
    </w:p>
    <w:p w:rsidR="00D27BC6" w:rsidRDefault="004D5071">
      <w:pPr>
        <w:ind w:left="281" w:right="51"/>
        <w:jc w:val="left"/>
      </w:pPr>
      <w:r>
        <w:rPr>
          <w:b/>
        </w:rPr>
        <w:t>Диагностика</w:t>
      </w:r>
    </w:p>
    <w:p w:rsidR="00D27BC6" w:rsidRDefault="004D5071">
      <w:pPr>
        <w:ind w:left="-11" w:right="0" w:firstLine="283"/>
      </w:pPr>
      <w:r>
        <w:t>Диагностические критерии СД в пожилом возрасте не отличаются от таковых для в</w:t>
      </w:r>
      <w:r>
        <w:t>сей популяции в целом (см. раздел 2).</w:t>
      </w:r>
    </w:p>
    <w:p w:rsidR="00D27BC6" w:rsidRDefault="004D5071">
      <w:pPr>
        <w:ind w:left="-11" w:right="0" w:firstLine="283"/>
      </w:pPr>
      <w:r>
        <w:t>У части пожилых больных показатели HbA1c могут быть неточными из-за сопутствующих заболеваний, влияющих на продолжительность жизни эритроцитов.</w:t>
      </w:r>
    </w:p>
    <w:p w:rsidR="00D27BC6" w:rsidRDefault="004D5071">
      <w:pPr>
        <w:ind w:left="281" w:right="51"/>
        <w:jc w:val="left"/>
      </w:pPr>
      <w:r>
        <w:rPr>
          <w:b/>
        </w:rPr>
        <w:t>Особенности СД 2 типа у лиц пожилого возраста</w:t>
      </w:r>
    </w:p>
    <w:p w:rsidR="00D27BC6" w:rsidRDefault="004D5071">
      <w:pPr>
        <w:numPr>
          <w:ilvl w:val="0"/>
          <w:numId w:val="157"/>
        </w:numPr>
        <w:ind w:right="0" w:hanging="283"/>
      </w:pPr>
      <w:r>
        <w:rPr>
          <w:b/>
        </w:rPr>
        <w:t>Клинические</w:t>
      </w:r>
    </w:p>
    <w:tbl>
      <w:tblPr>
        <w:tblStyle w:val="TableGrid"/>
        <w:tblW w:w="10185" w:type="dxa"/>
        <w:tblInd w:w="11" w:type="dxa"/>
        <w:tblCellMar>
          <w:top w:w="28" w:type="dxa"/>
          <w:left w:w="0" w:type="dxa"/>
          <w:bottom w:w="28" w:type="dxa"/>
          <w:right w:w="115" w:type="dxa"/>
        </w:tblCellMar>
        <w:tblLook w:val="04A0" w:firstRow="1" w:lastRow="0" w:firstColumn="1" w:lastColumn="0" w:noHBand="0" w:noVBand="1"/>
      </w:tblPr>
      <w:tblGrid>
        <w:gridCol w:w="397"/>
        <w:gridCol w:w="9788"/>
      </w:tblGrid>
      <w:tr w:rsidR="00D27BC6">
        <w:trPr>
          <w:trHeight w:val="452"/>
        </w:trPr>
        <w:tc>
          <w:tcPr>
            <w:tcW w:w="397" w:type="dxa"/>
            <w:tcBorders>
              <w:top w:val="single" w:sz="8" w:space="0" w:color="000000"/>
              <w:left w:val="single" w:sz="8" w:space="0" w:color="000000"/>
              <w:bottom w:val="nil"/>
              <w:right w:val="nil"/>
            </w:tcBorders>
            <w:vAlign w:val="bottom"/>
          </w:tcPr>
          <w:p w:rsidR="00D27BC6" w:rsidRDefault="004D5071">
            <w:pPr>
              <w:spacing w:after="0" w:line="259" w:lineRule="auto"/>
              <w:ind w:left="113" w:right="0" w:firstLine="0"/>
              <w:jc w:val="left"/>
            </w:pPr>
            <w:r>
              <w:t xml:space="preserve">• </w:t>
            </w:r>
          </w:p>
        </w:tc>
        <w:tc>
          <w:tcPr>
            <w:tcW w:w="9788" w:type="dxa"/>
            <w:tcBorders>
              <w:top w:val="single" w:sz="8" w:space="0" w:color="000000"/>
              <w:left w:val="nil"/>
              <w:bottom w:val="nil"/>
              <w:right w:val="single" w:sz="8" w:space="0" w:color="000000"/>
            </w:tcBorders>
            <w:vAlign w:val="bottom"/>
          </w:tcPr>
          <w:p w:rsidR="00D27BC6" w:rsidRDefault="004D5071">
            <w:pPr>
              <w:spacing w:after="0" w:line="259" w:lineRule="auto"/>
              <w:ind w:left="0" w:right="0" w:firstLine="0"/>
              <w:jc w:val="left"/>
            </w:pPr>
            <w:r>
              <w:t>Часто бессимптомное течение (отсутствие специфических жалоб на полиурию, жажду, сухость во рту)</w:t>
            </w:r>
          </w:p>
        </w:tc>
      </w:tr>
      <w:tr w:rsidR="00D27BC6">
        <w:trPr>
          <w:trHeight w:val="297"/>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nil"/>
              <w:right w:val="single" w:sz="8" w:space="0" w:color="000000"/>
            </w:tcBorders>
          </w:tcPr>
          <w:p w:rsidR="00D27BC6" w:rsidRDefault="004D5071">
            <w:pPr>
              <w:spacing w:after="0" w:line="259" w:lineRule="auto"/>
              <w:ind w:left="0" w:right="0" w:firstLine="0"/>
              <w:jc w:val="left"/>
            </w:pPr>
            <w:r>
              <w:t>Нередко наличие микро- и макроангиопатий уже на момент выявления СД</w:t>
            </w:r>
          </w:p>
        </w:tc>
      </w:tr>
      <w:tr w:rsidR="00D27BC6">
        <w:trPr>
          <w:trHeight w:val="499"/>
        </w:trPr>
        <w:tc>
          <w:tcPr>
            <w:tcW w:w="397" w:type="dxa"/>
            <w:tcBorders>
              <w:top w:val="nil"/>
              <w:left w:val="single" w:sz="8" w:space="0" w:color="000000"/>
              <w:bottom w:val="single" w:sz="8" w:space="0" w:color="000000"/>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single" w:sz="8" w:space="0" w:color="000000"/>
              <w:right w:val="single" w:sz="8" w:space="0" w:color="000000"/>
            </w:tcBorders>
          </w:tcPr>
          <w:p w:rsidR="00D27BC6" w:rsidRDefault="004D5071">
            <w:pPr>
              <w:spacing w:after="0" w:line="259" w:lineRule="auto"/>
              <w:ind w:left="0" w:right="0" w:firstLine="0"/>
              <w:jc w:val="left"/>
            </w:pPr>
            <w:r>
              <w:t>Множественная коморбидная патология</w:t>
            </w:r>
          </w:p>
        </w:tc>
      </w:tr>
    </w:tbl>
    <w:p w:rsidR="00D27BC6" w:rsidRDefault="004D5071">
      <w:pPr>
        <w:numPr>
          <w:ilvl w:val="0"/>
          <w:numId w:val="157"/>
        </w:numPr>
        <w:ind w:right="0" w:hanging="283"/>
      </w:pPr>
      <w:r>
        <w:rPr>
          <w:b/>
        </w:rPr>
        <w:t>Лабораторные</w:t>
      </w:r>
    </w:p>
    <w:tbl>
      <w:tblPr>
        <w:tblStyle w:val="TableGrid"/>
        <w:tblW w:w="10185" w:type="dxa"/>
        <w:tblInd w:w="11" w:type="dxa"/>
        <w:tblCellMar>
          <w:top w:w="28" w:type="dxa"/>
          <w:left w:w="0" w:type="dxa"/>
          <w:bottom w:w="28" w:type="dxa"/>
          <w:right w:w="115" w:type="dxa"/>
        </w:tblCellMar>
        <w:tblLook w:val="04A0" w:firstRow="1" w:lastRow="0" w:firstColumn="1" w:lastColumn="0" w:noHBand="0" w:noVBand="1"/>
      </w:tblPr>
      <w:tblGrid>
        <w:gridCol w:w="397"/>
        <w:gridCol w:w="9788"/>
      </w:tblGrid>
      <w:tr w:rsidR="00D27BC6">
        <w:trPr>
          <w:trHeight w:val="452"/>
        </w:trPr>
        <w:tc>
          <w:tcPr>
            <w:tcW w:w="397" w:type="dxa"/>
            <w:tcBorders>
              <w:top w:val="single" w:sz="8" w:space="0" w:color="000000"/>
              <w:left w:val="single" w:sz="8" w:space="0" w:color="000000"/>
              <w:bottom w:val="nil"/>
              <w:right w:val="nil"/>
            </w:tcBorders>
            <w:vAlign w:val="bottom"/>
          </w:tcPr>
          <w:p w:rsidR="00D27BC6" w:rsidRDefault="004D5071">
            <w:pPr>
              <w:spacing w:after="0" w:line="259" w:lineRule="auto"/>
              <w:ind w:left="113" w:right="0" w:firstLine="0"/>
              <w:jc w:val="left"/>
            </w:pPr>
            <w:r>
              <w:t xml:space="preserve">• </w:t>
            </w:r>
          </w:p>
        </w:tc>
        <w:tc>
          <w:tcPr>
            <w:tcW w:w="9788" w:type="dxa"/>
            <w:tcBorders>
              <w:top w:val="single" w:sz="8" w:space="0" w:color="000000"/>
              <w:left w:val="nil"/>
              <w:bottom w:val="nil"/>
              <w:right w:val="single" w:sz="8" w:space="0" w:color="000000"/>
            </w:tcBorders>
            <w:vAlign w:val="bottom"/>
          </w:tcPr>
          <w:p w:rsidR="00D27BC6" w:rsidRDefault="004D5071">
            <w:pPr>
              <w:spacing w:after="0" w:line="259" w:lineRule="auto"/>
              <w:ind w:left="0" w:right="0" w:firstLine="0"/>
              <w:jc w:val="left"/>
            </w:pPr>
            <w:r>
              <w:t>Отсутствие гипергликемии натощак у ряда больных</w:t>
            </w:r>
          </w:p>
        </w:tc>
      </w:tr>
      <w:tr w:rsidR="00D27BC6">
        <w:trPr>
          <w:trHeight w:val="297"/>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nil"/>
              <w:right w:val="single" w:sz="8" w:space="0" w:color="000000"/>
            </w:tcBorders>
          </w:tcPr>
          <w:p w:rsidR="00D27BC6" w:rsidRDefault="004D5071">
            <w:pPr>
              <w:spacing w:after="0" w:line="259" w:lineRule="auto"/>
              <w:ind w:left="0" w:right="0" w:firstLine="0"/>
              <w:jc w:val="left"/>
            </w:pPr>
            <w:r>
              <w:t>Частое преобладание изолированной постпрандиальной гипергликемии</w:t>
            </w:r>
          </w:p>
        </w:tc>
      </w:tr>
      <w:tr w:rsidR="00D27BC6">
        <w:trPr>
          <w:trHeight w:val="499"/>
        </w:trPr>
        <w:tc>
          <w:tcPr>
            <w:tcW w:w="397" w:type="dxa"/>
            <w:tcBorders>
              <w:top w:val="nil"/>
              <w:left w:val="single" w:sz="8" w:space="0" w:color="000000"/>
              <w:bottom w:val="single" w:sz="8" w:space="0" w:color="000000"/>
              <w:right w:val="nil"/>
            </w:tcBorders>
          </w:tcPr>
          <w:p w:rsidR="00D27BC6" w:rsidRDefault="004D5071">
            <w:pPr>
              <w:spacing w:after="0" w:line="259" w:lineRule="auto"/>
              <w:ind w:left="113" w:right="0" w:firstLine="0"/>
              <w:jc w:val="left"/>
            </w:pPr>
            <w:r>
              <w:t xml:space="preserve">• </w:t>
            </w:r>
          </w:p>
        </w:tc>
        <w:tc>
          <w:tcPr>
            <w:tcW w:w="9788" w:type="dxa"/>
            <w:tcBorders>
              <w:top w:val="nil"/>
              <w:left w:val="nil"/>
              <w:bottom w:val="single" w:sz="8" w:space="0" w:color="000000"/>
              <w:right w:val="single" w:sz="8" w:space="0" w:color="000000"/>
            </w:tcBorders>
          </w:tcPr>
          <w:p w:rsidR="00D27BC6" w:rsidRDefault="004D5071">
            <w:pPr>
              <w:spacing w:after="0" w:line="259" w:lineRule="auto"/>
              <w:ind w:left="0" w:right="0" w:firstLine="0"/>
              <w:jc w:val="left"/>
            </w:pPr>
            <w:r>
              <w:t xml:space="preserve">Повышение почечного порога для глюкозы с возрастом </w:t>
            </w:r>
          </w:p>
        </w:tc>
      </w:tr>
    </w:tbl>
    <w:p w:rsidR="00D27BC6" w:rsidRDefault="004D5071">
      <w:pPr>
        <w:numPr>
          <w:ilvl w:val="0"/>
          <w:numId w:val="157"/>
        </w:numPr>
        <w:ind w:right="0" w:hanging="283"/>
      </w:pPr>
      <w:r>
        <w:rPr>
          <w:b/>
        </w:rPr>
        <w:t>Психосоциальные</w:t>
      </w:r>
    </w:p>
    <w:tbl>
      <w:tblPr>
        <w:tblStyle w:val="TableGrid"/>
        <w:tblW w:w="10185" w:type="dxa"/>
        <w:tblInd w:w="11" w:type="dxa"/>
        <w:tblCellMar>
          <w:top w:w="28" w:type="dxa"/>
          <w:left w:w="113" w:type="dxa"/>
          <w:bottom w:w="28" w:type="dxa"/>
          <w:right w:w="61" w:type="dxa"/>
        </w:tblCellMar>
        <w:tblLook w:val="04A0" w:firstRow="1" w:lastRow="0" w:firstColumn="1" w:lastColumn="0" w:noHBand="0" w:noVBand="1"/>
      </w:tblPr>
      <w:tblGrid>
        <w:gridCol w:w="273"/>
        <w:gridCol w:w="9911"/>
      </w:tblGrid>
      <w:tr w:rsidR="00D27BC6">
        <w:trPr>
          <w:trHeight w:val="430"/>
        </w:trPr>
        <w:tc>
          <w:tcPr>
            <w:tcW w:w="273" w:type="dxa"/>
            <w:tcBorders>
              <w:top w:val="single" w:sz="8" w:space="0" w:color="000000"/>
              <w:left w:val="single" w:sz="8" w:space="0" w:color="000000"/>
              <w:bottom w:val="nil"/>
              <w:right w:val="nil"/>
            </w:tcBorders>
            <w:vAlign w:val="bottom"/>
          </w:tcPr>
          <w:p w:rsidR="00D27BC6" w:rsidRDefault="004D5071">
            <w:pPr>
              <w:spacing w:after="0" w:line="259" w:lineRule="auto"/>
              <w:ind w:left="0" w:right="42" w:firstLine="0"/>
              <w:jc w:val="center"/>
            </w:pPr>
            <w:r>
              <w:t xml:space="preserve">• </w:t>
            </w:r>
          </w:p>
        </w:tc>
        <w:tc>
          <w:tcPr>
            <w:tcW w:w="9911" w:type="dxa"/>
            <w:tcBorders>
              <w:top w:val="single" w:sz="8" w:space="0" w:color="000000"/>
              <w:left w:val="nil"/>
              <w:bottom w:val="nil"/>
              <w:right w:val="single" w:sz="8" w:space="0" w:color="000000"/>
            </w:tcBorders>
            <w:vAlign w:val="bottom"/>
          </w:tcPr>
          <w:p w:rsidR="00D27BC6" w:rsidRDefault="004D5071">
            <w:pPr>
              <w:spacing w:after="0" w:line="259" w:lineRule="auto"/>
              <w:ind w:left="10" w:right="0" w:firstLine="0"/>
              <w:jc w:val="left"/>
            </w:pPr>
            <w:r>
              <w:t>Часто социальная изоляция и недостаточная материальная обеспеченность</w:t>
            </w:r>
          </w:p>
        </w:tc>
      </w:tr>
      <w:tr w:rsidR="00D27BC6">
        <w:trPr>
          <w:trHeight w:val="477"/>
        </w:trPr>
        <w:tc>
          <w:tcPr>
            <w:tcW w:w="273" w:type="dxa"/>
            <w:tcBorders>
              <w:top w:val="nil"/>
              <w:left w:val="single" w:sz="8" w:space="0" w:color="000000"/>
              <w:bottom w:val="single" w:sz="8" w:space="0" w:color="000000"/>
              <w:right w:val="nil"/>
            </w:tcBorders>
          </w:tcPr>
          <w:p w:rsidR="00D27BC6" w:rsidRDefault="004D5071">
            <w:pPr>
              <w:spacing w:after="0" w:line="259" w:lineRule="auto"/>
              <w:ind w:left="0" w:right="42" w:firstLine="0"/>
              <w:jc w:val="center"/>
            </w:pPr>
            <w:r>
              <w:t xml:space="preserve">• </w:t>
            </w:r>
          </w:p>
        </w:tc>
        <w:tc>
          <w:tcPr>
            <w:tcW w:w="9911" w:type="dxa"/>
            <w:tcBorders>
              <w:top w:val="nil"/>
              <w:left w:val="nil"/>
              <w:bottom w:val="single" w:sz="8" w:space="0" w:color="000000"/>
              <w:right w:val="single" w:sz="8" w:space="0" w:color="000000"/>
            </w:tcBorders>
          </w:tcPr>
          <w:p w:rsidR="00D27BC6" w:rsidRDefault="004D5071">
            <w:pPr>
              <w:spacing w:after="0" w:line="259" w:lineRule="auto"/>
              <w:ind w:left="10" w:right="0" w:firstLine="0"/>
              <w:jc w:val="left"/>
            </w:pPr>
            <w:r>
              <w:t>Нарушение когнитивных функций (снижение памяти, обучаемости и др.)</w:t>
            </w:r>
          </w:p>
        </w:tc>
      </w:tr>
    </w:tbl>
    <w:p w:rsidR="00D27BC6" w:rsidRDefault="004D5071">
      <w:pPr>
        <w:ind w:left="281" w:right="51"/>
        <w:jc w:val="left"/>
      </w:pPr>
      <w:r>
        <w:rPr>
          <w:b/>
        </w:rPr>
        <w:t>Цели лечения пожилых больных СД 2 типа зависят от:</w:t>
      </w:r>
    </w:p>
    <w:p w:rsidR="00D27BC6" w:rsidRDefault="004D5071">
      <w:pPr>
        <w:numPr>
          <w:ilvl w:val="0"/>
          <w:numId w:val="158"/>
        </w:numPr>
        <w:ind w:right="0" w:hanging="283"/>
      </w:pPr>
      <w:r>
        <w:t xml:space="preserve">ожидаемой продолжительности жизни больного; </w:t>
      </w:r>
    </w:p>
    <w:p w:rsidR="00D27BC6" w:rsidRDefault="004D5071">
      <w:pPr>
        <w:numPr>
          <w:ilvl w:val="0"/>
          <w:numId w:val="158"/>
        </w:numPr>
        <w:ind w:right="0" w:hanging="283"/>
      </w:pPr>
      <w:r>
        <w:t xml:space="preserve">коморбидной патологии, прежде всего состояния сердечно-сосудистой системы; </w:t>
      </w:r>
    </w:p>
    <w:p w:rsidR="00D27BC6" w:rsidRDefault="004D5071">
      <w:pPr>
        <w:numPr>
          <w:ilvl w:val="0"/>
          <w:numId w:val="158"/>
        </w:numPr>
        <w:ind w:right="0" w:hanging="283"/>
      </w:pPr>
      <w:r>
        <w:t>риска гипогликемических состояний;</w:t>
      </w:r>
    </w:p>
    <w:p w:rsidR="00D27BC6" w:rsidRDefault="004D5071">
      <w:pPr>
        <w:numPr>
          <w:ilvl w:val="0"/>
          <w:numId w:val="158"/>
        </w:numPr>
        <w:ind w:right="0" w:hanging="283"/>
      </w:pPr>
      <w:r>
        <w:t>сохранности когнитивных функций (в том числе способности выполнять контрольные и лечебные мероприятия;</w:t>
      </w:r>
    </w:p>
    <w:p w:rsidR="00D27BC6" w:rsidRDefault="004D5071">
      <w:pPr>
        <w:numPr>
          <w:ilvl w:val="0"/>
          <w:numId w:val="158"/>
        </w:numPr>
        <w:spacing w:after="226"/>
        <w:ind w:right="0" w:hanging="283"/>
      </w:pPr>
      <w:r>
        <w:t>категории функциональной активности.</w:t>
      </w:r>
    </w:p>
    <w:p w:rsidR="00D27BC6" w:rsidRDefault="004D5071">
      <w:pPr>
        <w:ind w:left="281" w:right="51"/>
        <w:jc w:val="left"/>
      </w:pPr>
      <w:r>
        <w:rPr>
          <w:b/>
        </w:rPr>
        <w:t>Функц</w:t>
      </w:r>
      <w:r>
        <w:rPr>
          <w:b/>
        </w:rPr>
        <w:t>иональные категории пожилых больных СД</w:t>
      </w:r>
    </w:p>
    <w:p w:rsidR="00D27BC6" w:rsidRDefault="004D5071">
      <w:pPr>
        <w:ind w:left="-11" w:right="0" w:firstLine="283"/>
      </w:pPr>
      <w:r>
        <w:t>Пациенты пожилого и старческого возраста могут значительно отличаться друг от друга по уровню функциональной активности, характеризующей наличие и степень зависимости от посторонней помощи.</w:t>
      </w:r>
    </w:p>
    <w:p w:rsidR="00D27BC6" w:rsidRDefault="004D5071">
      <w:pPr>
        <w:pStyle w:val="Heading2"/>
        <w:spacing w:after="10" w:line="248" w:lineRule="auto"/>
        <w:ind w:left="-3" w:right="824"/>
      </w:pPr>
      <w:r>
        <w:rPr>
          <w:i/>
          <w:color w:val="000000"/>
        </w:rPr>
        <w:t xml:space="preserve">1. </w:t>
      </w:r>
      <w:r>
        <w:rPr>
          <w:i/>
          <w:color w:val="000000"/>
          <w:u w:val="single" w:color="000000"/>
        </w:rPr>
        <w:t>Категория пациентов: фун</w:t>
      </w:r>
      <w:r>
        <w:rPr>
          <w:i/>
          <w:color w:val="000000"/>
          <w:u w:val="single" w:color="000000"/>
        </w:rPr>
        <w:t>кционально независимые</w:t>
      </w:r>
    </w:p>
    <w:p w:rsidR="00D27BC6" w:rsidRDefault="004D5071">
      <w:pPr>
        <w:ind w:left="-11" w:right="0" w:firstLine="283"/>
      </w:pPr>
      <w:r>
        <w:t>Пациенты, которые не нуждаются в помощи при выполнении мероприятий повседневной активности, или нуждаются в ней в минимальном объеме (например, при необходимости добраться до мест, расположенных вне привычной дистанции).</w:t>
      </w:r>
    </w:p>
    <w:p w:rsidR="00D27BC6" w:rsidRDefault="004D5071">
      <w:pPr>
        <w:pStyle w:val="Heading2"/>
        <w:spacing w:after="10" w:line="248" w:lineRule="auto"/>
        <w:ind w:left="-3" w:right="824"/>
      </w:pPr>
      <w:r>
        <w:rPr>
          <w:i/>
          <w:color w:val="000000"/>
        </w:rPr>
        <w:t xml:space="preserve">2. </w:t>
      </w:r>
      <w:r>
        <w:rPr>
          <w:i/>
          <w:color w:val="000000"/>
          <w:u w:val="single" w:color="000000"/>
        </w:rPr>
        <w:t xml:space="preserve">Категория пациентов: функционально зависимые </w:t>
      </w:r>
    </w:p>
    <w:p w:rsidR="00D27BC6" w:rsidRDefault="004D5071">
      <w:pPr>
        <w:spacing w:after="230"/>
        <w:ind w:left="-11" w:right="0" w:firstLine="283"/>
      </w:pPr>
      <w:r>
        <w:t>Пожилые люди, регулярно нуждающиеся в посторонней помощи в ежедневной активности по причине ухудшения их функционального статуса. Для них характерна более низкая ожидаемая продолжительность жизни и более высоки</w:t>
      </w:r>
      <w:r>
        <w:t xml:space="preserve">й риск госпитализаций. </w:t>
      </w:r>
    </w:p>
    <w:p w:rsidR="00D27BC6" w:rsidRDefault="004D5071">
      <w:pPr>
        <w:ind w:left="294" w:right="0"/>
      </w:pPr>
      <w:r>
        <w:t xml:space="preserve">Отдельного рассмотрения требуют две подгруппы пациентов – с синдромом старческой астении и с деменцией. </w:t>
      </w:r>
    </w:p>
    <w:p w:rsidR="00D27BC6" w:rsidRDefault="004D5071">
      <w:pPr>
        <w:spacing w:after="3" w:line="259" w:lineRule="auto"/>
        <w:ind w:left="280" w:right="0"/>
        <w:jc w:val="left"/>
      </w:pPr>
      <w:r>
        <w:rPr>
          <w:b/>
          <w:i/>
        </w:rPr>
        <w:t>Подкатегория А:</w:t>
      </w:r>
    </w:p>
    <w:p w:rsidR="00D27BC6" w:rsidRDefault="004D5071">
      <w:pPr>
        <w:ind w:left="-11" w:right="0" w:firstLine="283"/>
      </w:pPr>
      <w:r>
        <w:rPr>
          <w:b/>
          <w:i/>
        </w:rPr>
        <w:t>Старческая астения</w:t>
      </w:r>
      <w:r>
        <w:t xml:space="preserve"> – ассоциированный с возрастом синдром, основными клиническими проявлениями которого являются</w:t>
      </w:r>
      <w:r>
        <w:t xml:space="preserve"> повышенная утомляемость, непреднамеренная потеря веса, снижение мобильности и мышечной силы. В основе развития старческой астении лежит саркопения – возраст-ассоциированная мышечная атрофия. Для скрининга синдрома старческой астении может быть использован</w:t>
      </w:r>
      <w:r>
        <w:t xml:space="preserve"> опросник «Возраст не помеха» (см. приложение 15).</w:t>
      </w:r>
    </w:p>
    <w:p w:rsidR="00D27BC6" w:rsidRDefault="004D5071">
      <w:pPr>
        <w:spacing w:after="3" w:line="259" w:lineRule="auto"/>
        <w:ind w:left="280" w:right="0"/>
        <w:jc w:val="left"/>
      </w:pPr>
      <w:r>
        <w:rPr>
          <w:b/>
          <w:i/>
        </w:rPr>
        <w:t xml:space="preserve">Подкатегория В: </w:t>
      </w:r>
    </w:p>
    <w:p w:rsidR="00D27BC6" w:rsidRDefault="004D5071">
      <w:pPr>
        <w:ind w:left="-11" w:right="0" w:firstLine="284"/>
      </w:pPr>
      <w:r>
        <w:rPr>
          <w:b/>
          <w:i/>
        </w:rPr>
        <w:t>Деменция.</w:t>
      </w:r>
      <w:r>
        <w:rPr>
          <w:b/>
        </w:rPr>
        <w:t xml:space="preserve"> </w:t>
      </w:r>
      <w:r>
        <w:t>Пациенты с деменцией имеют тяжелые нарушения когнитивных функций – памяти, мышления, внимания, ориентации во времени и в пространстве и т.д., что приводит к постепенной потери сп</w:t>
      </w:r>
      <w:r>
        <w:t>особности к самообслуживанию и зачастую сопровождается развитием поведенческих и психических нарушений. При этом в физическом отношении пациенты с деменцией могут оставаться длительное время достаточно сохранными.</w:t>
      </w:r>
    </w:p>
    <w:p w:rsidR="00D27BC6" w:rsidRDefault="004D5071">
      <w:pPr>
        <w:ind w:left="272" w:right="4388" w:hanging="283"/>
      </w:pPr>
      <w:r>
        <w:rPr>
          <w:b/>
          <w:i/>
        </w:rPr>
        <w:t xml:space="preserve">3. </w:t>
      </w:r>
      <w:r>
        <w:rPr>
          <w:b/>
          <w:i/>
          <w:u w:val="single" w:color="000000"/>
        </w:rPr>
        <w:t>Категория пациентов: завершающий этап ж</w:t>
      </w:r>
      <w:r>
        <w:rPr>
          <w:b/>
          <w:i/>
          <w:u w:val="single" w:color="000000"/>
        </w:rPr>
        <w:t xml:space="preserve">изни </w:t>
      </w:r>
      <w:r>
        <w:t>Ожидаемая продолжительность жизни менее 6 мес.</w:t>
      </w:r>
    </w:p>
    <w:p w:rsidR="00D27BC6" w:rsidRDefault="004D5071">
      <w:pPr>
        <w:ind w:left="-11" w:right="0" w:firstLine="283"/>
      </w:pPr>
      <w:r>
        <w:t>У пожилых пациентов следует проводить скрининг гериатрических синдромов, депрессии и когнитивных нарушений (в соответствии с клиническими рекомендациями профессионального сообщества врачей-гериатров).</w:t>
      </w:r>
    </w:p>
    <w:p w:rsidR="00D27BC6" w:rsidRDefault="004D5071">
      <w:pPr>
        <w:pStyle w:val="Heading2"/>
        <w:ind w:left="-3"/>
      </w:pPr>
      <w:r>
        <w:t>Алг</w:t>
      </w:r>
      <w:r>
        <w:t>оритм индивидуализированного выбора целей терапии по HbA1c</w:t>
      </w:r>
      <w:r>
        <w:rPr>
          <w:sz w:val="18"/>
          <w:vertAlign w:val="superscript"/>
        </w:rPr>
        <w:t>1</w:t>
      </w:r>
      <w:r>
        <w:t xml:space="preserve"> у пожилых пациентов</w:t>
      </w:r>
    </w:p>
    <w:p w:rsidR="00D27BC6" w:rsidRDefault="004D5071">
      <w:pPr>
        <w:spacing w:after="80" w:line="259" w:lineRule="auto"/>
        <w:ind w:left="1" w:right="0" w:firstLine="0"/>
        <w:jc w:val="left"/>
      </w:pPr>
      <w:r>
        <w:rPr>
          <w:noProof/>
          <w:sz w:val="22"/>
        </w:rPr>
        <mc:AlternateContent>
          <mc:Choice Requires="wpg">
            <w:drawing>
              <wp:inline distT="0" distB="0" distL="0" distR="0">
                <wp:extent cx="6479995" cy="2768753"/>
                <wp:effectExtent l="0" t="0" r="0" b="0"/>
                <wp:docPr id="298006" name="Group 298006"/>
                <wp:cNvGraphicFramePr/>
                <a:graphic xmlns:a="http://schemas.openxmlformats.org/drawingml/2006/main">
                  <a:graphicData uri="http://schemas.microsoft.com/office/word/2010/wordprocessingGroup">
                    <wpg:wgp>
                      <wpg:cNvGrpSpPr/>
                      <wpg:grpSpPr>
                        <a:xfrm>
                          <a:off x="0" y="0"/>
                          <a:ext cx="6479995" cy="2768753"/>
                          <a:chOff x="0" y="0"/>
                          <a:chExt cx="6479995" cy="2768753"/>
                        </a:xfrm>
                      </wpg:grpSpPr>
                      <wps:wsp>
                        <wps:cNvPr id="24080" name="Shape 24080"/>
                        <wps:cNvSpPr/>
                        <wps:spPr>
                          <a:xfrm>
                            <a:off x="4500" y="0"/>
                            <a:ext cx="6471006" cy="2768752"/>
                          </a:xfrm>
                          <a:custGeom>
                            <a:avLst/>
                            <a:gdLst/>
                            <a:ahLst/>
                            <a:cxnLst/>
                            <a:rect l="0" t="0" r="0" b="0"/>
                            <a:pathLst>
                              <a:path w="6471006" h="2768752">
                                <a:moveTo>
                                  <a:pt x="0" y="0"/>
                                </a:moveTo>
                                <a:lnTo>
                                  <a:pt x="1291501" y="0"/>
                                </a:lnTo>
                                <a:lnTo>
                                  <a:pt x="2318664" y="0"/>
                                </a:lnTo>
                                <a:lnTo>
                                  <a:pt x="6471006" y="0"/>
                                </a:lnTo>
                                <a:lnTo>
                                  <a:pt x="6471006" y="203251"/>
                                </a:lnTo>
                                <a:lnTo>
                                  <a:pt x="6470993" y="203251"/>
                                </a:lnTo>
                                <a:lnTo>
                                  <a:pt x="6470993" y="406502"/>
                                </a:lnTo>
                                <a:lnTo>
                                  <a:pt x="6470993" y="406502"/>
                                </a:lnTo>
                                <a:lnTo>
                                  <a:pt x="6470993" y="965250"/>
                                </a:lnTo>
                                <a:lnTo>
                                  <a:pt x="5400155" y="965250"/>
                                </a:lnTo>
                                <a:lnTo>
                                  <a:pt x="4372991" y="965250"/>
                                </a:lnTo>
                                <a:lnTo>
                                  <a:pt x="3345828" y="965250"/>
                                </a:lnTo>
                                <a:lnTo>
                                  <a:pt x="3345828" y="965251"/>
                                </a:lnTo>
                                <a:lnTo>
                                  <a:pt x="2318664" y="965251"/>
                                </a:lnTo>
                                <a:lnTo>
                                  <a:pt x="1291501" y="965251"/>
                                </a:lnTo>
                                <a:lnTo>
                                  <a:pt x="1291501" y="1867002"/>
                                </a:lnTo>
                                <a:lnTo>
                                  <a:pt x="1291501" y="1867002"/>
                                </a:lnTo>
                                <a:lnTo>
                                  <a:pt x="1291501" y="2768752"/>
                                </a:lnTo>
                                <a:lnTo>
                                  <a:pt x="0" y="2768752"/>
                                </a:lnTo>
                                <a:lnTo>
                                  <a:pt x="0" y="1867002"/>
                                </a:lnTo>
                                <a:lnTo>
                                  <a:pt x="0" y="1867002"/>
                                </a:lnTo>
                                <a:lnTo>
                                  <a:pt x="0" y="965251"/>
                                </a:lnTo>
                                <a:lnTo>
                                  <a:pt x="0" y="0"/>
                                </a:lnTo>
                                <a:close/>
                              </a:path>
                            </a:pathLst>
                          </a:custGeom>
                          <a:ln w="0" cap="flat">
                            <a:miter lim="127000"/>
                          </a:ln>
                        </wps:spPr>
                        <wps:style>
                          <a:lnRef idx="0">
                            <a:srgbClr val="000000">
                              <a:alpha val="0"/>
                            </a:srgbClr>
                          </a:lnRef>
                          <a:fillRef idx="1">
                            <a:srgbClr val="DADAD9"/>
                          </a:fillRef>
                          <a:effectRef idx="0">
                            <a:scrgbClr r="0" g="0" b="0"/>
                          </a:effectRef>
                          <a:fontRef idx="none"/>
                        </wps:style>
                        <wps:bodyPr/>
                      </wps:wsp>
                      <wps:wsp>
                        <wps:cNvPr id="380784" name="Shape 380784"/>
                        <wps:cNvSpPr/>
                        <wps:spPr>
                          <a:xfrm>
                            <a:off x="1296001" y="965251"/>
                            <a:ext cx="1027163" cy="901751"/>
                          </a:xfrm>
                          <a:custGeom>
                            <a:avLst/>
                            <a:gdLst/>
                            <a:ahLst/>
                            <a:cxnLst/>
                            <a:rect l="0" t="0" r="0" b="0"/>
                            <a:pathLst>
                              <a:path w="1027163" h="901751">
                                <a:moveTo>
                                  <a:pt x="0" y="0"/>
                                </a:moveTo>
                                <a:lnTo>
                                  <a:pt x="1027163" y="0"/>
                                </a:lnTo>
                                <a:lnTo>
                                  <a:pt x="1027163" y="901751"/>
                                </a:lnTo>
                                <a:lnTo>
                                  <a:pt x="0" y="901751"/>
                                </a:lnTo>
                                <a:lnTo>
                                  <a:pt x="0" y="0"/>
                                </a:lnTo>
                              </a:path>
                            </a:pathLst>
                          </a:custGeom>
                          <a:ln w="0" cap="flat">
                            <a:miter lim="127000"/>
                          </a:ln>
                        </wps:spPr>
                        <wps:style>
                          <a:lnRef idx="0">
                            <a:srgbClr val="000000">
                              <a:alpha val="0"/>
                            </a:srgbClr>
                          </a:lnRef>
                          <a:fillRef idx="1">
                            <a:srgbClr val="FFED00"/>
                          </a:fillRef>
                          <a:effectRef idx="0">
                            <a:scrgbClr r="0" g="0" b="0"/>
                          </a:effectRef>
                          <a:fontRef idx="none"/>
                        </wps:style>
                        <wps:bodyPr/>
                      </wps:wsp>
                      <wps:wsp>
                        <wps:cNvPr id="380785" name="Shape 380785"/>
                        <wps:cNvSpPr/>
                        <wps:spPr>
                          <a:xfrm>
                            <a:off x="2323164" y="965251"/>
                            <a:ext cx="1027163" cy="901751"/>
                          </a:xfrm>
                          <a:custGeom>
                            <a:avLst/>
                            <a:gdLst/>
                            <a:ahLst/>
                            <a:cxnLst/>
                            <a:rect l="0" t="0" r="0" b="0"/>
                            <a:pathLst>
                              <a:path w="1027163" h="901751">
                                <a:moveTo>
                                  <a:pt x="0" y="0"/>
                                </a:moveTo>
                                <a:lnTo>
                                  <a:pt x="1027163" y="0"/>
                                </a:lnTo>
                                <a:lnTo>
                                  <a:pt x="1027163" y="901751"/>
                                </a:lnTo>
                                <a:lnTo>
                                  <a:pt x="0" y="901751"/>
                                </a:lnTo>
                                <a:lnTo>
                                  <a:pt x="0" y="0"/>
                                </a:lnTo>
                              </a:path>
                            </a:pathLst>
                          </a:custGeom>
                          <a:ln w="0" cap="flat">
                            <a:miter lim="127000"/>
                          </a:ln>
                        </wps:spPr>
                        <wps:style>
                          <a:lnRef idx="0">
                            <a:srgbClr val="000000">
                              <a:alpha val="0"/>
                            </a:srgbClr>
                          </a:lnRef>
                          <a:fillRef idx="1">
                            <a:srgbClr val="F8C998"/>
                          </a:fillRef>
                          <a:effectRef idx="0">
                            <a:scrgbClr r="0" g="0" b="0"/>
                          </a:effectRef>
                          <a:fontRef idx="none"/>
                        </wps:style>
                        <wps:bodyPr/>
                      </wps:wsp>
                      <wps:wsp>
                        <wps:cNvPr id="380786" name="Shape 380786"/>
                        <wps:cNvSpPr/>
                        <wps:spPr>
                          <a:xfrm>
                            <a:off x="3350327" y="965251"/>
                            <a:ext cx="1027163" cy="1803502"/>
                          </a:xfrm>
                          <a:custGeom>
                            <a:avLst/>
                            <a:gdLst/>
                            <a:ahLst/>
                            <a:cxnLst/>
                            <a:rect l="0" t="0" r="0" b="0"/>
                            <a:pathLst>
                              <a:path w="1027163" h="1803502">
                                <a:moveTo>
                                  <a:pt x="0" y="0"/>
                                </a:moveTo>
                                <a:lnTo>
                                  <a:pt x="1027163" y="0"/>
                                </a:lnTo>
                                <a:lnTo>
                                  <a:pt x="1027163" y="1803502"/>
                                </a:lnTo>
                                <a:lnTo>
                                  <a:pt x="0" y="1803502"/>
                                </a:lnTo>
                                <a:lnTo>
                                  <a:pt x="0" y="0"/>
                                </a:lnTo>
                              </a:path>
                            </a:pathLst>
                          </a:custGeom>
                          <a:ln w="0" cap="flat">
                            <a:miter lim="127000"/>
                          </a:ln>
                        </wps:spPr>
                        <wps:style>
                          <a:lnRef idx="0">
                            <a:srgbClr val="000000">
                              <a:alpha val="0"/>
                            </a:srgbClr>
                          </a:lnRef>
                          <a:fillRef idx="1">
                            <a:srgbClr val="ECB681"/>
                          </a:fillRef>
                          <a:effectRef idx="0">
                            <a:scrgbClr r="0" g="0" b="0"/>
                          </a:effectRef>
                          <a:fontRef idx="none"/>
                        </wps:style>
                        <wps:bodyPr/>
                      </wps:wsp>
                      <wps:wsp>
                        <wps:cNvPr id="380787" name="Shape 380787"/>
                        <wps:cNvSpPr/>
                        <wps:spPr>
                          <a:xfrm>
                            <a:off x="4377491" y="965251"/>
                            <a:ext cx="1027163" cy="1803502"/>
                          </a:xfrm>
                          <a:custGeom>
                            <a:avLst/>
                            <a:gdLst/>
                            <a:ahLst/>
                            <a:cxnLst/>
                            <a:rect l="0" t="0" r="0" b="0"/>
                            <a:pathLst>
                              <a:path w="1027163" h="1803502">
                                <a:moveTo>
                                  <a:pt x="0" y="0"/>
                                </a:moveTo>
                                <a:lnTo>
                                  <a:pt x="1027163" y="0"/>
                                </a:lnTo>
                                <a:lnTo>
                                  <a:pt x="1027163" y="1803502"/>
                                </a:lnTo>
                                <a:lnTo>
                                  <a:pt x="0" y="1803502"/>
                                </a:lnTo>
                                <a:lnTo>
                                  <a:pt x="0" y="0"/>
                                </a:lnTo>
                              </a:path>
                            </a:pathLst>
                          </a:custGeom>
                          <a:ln w="0" cap="flat">
                            <a:miter lim="127000"/>
                          </a:ln>
                        </wps:spPr>
                        <wps:style>
                          <a:lnRef idx="0">
                            <a:srgbClr val="000000">
                              <a:alpha val="0"/>
                            </a:srgbClr>
                          </a:lnRef>
                          <a:fillRef idx="1">
                            <a:srgbClr val="E8A662"/>
                          </a:fillRef>
                          <a:effectRef idx="0">
                            <a:scrgbClr r="0" g="0" b="0"/>
                          </a:effectRef>
                          <a:fontRef idx="none"/>
                        </wps:style>
                        <wps:bodyPr/>
                      </wps:wsp>
                      <wps:wsp>
                        <wps:cNvPr id="380788" name="Shape 380788"/>
                        <wps:cNvSpPr/>
                        <wps:spPr>
                          <a:xfrm>
                            <a:off x="5404654" y="965251"/>
                            <a:ext cx="1070839" cy="1803502"/>
                          </a:xfrm>
                          <a:custGeom>
                            <a:avLst/>
                            <a:gdLst/>
                            <a:ahLst/>
                            <a:cxnLst/>
                            <a:rect l="0" t="0" r="0" b="0"/>
                            <a:pathLst>
                              <a:path w="1070839" h="1803502">
                                <a:moveTo>
                                  <a:pt x="0" y="0"/>
                                </a:moveTo>
                                <a:lnTo>
                                  <a:pt x="1070839" y="0"/>
                                </a:lnTo>
                                <a:lnTo>
                                  <a:pt x="1070839" y="1803502"/>
                                </a:lnTo>
                                <a:lnTo>
                                  <a:pt x="0" y="1803502"/>
                                </a:lnTo>
                                <a:lnTo>
                                  <a:pt x="0" y="0"/>
                                </a:lnTo>
                              </a:path>
                            </a:pathLst>
                          </a:custGeom>
                          <a:ln w="0" cap="flat">
                            <a:miter lim="127000"/>
                          </a:ln>
                        </wps:spPr>
                        <wps:style>
                          <a:lnRef idx="0">
                            <a:srgbClr val="000000">
                              <a:alpha val="0"/>
                            </a:srgbClr>
                          </a:lnRef>
                          <a:fillRef idx="1">
                            <a:srgbClr val="E59547"/>
                          </a:fillRef>
                          <a:effectRef idx="0">
                            <a:scrgbClr r="0" g="0" b="0"/>
                          </a:effectRef>
                          <a:fontRef idx="none"/>
                        </wps:style>
                        <wps:bodyPr/>
                      </wps:wsp>
                      <wps:wsp>
                        <wps:cNvPr id="380789" name="Shape 380789"/>
                        <wps:cNvSpPr/>
                        <wps:spPr>
                          <a:xfrm>
                            <a:off x="1296001" y="1867002"/>
                            <a:ext cx="1027163" cy="901750"/>
                          </a:xfrm>
                          <a:custGeom>
                            <a:avLst/>
                            <a:gdLst/>
                            <a:ahLst/>
                            <a:cxnLst/>
                            <a:rect l="0" t="0" r="0" b="0"/>
                            <a:pathLst>
                              <a:path w="1027163" h="901750">
                                <a:moveTo>
                                  <a:pt x="0" y="0"/>
                                </a:moveTo>
                                <a:lnTo>
                                  <a:pt x="1027163" y="0"/>
                                </a:lnTo>
                                <a:lnTo>
                                  <a:pt x="1027163" y="901750"/>
                                </a:lnTo>
                                <a:lnTo>
                                  <a:pt x="0" y="901750"/>
                                </a:lnTo>
                                <a:lnTo>
                                  <a:pt x="0" y="0"/>
                                </a:lnTo>
                              </a:path>
                            </a:pathLst>
                          </a:custGeom>
                          <a:ln w="0" cap="flat">
                            <a:miter lim="127000"/>
                          </a:ln>
                        </wps:spPr>
                        <wps:style>
                          <a:lnRef idx="0">
                            <a:srgbClr val="000000">
                              <a:alpha val="0"/>
                            </a:srgbClr>
                          </a:lnRef>
                          <a:fillRef idx="1">
                            <a:srgbClr val="F8C899"/>
                          </a:fillRef>
                          <a:effectRef idx="0">
                            <a:scrgbClr r="0" g="0" b="0"/>
                          </a:effectRef>
                          <a:fontRef idx="none"/>
                        </wps:style>
                        <wps:bodyPr/>
                      </wps:wsp>
                      <wps:wsp>
                        <wps:cNvPr id="380790" name="Shape 380790"/>
                        <wps:cNvSpPr/>
                        <wps:spPr>
                          <a:xfrm>
                            <a:off x="2323164" y="1867002"/>
                            <a:ext cx="1027163" cy="901750"/>
                          </a:xfrm>
                          <a:custGeom>
                            <a:avLst/>
                            <a:gdLst/>
                            <a:ahLst/>
                            <a:cxnLst/>
                            <a:rect l="0" t="0" r="0" b="0"/>
                            <a:pathLst>
                              <a:path w="1027163" h="901750">
                                <a:moveTo>
                                  <a:pt x="0" y="0"/>
                                </a:moveTo>
                                <a:lnTo>
                                  <a:pt x="1027163" y="0"/>
                                </a:lnTo>
                                <a:lnTo>
                                  <a:pt x="1027163" y="901750"/>
                                </a:lnTo>
                                <a:lnTo>
                                  <a:pt x="0" y="901750"/>
                                </a:lnTo>
                                <a:lnTo>
                                  <a:pt x="0" y="0"/>
                                </a:lnTo>
                              </a:path>
                            </a:pathLst>
                          </a:custGeom>
                          <a:ln w="0" cap="flat">
                            <a:miter lim="127000"/>
                          </a:ln>
                        </wps:spPr>
                        <wps:style>
                          <a:lnRef idx="0">
                            <a:srgbClr val="000000">
                              <a:alpha val="0"/>
                            </a:srgbClr>
                          </a:lnRef>
                          <a:fillRef idx="1">
                            <a:srgbClr val="ECB681"/>
                          </a:fillRef>
                          <a:effectRef idx="0">
                            <a:scrgbClr r="0" g="0" b="0"/>
                          </a:effectRef>
                          <a:fontRef idx="none"/>
                        </wps:style>
                        <wps:bodyPr/>
                      </wps:wsp>
                      <wps:wsp>
                        <wps:cNvPr id="24088" name="Shape 24088"/>
                        <wps:cNvSpPr/>
                        <wps:spPr>
                          <a:xfrm>
                            <a:off x="0" y="2"/>
                            <a:ext cx="1295997" cy="0"/>
                          </a:xfrm>
                          <a:custGeom>
                            <a:avLst/>
                            <a:gdLst/>
                            <a:ahLst/>
                            <a:cxnLst/>
                            <a:rect l="0" t="0" r="0" b="0"/>
                            <a:pathLst>
                              <a:path w="1295997">
                                <a:moveTo>
                                  <a:pt x="0" y="0"/>
                                </a:moveTo>
                                <a:lnTo>
                                  <a:pt x="1295997"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089" name="Shape 24089"/>
                        <wps:cNvSpPr/>
                        <wps:spPr>
                          <a:xfrm>
                            <a:off x="4500" y="4498"/>
                            <a:ext cx="0" cy="198755"/>
                          </a:xfrm>
                          <a:custGeom>
                            <a:avLst/>
                            <a:gdLst/>
                            <a:ahLst/>
                            <a:cxnLst/>
                            <a:rect l="0" t="0" r="0" b="0"/>
                            <a:pathLst>
                              <a:path h="198755">
                                <a:moveTo>
                                  <a:pt x="0" y="19875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090" name="Shape 24090"/>
                        <wps:cNvSpPr/>
                        <wps:spPr>
                          <a:xfrm>
                            <a:off x="1295999" y="2"/>
                            <a:ext cx="1027163" cy="0"/>
                          </a:xfrm>
                          <a:custGeom>
                            <a:avLst/>
                            <a:gdLst/>
                            <a:ahLst/>
                            <a:cxnLst/>
                            <a:rect l="0" t="0" r="0" b="0"/>
                            <a:pathLst>
                              <a:path w="1027163">
                                <a:moveTo>
                                  <a:pt x="0" y="0"/>
                                </a:moveTo>
                                <a:lnTo>
                                  <a:pt x="1027163"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091" name="Shape 24091"/>
                        <wps:cNvSpPr/>
                        <wps:spPr>
                          <a:xfrm>
                            <a:off x="1295999" y="4498"/>
                            <a:ext cx="0" cy="198755"/>
                          </a:xfrm>
                          <a:custGeom>
                            <a:avLst/>
                            <a:gdLst/>
                            <a:ahLst/>
                            <a:cxnLst/>
                            <a:rect l="0" t="0" r="0" b="0"/>
                            <a:pathLst>
                              <a:path h="198755">
                                <a:moveTo>
                                  <a:pt x="0" y="19875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092" name="Shape 24092"/>
                        <wps:cNvSpPr/>
                        <wps:spPr>
                          <a:xfrm>
                            <a:off x="4500" y="203251"/>
                            <a:ext cx="0" cy="203251"/>
                          </a:xfrm>
                          <a:custGeom>
                            <a:avLst/>
                            <a:gdLst/>
                            <a:ahLst/>
                            <a:cxnLst/>
                            <a:rect l="0" t="0" r="0" b="0"/>
                            <a:pathLst>
                              <a:path h="203251">
                                <a:moveTo>
                                  <a:pt x="0" y="203251"/>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093" name="Shape 24093"/>
                        <wps:cNvSpPr/>
                        <wps:spPr>
                          <a:xfrm>
                            <a:off x="1295999" y="203251"/>
                            <a:ext cx="0" cy="203251"/>
                          </a:xfrm>
                          <a:custGeom>
                            <a:avLst/>
                            <a:gdLst/>
                            <a:ahLst/>
                            <a:cxnLst/>
                            <a:rect l="0" t="0" r="0" b="0"/>
                            <a:pathLst>
                              <a:path h="203251">
                                <a:moveTo>
                                  <a:pt x="0" y="203251"/>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094" name="Shape 24094"/>
                        <wps:cNvSpPr/>
                        <wps:spPr>
                          <a:xfrm>
                            <a:off x="4500" y="406500"/>
                            <a:ext cx="0" cy="554253"/>
                          </a:xfrm>
                          <a:custGeom>
                            <a:avLst/>
                            <a:gdLst/>
                            <a:ahLst/>
                            <a:cxnLst/>
                            <a:rect l="0" t="0" r="0" b="0"/>
                            <a:pathLst>
                              <a:path h="554253">
                                <a:moveTo>
                                  <a:pt x="0" y="55425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095" name="Shape 24095"/>
                        <wps:cNvSpPr/>
                        <wps:spPr>
                          <a:xfrm>
                            <a:off x="1295999" y="406500"/>
                            <a:ext cx="0" cy="554253"/>
                          </a:xfrm>
                          <a:custGeom>
                            <a:avLst/>
                            <a:gdLst/>
                            <a:ahLst/>
                            <a:cxnLst/>
                            <a:rect l="0" t="0" r="0" b="0"/>
                            <a:pathLst>
                              <a:path h="554253">
                                <a:moveTo>
                                  <a:pt x="0" y="55425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096" name="Shape 24096"/>
                        <wps:cNvSpPr/>
                        <wps:spPr>
                          <a:xfrm>
                            <a:off x="2323165" y="2"/>
                            <a:ext cx="1027163" cy="0"/>
                          </a:xfrm>
                          <a:custGeom>
                            <a:avLst/>
                            <a:gdLst/>
                            <a:ahLst/>
                            <a:cxnLst/>
                            <a:rect l="0" t="0" r="0" b="0"/>
                            <a:pathLst>
                              <a:path w="1027163">
                                <a:moveTo>
                                  <a:pt x="0" y="0"/>
                                </a:moveTo>
                                <a:lnTo>
                                  <a:pt x="1027163"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097" name="Shape 24097"/>
                        <wps:cNvSpPr/>
                        <wps:spPr>
                          <a:xfrm>
                            <a:off x="2323165" y="4507"/>
                            <a:ext cx="0" cy="194246"/>
                          </a:xfrm>
                          <a:custGeom>
                            <a:avLst/>
                            <a:gdLst/>
                            <a:ahLst/>
                            <a:cxnLst/>
                            <a:rect l="0" t="0" r="0" b="0"/>
                            <a:pathLst>
                              <a:path h="194246">
                                <a:moveTo>
                                  <a:pt x="0" y="194246"/>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098" name="Shape 24098"/>
                        <wps:cNvSpPr/>
                        <wps:spPr>
                          <a:xfrm>
                            <a:off x="3350330" y="2"/>
                            <a:ext cx="1027163" cy="0"/>
                          </a:xfrm>
                          <a:custGeom>
                            <a:avLst/>
                            <a:gdLst/>
                            <a:ahLst/>
                            <a:cxnLst/>
                            <a:rect l="0" t="0" r="0" b="0"/>
                            <a:pathLst>
                              <a:path w="1027163">
                                <a:moveTo>
                                  <a:pt x="0" y="0"/>
                                </a:moveTo>
                                <a:lnTo>
                                  <a:pt x="1027163"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099" name="Shape 24099"/>
                        <wps:cNvSpPr/>
                        <wps:spPr>
                          <a:xfrm>
                            <a:off x="4377495" y="2"/>
                            <a:ext cx="1027163" cy="0"/>
                          </a:xfrm>
                          <a:custGeom>
                            <a:avLst/>
                            <a:gdLst/>
                            <a:ahLst/>
                            <a:cxnLst/>
                            <a:rect l="0" t="0" r="0" b="0"/>
                            <a:pathLst>
                              <a:path w="1027163">
                                <a:moveTo>
                                  <a:pt x="0" y="0"/>
                                </a:moveTo>
                                <a:lnTo>
                                  <a:pt x="1027163"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00" name="Shape 24100"/>
                        <wps:cNvSpPr/>
                        <wps:spPr>
                          <a:xfrm>
                            <a:off x="5404660" y="2"/>
                            <a:ext cx="1075334" cy="0"/>
                          </a:xfrm>
                          <a:custGeom>
                            <a:avLst/>
                            <a:gdLst/>
                            <a:ahLst/>
                            <a:cxnLst/>
                            <a:rect l="0" t="0" r="0" b="0"/>
                            <a:pathLst>
                              <a:path w="1075334">
                                <a:moveTo>
                                  <a:pt x="0" y="0"/>
                                </a:moveTo>
                                <a:lnTo>
                                  <a:pt x="1075334"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01" name="Shape 24101"/>
                        <wps:cNvSpPr/>
                        <wps:spPr>
                          <a:xfrm>
                            <a:off x="6475500" y="4507"/>
                            <a:ext cx="0" cy="194246"/>
                          </a:xfrm>
                          <a:custGeom>
                            <a:avLst/>
                            <a:gdLst/>
                            <a:ahLst/>
                            <a:cxnLst/>
                            <a:rect l="0" t="0" r="0" b="0"/>
                            <a:pathLst>
                              <a:path h="194246">
                                <a:moveTo>
                                  <a:pt x="0" y="194246"/>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02" name="Shape 24102"/>
                        <wps:cNvSpPr/>
                        <wps:spPr>
                          <a:xfrm>
                            <a:off x="2318665" y="203253"/>
                            <a:ext cx="1031659" cy="0"/>
                          </a:xfrm>
                          <a:custGeom>
                            <a:avLst/>
                            <a:gdLst/>
                            <a:ahLst/>
                            <a:cxnLst/>
                            <a:rect l="0" t="0" r="0" b="0"/>
                            <a:pathLst>
                              <a:path w="1031659">
                                <a:moveTo>
                                  <a:pt x="0" y="0"/>
                                </a:moveTo>
                                <a:lnTo>
                                  <a:pt x="1031659"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03" name="Shape 24103"/>
                        <wps:cNvSpPr/>
                        <wps:spPr>
                          <a:xfrm>
                            <a:off x="2323165" y="207747"/>
                            <a:ext cx="0" cy="198755"/>
                          </a:xfrm>
                          <a:custGeom>
                            <a:avLst/>
                            <a:gdLst/>
                            <a:ahLst/>
                            <a:cxnLst/>
                            <a:rect l="0" t="0" r="0" b="0"/>
                            <a:pathLst>
                              <a:path h="198755">
                                <a:moveTo>
                                  <a:pt x="0" y="19875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04" name="Shape 24104"/>
                        <wps:cNvSpPr/>
                        <wps:spPr>
                          <a:xfrm>
                            <a:off x="2323165" y="406500"/>
                            <a:ext cx="0" cy="554253"/>
                          </a:xfrm>
                          <a:custGeom>
                            <a:avLst/>
                            <a:gdLst/>
                            <a:ahLst/>
                            <a:cxnLst/>
                            <a:rect l="0" t="0" r="0" b="0"/>
                            <a:pathLst>
                              <a:path h="554253">
                                <a:moveTo>
                                  <a:pt x="0" y="554253"/>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05" name="Shape 24105"/>
                        <wps:cNvSpPr/>
                        <wps:spPr>
                          <a:xfrm>
                            <a:off x="3350330" y="203253"/>
                            <a:ext cx="1027163" cy="0"/>
                          </a:xfrm>
                          <a:custGeom>
                            <a:avLst/>
                            <a:gdLst/>
                            <a:ahLst/>
                            <a:cxnLst/>
                            <a:rect l="0" t="0" r="0" b="0"/>
                            <a:pathLst>
                              <a:path w="1027163">
                                <a:moveTo>
                                  <a:pt x="0" y="0"/>
                                </a:moveTo>
                                <a:lnTo>
                                  <a:pt x="1027163"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06" name="Shape 24106"/>
                        <wps:cNvSpPr/>
                        <wps:spPr>
                          <a:xfrm>
                            <a:off x="3350330" y="207756"/>
                            <a:ext cx="0" cy="194246"/>
                          </a:xfrm>
                          <a:custGeom>
                            <a:avLst/>
                            <a:gdLst/>
                            <a:ahLst/>
                            <a:cxnLst/>
                            <a:rect l="0" t="0" r="0" b="0"/>
                            <a:pathLst>
                              <a:path h="194246">
                                <a:moveTo>
                                  <a:pt x="0" y="194246"/>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07" name="Shape 24107"/>
                        <wps:cNvSpPr/>
                        <wps:spPr>
                          <a:xfrm>
                            <a:off x="4377495" y="203253"/>
                            <a:ext cx="1027163" cy="0"/>
                          </a:xfrm>
                          <a:custGeom>
                            <a:avLst/>
                            <a:gdLst/>
                            <a:ahLst/>
                            <a:cxnLst/>
                            <a:rect l="0" t="0" r="0" b="0"/>
                            <a:pathLst>
                              <a:path w="1027163">
                                <a:moveTo>
                                  <a:pt x="0" y="0"/>
                                </a:moveTo>
                                <a:lnTo>
                                  <a:pt x="1027163"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08" name="Shape 24108"/>
                        <wps:cNvSpPr/>
                        <wps:spPr>
                          <a:xfrm>
                            <a:off x="5404660" y="203253"/>
                            <a:ext cx="1075334" cy="0"/>
                          </a:xfrm>
                          <a:custGeom>
                            <a:avLst/>
                            <a:gdLst/>
                            <a:ahLst/>
                            <a:cxnLst/>
                            <a:rect l="0" t="0" r="0" b="0"/>
                            <a:pathLst>
                              <a:path w="1075334">
                                <a:moveTo>
                                  <a:pt x="0" y="0"/>
                                </a:moveTo>
                                <a:lnTo>
                                  <a:pt x="1075334"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09" name="Shape 24109"/>
                        <wps:cNvSpPr/>
                        <wps:spPr>
                          <a:xfrm>
                            <a:off x="6475500" y="207756"/>
                            <a:ext cx="0" cy="194246"/>
                          </a:xfrm>
                          <a:custGeom>
                            <a:avLst/>
                            <a:gdLst/>
                            <a:ahLst/>
                            <a:cxnLst/>
                            <a:rect l="0" t="0" r="0" b="0"/>
                            <a:pathLst>
                              <a:path h="194246">
                                <a:moveTo>
                                  <a:pt x="0" y="194246"/>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10" name="Shape 24110"/>
                        <wps:cNvSpPr/>
                        <wps:spPr>
                          <a:xfrm>
                            <a:off x="3345830" y="406502"/>
                            <a:ext cx="1031659" cy="0"/>
                          </a:xfrm>
                          <a:custGeom>
                            <a:avLst/>
                            <a:gdLst/>
                            <a:ahLst/>
                            <a:cxnLst/>
                            <a:rect l="0" t="0" r="0" b="0"/>
                            <a:pathLst>
                              <a:path w="1031659">
                                <a:moveTo>
                                  <a:pt x="0" y="0"/>
                                </a:moveTo>
                                <a:lnTo>
                                  <a:pt x="1031659"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11" name="Shape 24111"/>
                        <wps:cNvSpPr/>
                        <wps:spPr>
                          <a:xfrm>
                            <a:off x="3350330" y="411008"/>
                            <a:ext cx="0" cy="549745"/>
                          </a:xfrm>
                          <a:custGeom>
                            <a:avLst/>
                            <a:gdLst/>
                            <a:ahLst/>
                            <a:cxnLst/>
                            <a:rect l="0" t="0" r="0" b="0"/>
                            <a:pathLst>
                              <a:path h="549745">
                                <a:moveTo>
                                  <a:pt x="0" y="54974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12" name="Shape 24112"/>
                        <wps:cNvSpPr/>
                        <wps:spPr>
                          <a:xfrm>
                            <a:off x="4377495" y="406502"/>
                            <a:ext cx="1027163" cy="0"/>
                          </a:xfrm>
                          <a:custGeom>
                            <a:avLst/>
                            <a:gdLst/>
                            <a:ahLst/>
                            <a:cxnLst/>
                            <a:rect l="0" t="0" r="0" b="0"/>
                            <a:pathLst>
                              <a:path w="1027163">
                                <a:moveTo>
                                  <a:pt x="0" y="0"/>
                                </a:moveTo>
                                <a:lnTo>
                                  <a:pt x="1027163"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13" name="Shape 24113"/>
                        <wps:cNvSpPr/>
                        <wps:spPr>
                          <a:xfrm>
                            <a:off x="4377495" y="411008"/>
                            <a:ext cx="0" cy="549745"/>
                          </a:xfrm>
                          <a:custGeom>
                            <a:avLst/>
                            <a:gdLst/>
                            <a:ahLst/>
                            <a:cxnLst/>
                            <a:rect l="0" t="0" r="0" b="0"/>
                            <a:pathLst>
                              <a:path h="549745">
                                <a:moveTo>
                                  <a:pt x="0" y="54974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14" name="Shape 24114"/>
                        <wps:cNvSpPr/>
                        <wps:spPr>
                          <a:xfrm>
                            <a:off x="5404660" y="406502"/>
                            <a:ext cx="1075334" cy="0"/>
                          </a:xfrm>
                          <a:custGeom>
                            <a:avLst/>
                            <a:gdLst/>
                            <a:ahLst/>
                            <a:cxnLst/>
                            <a:rect l="0" t="0" r="0" b="0"/>
                            <a:pathLst>
                              <a:path w="1075334">
                                <a:moveTo>
                                  <a:pt x="0" y="0"/>
                                </a:moveTo>
                                <a:lnTo>
                                  <a:pt x="1075334"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15" name="Shape 24115"/>
                        <wps:cNvSpPr/>
                        <wps:spPr>
                          <a:xfrm>
                            <a:off x="5404660" y="411008"/>
                            <a:ext cx="0" cy="549745"/>
                          </a:xfrm>
                          <a:custGeom>
                            <a:avLst/>
                            <a:gdLst/>
                            <a:ahLst/>
                            <a:cxnLst/>
                            <a:rect l="0" t="0" r="0" b="0"/>
                            <a:pathLst>
                              <a:path h="549745">
                                <a:moveTo>
                                  <a:pt x="0" y="54974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16" name="Shape 24116"/>
                        <wps:cNvSpPr/>
                        <wps:spPr>
                          <a:xfrm>
                            <a:off x="6475500" y="411008"/>
                            <a:ext cx="0" cy="549745"/>
                          </a:xfrm>
                          <a:custGeom>
                            <a:avLst/>
                            <a:gdLst/>
                            <a:ahLst/>
                            <a:cxnLst/>
                            <a:rect l="0" t="0" r="0" b="0"/>
                            <a:pathLst>
                              <a:path h="549745">
                                <a:moveTo>
                                  <a:pt x="0" y="54974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17" name="Shape 24117"/>
                        <wps:cNvSpPr/>
                        <wps:spPr>
                          <a:xfrm>
                            <a:off x="0" y="965253"/>
                            <a:ext cx="1295997" cy="0"/>
                          </a:xfrm>
                          <a:custGeom>
                            <a:avLst/>
                            <a:gdLst/>
                            <a:ahLst/>
                            <a:cxnLst/>
                            <a:rect l="0" t="0" r="0" b="0"/>
                            <a:pathLst>
                              <a:path w="1295997">
                                <a:moveTo>
                                  <a:pt x="0" y="0"/>
                                </a:moveTo>
                                <a:lnTo>
                                  <a:pt x="1295997"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18" name="Shape 24118"/>
                        <wps:cNvSpPr/>
                        <wps:spPr>
                          <a:xfrm>
                            <a:off x="4500" y="969756"/>
                            <a:ext cx="0" cy="892747"/>
                          </a:xfrm>
                          <a:custGeom>
                            <a:avLst/>
                            <a:gdLst/>
                            <a:ahLst/>
                            <a:cxnLst/>
                            <a:rect l="0" t="0" r="0" b="0"/>
                            <a:pathLst>
                              <a:path h="892747">
                                <a:moveTo>
                                  <a:pt x="0" y="89274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19" name="Shape 24119"/>
                        <wps:cNvSpPr/>
                        <wps:spPr>
                          <a:xfrm>
                            <a:off x="1295999" y="965253"/>
                            <a:ext cx="1027163" cy="0"/>
                          </a:xfrm>
                          <a:custGeom>
                            <a:avLst/>
                            <a:gdLst/>
                            <a:ahLst/>
                            <a:cxnLst/>
                            <a:rect l="0" t="0" r="0" b="0"/>
                            <a:pathLst>
                              <a:path w="1027163">
                                <a:moveTo>
                                  <a:pt x="0" y="0"/>
                                </a:moveTo>
                                <a:lnTo>
                                  <a:pt x="1027163"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20" name="Shape 24120"/>
                        <wps:cNvSpPr/>
                        <wps:spPr>
                          <a:xfrm>
                            <a:off x="1295999" y="969756"/>
                            <a:ext cx="0" cy="892747"/>
                          </a:xfrm>
                          <a:custGeom>
                            <a:avLst/>
                            <a:gdLst/>
                            <a:ahLst/>
                            <a:cxnLst/>
                            <a:rect l="0" t="0" r="0" b="0"/>
                            <a:pathLst>
                              <a:path h="892747">
                                <a:moveTo>
                                  <a:pt x="0" y="89274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21" name="Shape 24121"/>
                        <wps:cNvSpPr/>
                        <wps:spPr>
                          <a:xfrm>
                            <a:off x="0" y="1867002"/>
                            <a:ext cx="1295997" cy="0"/>
                          </a:xfrm>
                          <a:custGeom>
                            <a:avLst/>
                            <a:gdLst/>
                            <a:ahLst/>
                            <a:cxnLst/>
                            <a:rect l="0" t="0" r="0" b="0"/>
                            <a:pathLst>
                              <a:path w="1295997">
                                <a:moveTo>
                                  <a:pt x="0" y="0"/>
                                </a:moveTo>
                                <a:lnTo>
                                  <a:pt x="1295997"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22" name="Shape 24122"/>
                        <wps:cNvSpPr/>
                        <wps:spPr>
                          <a:xfrm>
                            <a:off x="4500" y="1871505"/>
                            <a:ext cx="0" cy="892747"/>
                          </a:xfrm>
                          <a:custGeom>
                            <a:avLst/>
                            <a:gdLst/>
                            <a:ahLst/>
                            <a:cxnLst/>
                            <a:rect l="0" t="0" r="0" b="0"/>
                            <a:pathLst>
                              <a:path h="892747">
                                <a:moveTo>
                                  <a:pt x="0" y="89274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23" name="Shape 24123"/>
                        <wps:cNvSpPr/>
                        <wps:spPr>
                          <a:xfrm>
                            <a:off x="0" y="2768751"/>
                            <a:ext cx="1295997" cy="0"/>
                          </a:xfrm>
                          <a:custGeom>
                            <a:avLst/>
                            <a:gdLst/>
                            <a:ahLst/>
                            <a:cxnLst/>
                            <a:rect l="0" t="0" r="0" b="0"/>
                            <a:pathLst>
                              <a:path w="1295997">
                                <a:moveTo>
                                  <a:pt x="0" y="0"/>
                                </a:moveTo>
                                <a:lnTo>
                                  <a:pt x="1295997"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24" name="Shape 24124"/>
                        <wps:cNvSpPr/>
                        <wps:spPr>
                          <a:xfrm>
                            <a:off x="5404660" y="965253"/>
                            <a:ext cx="1075334" cy="0"/>
                          </a:xfrm>
                          <a:custGeom>
                            <a:avLst/>
                            <a:gdLst/>
                            <a:ahLst/>
                            <a:cxnLst/>
                            <a:rect l="0" t="0" r="0" b="0"/>
                            <a:pathLst>
                              <a:path w="1075334">
                                <a:moveTo>
                                  <a:pt x="0" y="0"/>
                                </a:moveTo>
                                <a:lnTo>
                                  <a:pt x="1075334"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25" name="Shape 24125"/>
                        <wps:cNvSpPr/>
                        <wps:spPr>
                          <a:xfrm>
                            <a:off x="6475500" y="969747"/>
                            <a:ext cx="0" cy="897255"/>
                          </a:xfrm>
                          <a:custGeom>
                            <a:avLst/>
                            <a:gdLst/>
                            <a:ahLst/>
                            <a:cxnLst/>
                            <a:rect l="0" t="0" r="0" b="0"/>
                            <a:pathLst>
                              <a:path h="897255">
                                <a:moveTo>
                                  <a:pt x="0" y="89725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26" name="Shape 24126"/>
                        <wps:cNvSpPr/>
                        <wps:spPr>
                          <a:xfrm>
                            <a:off x="6475500" y="1866997"/>
                            <a:ext cx="0" cy="897255"/>
                          </a:xfrm>
                          <a:custGeom>
                            <a:avLst/>
                            <a:gdLst/>
                            <a:ahLst/>
                            <a:cxnLst/>
                            <a:rect l="0" t="0" r="0" b="0"/>
                            <a:pathLst>
                              <a:path h="897255">
                                <a:moveTo>
                                  <a:pt x="0" y="89725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27" name="Shape 24127"/>
                        <wps:cNvSpPr/>
                        <wps:spPr>
                          <a:xfrm>
                            <a:off x="5404660" y="2768751"/>
                            <a:ext cx="1075334" cy="0"/>
                          </a:xfrm>
                          <a:custGeom>
                            <a:avLst/>
                            <a:gdLst/>
                            <a:ahLst/>
                            <a:cxnLst/>
                            <a:rect l="0" t="0" r="0" b="0"/>
                            <a:pathLst>
                              <a:path w="1075334">
                                <a:moveTo>
                                  <a:pt x="0" y="0"/>
                                </a:moveTo>
                                <a:lnTo>
                                  <a:pt x="1075334"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28" name="Shape 24128"/>
                        <wps:cNvSpPr/>
                        <wps:spPr>
                          <a:xfrm>
                            <a:off x="4377495" y="965253"/>
                            <a:ext cx="1027163" cy="0"/>
                          </a:xfrm>
                          <a:custGeom>
                            <a:avLst/>
                            <a:gdLst/>
                            <a:ahLst/>
                            <a:cxnLst/>
                            <a:rect l="0" t="0" r="0" b="0"/>
                            <a:pathLst>
                              <a:path w="1027163">
                                <a:moveTo>
                                  <a:pt x="0" y="0"/>
                                </a:moveTo>
                                <a:lnTo>
                                  <a:pt x="1027163"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29" name="Shape 24129"/>
                        <wps:cNvSpPr/>
                        <wps:spPr>
                          <a:xfrm>
                            <a:off x="5404660" y="969747"/>
                            <a:ext cx="0" cy="897255"/>
                          </a:xfrm>
                          <a:custGeom>
                            <a:avLst/>
                            <a:gdLst/>
                            <a:ahLst/>
                            <a:cxnLst/>
                            <a:rect l="0" t="0" r="0" b="0"/>
                            <a:pathLst>
                              <a:path h="897255">
                                <a:moveTo>
                                  <a:pt x="0" y="89725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30" name="Shape 24130"/>
                        <wps:cNvSpPr/>
                        <wps:spPr>
                          <a:xfrm>
                            <a:off x="5404660" y="1866997"/>
                            <a:ext cx="0" cy="897255"/>
                          </a:xfrm>
                          <a:custGeom>
                            <a:avLst/>
                            <a:gdLst/>
                            <a:ahLst/>
                            <a:cxnLst/>
                            <a:rect l="0" t="0" r="0" b="0"/>
                            <a:pathLst>
                              <a:path h="897255">
                                <a:moveTo>
                                  <a:pt x="0" y="89725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31" name="Shape 24131"/>
                        <wps:cNvSpPr/>
                        <wps:spPr>
                          <a:xfrm>
                            <a:off x="4377495" y="2768751"/>
                            <a:ext cx="1027163" cy="0"/>
                          </a:xfrm>
                          <a:custGeom>
                            <a:avLst/>
                            <a:gdLst/>
                            <a:ahLst/>
                            <a:cxnLst/>
                            <a:rect l="0" t="0" r="0" b="0"/>
                            <a:pathLst>
                              <a:path w="1027163">
                                <a:moveTo>
                                  <a:pt x="0" y="0"/>
                                </a:moveTo>
                                <a:lnTo>
                                  <a:pt x="1027163"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32" name="Shape 24132"/>
                        <wps:cNvSpPr/>
                        <wps:spPr>
                          <a:xfrm>
                            <a:off x="3350330" y="965253"/>
                            <a:ext cx="1027163" cy="0"/>
                          </a:xfrm>
                          <a:custGeom>
                            <a:avLst/>
                            <a:gdLst/>
                            <a:ahLst/>
                            <a:cxnLst/>
                            <a:rect l="0" t="0" r="0" b="0"/>
                            <a:pathLst>
                              <a:path w="1027163">
                                <a:moveTo>
                                  <a:pt x="0" y="0"/>
                                </a:moveTo>
                                <a:lnTo>
                                  <a:pt x="1027163"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33" name="Shape 24133"/>
                        <wps:cNvSpPr/>
                        <wps:spPr>
                          <a:xfrm>
                            <a:off x="4377495" y="969747"/>
                            <a:ext cx="0" cy="897255"/>
                          </a:xfrm>
                          <a:custGeom>
                            <a:avLst/>
                            <a:gdLst/>
                            <a:ahLst/>
                            <a:cxnLst/>
                            <a:rect l="0" t="0" r="0" b="0"/>
                            <a:pathLst>
                              <a:path h="897255">
                                <a:moveTo>
                                  <a:pt x="0" y="89725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34" name="Shape 24134"/>
                        <wps:cNvSpPr/>
                        <wps:spPr>
                          <a:xfrm>
                            <a:off x="4377495" y="1866997"/>
                            <a:ext cx="0" cy="897255"/>
                          </a:xfrm>
                          <a:custGeom>
                            <a:avLst/>
                            <a:gdLst/>
                            <a:ahLst/>
                            <a:cxnLst/>
                            <a:rect l="0" t="0" r="0" b="0"/>
                            <a:pathLst>
                              <a:path h="897255">
                                <a:moveTo>
                                  <a:pt x="0" y="897255"/>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35" name="Shape 24135"/>
                        <wps:cNvSpPr/>
                        <wps:spPr>
                          <a:xfrm>
                            <a:off x="3350330" y="2768751"/>
                            <a:ext cx="1027163" cy="0"/>
                          </a:xfrm>
                          <a:custGeom>
                            <a:avLst/>
                            <a:gdLst/>
                            <a:ahLst/>
                            <a:cxnLst/>
                            <a:rect l="0" t="0" r="0" b="0"/>
                            <a:pathLst>
                              <a:path w="1027163">
                                <a:moveTo>
                                  <a:pt x="0" y="0"/>
                                </a:moveTo>
                                <a:lnTo>
                                  <a:pt x="1027163"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36" name="Shape 24136"/>
                        <wps:cNvSpPr/>
                        <wps:spPr>
                          <a:xfrm>
                            <a:off x="3350330" y="1871505"/>
                            <a:ext cx="0" cy="892747"/>
                          </a:xfrm>
                          <a:custGeom>
                            <a:avLst/>
                            <a:gdLst/>
                            <a:ahLst/>
                            <a:cxnLst/>
                            <a:rect l="0" t="0" r="0" b="0"/>
                            <a:pathLst>
                              <a:path h="892747">
                                <a:moveTo>
                                  <a:pt x="0" y="89274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37" name="Shape 24137"/>
                        <wps:cNvSpPr/>
                        <wps:spPr>
                          <a:xfrm>
                            <a:off x="2323165" y="2768751"/>
                            <a:ext cx="1027163" cy="0"/>
                          </a:xfrm>
                          <a:custGeom>
                            <a:avLst/>
                            <a:gdLst/>
                            <a:ahLst/>
                            <a:cxnLst/>
                            <a:rect l="0" t="0" r="0" b="0"/>
                            <a:pathLst>
                              <a:path w="1027163">
                                <a:moveTo>
                                  <a:pt x="0" y="0"/>
                                </a:moveTo>
                                <a:lnTo>
                                  <a:pt x="1027163"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38" name="Shape 24138"/>
                        <wps:cNvSpPr/>
                        <wps:spPr>
                          <a:xfrm>
                            <a:off x="2323165" y="969756"/>
                            <a:ext cx="0" cy="892747"/>
                          </a:xfrm>
                          <a:custGeom>
                            <a:avLst/>
                            <a:gdLst/>
                            <a:ahLst/>
                            <a:cxnLst/>
                            <a:rect l="0" t="0" r="0" b="0"/>
                            <a:pathLst>
                              <a:path h="892747">
                                <a:moveTo>
                                  <a:pt x="0" y="89274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39" name="Shape 24139"/>
                        <wps:cNvSpPr/>
                        <wps:spPr>
                          <a:xfrm>
                            <a:off x="2323165" y="965253"/>
                            <a:ext cx="1027163" cy="0"/>
                          </a:xfrm>
                          <a:custGeom>
                            <a:avLst/>
                            <a:gdLst/>
                            <a:ahLst/>
                            <a:cxnLst/>
                            <a:rect l="0" t="0" r="0" b="0"/>
                            <a:pathLst>
                              <a:path w="1027163">
                                <a:moveTo>
                                  <a:pt x="0" y="0"/>
                                </a:moveTo>
                                <a:lnTo>
                                  <a:pt x="1027163"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40" name="Shape 24140"/>
                        <wps:cNvSpPr/>
                        <wps:spPr>
                          <a:xfrm>
                            <a:off x="3350330" y="969756"/>
                            <a:ext cx="0" cy="892747"/>
                          </a:xfrm>
                          <a:custGeom>
                            <a:avLst/>
                            <a:gdLst/>
                            <a:ahLst/>
                            <a:cxnLst/>
                            <a:rect l="0" t="0" r="0" b="0"/>
                            <a:pathLst>
                              <a:path h="892747">
                                <a:moveTo>
                                  <a:pt x="0" y="89274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41" name="Shape 24141"/>
                        <wps:cNvSpPr/>
                        <wps:spPr>
                          <a:xfrm>
                            <a:off x="2323165" y="1867002"/>
                            <a:ext cx="1031659" cy="0"/>
                          </a:xfrm>
                          <a:custGeom>
                            <a:avLst/>
                            <a:gdLst/>
                            <a:ahLst/>
                            <a:cxnLst/>
                            <a:rect l="0" t="0" r="0" b="0"/>
                            <a:pathLst>
                              <a:path w="1031659">
                                <a:moveTo>
                                  <a:pt x="0" y="0"/>
                                </a:moveTo>
                                <a:lnTo>
                                  <a:pt x="1031659"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42" name="Shape 24142"/>
                        <wps:cNvSpPr/>
                        <wps:spPr>
                          <a:xfrm>
                            <a:off x="1295999" y="1871505"/>
                            <a:ext cx="0" cy="892747"/>
                          </a:xfrm>
                          <a:custGeom>
                            <a:avLst/>
                            <a:gdLst/>
                            <a:ahLst/>
                            <a:cxnLst/>
                            <a:rect l="0" t="0" r="0" b="0"/>
                            <a:pathLst>
                              <a:path h="892747">
                                <a:moveTo>
                                  <a:pt x="0" y="89274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43" name="Shape 24143"/>
                        <wps:cNvSpPr/>
                        <wps:spPr>
                          <a:xfrm>
                            <a:off x="1295999" y="1867002"/>
                            <a:ext cx="1027163" cy="0"/>
                          </a:xfrm>
                          <a:custGeom>
                            <a:avLst/>
                            <a:gdLst/>
                            <a:ahLst/>
                            <a:cxnLst/>
                            <a:rect l="0" t="0" r="0" b="0"/>
                            <a:pathLst>
                              <a:path w="1027163">
                                <a:moveTo>
                                  <a:pt x="0" y="0"/>
                                </a:moveTo>
                                <a:lnTo>
                                  <a:pt x="1027163"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44" name="Shape 24144"/>
                        <wps:cNvSpPr/>
                        <wps:spPr>
                          <a:xfrm>
                            <a:off x="2323165" y="1871505"/>
                            <a:ext cx="0" cy="892747"/>
                          </a:xfrm>
                          <a:custGeom>
                            <a:avLst/>
                            <a:gdLst/>
                            <a:ahLst/>
                            <a:cxnLst/>
                            <a:rect l="0" t="0" r="0" b="0"/>
                            <a:pathLst>
                              <a:path h="892747">
                                <a:moveTo>
                                  <a:pt x="0" y="892747"/>
                                </a:moveTo>
                                <a:lnTo>
                                  <a:pt x="0"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45" name="Shape 24145"/>
                        <wps:cNvSpPr/>
                        <wps:spPr>
                          <a:xfrm>
                            <a:off x="1295999" y="2768751"/>
                            <a:ext cx="1027163" cy="0"/>
                          </a:xfrm>
                          <a:custGeom>
                            <a:avLst/>
                            <a:gdLst/>
                            <a:ahLst/>
                            <a:cxnLst/>
                            <a:rect l="0" t="0" r="0" b="0"/>
                            <a:pathLst>
                              <a:path w="1027163">
                                <a:moveTo>
                                  <a:pt x="0" y="0"/>
                                </a:moveTo>
                                <a:lnTo>
                                  <a:pt x="1027163" y="0"/>
                                </a:lnTo>
                              </a:path>
                            </a:pathLst>
                          </a:custGeom>
                          <a:ln w="9004" cap="flat">
                            <a:miter lim="127000"/>
                          </a:ln>
                        </wps:spPr>
                        <wps:style>
                          <a:lnRef idx="1">
                            <a:srgbClr val="000000"/>
                          </a:lnRef>
                          <a:fillRef idx="0">
                            <a:srgbClr val="000000">
                              <a:alpha val="0"/>
                            </a:srgbClr>
                          </a:fillRef>
                          <a:effectRef idx="0">
                            <a:scrgbClr r="0" g="0" b="0"/>
                          </a:effectRef>
                          <a:fontRef idx="none"/>
                        </wps:style>
                        <wps:bodyPr/>
                      </wps:wsp>
                      <wps:wsp>
                        <wps:cNvPr id="24146" name="Shape 24146"/>
                        <wps:cNvSpPr/>
                        <wps:spPr>
                          <a:xfrm>
                            <a:off x="8999" y="4502"/>
                            <a:ext cx="1282497" cy="956247"/>
                          </a:xfrm>
                          <a:custGeom>
                            <a:avLst/>
                            <a:gdLst/>
                            <a:ahLst/>
                            <a:cxnLst/>
                            <a:rect l="0" t="0" r="0" b="0"/>
                            <a:pathLst>
                              <a:path w="1282497" h="956247">
                                <a:moveTo>
                                  <a:pt x="0" y="0"/>
                                </a:moveTo>
                                <a:lnTo>
                                  <a:pt x="1282497" y="956247"/>
                                </a:lnTo>
                              </a:path>
                            </a:pathLst>
                          </a:custGeom>
                          <a:ln w="12700" cap="flat">
                            <a:miter lim="127000"/>
                          </a:ln>
                        </wps:spPr>
                        <wps:style>
                          <a:lnRef idx="1">
                            <a:srgbClr val="000000"/>
                          </a:lnRef>
                          <a:fillRef idx="0">
                            <a:srgbClr val="000000">
                              <a:alpha val="0"/>
                            </a:srgbClr>
                          </a:fillRef>
                          <a:effectRef idx="0">
                            <a:scrgbClr r="0" g="0" b="0"/>
                          </a:effectRef>
                          <a:fontRef idx="none"/>
                        </wps:style>
                        <wps:bodyPr/>
                      </wps:wsp>
                      <wps:wsp>
                        <wps:cNvPr id="24254" name="Rectangle 24254"/>
                        <wps:cNvSpPr/>
                        <wps:spPr>
                          <a:xfrm>
                            <a:off x="782612" y="9586"/>
                            <a:ext cx="634933" cy="204044"/>
                          </a:xfrm>
                          <a:prstGeom prst="rect">
                            <a:avLst/>
                          </a:prstGeom>
                          <a:ln>
                            <a:noFill/>
                          </a:ln>
                        </wps:spPr>
                        <wps:txbx>
                          <w:txbxContent>
                            <w:p w:rsidR="00D27BC6" w:rsidRDefault="004D5071">
                              <w:pPr>
                                <w:spacing w:after="160" w:line="259" w:lineRule="auto"/>
                                <w:ind w:left="0" w:right="0" w:firstLine="0"/>
                                <w:jc w:val="left"/>
                              </w:pPr>
                              <w:r>
                                <w:rPr>
                                  <w:b/>
                                  <w:w w:val="86"/>
                                </w:rPr>
                                <w:t>Категории</w:t>
                              </w:r>
                            </w:p>
                          </w:txbxContent>
                        </wps:txbx>
                        <wps:bodyPr horzOverflow="overflow" vert="horz" lIns="0" tIns="0" rIns="0" bIns="0" rtlCol="0">
                          <a:noAutofit/>
                        </wps:bodyPr>
                      </wps:wsp>
                      <wps:wsp>
                        <wps:cNvPr id="24148" name="Rectangle 24148"/>
                        <wps:cNvSpPr/>
                        <wps:spPr>
                          <a:xfrm>
                            <a:off x="763308" y="161986"/>
                            <a:ext cx="660607" cy="204044"/>
                          </a:xfrm>
                          <a:prstGeom prst="rect">
                            <a:avLst/>
                          </a:prstGeom>
                          <a:ln>
                            <a:noFill/>
                          </a:ln>
                        </wps:spPr>
                        <wps:txbx>
                          <w:txbxContent>
                            <w:p w:rsidR="00D27BC6" w:rsidRDefault="004D5071">
                              <w:pPr>
                                <w:spacing w:after="160" w:line="259" w:lineRule="auto"/>
                                <w:ind w:left="0" w:right="0" w:firstLine="0"/>
                                <w:jc w:val="left"/>
                              </w:pPr>
                              <w:r>
                                <w:rPr>
                                  <w:b/>
                                  <w:w w:val="87"/>
                                </w:rPr>
                                <w:t>пациентов</w:t>
                              </w:r>
                            </w:p>
                          </w:txbxContent>
                        </wps:txbx>
                        <wps:bodyPr horzOverflow="overflow" vert="horz" lIns="0" tIns="0" rIns="0" bIns="0" rtlCol="0">
                          <a:noAutofit/>
                        </wps:bodyPr>
                      </wps:wsp>
                      <wps:wsp>
                        <wps:cNvPr id="24149" name="Rectangle 24149"/>
                        <wps:cNvSpPr/>
                        <wps:spPr>
                          <a:xfrm>
                            <a:off x="40551" y="466786"/>
                            <a:ext cx="828841" cy="204044"/>
                          </a:xfrm>
                          <a:prstGeom prst="rect">
                            <a:avLst/>
                          </a:prstGeom>
                          <a:ln>
                            <a:noFill/>
                          </a:ln>
                        </wps:spPr>
                        <wps:txbx>
                          <w:txbxContent>
                            <w:p w:rsidR="00D27BC6" w:rsidRDefault="004D5071">
                              <w:pPr>
                                <w:spacing w:after="160" w:line="259" w:lineRule="auto"/>
                                <w:ind w:left="0" w:right="0" w:firstLine="0"/>
                                <w:jc w:val="left"/>
                              </w:pPr>
                              <w:r>
                                <w:rPr>
                                  <w:b/>
                                  <w:w w:val="86"/>
                                </w:rPr>
                                <w:t>Клинические</w:t>
                              </w:r>
                              <w:r>
                                <w:rPr>
                                  <w:b/>
                                  <w:spacing w:val="-13"/>
                                  <w:w w:val="86"/>
                                </w:rPr>
                                <w:t xml:space="preserve"> </w:t>
                              </w:r>
                            </w:p>
                          </w:txbxContent>
                        </wps:txbx>
                        <wps:bodyPr horzOverflow="overflow" vert="horz" lIns="0" tIns="0" rIns="0" bIns="0" rtlCol="0">
                          <a:noAutofit/>
                        </wps:bodyPr>
                      </wps:wsp>
                      <wps:wsp>
                        <wps:cNvPr id="24150" name="Rectangle 24150"/>
                        <wps:cNvSpPr/>
                        <wps:spPr>
                          <a:xfrm>
                            <a:off x="40551" y="619186"/>
                            <a:ext cx="1113438" cy="204044"/>
                          </a:xfrm>
                          <a:prstGeom prst="rect">
                            <a:avLst/>
                          </a:prstGeom>
                          <a:ln>
                            <a:noFill/>
                          </a:ln>
                        </wps:spPr>
                        <wps:txbx>
                          <w:txbxContent>
                            <w:p w:rsidR="00D27BC6" w:rsidRDefault="004D5071">
                              <w:pPr>
                                <w:spacing w:after="160" w:line="259" w:lineRule="auto"/>
                                <w:ind w:left="0" w:right="0" w:firstLine="0"/>
                                <w:jc w:val="left"/>
                              </w:pPr>
                              <w:r>
                                <w:rPr>
                                  <w:b/>
                                  <w:w w:val="87"/>
                                </w:rPr>
                                <w:t>характеристики</w:t>
                              </w:r>
                              <w:r>
                                <w:rPr>
                                  <w:b/>
                                  <w:spacing w:val="-13"/>
                                  <w:w w:val="87"/>
                                </w:rPr>
                                <w:t xml:space="preserve"> </w:t>
                              </w:r>
                              <w:r>
                                <w:rPr>
                                  <w:b/>
                                  <w:w w:val="87"/>
                                </w:rPr>
                                <w:t>/</w:t>
                              </w:r>
                              <w:r>
                                <w:rPr>
                                  <w:b/>
                                  <w:spacing w:val="-13"/>
                                  <w:w w:val="87"/>
                                </w:rPr>
                                <w:t xml:space="preserve">  </w:t>
                              </w:r>
                            </w:p>
                          </w:txbxContent>
                        </wps:txbx>
                        <wps:bodyPr horzOverflow="overflow" vert="horz" lIns="0" tIns="0" rIns="0" bIns="0" rtlCol="0">
                          <a:noAutofit/>
                        </wps:bodyPr>
                      </wps:wsp>
                      <wps:wsp>
                        <wps:cNvPr id="24151" name="Rectangle 24151"/>
                        <wps:cNvSpPr/>
                        <wps:spPr>
                          <a:xfrm>
                            <a:off x="40551" y="771586"/>
                            <a:ext cx="353529" cy="204044"/>
                          </a:xfrm>
                          <a:prstGeom prst="rect">
                            <a:avLst/>
                          </a:prstGeom>
                          <a:ln>
                            <a:noFill/>
                          </a:ln>
                        </wps:spPr>
                        <wps:txbx>
                          <w:txbxContent>
                            <w:p w:rsidR="00D27BC6" w:rsidRDefault="004D5071">
                              <w:pPr>
                                <w:spacing w:after="160" w:line="259" w:lineRule="auto"/>
                                <w:ind w:left="0" w:right="0" w:firstLine="0"/>
                                <w:jc w:val="left"/>
                              </w:pPr>
                              <w:r>
                                <w:rPr>
                                  <w:b/>
                                  <w:w w:val="85"/>
                                </w:rPr>
                                <w:t>риски</w:t>
                              </w:r>
                            </w:p>
                          </w:txbxContent>
                        </wps:txbx>
                        <wps:bodyPr horzOverflow="overflow" vert="horz" lIns="0" tIns="0" rIns="0" bIns="0" rtlCol="0">
                          <a:noAutofit/>
                        </wps:bodyPr>
                      </wps:wsp>
                      <wps:wsp>
                        <wps:cNvPr id="24152" name="Rectangle 24152"/>
                        <wps:cNvSpPr/>
                        <wps:spPr>
                          <a:xfrm>
                            <a:off x="1536484" y="310449"/>
                            <a:ext cx="760771" cy="209280"/>
                          </a:xfrm>
                          <a:prstGeom prst="rect">
                            <a:avLst/>
                          </a:prstGeom>
                          <a:ln>
                            <a:noFill/>
                          </a:ln>
                        </wps:spPr>
                        <wps:txbx>
                          <w:txbxContent>
                            <w:p w:rsidR="00D27BC6" w:rsidRDefault="004D5071">
                              <w:pPr>
                                <w:spacing w:after="160" w:line="259" w:lineRule="auto"/>
                                <w:ind w:left="0" w:right="0" w:firstLine="0"/>
                                <w:jc w:val="left"/>
                              </w:pPr>
                              <w:r>
                                <w:rPr>
                                  <w:b/>
                                  <w:w w:val="110"/>
                                </w:rPr>
                                <w:t>Пожилой</w:t>
                              </w:r>
                              <w:r>
                                <w:rPr>
                                  <w:b/>
                                  <w:spacing w:val="-5"/>
                                  <w:w w:val="110"/>
                                </w:rPr>
                                <w:t xml:space="preserve"> </w:t>
                              </w:r>
                            </w:p>
                          </w:txbxContent>
                        </wps:txbx>
                        <wps:bodyPr horzOverflow="overflow" vert="horz" lIns="0" tIns="0" rIns="0" bIns="0" rtlCol="0">
                          <a:noAutofit/>
                        </wps:bodyPr>
                      </wps:wsp>
                      <wps:wsp>
                        <wps:cNvPr id="24153" name="Rectangle 24153"/>
                        <wps:cNvSpPr/>
                        <wps:spPr>
                          <a:xfrm>
                            <a:off x="1556169" y="462849"/>
                            <a:ext cx="620052" cy="209280"/>
                          </a:xfrm>
                          <a:prstGeom prst="rect">
                            <a:avLst/>
                          </a:prstGeom>
                          <a:ln>
                            <a:noFill/>
                          </a:ln>
                        </wps:spPr>
                        <wps:txbx>
                          <w:txbxContent>
                            <w:p w:rsidR="00D27BC6" w:rsidRDefault="004D5071">
                              <w:pPr>
                                <w:spacing w:after="160" w:line="259" w:lineRule="auto"/>
                                <w:ind w:left="0" w:right="0" w:firstLine="0"/>
                                <w:jc w:val="left"/>
                              </w:pPr>
                              <w:r>
                                <w:rPr>
                                  <w:b/>
                                  <w:w w:val="113"/>
                                </w:rPr>
                                <w:t>возраст</w:t>
                              </w:r>
                            </w:p>
                          </w:txbxContent>
                        </wps:txbx>
                        <wps:bodyPr horzOverflow="overflow" vert="horz" lIns="0" tIns="0" rIns="0" bIns="0" rtlCol="0">
                          <a:noAutofit/>
                        </wps:bodyPr>
                      </wps:wsp>
                      <wps:wsp>
                        <wps:cNvPr id="24154" name="Rectangle 24154"/>
                        <wps:cNvSpPr/>
                        <wps:spPr>
                          <a:xfrm>
                            <a:off x="2022246" y="473693"/>
                            <a:ext cx="54372" cy="121382"/>
                          </a:xfrm>
                          <a:prstGeom prst="rect">
                            <a:avLst/>
                          </a:prstGeom>
                          <a:ln>
                            <a:noFill/>
                          </a:ln>
                        </wps:spPr>
                        <wps:txbx>
                          <w:txbxContent>
                            <w:p w:rsidR="00D27BC6" w:rsidRDefault="004D5071">
                              <w:pPr>
                                <w:spacing w:after="160" w:line="259" w:lineRule="auto"/>
                                <w:ind w:left="0" w:right="0" w:firstLine="0"/>
                                <w:jc w:val="left"/>
                              </w:pPr>
                              <w:r>
                                <w:rPr>
                                  <w:b/>
                                  <w:w w:val="109"/>
                                  <w:sz w:val="12"/>
                                </w:rPr>
                                <w:t>4</w:t>
                              </w:r>
                            </w:p>
                          </w:txbxContent>
                        </wps:txbx>
                        <wps:bodyPr horzOverflow="overflow" vert="horz" lIns="0" tIns="0" rIns="0" bIns="0" rtlCol="0">
                          <a:noAutofit/>
                        </wps:bodyPr>
                      </wps:wsp>
                      <wps:wsp>
                        <wps:cNvPr id="24155" name="Rectangle 24155"/>
                        <wps:cNvSpPr/>
                        <wps:spPr>
                          <a:xfrm>
                            <a:off x="3244664" y="5649"/>
                            <a:ext cx="3071426" cy="209280"/>
                          </a:xfrm>
                          <a:prstGeom prst="rect">
                            <a:avLst/>
                          </a:prstGeom>
                          <a:ln>
                            <a:noFill/>
                          </a:ln>
                        </wps:spPr>
                        <wps:txbx>
                          <w:txbxContent>
                            <w:p w:rsidR="00D27BC6" w:rsidRDefault="004D5071">
                              <w:pPr>
                                <w:spacing w:after="160" w:line="259" w:lineRule="auto"/>
                                <w:ind w:left="0" w:right="0" w:firstLine="0"/>
                                <w:jc w:val="left"/>
                              </w:pPr>
                              <w:r>
                                <w:rPr>
                                  <w:b/>
                                  <w:w w:val="112"/>
                                </w:rPr>
                                <w:t>Пожилой</w:t>
                              </w:r>
                              <w:r>
                                <w:rPr>
                                  <w:b/>
                                  <w:spacing w:val="-5"/>
                                  <w:w w:val="112"/>
                                </w:rPr>
                                <w:t xml:space="preserve"> </w:t>
                              </w:r>
                              <w:r>
                                <w:rPr>
                                  <w:b/>
                                  <w:w w:val="112"/>
                                </w:rPr>
                                <w:t>возраст</w:t>
                              </w:r>
                              <w:r>
                                <w:rPr>
                                  <w:b/>
                                  <w:spacing w:val="-5"/>
                                  <w:w w:val="112"/>
                                </w:rPr>
                                <w:t xml:space="preserve"> </w:t>
                              </w:r>
                              <w:r>
                                <w:rPr>
                                  <w:b/>
                                  <w:w w:val="112"/>
                                </w:rPr>
                                <w:t>/</w:t>
                              </w:r>
                              <w:r>
                                <w:rPr>
                                  <w:b/>
                                  <w:spacing w:val="-5"/>
                                  <w:w w:val="112"/>
                                </w:rPr>
                                <w:t xml:space="preserve"> </w:t>
                              </w:r>
                              <w:r>
                                <w:rPr>
                                  <w:b/>
                                  <w:w w:val="112"/>
                                </w:rPr>
                                <w:t>Старческий</w:t>
                              </w:r>
                              <w:r>
                                <w:rPr>
                                  <w:b/>
                                  <w:spacing w:val="-5"/>
                                  <w:w w:val="112"/>
                                </w:rPr>
                                <w:t xml:space="preserve"> </w:t>
                              </w:r>
                              <w:r>
                                <w:rPr>
                                  <w:b/>
                                  <w:w w:val="112"/>
                                </w:rPr>
                                <w:t>возраст</w:t>
                              </w:r>
                            </w:p>
                          </w:txbxContent>
                        </wps:txbx>
                        <wps:bodyPr horzOverflow="overflow" vert="horz" lIns="0" tIns="0" rIns="0" bIns="0" rtlCol="0">
                          <a:noAutofit/>
                        </wps:bodyPr>
                      </wps:wsp>
                      <wps:wsp>
                        <wps:cNvPr id="24156" name="Rectangle 24156"/>
                        <wps:cNvSpPr/>
                        <wps:spPr>
                          <a:xfrm>
                            <a:off x="2550609" y="335849"/>
                            <a:ext cx="761108" cy="209280"/>
                          </a:xfrm>
                          <a:prstGeom prst="rect">
                            <a:avLst/>
                          </a:prstGeom>
                          <a:ln>
                            <a:noFill/>
                          </a:ln>
                        </wps:spPr>
                        <wps:txbx>
                          <w:txbxContent>
                            <w:p w:rsidR="00D27BC6" w:rsidRDefault="004D5071">
                              <w:pPr>
                                <w:spacing w:after="160" w:line="259" w:lineRule="auto"/>
                                <w:ind w:left="0" w:right="0" w:firstLine="0"/>
                                <w:jc w:val="left"/>
                              </w:pPr>
                              <w:r>
                                <w:rPr>
                                  <w:b/>
                                  <w:w w:val="112"/>
                                </w:rPr>
                                <w:t>Функцио-</w:t>
                              </w:r>
                            </w:p>
                          </w:txbxContent>
                        </wps:txbx>
                        <wps:bodyPr horzOverflow="overflow" vert="horz" lIns="0" tIns="0" rIns="0" bIns="0" rtlCol="0">
                          <a:noAutofit/>
                        </wps:bodyPr>
                      </wps:wsp>
                      <wps:wsp>
                        <wps:cNvPr id="24157" name="Rectangle 24157"/>
                        <wps:cNvSpPr/>
                        <wps:spPr>
                          <a:xfrm>
                            <a:off x="2622872" y="488249"/>
                            <a:ext cx="603009" cy="209280"/>
                          </a:xfrm>
                          <a:prstGeom prst="rect">
                            <a:avLst/>
                          </a:prstGeom>
                          <a:ln>
                            <a:noFill/>
                          </a:ln>
                        </wps:spPr>
                        <wps:txbx>
                          <w:txbxContent>
                            <w:p w:rsidR="00D27BC6" w:rsidRDefault="004D5071">
                              <w:pPr>
                                <w:spacing w:after="160" w:line="259" w:lineRule="auto"/>
                                <w:ind w:left="0" w:right="0" w:firstLine="0"/>
                                <w:jc w:val="left"/>
                              </w:pPr>
                              <w:r>
                                <w:rPr>
                                  <w:b/>
                                  <w:w w:val="111"/>
                                </w:rPr>
                                <w:t>нально</w:t>
                              </w:r>
                              <w:r>
                                <w:rPr>
                                  <w:b/>
                                  <w:spacing w:val="-5"/>
                                  <w:w w:val="111"/>
                                </w:rPr>
                                <w:t xml:space="preserve"> </w:t>
                              </w:r>
                            </w:p>
                          </w:txbxContent>
                        </wps:txbx>
                        <wps:bodyPr horzOverflow="overflow" vert="horz" lIns="0" tIns="0" rIns="0" bIns="0" rtlCol="0">
                          <a:noAutofit/>
                        </wps:bodyPr>
                      </wps:wsp>
                      <wps:wsp>
                        <wps:cNvPr id="24158" name="Rectangle 24158"/>
                        <wps:cNvSpPr/>
                        <wps:spPr>
                          <a:xfrm>
                            <a:off x="2433515" y="640649"/>
                            <a:ext cx="1072748" cy="209280"/>
                          </a:xfrm>
                          <a:prstGeom prst="rect">
                            <a:avLst/>
                          </a:prstGeom>
                          <a:ln>
                            <a:noFill/>
                          </a:ln>
                        </wps:spPr>
                        <wps:txbx>
                          <w:txbxContent>
                            <w:p w:rsidR="00D27BC6" w:rsidRDefault="004D5071">
                              <w:pPr>
                                <w:spacing w:after="160" w:line="259" w:lineRule="auto"/>
                                <w:ind w:left="0" w:right="0" w:firstLine="0"/>
                                <w:jc w:val="left"/>
                              </w:pPr>
                              <w:r>
                                <w:rPr>
                                  <w:b/>
                                  <w:w w:val="111"/>
                                </w:rPr>
                                <w:t>независимые</w:t>
                              </w:r>
                            </w:p>
                          </w:txbxContent>
                        </wps:txbx>
                        <wps:bodyPr horzOverflow="overflow" vert="horz" lIns="0" tIns="0" rIns="0" bIns="0" rtlCol="0">
                          <a:noAutofit/>
                        </wps:bodyPr>
                      </wps:wsp>
                      <wps:wsp>
                        <wps:cNvPr id="24159" name="Rectangle 24159"/>
                        <wps:cNvSpPr/>
                        <wps:spPr>
                          <a:xfrm>
                            <a:off x="4087944" y="208849"/>
                            <a:ext cx="2194631" cy="209280"/>
                          </a:xfrm>
                          <a:prstGeom prst="rect">
                            <a:avLst/>
                          </a:prstGeom>
                          <a:ln>
                            <a:noFill/>
                          </a:ln>
                        </wps:spPr>
                        <wps:txbx>
                          <w:txbxContent>
                            <w:p w:rsidR="00D27BC6" w:rsidRDefault="004D5071">
                              <w:pPr>
                                <w:spacing w:after="160" w:line="259" w:lineRule="auto"/>
                                <w:ind w:left="0" w:right="0" w:firstLine="0"/>
                                <w:jc w:val="left"/>
                              </w:pPr>
                              <w:r>
                                <w:rPr>
                                  <w:b/>
                                  <w:w w:val="112"/>
                                </w:rPr>
                                <w:t>Функционально</w:t>
                              </w:r>
                              <w:r>
                                <w:rPr>
                                  <w:b/>
                                  <w:spacing w:val="-5"/>
                                  <w:w w:val="112"/>
                                </w:rPr>
                                <w:t xml:space="preserve"> </w:t>
                              </w:r>
                              <w:r>
                                <w:rPr>
                                  <w:b/>
                                  <w:w w:val="112"/>
                                </w:rPr>
                                <w:t>зависимые</w:t>
                              </w:r>
                            </w:p>
                          </w:txbxContent>
                        </wps:txbx>
                        <wps:bodyPr horzOverflow="overflow" vert="horz" lIns="0" tIns="0" rIns="0" bIns="0" rtlCol="0">
                          <a:noAutofit/>
                        </wps:bodyPr>
                      </wps:wsp>
                      <wps:wsp>
                        <wps:cNvPr id="24160" name="Rectangle 24160"/>
                        <wps:cNvSpPr/>
                        <wps:spPr>
                          <a:xfrm>
                            <a:off x="3413827" y="437449"/>
                            <a:ext cx="1231692" cy="209280"/>
                          </a:xfrm>
                          <a:prstGeom prst="rect">
                            <a:avLst/>
                          </a:prstGeom>
                          <a:ln>
                            <a:noFill/>
                          </a:ln>
                        </wps:spPr>
                        <wps:txbx>
                          <w:txbxContent>
                            <w:p w:rsidR="00D27BC6" w:rsidRDefault="004D5071">
                              <w:pPr>
                                <w:spacing w:after="160" w:line="259" w:lineRule="auto"/>
                                <w:ind w:left="0" w:right="0" w:firstLine="0"/>
                                <w:jc w:val="left"/>
                              </w:pPr>
                              <w:r>
                                <w:rPr>
                                  <w:b/>
                                  <w:w w:val="112"/>
                                </w:rPr>
                                <w:t>Без</w:t>
                              </w:r>
                              <w:r>
                                <w:rPr>
                                  <w:b/>
                                  <w:spacing w:val="-5"/>
                                  <w:w w:val="112"/>
                                </w:rPr>
                                <w:t xml:space="preserve"> </w:t>
                              </w:r>
                              <w:r>
                                <w:rPr>
                                  <w:b/>
                                  <w:w w:val="112"/>
                                </w:rPr>
                                <w:t>старческой</w:t>
                              </w:r>
                              <w:r>
                                <w:rPr>
                                  <w:b/>
                                  <w:spacing w:val="-5"/>
                                  <w:w w:val="112"/>
                                </w:rPr>
                                <w:t xml:space="preserve"> </w:t>
                              </w:r>
                            </w:p>
                          </w:txbxContent>
                        </wps:txbx>
                        <wps:bodyPr horzOverflow="overflow" vert="horz" lIns="0" tIns="0" rIns="0" bIns="0" rtlCol="0">
                          <a:noAutofit/>
                        </wps:bodyPr>
                      </wps:wsp>
                      <wps:wsp>
                        <wps:cNvPr id="24161" name="Rectangle 24161"/>
                        <wps:cNvSpPr/>
                        <wps:spPr>
                          <a:xfrm>
                            <a:off x="3444053" y="589849"/>
                            <a:ext cx="1151274" cy="209280"/>
                          </a:xfrm>
                          <a:prstGeom prst="rect">
                            <a:avLst/>
                          </a:prstGeom>
                          <a:ln>
                            <a:noFill/>
                          </a:ln>
                        </wps:spPr>
                        <wps:txbx>
                          <w:txbxContent>
                            <w:p w:rsidR="00D27BC6" w:rsidRDefault="004D5071">
                              <w:pPr>
                                <w:spacing w:after="160" w:line="259" w:lineRule="auto"/>
                                <w:ind w:left="0" w:right="0" w:firstLine="0"/>
                                <w:jc w:val="left"/>
                              </w:pPr>
                              <w:r>
                                <w:rPr>
                                  <w:b/>
                                  <w:w w:val="109"/>
                                </w:rPr>
                                <w:t>астении</w:t>
                              </w:r>
                              <w:r>
                                <w:rPr>
                                  <w:b/>
                                  <w:spacing w:val="-5"/>
                                  <w:w w:val="109"/>
                                </w:rPr>
                                <w:t xml:space="preserve"> </w:t>
                              </w:r>
                              <w:r>
                                <w:rPr>
                                  <w:b/>
                                  <w:w w:val="109"/>
                                </w:rPr>
                                <w:t>и/или</w:t>
                              </w:r>
                              <w:r>
                                <w:rPr>
                                  <w:b/>
                                  <w:spacing w:val="-5"/>
                                  <w:w w:val="109"/>
                                </w:rPr>
                                <w:t xml:space="preserve"> </w:t>
                              </w:r>
                            </w:p>
                          </w:txbxContent>
                        </wps:txbx>
                        <wps:bodyPr horzOverflow="overflow" vert="horz" lIns="0" tIns="0" rIns="0" bIns="0" rtlCol="0">
                          <a:noAutofit/>
                        </wps:bodyPr>
                      </wps:wsp>
                      <wps:wsp>
                        <wps:cNvPr id="24162" name="Rectangle 24162"/>
                        <wps:cNvSpPr/>
                        <wps:spPr>
                          <a:xfrm>
                            <a:off x="3564323" y="742249"/>
                            <a:ext cx="797086" cy="209280"/>
                          </a:xfrm>
                          <a:prstGeom prst="rect">
                            <a:avLst/>
                          </a:prstGeom>
                          <a:ln>
                            <a:noFill/>
                          </a:ln>
                        </wps:spPr>
                        <wps:txbx>
                          <w:txbxContent>
                            <w:p w:rsidR="00D27BC6" w:rsidRDefault="004D5071">
                              <w:pPr>
                                <w:spacing w:after="160" w:line="259" w:lineRule="auto"/>
                                <w:ind w:left="0" w:right="0" w:firstLine="0"/>
                                <w:jc w:val="left"/>
                              </w:pPr>
                              <w:r>
                                <w:rPr>
                                  <w:b/>
                                  <w:w w:val="109"/>
                                </w:rPr>
                                <w:t>деменции</w:t>
                              </w:r>
                            </w:p>
                          </w:txbxContent>
                        </wps:txbx>
                        <wps:bodyPr horzOverflow="overflow" vert="horz" lIns="0" tIns="0" rIns="0" bIns="0" rtlCol="0">
                          <a:noAutofit/>
                        </wps:bodyPr>
                      </wps:wsp>
                      <wps:wsp>
                        <wps:cNvPr id="24163" name="Rectangle 24163"/>
                        <wps:cNvSpPr/>
                        <wps:spPr>
                          <a:xfrm>
                            <a:off x="4554287" y="437449"/>
                            <a:ext cx="930018" cy="209280"/>
                          </a:xfrm>
                          <a:prstGeom prst="rect">
                            <a:avLst/>
                          </a:prstGeom>
                          <a:ln>
                            <a:noFill/>
                          </a:ln>
                        </wps:spPr>
                        <wps:txbx>
                          <w:txbxContent>
                            <w:p w:rsidR="00D27BC6" w:rsidRDefault="004D5071">
                              <w:pPr>
                                <w:spacing w:after="160" w:line="259" w:lineRule="auto"/>
                                <w:ind w:left="0" w:right="0" w:firstLine="0"/>
                                <w:jc w:val="left"/>
                              </w:pPr>
                              <w:r>
                                <w:rPr>
                                  <w:b/>
                                  <w:w w:val="113"/>
                                </w:rPr>
                                <w:t>Старческая</w:t>
                              </w:r>
                              <w:r>
                                <w:rPr>
                                  <w:b/>
                                  <w:spacing w:val="-5"/>
                                  <w:w w:val="113"/>
                                </w:rPr>
                                <w:t xml:space="preserve"> </w:t>
                              </w:r>
                            </w:p>
                          </w:txbxContent>
                        </wps:txbx>
                        <wps:bodyPr horzOverflow="overflow" vert="horz" lIns="0" tIns="0" rIns="0" bIns="0" rtlCol="0">
                          <a:noAutofit/>
                        </wps:bodyPr>
                      </wps:wsp>
                      <wps:wsp>
                        <wps:cNvPr id="24164" name="Rectangle 24164"/>
                        <wps:cNvSpPr/>
                        <wps:spPr>
                          <a:xfrm>
                            <a:off x="4473897" y="589849"/>
                            <a:ext cx="1143842" cy="209280"/>
                          </a:xfrm>
                          <a:prstGeom prst="rect">
                            <a:avLst/>
                          </a:prstGeom>
                          <a:ln>
                            <a:noFill/>
                          </a:ln>
                        </wps:spPr>
                        <wps:txbx>
                          <w:txbxContent>
                            <w:p w:rsidR="00D27BC6" w:rsidRDefault="004D5071">
                              <w:pPr>
                                <w:spacing w:after="160" w:line="259" w:lineRule="auto"/>
                                <w:ind w:left="0" w:right="0" w:firstLine="0"/>
                                <w:jc w:val="left"/>
                              </w:pPr>
                              <w:r>
                                <w:rPr>
                                  <w:b/>
                                  <w:w w:val="110"/>
                                </w:rPr>
                                <w:t>астения</w:t>
                              </w:r>
                              <w:r>
                                <w:rPr>
                                  <w:b/>
                                  <w:spacing w:val="-5"/>
                                  <w:w w:val="110"/>
                                </w:rPr>
                                <w:t xml:space="preserve"> </w:t>
                              </w:r>
                              <w:r>
                                <w:rPr>
                                  <w:b/>
                                  <w:w w:val="110"/>
                                </w:rPr>
                                <w:t>и/или</w:t>
                              </w:r>
                              <w:r>
                                <w:rPr>
                                  <w:b/>
                                  <w:spacing w:val="-5"/>
                                  <w:w w:val="110"/>
                                </w:rPr>
                                <w:t xml:space="preserve"> </w:t>
                              </w:r>
                            </w:p>
                          </w:txbxContent>
                        </wps:txbx>
                        <wps:bodyPr horzOverflow="overflow" vert="horz" lIns="0" tIns="0" rIns="0" bIns="0" rtlCol="0">
                          <a:noAutofit/>
                        </wps:bodyPr>
                      </wps:wsp>
                      <wps:wsp>
                        <wps:cNvPr id="24165" name="Rectangle 24165"/>
                        <wps:cNvSpPr/>
                        <wps:spPr>
                          <a:xfrm>
                            <a:off x="4594166" y="742249"/>
                            <a:ext cx="789654" cy="209280"/>
                          </a:xfrm>
                          <a:prstGeom prst="rect">
                            <a:avLst/>
                          </a:prstGeom>
                          <a:ln>
                            <a:noFill/>
                          </a:ln>
                        </wps:spPr>
                        <wps:txbx>
                          <w:txbxContent>
                            <w:p w:rsidR="00D27BC6" w:rsidRDefault="004D5071">
                              <w:pPr>
                                <w:spacing w:after="160" w:line="259" w:lineRule="auto"/>
                                <w:ind w:left="0" w:right="0" w:firstLine="0"/>
                                <w:jc w:val="left"/>
                              </w:pPr>
                              <w:r>
                                <w:rPr>
                                  <w:b/>
                                  <w:w w:val="110"/>
                                </w:rPr>
                                <w:t>деменция</w:t>
                              </w:r>
                            </w:p>
                          </w:txbxContent>
                        </wps:txbx>
                        <wps:bodyPr horzOverflow="overflow" vert="horz" lIns="0" tIns="0" rIns="0" bIns="0" rtlCol="0">
                          <a:noAutofit/>
                        </wps:bodyPr>
                      </wps:wsp>
                      <wps:wsp>
                        <wps:cNvPr id="24166" name="Rectangle 24166"/>
                        <wps:cNvSpPr/>
                        <wps:spPr>
                          <a:xfrm>
                            <a:off x="5502850" y="513649"/>
                            <a:ext cx="1197065" cy="209280"/>
                          </a:xfrm>
                          <a:prstGeom prst="rect">
                            <a:avLst/>
                          </a:prstGeom>
                          <a:ln>
                            <a:noFill/>
                          </a:ln>
                        </wps:spPr>
                        <wps:txbx>
                          <w:txbxContent>
                            <w:p w:rsidR="00D27BC6" w:rsidRDefault="004D5071">
                              <w:pPr>
                                <w:spacing w:after="160" w:line="259" w:lineRule="auto"/>
                                <w:ind w:left="0" w:right="0" w:firstLine="0"/>
                                <w:jc w:val="left"/>
                              </w:pPr>
                              <w:r>
                                <w:rPr>
                                  <w:b/>
                                  <w:w w:val="112"/>
                                </w:rPr>
                                <w:t>Завершающий</w:t>
                              </w:r>
                              <w:r>
                                <w:rPr>
                                  <w:b/>
                                  <w:spacing w:val="-5"/>
                                  <w:w w:val="112"/>
                                </w:rPr>
                                <w:t xml:space="preserve"> </w:t>
                              </w:r>
                            </w:p>
                          </w:txbxContent>
                        </wps:txbx>
                        <wps:bodyPr horzOverflow="overflow" vert="horz" lIns="0" tIns="0" rIns="0" bIns="0" rtlCol="0">
                          <a:noAutofit/>
                        </wps:bodyPr>
                      </wps:wsp>
                      <wps:wsp>
                        <wps:cNvPr id="24167" name="Rectangle 24167"/>
                        <wps:cNvSpPr/>
                        <wps:spPr>
                          <a:xfrm>
                            <a:off x="5608515" y="666049"/>
                            <a:ext cx="881880" cy="209280"/>
                          </a:xfrm>
                          <a:prstGeom prst="rect">
                            <a:avLst/>
                          </a:prstGeom>
                          <a:ln>
                            <a:noFill/>
                          </a:ln>
                        </wps:spPr>
                        <wps:txbx>
                          <w:txbxContent>
                            <w:p w:rsidR="00D27BC6" w:rsidRDefault="004D5071">
                              <w:pPr>
                                <w:spacing w:after="160" w:line="259" w:lineRule="auto"/>
                                <w:ind w:left="0" w:right="0" w:firstLine="0"/>
                                <w:jc w:val="left"/>
                              </w:pPr>
                              <w:r>
                                <w:rPr>
                                  <w:b/>
                                  <w:w w:val="111"/>
                                </w:rPr>
                                <w:t>этап</w:t>
                              </w:r>
                              <w:r>
                                <w:rPr>
                                  <w:b/>
                                  <w:spacing w:val="-5"/>
                                  <w:w w:val="111"/>
                                </w:rPr>
                                <w:t xml:space="preserve"> </w:t>
                              </w:r>
                              <w:r>
                                <w:rPr>
                                  <w:b/>
                                  <w:w w:val="111"/>
                                </w:rPr>
                                <w:t>жизни</w:t>
                              </w:r>
                            </w:p>
                          </w:txbxContent>
                        </wps:txbx>
                        <wps:bodyPr horzOverflow="overflow" vert="horz" lIns="0" tIns="0" rIns="0" bIns="0" rtlCol="0">
                          <a:noAutofit/>
                        </wps:bodyPr>
                      </wps:wsp>
                      <wps:wsp>
                        <wps:cNvPr id="24168" name="Rectangle 24168"/>
                        <wps:cNvSpPr/>
                        <wps:spPr>
                          <a:xfrm>
                            <a:off x="40454" y="975548"/>
                            <a:ext cx="299309" cy="203030"/>
                          </a:xfrm>
                          <a:prstGeom prst="rect">
                            <a:avLst/>
                          </a:prstGeom>
                          <a:ln>
                            <a:noFill/>
                          </a:ln>
                        </wps:spPr>
                        <wps:txbx>
                          <w:txbxContent>
                            <w:p w:rsidR="00D27BC6" w:rsidRDefault="004D5071">
                              <w:pPr>
                                <w:spacing w:after="160" w:line="259" w:lineRule="auto"/>
                                <w:ind w:left="0" w:right="0" w:firstLine="0"/>
                                <w:jc w:val="left"/>
                              </w:pPr>
                              <w:r>
                                <w:rPr>
                                  <w:w w:val="104"/>
                                </w:rPr>
                                <w:t>Нет</w:t>
                              </w:r>
                              <w:r>
                                <w:rPr>
                                  <w:spacing w:val="-3"/>
                                  <w:w w:val="104"/>
                                </w:rPr>
                                <w:t xml:space="preserve"> </w:t>
                              </w:r>
                            </w:p>
                          </w:txbxContent>
                        </wps:txbx>
                        <wps:bodyPr horzOverflow="overflow" vert="horz" lIns="0" tIns="0" rIns="0" bIns="0" rtlCol="0">
                          <a:noAutofit/>
                        </wps:bodyPr>
                      </wps:wsp>
                      <wps:wsp>
                        <wps:cNvPr id="24169" name="Rectangle 24169"/>
                        <wps:cNvSpPr/>
                        <wps:spPr>
                          <a:xfrm>
                            <a:off x="40454" y="1115248"/>
                            <a:ext cx="1634357" cy="203030"/>
                          </a:xfrm>
                          <a:prstGeom prst="rect">
                            <a:avLst/>
                          </a:prstGeom>
                          <a:ln>
                            <a:noFill/>
                          </a:ln>
                        </wps:spPr>
                        <wps:txbx>
                          <w:txbxContent>
                            <w:p w:rsidR="00D27BC6" w:rsidRDefault="004D5071">
                              <w:pPr>
                                <w:spacing w:after="160" w:line="259" w:lineRule="auto"/>
                                <w:ind w:left="0" w:right="0" w:firstLine="0"/>
                                <w:jc w:val="left"/>
                              </w:pPr>
                              <w:r>
                                <w:rPr>
                                  <w:w w:val="104"/>
                                </w:rPr>
                                <w:t>атеросклеротических</w:t>
                              </w:r>
                              <w:r>
                                <w:rPr>
                                  <w:spacing w:val="-3"/>
                                  <w:w w:val="104"/>
                                </w:rPr>
                                <w:t xml:space="preserve"> </w:t>
                              </w:r>
                            </w:p>
                          </w:txbxContent>
                        </wps:txbx>
                        <wps:bodyPr horzOverflow="overflow" vert="horz" lIns="0" tIns="0" rIns="0" bIns="0" rtlCol="0">
                          <a:noAutofit/>
                        </wps:bodyPr>
                      </wps:wsp>
                      <wps:wsp>
                        <wps:cNvPr id="24170" name="Rectangle 24170"/>
                        <wps:cNvSpPr/>
                        <wps:spPr>
                          <a:xfrm>
                            <a:off x="40454" y="1254948"/>
                            <a:ext cx="1628107" cy="203030"/>
                          </a:xfrm>
                          <a:prstGeom prst="rect">
                            <a:avLst/>
                          </a:prstGeom>
                          <a:ln>
                            <a:noFill/>
                          </a:ln>
                        </wps:spPr>
                        <wps:txbx>
                          <w:txbxContent>
                            <w:p w:rsidR="00D27BC6" w:rsidRDefault="004D5071">
                              <w:pPr>
                                <w:spacing w:after="160" w:line="259" w:lineRule="auto"/>
                                <w:ind w:left="0" w:right="0" w:firstLine="0"/>
                                <w:jc w:val="left"/>
                              </w:pPr>
                              <w:r>
                                <w:rPr>
                                  <w:w w:val="103"/>
                                </w:rPr>
                                <w:t>сердечно-сосудистых</w:t>
                              </w:r>
                              <w:r>
                                <w:rPr>
                                  <w:spacing w:val="-3"/>
                                  <w:w w:val="103"/>
                                </w:rPr>
                                <w:t xml:space="preserve"> </w:t>
                              </w:r>
                            </w:p>
                          </w:txbxContent>
                        </wps:txbx>
                        <wps:bodyPr horzOverflow="overflow" vert="horz" lIns="0" tIns="0" rIns="0" bIns="0" rtlCol="0">
                          <a:noAutofit/>
                        </wps:bodyPr>
                      </wps:wsp>
                      <wps:wsp>
                        <wps:cNvPr id="24171" name="Rectangle 24171"/>
                        <wps:cNvSpPr/>
                        <wps:spPr>
                          <a:xfrm>
                            <a:off x="40454" y="1394648"/>
                            <a:ext cx="952315" cy="203030"/>
                          </a:xfrm>
                          <a:prstGeom prst="rect">
                            <a:avLst/>
                          </a:prstGeom>
                          <a:ln>
                            <a:noFill/>
                          </a:ln>
                        </wps:spPr>
                        <wps:txbx>
                          <w:txbxContent>
                            <w:p w:rsidR="00D27BC6" w:rsidRDefault="004D5071">
                              <w:pPr>
                                <w:spacing w:after="160" w:line="259" w:lineRule="auto"/>
                                <w:ind w:left="0" w:right="0" w:firstLine="0"/>
                                <w:jc w:val="left"/>
                              </w:pPr>
                              <w:r>
                                <w:rPr>
                                  <w:w w:val="102"/>
                                </w:rPr>
                                <w:t>заболеваний</w:t>
                              </w:r>
                            </w:p>
                          </w:txbxContent>
                        </wps:txbx>
                        <wps:bodyPr horzOverflow="overflow" vert="horz" lIns="0" tIns="0" rIns="0" bIns="0" rtlCol="0">
                          <a:noAutofit/>
                        </wps:bodyPr>
                      </wps:wsp>
                      <wps:wsp>
                        <wps:cNvPr id="24172" name="Rectangle 24172"/>
                        <wps:cNvSpPr/>
                        <wps:spPr>
                          <a:xfrm>
                            <a:off x="756516" y="1403567"/>
                            <a:ext cx="50258" cy="117758"/>
                          </a:xfrm>
                          <a:prstGeom prst="rect">
                            <a:avLst/>
                          </a:prstGeom>
                          <a:ln>
                            <a:noFill/>
                          </a:ln>
                        </wps:spPr>
                        <wps:txbx>
                          <w:txbxContent>
                            <w:p w:rsidR="00D27BC6" w:rsidRDefault="004D5071">
                              <w:pPr>
                                <w:spacing w:after="160" w:line="259" w:lineRule="auto"/>
                                <w:ind w:left="0" w:right="0" w:firstLine="0"/>
                                <w:jc w:val="left"/>
                              </w:pPr>
                              <w:r>
                                <w:rPr>
                                  <w:w w:val="101"/>
                                  <w:sz w:val="12"/>
                                </w:rPr>
                                <w:t>2</w:t>
                              </w:r>
                            </w:p>
                          </w:txbxContent>
                        </wps:txbx>
                        <wps:bodyPr horzOverflow="overflow" vert="horz" lIns="0" tIns="0" rIns="0" bIns="0" rtlCol="0">
                          <a:noAutofit/>
                        </wps:bodyPr>
                      </wps:wsp>
                      <wps:wsp>
                        <wps:cNvPr id="24173" name="Rectangle 24173"/>
                        <wps:cNvSpPr/>
                        <wps:spPr>
                          <a:xfrm>
                            <a:off x="794303" y="1394698"/>
                            <a:ext cx="35809" cy="203030"/>
                          </a:xfrm>
                          <a:prstGeom prst="rect">
                            <a:avLst/>
                          </a:prstGeom>
                          <a:ln>
                            <a:noFill/>
                          </a:ln>
                        </wps:spPr>
                        <wps:txbx>
                          <w:txbxContent>
                            <w:p w:rsidR="00D27BC6" w:rsidRDefault="004D5071">
                              <w:pPr>
                                <w:spacing w:after="160" w:line="259" w:lineRule="auto"/>
                                <w:ind w:left="0" w:right="0" w:firstLine="0"/>
                                <w:jc w:val="left"/>
                              </w:pPr>
                              <w:r>
                                <w:t xml:space="preserve"> </w:t>
                              </w:r>
                            </w:p>
                          </w:txbxContent>
                        </wps:txbx>
                        <wps:bodyPr horzOverflow="overflow" vert="horz" lIns="0" tIns="0" rIns="0" bIns="0" rtlCol="0">
                          <a:noAutofit/>
                        </wps:bodyPr>
                      </wps:wsp>
                      <wps:wsp>
                        <wps:cNvPr id="24174" name="Rectangle 24174"/>
                        <wps:cNvSpPr/>
                        <wps:spPr>
                          <a:xfrm>
                            <a:off x="40558" y="1534398"/>
                            <a:ext cx="1582991" cy="203030"/>
                          </a:xfrm>
                          <a:prstGeom prst="rect">
                            <a:avLst/>
                          </a:prstGeom>
                          <a:ln>
                            <a:noFill/>
                          </a:ln>
                        </wps:spPr>
                        <wps:txbx>
                          <w:txbxContent>
                            <w:p w:rsidR="00D27BC6" w:rsidRDefault="004D5071">
                              <w:pPr>
                                <w:spacing w:after="160" w:line="259" w:lineRule="auto"/>
                                <w:ind w:left="0" w:right="0" w:firstLine="0"/>
                                <w:jc w:val="left"/>
                              </w:pPr>
                              <w:r>
                                <w:rPr>
                                  <w:w w:val="103"/>
                                </w:rPr>
                                <w:t>и/или</w:t>
                              </w:r>
                              <w:r>
                                <w:rPr>
                                  <w:spacing w:val="-3"/>
                                  <w:w w:val="103"/>
                                </w:rPr>
                                <w:t xml:space="preserve"> </w:t>
                              </w:r>
                              <w:r>
                                <w:rPr>
                                  <w:w w:val="103"/>
                                </w:rPr>
                                <w:t>риска</w:t>
                              </w:r>
                              <w:r>
                                <w:rPr>
                                  <w:spacing w:val="-3"/>
                                  <w:w w:val="103"/>
                                </w:rPr>
                                <w:t xml:space="preserve"> </w:t>
                              </w:r>
                              <w:r>
                                <w:rPr>
                                  <w:w w:val="103"/>
                                </w:rPr>
                                <w:t>тяжелой</w:t>
                              </w:r>
                              <w:r>
                                <w:rPr>
                                  <w:spacing w:val="-3"/>
                                  <w:w w:val="103"/>
                                </w:rPr>
                                <w:t xml:space="preserve"> </w:t>
                              </w:r>
                            </w:p>
                          </w:txbxContent>
                        </wps:txbx>
                        <wps:bodyPr horzOverflow="overflow" vert="horz" lIns="0" tIns="0" rIns="0" bIns="0" rtlCol="0">
                          <a:noAutofit/>
                        </wps:bodyPr>
                      </wps:wsp>
                      <wps:wsp>
                        <wps:cNvPr id="24175" name="Rectangle 24175"/>
                        <wps:cNvSpPr/>
                        <wps:spPr>
                          <a:xfrm>
                            <a:off x="40558" y="1674098"/>
                            <a:ext cx="1043019" cy="203030"/>
                          </a:xfrm>
                          <a:prstGeom prst="rect">
                            <a:avLst/>
                          </a:prstGeom>
                          <a:ln>
                            <a:noFill/>
                          </a:ln>
                        </wps:spPr>
                        <wps:txbx>
                          <w:txbxContent>
                            <w:p w:rsidR="00D27BC6" w:rsidRDefault="004D5071">
                              <w:pPr>
                                <w:spacing w:after="160" w:line="259" w:lineRule="auto"/>
                                <w:ind w:left="0" w:right="0" w:firstLine="0"/>
                                <w:jc w:val="left"/>
                              </w:pPr>
                              <w:r>
                                <w:rPr>
                                  <w:w w:val="103"/>
                                </w:rPr>
                                <w:t>гипогликемии</w:t>
                              </w:r>
                            </w:p>
                          </w:txbxContent>
                        </wps:txbx>
                        <wps:bodyPr horzOverflow="overflow" vert="horz" lIns="0" tIns="0" rIns="0" bIns="0" rtlCol="0">
                          <a:noAutofit/>
                        </wps:bodyPr>
                      </wps:wsp>
                      <wps:wsp>
                        <wps:cNvPr id="24176" name="Rectangle 24176"/>
                        <wps:cNvSpPr/>
                        <wps:spPr>
                          <a:xfrm>
                            <a:off x="824711" y="1682967"/>
                            <a:ext cx="50258" cy="117758"/>
                          </a:xfrm>
                          <a:prstGeom prst="rect">
                            <a:avLst/>
                          </a:prstGeom>
                          <a:ln>
                            <a:noFill/>
                          </a:ln>
                        </wps:spPr>
                        <wps:txbx>
                          <w:txbxContent>
                            <w:p w:rsidR="00D27BC6" w:rsidRDefault="004D5071">
                              <w:pPr>
                                <w:spacing w:after="160" w:line="259" w:lineRule="auto"/>
                                <w:ind w:left="0" w:right="0" w:firstLine="0"/>
                                <w:jc w:val="left"/>
                              </w:pPr>
                              <w:r>
                                <w:rPr>
                                  <w:w w:val="101"/>
                                  <w:sz w:val="12"/>
                                </w:rPr>
                                <w:t>3</w:t>
                              </w:r>
                            </w:p>
                          </w:txbxContent>
                        </wps:txbx>
                        <wps:bodyPr horzOverflow="overflow" vert="horz" lIns="0" tIns="0" rIns="0" bIns="0" rtlCol="0">
                          <a:noAutofit/>
                        </wps:bodyPr>
                      </wps:wsp>
                      <wps:wsp>
                        <wps:cNvPr id="297580" name="Rectangle 297580"/>
                        <wps:cNvSpPr/>
                        <wps:spPr>
                          <a:xfrm>
                            <a:off x="1629691" y="1324848"/>
                            <a:ext cx="100670" cy="203030"/>
                          </a:xfrm>
                          <a:prstGeom prst="rect">
                            <a:avLst/>
                          </a:prstGeom>
                          <a:ln>
                            <a:noFill/>
                          </a:ln>
                        </wps:spPr>
                        <wps:txbx>
                          <w:txbxContent>
                            <w:p w:rsidR="00D27BC6" w:rsidRDefault="004D5071">
                              <w:pPr>
                                <w:spacing w:after="160" w:line="259" w:lineRule="auto"/>
                                <w:ind w:left="0" w:right="0" w:firstLine="0"/>
                                <w:jc w:val="left"/>
                              </w:pPr>
                              <w:r>
                                <w:rPr>
                                  <w:w w:val="119"/>
                                </w:rPr>
                                <w:t>&lt;</w:t>
                              </w:r>
                            </w:p>
                          </w:txbxContent>
                        </wps:txbx>
                        <wps:bodyPr horzOverflow="overflow" vert="horz" lIns="0" tIns="0" rIns="0" bIns="0" rtlCol="0">
                          <a:noAutofit/>
                        </wps:bodyPr>
                      </wps:wsp>
                      <wps:wsp>
                        <wps:cNvPr id="297581" name="Rectangle 297581"/>
                        <wps:cNvSpPr/>
                        <wps:spPr>
                          <a:xfrm>
                            <a:off x="1705383" y="1324848"/>
                            <a:ext cx="377852" cy="203030"/>
                          </a:xfrm>
                          <a:prstGeom prst="rect">
                            <a:avLst/>
                          </a:prstGeom>
                          <a:ln>
                            <a:noFill/>
                          </a:ln>
                        </wps:spPr>
                        <wps:txbx>
                          <w:txbxContent>
                            <w:p w:rsidR="00D27BC6" w:rsidRDefault="004D5071">
                              <w:pPr>
                                <w:spacing w:after="160" w:line="259" w:lineRule="auto"/>
                                <w:ind w:left="0" w:right="0" w:firstLine="0"/>
                                <w:jc w:val="left"/>
                              </w:pPr>
                              <w:r>
                                <w:rPr>
                                  <w:spacing w:val="-3"/>
                                  <w:w w:val="103"/>
                                </w:rPr>
                                <w:t xml:space="preserve"> </w:t>
                              </w:r>
                              <w:r>
                                <w:rPr>
                                  <w:w w:val="103"/>
                                </w:rPr>
                                <w:t>7,0%</w:t>
                              </w:r>
                            </w:p>
                          </w:txbxContent>
                        </wps:txbx>
                        <wps:bodyPr horzOverflow="overflow" vert="horz" lIns="0" tIns="0" rIns="0" bIns="0" rtlCol="0">
                          <a:noAutofit/>
                        </wps:bodyPr>
                      </wps:wsp>
                      <wps:wsp>
                        <wps:cNvPr id="297582" name="Rectangle 297582"/>
                        <wps:cNvSpPr/>
                        <wps:spPr>
                          <a:xfrm>
                            <a:off x="2656867" y="1324848"/>
                            <a:ext cx="100670" cy="203030"/>
                          </a:xfrm>
                          <a:prstGeom prst="rect">
                            <a:avLst/>
                          </a:prstGeom>
                          <a:ln>
                            <a:noFill/>
                          </a:ln>
                        </wps:spPr>
                        <wps:txbx>
                          <w:txbxContent>
                            <w:p w:rsidR="00D27BC6" w:rsidRDefault="004D5071">
                              <w:pPr>
                                <w:spacing w:after="160" w:line="259" w:lineRule="auto"/>
                                <w:ind w:left="0" w:right="0" w:firstLine="0"/>
                                <w:jc w:val="left"/>
                              </w:pPr>
                              <w:r>
                                <w:rPr>
                                  <w:w w:val="119"/>
                                </w:rPr>
                                <w:t>&lt;</w:t>
                              </w:r>
                            </w:p>
                          </w:txbxContent>
                        </wps:txbx>
                        <wps:bodyPr horzOverflow="overflow" vert="horz" lIns="0" tIns="0" rIns="0" bIns="0" rtlCol="0">
                          <a:noAutofit/>
                        </wps:bodyPr>
                      </wps:wsp>
                      <wps:wsp>
                        <wps:cNvPr id="297583" name="Rectangle 297583"/>
                        <wps:cNvSpPr/>
                        <wps:spPr>
                          <a:xfrm>
                            <a:off x="2732559" y="1324848"/>
                            <a:ext cx="377852" cy="203030"/>
                          </a:xfrm>
                          <a:prstGeom prst="rect">
                            <a:avLst/>
                          </a:prstGeom>
                          <a:ln>
                            <a:noFill/>
                          </a:ln>
                        </wps:spPr>
                        <wps:txbx>
                          <w:txbxContent>
                            <w:p w:rsidR="00D27BC6" w:rsidRDefault="004D5071">
                              <w:pPr>
                                <w:spacing w:after="160" w:line="259" w:lineRule="auto"/>
                                <w:ind w:left="0" w:right="0" w:firstLine="0"/>
                                <w:jc w:val="left"/>
                              </w:pPr>
                              <w:r>
                                <w:rPr>
                                  <w:spacing w:val="-3"/>
                                  <w:w w:val="103"/>
                                </w:rPr>
                                <w:t xml:space="preserve"> </w:t>
                              </w:r>
                              <w:r>
                                <w:rPr>
                                  <w:w w:val="103"/>
                                </w:rPr>
                                <w:t>7,5%</w:t>
                              </w:r>
                            </w:p>
                          </w:txbxContent>
                        </wps:txbx>
                        <wps:bodyPr horzOverflow="overflow" vert="horz" lIns="0" tIns="0" rIns="0" bIns="0" rtlCol="0">
                          <a:noAutofit/>
                        </wps:bodyPr>
                      </wps:wsp>
                      <wps:wsp>
                        <wps:cNvPr id="297584" name="Rectangle 297584"/>
                        <wps:cNvSpPr/>
                        <wps:spPr>
                          <a:xfrm>
                            <a:off x="3684043" y="1775698"/>
                            <a:ext cx="100670" cy="203030"/>
                          </a:xfrm>
                          <a:prstGeom prst="rect">
                            <a:avLst/>
                          </a:prstGeom>
                          <a:ln>
                            <a:noFill/>
                          </a:ln>
                        </wps:spPr>
                        <wps:txbx>
                          <w:txbxContent>
                            <w:p w:rsidR="00D27BC6" w:rsidRDefault="004D5071">
                              <w:pPr>
                                <w:spacing w:after="160" w:line="259" w:lineRule="auto"/>
                                <w:ind w:left="0" w:right="0" w:firstLine="0"/>
                                <w:jc w:val="left"/>
                              </w:pPr>
                              <w:r>
                                <w:rPr>
                                  <w:w w:val="119"/>
                                </w:rPr>
                                <w:t>&lt;</w:t>
                              </w:r>
                            </w:p>
                          </w:txbxContent>
                        </wps:txbx>
                        <wps:bodyPr horzOverflow="overflow" vert="horz" lIns="0" tIns="0" rIns="0" bIns="0" rtlCol="0">
                          <a:noAutofit/>
                        </wps:bodyPr>
                      </wps:wsp>
                      <wps:wsp>
                        <wps:cNvPr id="297585" name="Rectangle 297585"/>
                        <wps:cNvSpPr/>
                        <wps:spPr>
                          <a:xfrm>
                            <a:off x="3759735" y="1775698"/>
                            <a:ext cx="377852" cy="203030"/>
                          </a:xfrm>
                          <a:prstGeom prst="rect">
                            <a:avLst/>
                          </a:prstGeom>
                          <a:ln>
                            <a:noFill/>
                          </a:ln>
                        </wps:spPr>
                        <wps:txbx>
                          <w:txbxContent>
                            <w:p w:rsidR="00D27BC6" w:rsidRDefault="004D5071">
                              <w:pPr>
                                <w:spacing w:after="160" w:line="259" w:lineRule="auto"/>
                                <w:ind w:left="0" w:right="0" w:firstLine="0"/>
                                <w:jc w:val="left"/>
                              </w:pPr>
                              <w:r>
                                <w:rPr>
                                  <w:spacing w:val="-3"/>
                                  <w:w w:val="103"/>
                                </w:rPr>
                                <w:t xml:space="preserve"> </w:t>
                              </w:r>
                              <w:r>
                                <w:rPr>
                                  <w:w w:val="103"/>
                                </w:rPr>
                                <w:t>8,0%</w:t>
                              </w:r>
                            </w:p>
                          </w:txbxContent>
                        </wps:txbx>
                        <wps:bodyPr horzOverflow="overflow" vert="horz" lIns="0" tIns="0" rIns="0" bIns="0" rtlCol="0">
                          <a:noAutofit/>
                        </wps:bodyPr>
                      </wps:wsp>
                      <wps:wsp>
                        <wps:cNvPr id="297586" name="Rectangle 297586"/>
                        <wps:cNvSpPr/>
                        <wps:spPr>
                          <a:xfrm>
                            <a:off x="4711219" y="1775698"/>
                            <a:ext cx="100670" cy="203030"/>
                          </a:xfrm>
                          <a:prstGeom prst="rect">
                            <a:avLst/>
                          </a:prstGeom>
                          <a:ln>
                            <a:noFill/>
                          </a:ln>
                        </wps:spPr>
                        <wps:txbx>
                          <w:txbxContent>
                            <w:p w:rsidR="00D27BC6" w:rsidRDefault="004D5071">
                              <w:pPr>
                                <w:spacing w:after="160" w:line="259" w:lineRule="auto"/>
                                <w:ind w:left="0" w:right="0" w:firstLine="0"/>
                                <w:jc w:val="left"/>
                              </w:pPr>
                              <w:r>
                                <w:rPr>
                                  <w:w w:val="119"/>
                                </w:rPr>
                                <w:t>&lt;</w:t>
                              </w:r>
                            </w:p>
                          </w:txbxContent>
                        </wps:txbx>
                        <wps:bodyPr horzOverflow="overflow" vert="horz" lIns="0" tIns="0" rIns="0" bIns="0" rtlCol="0">
                          <a:noAutofit/>
                        </wps:bodyPr>
                      </wps:wsp>
                      <wps:wsp>
                        <wps:cNvPr id="297587" name="Rectangle 297587"/>
                        <wps:cNvSpPr/>
                        <wps:spPr>
                          <a:xfrm>
                            <a:off x="4786911" y="1775698"/>
                            <a:ext cx="377852" cy="203030"/>
                          </a:xfrm>
                          <a:prstGeom prst="rect">
                            <a:avLst/>
                          </a:prstGeom>
                          <a:ln>
                            <a:noFill/>
                          </a:ln>
                        </wps:spPr>
                        <wps:txbx>
                          <w:txbxContent>
                            <w:p w:rsidR="00D27BC6" w:rsidRDefault="004D5071">
                              <w:pPr>
                                <w:spacing w:after="160" w:line="259" w:lineRule="auto"/>
                                <w:ind w:left="0" w:right="0" w:firstLine="0"/>
                                <w:jc w:val="left"/>
                              </w:pPr>
                              <w:r>
                                <w:rPr>
                                  <w:spacing w:val="-3"/>
                                  <w:w w:val="103"/>
                                </w:rPr>
                                <w:t xml:space="preserve"> </w:t>
                              </w:r>
                              <w:r>
                                <w:rPr>
                                  <w:w w:val="103"/>
                                </w:rPr>
                                <w:t>8,5%</w:t>
                              </w:r>
                            </w:p>
                          </w:txbxContent>
                        </wps:txbx>
                        <wps:bodyPr horzOverflow="overflow" vert="horz" lIns="0" tIns="0" rIns="0" bIns="0" rtlCol="0">
                          <a:noAutofit/>
                        </wps:bodyPr>
                      </wps:wsp>
                      <wps:wsp>
                        <wps:cNvPr id="24181" name="Rectangle 24181"/>
                        <wps:cNvSpPr/>
                        <wps:spPr>
                          <a:xfrm>
                            <a:off x="5673117" y="1542399"/>
                            <a:ext cx="744217" cy="209280"/>
                          </a:xfrm>
                          <a:prstGeom prst="rect">
                            <a:avLst/>
                          </a:prstGeom>
                          <a:ln>
                            <a:noFill/>
                          </a:ln>
                        </wps:spPr>
                        <wps:txbx>
                          <w:txbxContent>
                            <w:p w:rsidR="00D27BC6" w:rsidRDefault="004D5071">
                              <w:pPr>
                                <w:spacing w:after="160" w:line="259" w:lineRule="auto"/>
                                <w:ind w:left="0" w:right="0" w:firstLine="0"/>
                                <w:jc w:val="left"/>
                              </w:pPr>
                              <w:r>
                                <w:rPr>
                                  <w:b/>
                                  <w:w w:val="112"/>
                                </w:rPr>
                                <w:t>Избегать</w:t>
                              </w:r>
                              <w:r>
                                <w:rPr>
                                  <w:b/>
                                  <w:spacing w:val="-5"/>
                                  <w:w w:val="112"/>
                                </w:rPr>
                                <w:t xml:space="preserve"> </w:t>
                              </w:r>
                            </w:p>
                          </w:txbxContent>
                        </wps:txbx>
                        <wps:bodyPr horzOverflow="overflow" vert="horz" lIns="0" tIns="0" rIns="0" bIns="0" rtlCol="0">
                          <a:noAutofit/>
                        </wps:bodyPr>
                      </wps:wsp>
                      <wps:wsp>
                        <wps:cNvPr id="24182" name="Rectangle 24182"/>
                        <wps:cNvSpPr/>
                        <wps:spPr>
                          <a:xfrm>
                            <a:off x="5516780" y="1694799"/>
                            <a:ext cx="1160057" cy="209280"/>
                          </a:xfrm>
                          <a:prstGeom prst="rect">
                            <a:avLst/>
                          </a:prstGeom>
                          <a:ln>
                            <a:noFill/>
                          </a:ln>
                        </wps:spPr>
                        <wps:txbx>
                          <w:txbxContent>
                            <w:p w:rsidR="00D27BC6" w:rsidRDefault="004D5071">
                              <w:pPr>
                                <w:spacing w:after="160" w:line="259" w:lineRule="auto"/>
                                <w:ind w:left="0" w:right="0" w:firstLine="0"/>
                                <w:jc w:val="left"/>
                              </w:pPr>
                              <w:r>
                                <w:rPr>
                                  <w:b/>
                                  <w:w w:val="112"/>
                                </w:rPr>
                                <w:t>гипогликемий</w:t>
                              </w:r>
                              <w:r>
                                <w:rPr>
                                  <w:b/>
                                  <w:spacing w:val="-5"/>
                                  <w:w w:val="112"/>
                                </w:rPr>
                                <w:t xml:space="preserve"> </w:t>
                              </w:r>
                            </w:p>
                          </w:txbxContent>
                        </wps:txbx>
                        <wps:bodyPr horzOverflow="overflow" vert="horz" lIns="0" tIns="0" rIns="0" bIns="0" rtlCol="0">
                          <a:noAutofit/>
                        </wps:bodyPr>
                      </wps:wsp>
                      <wps:wsp>
                        <wps:cNvPr id="24183" name="Rectangle 24183"/>
                        <wps:cNvSpPr/>
                        <wps:spPr>
                          <a:xfrm>
                            <a:off x="5559071" y="1847199"/>
                            <a:ext cx="1047563" cy="209280"/>
                          </a:xfrm>
                          <a:prstGeom prst="rect">
                            <a:avLst/>
                          </a:prstGeom>
                          <a:ln>
                            <a:noFill/>
                          </a:ln>
                        </wps:spPr>
                        <wps:txbx>
                          <w:txbxContent>
                            <w:p w:rsidR="00D27BC6" w:rsidRDefault="004D5071">
                              <w:pPr>
                                <w:spacing w:after="160" w:line="259" w:lineRule="auto"/>
                                <w:ind w:left="0" w:right="0" w:firstLine="0"/>
                                <w:jc w:val="left"/>
                              </w:pPr>
                              <w:r>
                                <w:rPr>
                                  <w:b/>
                                  <w:w w:val="111"/>
                                </w:rPr>
                                <w:t>и</w:t>
                              </w:r>
                              <w:r>
                                <w:rPr>
                                  <w:b/>
                                  <w:spacing w:val="-5"/>
                                  <w:w w:val="111"/>
                                </w:rPr>
                                <w:t xml:space="preserve"> </w:t>
                              </w:r>
                              <w:r>
                                <w:rPr>
                                  <w:b/>
                                  <w:w w:val="111"/>
                                </w:rPr>
                                <w:t>симптомов</w:t>
                              </w:r>
                              <w:r>
                                <w:rPr>
                                  <w:b/>
                                  <w:spacing w:val="-5"/>
                                  <w:w w:val="111"/>
                                </w:rPr>
                                <w:t xml:space="preserve"> </w:t>
                              </w:r>
                            </w:p>
                          </w:txbxContent>
                        </wps:txbx>
                        <wps:bodyPr horzOverflow="overflow" vert="horz" lIns="0" tIns="0" rIns="0" bIns="0" rtlCol="0">
                          <a:noAutofit/>
                        </wps:bodyPr>
                      </wps:wsp>
                      <wps:wsp>
                        <wps:cNvPr id="24184" name="Rectangle 24184"/>
                        <wps:cNvSpPr/>
                        <wps:spPr>
                          <a:xfrm>
                            <a:off x="5481982" y="1999599"/>
                            <a:ext cx="1218669" cy="209280"/>
                          </a:xfrm>
                          <a:prstGeom prst="rect">
                            <a:avLst/>
                          </a:prstGeom>
                          <a:ln>
                            <a:noFill/>
                          </a:ln>
                        </wps:spPr>
                        <wps:txbx>
                          <w:txbxContent>
                            <w:p w:rsidR="00D27BC6" w:rsidRDefault="004D5071">
                              <w:pPr>
                                <w:spacing w:after="160" w:line="259" w:lineRule="auto"/>
                                <w:ind w:left="0" w:right="0" w:firstLine="0"/>
                                <w:jc w:val="left"/>
                              </w:pPr>
                              <w:r>
                                <w:rPr>
                                  <w:b/>
                                  <w:w w:val="112"/>
                                </w:rPr>
                                <w:t>гипергликемии</w:t>
                              </w:r>
                            </w:p>
                          </w:txbxContent>
                        </wps:txbx>
                        <wps:bodyPr horzOverflow="overflow" vert="horz" lIns="0" tIns="0" rIns="0" bIns="0" rtlCol="0">
                          <a:noAutofit/>
                        </wps:bodyPr>
                      </wps:wsp>
                      <wps:wsp>
                        <wps:cNvPr id="24185" name="Rectangle 24185"/>
                        <wps:cNvSpPr/>
                        <wps:spPr>
                          <a:xfrm>
                            <a:off x="40539" y="1877298"/>
                            <a:ext cx="348461" cy="203030"/>
                          </a:xfrm>
                          <a:prstGeom prst="rect">
                            <a:avLst/>
                          </a:prstGeom>
                          <a:ln>
                            <a:noFill/>
                          </a:ln>
                        </wps:spPr>
                        <wps:txbx>
                          <w:txbxContent>
                            <w:p w:rsidR="00D27BC6" w:rsidRDefault="004D5071">
                              <w:pPr>
                                <w:spacing w:after="160" w:line="259" w:lineRule="auto"/>
                                <w:ind w:left="0" w:right="0" w:firstLine="0"/>
                                <w:jc w:val="left"/>
                              </w:pPr>
                              <w:r>
                                <w:rPr>
                                  <w:w w:val="104"/>
                                </w:rPr>
                                <w:t>Есть</w:t>
                              </w:r>
                              <w:r>
                                <w:rPr>
                                  <w:spacing w:val="-3"/>
                                  <w:w w:val="104"/>
                                </w:rPr>
                                <w:t xml:space="preserve"> </w:t>
                              </w:r>
                            </w:p>
                          </w:txbxContent>
                        </wps:txbx>
                        <wps:bodyPr horzOverflow="overflow" vert="horz" lIns="0" tIns="0" rIns="0" bIns="0" rtlCol="0">
                          <a:noAutofit/>
                        </wps:bodyPr>
                      </wps:wsp>
                      <wps:wsp>
                        <wps:cNvPr id="24186" name="Rectangle 24186"/>
                        <wps:cNvSpPr/>
                        <wps:spPr>
                          <a:xfrm>
                            <a:off x="40539" y="2016998"/>
                            <a:ext cx="1640775" cy="203030"/>
                          </a:xfrm>
                          <a:prstGeom prst="rect">
                            <a:avLst/>
                          </a:prstGeom>
                          <a:ln>
                            <a:noFill/>
                          </a:ln>
                        </wps:spPr>
                        <wps:txbx>
                          <w:txbxContent>
                            <w:p w:rsidR="00D27BC6" w:rsidRDefault="004D5071">
                              <w:pPr>
                                <w:spacing w:after="160" w:line="259" w:lineRule="auto"/>
                                <w:ind w:left="0" w:right="0" w:firstLine="0"/>
                                <w:jc w:val="left"/>
                              </w:pPr>
                              <w:r>
                                <w:rPr>
                                  <w:w w:val="104"/>
                                </w:rPr>
                                <w:t>атеросклеротические</w:t>
                              </w:r>
                              <w:r>
                                <w:rPr>
                                  <w:spacing w:val="-3"/>
                                  <w:w w:val="104"/>
                                </w:rPr>
                                <w:t xml:space="preserve"> </w:t>
                              </w:r>
                            </w:p>
                          </w:txbxContent>
                        </wps:txbx>
                        <wps:bodyPr horzOverflow="overflow" vert="horz" lIns="0" tIns="0" rIns="0" bIns="0" rtlCol="0">
                          <a:noAutofit/>
                        </wps:bodyPr>
                      </wps:wsp>
                      <wps:wsp>
                        <wps:cNvPr id="24187" name="Rectangle 24187"/>
                        <wps:cNvSpPr/>
                        <wps:spPr>
                          <a:xfrm>
                            <a:off x="40539" y="2156698"/>
                            <a:ext cx="1634525" cy="203030"/>
                          </a:xfrm>
                          <a:prstGeom prst="rect">
                            <a:avLst/>
                          </a:prstGeom>
                          <a:ln>
                            <a:noFill/>
                          </a:ln>
                        </wps:spPr>
                        <wps:txbx>
                          <w:txbxContent>
                            <w:p w:rsidR="00D27BC6" w:rsidRDefault="004D5071">
                              <w:pPr>
                                <w:spacing w:after="160" w:line="259" w:lineRule="auto"/>
                                <w:ind w:left="0" w:right="0" w:firstLine="0"/>
                                <w:jc w:val="left"/>
                              </w:pPr>
                              <w:r>
                                <w:rPr>
                                  <w:w w:val="103"/>
                                </w:rPr>
                                <w:t>сердечно-сосудистые</w:t>
                              </w:r>
                              <w:r>
                                <w:rPr>
                                  <w:spacing w:val="-3"/>
                                  <w:w w:val="103"/>
                                </w:rPr>
                                <w:t xml:space="preserve"> </w:t>
                              </w:r>
                            </w:p>
                          </w:txbxContent>
                        </wps:txbx>
                        <wps:bodyPr horzOverflow="overflow" vert="horz" lIns="0" tIns="0" rIns="0" bIns="0" rtlCol="0">
                          <a:noAutofit/>
                        </wps:bodyPr>
                      </wps:wsp>
                      <wps:wsp>
                        <wps:cNvPr id="24188" name="Rectangle 24188"/>
                        <wps:cNvSpPr/>
                        <wps:spPr>
                          <a:xfrm>
                            <a:off x="40539" y="2296398"/>
                            <a:ext cx="978986" cy="203030"/>
                          </a:xfrm>
                          <a:prstGeom prst="rect">
                            <a:avLst/>
                          </a:prstGeom>
                          <a:ln>
                            <a:noFill/>
                          </a:ln>
                        </wps:spPr>
                        <wps:txbx>
                          <w:txbxContent>
                            <w:p w:rsidR="00D27BC6" w:rsidRDefault="004D5071">
                              <w:pPr>
                                <w:spacing w:after="160" w:line="259" w:lineRule="auto"/>
                                <w:ind w:left="0" w:right="0" w:firstLine="0"/>
                                <w:jc w:val="left"/>
                              </w:pPr>
                              <w:r>
                                <w:rPr>
                                  <w:w w:val="103"/>
                                </w:rPr>
                                <w:t>заболевания</w:t>
                              </w:r>
                              <w:r>
                                <w:rPr>
                                  <w:spacing w:val="-3"/>
                                  <w:w w:val="103"/>
                                </w:rPr>
                                <w:t xml:space="preserve"> </w:t>
                              </w:r>
                            </w:p>
                          </w:txbxContent>
                        </wps:txbx>
                        <wps:bodyPr horzOverflow="overflow" vert="horz" lIns="0" tIns="0" rIns="0" bIns="0" rtlCol="0">
                          <a:noAutofit/>
                        </wps:bodyPr>
                      </wps:wsp>
                      <wps:wsp>
                        <wps:cNvPr id="24189" name="Rectangle 24189"/>
                        <wps:cNvSpPr/>
                        <wps:spPr>
                          <a:xfrm>
                            <a:off x="40539" y="2436098"/>
                            <a:ext cx="1499887" cy="203030"/>
                          </a:xfrm>
                          <a:prstGeom prst="rect">
                            <a:avLst/>
                          </a:prstGeom>
                          <a:ln>
                            <a:noFill/>
                          </a:ln>
                        </wps:spPr>
                        <wps:txbx>
                          <w:txbxContent>
                            <w:p w:rsidR="00D27BC6" w:rsidRDefault="004D5071">
                              <w:pPr>
                                <w:spacing w:after="160" w:line="259" w:lineRule="auto"/>
                                <w:ind w:left="0" w:right="0" w:firstLine="0"/>
                                <w:jc w:val="left"/>
                              </w:pPr>
                              <w:r>
                                <w:rPr>
                                  <w:w w:val="103"/>
                                </w:rPr>
                                <w:t>и/или</w:t>
                              </w:r>
                              <w:r>
                                <w:rPr>
                                  <w:spacing w:val="-3"/>
                                  <w:w w:val="103"/>
                                </w:rPr>
                                <w:t xml:space="preserve"> </w:t>
                              </w:r>
                              <w:r>
                                <w:rPr>
                                  <w:w w:val="103"/>
                                </w:rPr>
                                <w:t>риск</w:t>
                              </w:r>
                              <w:r>
                                <w:rPr>
                                  <w:spacing w:val="-3"/>
                                  <w:w w:val="103"/>
                                </w:rPr>
                                <w:t xml:space="preserve"> </w:t>
                              </w:r>
                              <w:r>
                                <w:rPr>
                                  <w:w w:val="103"/>
                                </w:rPr>
                                <w:t>тяжелой</w:t>
                              </w:r>
                              <w:r>
                                <w:rPr>
                                  <w:spacing w:val="-3"/>
                                  <w:w w:val="103"/>
                                </w:rPr>
                                <w:t xml:space="preserve"> </w:t>
                              </w:r>
                            </w:p>
                          </w:txbxContent>
                        </wps:txbx>
                        <wps:bodyPr horzOverflow="overflow" vert="horz" lIns="0" tIns="0" rIns="0" bIns="0" rtlCol="0">
                          <a:noAutofit/>
                        </wps:bodyPr>
                      </wps:wsp>
                      <wps:wsp>
                        <wps:cNvPr id="24190" name="Rectangle 24190"/>
                        <wps:cNvSpPr/>
                        <wps:spPr>
                          <a:xfrm>
                            <a:off x="40539" y="2575798"/>
                            <a:ext cx="1043002" cy="203030"/>
                          </a:xfrm>
                          <a:prstGeom prst="rect">
                            <a:avLst/>
                          </a:prstGeom>
                          <a:ln>
                            <a:noFill/>
                          </a:ln>
                        </wps:spPr>
                        <wps:txbx>
                          <w:txbxContent>
                            <w:p w:rsidR="00D27BC6" w:rsidRDefault="004D5071">
                              <w:pPr>
                                <w:spacing w:after="160" w:line="259" w:lineRule="auto"/>
                                <w:ind w:left="0" w:right="0" w:firstLine="0"/>
                                <w:jc w:val="left"/>
                              </w:pPr>
                              <w:r>
                                <w:rPr>
                                  <w:w w:val="103"/>
                                </w:rPr>
                                <w:t>гипогликемии</w:t>
                              </w:r>
                            </w:p>
                          </w:txbxContent>
                        </wps:txbx>
                        <wps:bodyPr horzOverflow="overflow" vert="horz" lIns="0" tIns="0" rIns="0" bIns="0" rtlCol="0">
                          <a:noAutofit/>
                        </wps:bodyPr>
                      </wps:wsp>
                      <wps:wsp>
                        <wps:cNvPr id="297588" name="Rectangle 297588"/>
                        <wps:cNvSpPr/>
                        <wps:spPr>
                          <a:xfrm>
                            <a:off x="1629690" y="2226548"/>
                            <a:ext cx="100670" cy="203030"/>
                          </a:xfrm>
                          <a:prstGeom prst="rect">
                            <a:avLst/>
                          </a:prstGeom>
                          <a:ln>
                            <a:noFill/>
                          </a:ln>
                        </wps:spPr>
                        <wps:txbx>
                          <w:txbxContent>
                            <w:p w:rsidR="00D27BC6" w:rsidRDefault="004D5071">
                              <w:pPr>
                                <w:spacing w:after="160" w:line="259" w:lineRule="auto"/>
                                <w:ind w:left="0" w:right="0" w:firstLine="0"/>
                                <w:jc w:val="left"/>
                              </w:pPr>
                              <w:r>
                                <w:rPr>
                                  <w:w w:val="119"/>
                                </w:rPr>
                                <w:t>&lt;</w:t>
                              </w:r>
                            </w:p>
                          </w:txbxContent>
                        </wps:txbx>
                        <wps:bodyPr horzOverflow="overflow" vert="horz" lIns="0" tIns="0" rIns="0" bIns="0" rtlCol="0">
                          <a:noAutofit/>
                        </wps:bodyPr>
                      </wps:wsp>
                      <wps:wsp>
                        <wps:cNvPr id="297589" name="Rectangle 297589"/>
                        <wps:cNvSpPr/>
                        <wps:spPr>
                          <a:xfrm>
                            <a:off x="1705382" y="2226548"/>
                            <a:ext cx="377852" cy="203030"/>
                          </a:xfrm>
                          <a:prstGeom prst="rect">
                            <a:avLst/>
                          </a:prstGeom>
                          <a:ln>
                            <a:noFill/>
                          </a:ln>
                        </wps:spPr>
                        <wps:txbx>
                          <w:txbxContent>
                            <w:p w:rsidR="00D27BC6" w:rsidRDefault="004D5071">
                              <w:pPr>
                                <w:spacing w:after="160" w:line="259" w:lineRule="auto"/>
                                <w:ind w:left="0" w:right="0" w:firstLine="0"/>
                                <w:jc w:val="left"/>
                              </w:pPr>
                              <w:r>
                                <w:rPr>
                                  <w:spacing w:val="-3"/>
                                  <w:w w:val="103"/>
                                </w:rPr>
                                <w:t xml:space="preserve"> </w:t>
                              </w:r>
                              <w:r>
                                <w:rPr>
                                  <w:w w:val="103"/>
                                </w:rPr>
                                <w:t>7,5%</w:t>
                              </w:r>
                            </w:p>
                          </w:txbxContent>
                        </wps:txbx>
                        <wps:bodyPr horzOverflow="overflow" vert="horz" lIns="0" tIns="0" rIns="0" bIns="0" rtlCol="0">
                          <a:noAutofit/>
                        </wps:bodyPr>
                      </wps:wsp>
                      <wps:wsp>
                        <wps:cNvPr id="297590" name="Rectangle 297590"/>
                        <wps:cNvSpPr/>
                        <wps:spPr>
                          <a:xfrm>
                            <a:off x="2656866" y="2226548"/>
                            <a:ext cx="100670" cy="203030"/>
                          </a:xfrm>
                          <a:prstGeom prst="rect">
                            <a:avLst/>
                          </a:prstGeom>
                          <a:ln>
                            <a:noFill/>
                          </a:ln>
                        </wps:spPr>
                        <wps:txbx>
                          <w:txbxContent>
                            <w:p w:rsidR="00D27BC6" w:rsidRDefault="004D5071">
                              <w:pPr>
                                <w:spacing w:after="160" w:line="259" w:lineRule="auto"/>
                                <w:ind w:left="0" w:right="0" w:firstLine="0"/>
                                <w:jc w:val="left"/>
                              </w:pPr>
                              <w:r>
                                <w:rPr>
                                  <w:w w:val="119"/>
                                </w:rPr>
                                <w:t>&lt;</w:t>
                              </w:r>
                            </w:p>
                          </w:txbxContent>
                        </wps:txbx>
                        <wps:bodyPr horzOverflow="overflow" vert="horz" lIns="0" tIns="0" rIns="0" bIns="0" rtlCol="0">
                          <a:noAutofit/>
                        </wps:bodyPr>
                      </wps:wsp>
                      <wps:wsp>
                        <wps:cNvPr id="297591" name="Rectangle 297591"/>
                        <wps:cNvSpPr/>
                        <wps:spPr>
                          <a:xfrm>
                            <a:off x="2732558" y="2226548"/>
                            <a:ext cx="377852" cy="203030"/>
                          </a:xfrm>
                          <a:prstGeom prst="rect">
                            <a:avLst/>
                          </a:prstGeom>
                          <a:ln>
                            <a:noFill/>
                          </a:ln>
                        </wps:spPr>
                        <wps:txbx>
                          <w:txbxContent>
                            <w:p w:rsidR="00D27BC6" w:rsidRDefault="004D5071">
                              <w:pPr>
                                <w:spacing w:after="160" w:line="259" w:lineRule="auto"/>
                                <w:ind w:left="0" w:right="0" w:firstLine="0"/>
                                <w:jc w:val="left"/>
                              </w:pPr>
                              <w:r>
                                <w:rPr>
                                  <w:spacing w:val="-3"/>
                                  <w:w w:val="103"/>
                                </w:rPr>
                                <w:t xml:space="preserve"> </w:t>
                              </w:r>
                              <w:r>
                                <w:rPr>
                                  <w:w w:val="103"/>
                                </w:rPr>
                                <w:t>8,0%</w:t>
                              </w:r>
                            </w:p>
                          </w:txbxContent>
                        </wps:txbx>
                        <wps:bodyPr horzOverflow="overflow" vert="horz" lIns="0" tIns="0" rIns="0" bIns="0" rtlCol="0">
                          <a:noAutofit/>
                        </wps:bodyPr>
                      </wps:wsp>
                    </wpg:wgp>
                  </a:graphicData>
                </a:graphic>
              </wp:inline>
            </w:drawing>
          </mc:Choice>
          <mc:Fallback xmlns:a="http://schemas.openxmlformats.org/drawingml/2006/main">
            <w:pict>
              <v:group id="Group 298006" style="width:510.236pt;height:218.012pt;mso-position-horizontal-relative:char;mso-position-vertical-relative:line" coordsize="64799,27687">
                <v:shape id="Shape 24080" style="position:absolute;width:64710;height:27687;left:45;top:0;" coordsize="6471006,2768752" path="m0,0l1291501,0l2318664,0l6471006,0l6471006,203251l6470993,203251l6470993,406502l6470993,406502l6470993,965250l5400155,965250l4372991,965250l3345828,965250l3345828,965251l2318664,965251l1291501,965251l1291501,1867002l1291501,1867002l1291501,2768752l0,2768752l0,1867002l0,1867002l0,965251l0,0x">
                  <v:stroke weight="0pt" endcap="flat" joinstyle="miter" miterlimit="10" on="false" color="#000000" opacity="0"/>
                  <v:fill on="true" color="#dadad9"/>
                </v:shape>
                <v:shape id="Shape 380933" style="position:absolute;width:10271;height:9017;left:12960;top:9652;" coordsize="1027163,901751" path="m0,0l1027163,0l1027163,901751l0,901751l0,0">
                  <v:stroke weight="0pt" endcap="flat" joinstyle="miter" miterlimit="10" on="false" color="#000000" opacity="0"/>
                  <v:fill on="true" color="#ffed00"/>
                </v:shape>
                <v:shape id="Shape 380934" style="position:absolute;width:10271;height:9017;left:23231;top:9652;" coordsize="1027163,901751" path="m0,0l1027163,0l1027163,901751l0,901751l0,0">
                  <v:stroke weight="0pt" endcap="flat" joinstyle="miter" miterlimit="10" on="false" color="#000000" opacity="0"/>
                  <v:fill on="true" color="#f8c998"/>
                </v:shape>
                <v:shape id="Shape 380935" style="position:absolute;width:10271;height:18035;left:33503;top:9652;" coordsize="1027163,1803502" path="m0,0l1027163,0l1027163,1803502l0,1803502l0,0">
                  <v:stroke weight="0pt" endcap="flat" joinstyle="miter" miterlimit="10" on="false" color="#000000" opacity="0"/>
                  <v:fill on="true" color="#ecb681"/>
                </v:shape>
                <v:shape id="Shape 380936" style="position:absolute;width:10271;height:18035;left:43774;top:9652;" coordsize="1027163,1803502" path="m0,0l1027163,0l1027163,1803502l0,1803502l0,0">
                  <v:stroke weight="0pt" endcap="flat" joinstyle="miter" miterlimit="10" on="false" color="#000000" opacity="0"/>
                  <v:fill on="true" color="#e8a662"/>
                </v:shape>
                <v:shape id="Shape 380937" style="position:absolute;width:10708;height:18035;left:54046;top:9652;" coordsize="1070839,1803502" path="m0,0l1070839,0l1070839,1803502l0,1803502l0,0">
                  <v:stroke weight="0pt" endcap="flat" joinstyle="miter" miterlimit="10" on="false" color="#000000" opacity="0"/>
                  <v:fill on="true" color="#e59547"/>
                </v:shape>
                <v:shape id="Shape 380938" style="position:absolute;width:10271;height:9017;left:12960;top:18670;" coordsize="1027163,901750" path="m0,0l1027163,0l1027163,901750l0,901750l0,0">
                  <v:stroke weight="0pt" endcap="flat" joinstyle="miter" miterlimit="10" on="false" color="#000000" opacity="0"/>
                  <v:fill on="true" color="#f8c899"/>
                </v:shape>
                <v:shape id="Shape 380939" style="position:absolute;width:10271;height:9017;left:23231;top:18670;" coordsize="1027163,901750" path="m0,0l1027163,0l1027163,901750l0,901750l0,0">
                  <v:stroke weight="0pt" endcap="flat" joinstyle="miter" miterlimit="10" on="false" color="#000000" opacity="0"/>
                  <v:fill on="true" color="#ecb681"/>
                </v:shape>
                <v:shape id="Shape 24088" style="position:absolute;width:12959;height:0;left:0;top:0;" coordsize="1295997,0" path="m0,0l1295997,0">
                  <v:stroke weight="0.709pt" endcap="flat" joinstyle="miter" miterlimit="10" on="true" color="#000000"/>
                  <v:fill on="false" color="#000000" opacity="0"/>
                </v:shape>
                <v:shape id="Shape 24089" style="position:absolute;width:0;height:1987;left:45;top:44;" coordsize="0,198755" path="m0,198755l0,0">
                  <v:stroke weight="0.709pt" endcap="flat" joinstyle="miter" miterlimit="10" on="true" color="#000000"/>
                  <v:fill on="false" color="#000000" opacity="0"/>
                </v:shape>
                <v:shape id="Shape 24090" style="position:absolute;width:10271;height:0;left:12959;top:0;" coordsize="1027163,0" path="m0,0l1027163,0">
                  <v:stroke weight="0.709pt" endcap="flat" joinstyle="miter" miterlimit="10" on="true" color="#000000"/>
                  <v:fill on="false" color="#000000" opacity="0"/>
                </v:shape>
                <v:shape id="Shape 24091" style="position:absolute;width:0;height:1987;left:12959;top:44;" coordsize="0,198755" path="m0,198755l0,0">
                  <v:stroke weight="0.709pt" endcap="flat" joinstyle="miter" miterlimit="10" on="true" color="#000000"/>
                  <v:fill on="false" color="#000000" opacity="0"/>
                </v:shape>
                <v:shape id="Shape 24092" style="position:absolute;width:0;height:2032;left:45;top:2032;" coordsize="0,203251" path="m0,203251l0,0">
                  <v:stroke weight="0.709pt" endcap="flat" joinstyle="miter" miterlimit="10" on="true" color="#000000"/>
                  <v:fill on="false" color="#000000" opacity="0"/>
                </v:shape>
                <v:shape id="Shape 24093" style="position:absolute;width:0;height:2032;left:12959;top:2032;" coordsize="0,203251" path="m0,203251l0,0">
                  <v:stroke weight="0.709pt" endcap="flat" joinstyle="miter" miterlimit="10" on="true" color="#000000"/>
                  <v:fill on="false" color="#000000" opacity="0"/>
                </v:shape>
                <v:shape id="Shape 24094" style="position:absolute;width:0;height:5542;left:45;top:4065;" coordsize="0,554253" path="m0,554253l0,0">
                  <v:stroke weight="0.709pt" endcap="flat" joinstyle="miter" miterlimit="10" on="true" color="#000000"/>
                  <v:fill on="false" color="#000000" opacity="0"/>
                </v:shape>
                <v:shape id="Shape 24095" style="position:absolute;width:0;height:5542;left:12959;top:4065;" coordsize="0,554253" path="m0,554253l0,0">
                  <v:stroke weight="0.709pt" endcap="flat" joinstyle="miter" miterlimit="10" on="true" color="#000000"/>
                  <v:fill on="false" color="#000000" opacity="0"/>
                </v:shape>
                <v:shape id="Shape 24096" style="position:absolute;width:10271;height:0;left:23231;top:0;" coordsize="1027163,0" path="m0,0l1027163,0">
                  <v:stroke weight="0.709pt" endcap="flat" joinstyle="miter" miterlimit="10" on="true" color="#000000"/>
                  <v:fill on="false" color="#000000" opacity="0"/>
                </v:shape>
                <v:shape id="Shape 24097" style="position:absolute;width:0;height:1942;left:23231;top:45;" coordsize="0,194246" path="m0,194246l0,0">
                  <v:stroke weight="0.709pt" endcap="flat" joinstyle="miter" miterlimit="10" on="true" color="#000000"/>
                  <v:fill on="false" color="#000000" opacity="0"/>
                </v:shape>
                <v:shape id="Shape 24098" style="position:absolute;width:10271;height:0;left:33503;top:0;" coordsize="1027163,0" path="m0,0l1027163,0">
                  <v:stroke weight="0.709pt" endcap="flat" joinstyle="miter" miterlimit="10" on="true" color="#000000"/>
                  <v:fill on="false" color="#000000" opacity="0"/>
                </v:shape>
                <v:shape id="Shape 24099" style="position:absolute;width:10271;height:0;left:43774;top:0;" coordsize="1027163,0" path="m0,0l1027163,0">
                  <v:stroke weight="0.709pt" endcap="flat" joinstyle="miter" miterlimit="10" on="true" color="#000000"/>
                  <v:fill on="false" color="#000000" opacity="0"/>
                </v:shape>
                <v:shape id="Shape 24100" style="position:absolute;width:10753;height:0;left:54046;top:0;" coordsize="1075334,0" path="m0,0l1075334,0">
                  <v:stroke weight="0.709pt" endcap="flat" joinstyle="miter" miterlimit="10" on="true" color="#000000"/>
                  <v:fill on="false" color="#000000" opacity="0"/>
                </v:shape>
                <v:shape id="Shape 24101" style="position:absolute;width:0;height:1942;left:64755;top:45;" coordsize="0,194246" path="m0,194246l0,0">
                  <v:stroke weight="0.709pt" endcap="flat" joinstyle="miter" miterlimit="10" on="true" color="#000000"/>
                  <v:fill on="false" color="#000000" opacity="0"/>
                </v:shape>
                <v:shape id="Shape 24102" style="position:absolute;width:10316;height:0;left:23186;top:2032;" coordsize="1031659,0" path="m0,0l1031659,0">
                  <v:stroke weight="0.709pt" endcap="flat" joinstyle="miter" miterlimit="10" on="true" color="#000000"/>
                  <v:fill on="false" color="#000000" opacity="0"/>
                </v:shape>
                <v:shape id="Shape 24103" style="position:absolute;width:0;height:1987;left:23231;top:2077;" coordsize="0,198755" path="m0,198755l0,0">
                  <v:stroke weight="0.709pt" endcap="flat" joinstyle="miter" miterlimit="10" on="true" color="#000000"/>
                  <v:fill on="false" color="#000000" opacity="0"/>
                </v:shape>
                <v:shape id="Shape 24104" style="position:absolute;width:0;height:5542;left:23231;top:4065;" coordsize="0,554253" path="m0,554253l0,0">
                  <v:stroke weight="0.709pt" endcap="flat" joinstyle="miter" miterlimit="10" on="true" color="#000000"/>
                  <v:fill on="false" color="#000000" opacity="0"/>
                </v:shape>
                <v:shape id="Shape 24105" style="position:absolute;width:10271;height:0;left:33503;top:2032;" coordsize="1027163,0" path="m0,0l1027163,0">
                  <v:stroke weight="0.709pt" endcap="flat" joinstyle="miter" miterlimit="10" on="true" color="#000000"/>
                  <v:fill on="false" color="#000000" opacity="0"/>
                </v:shape>
                <v:shape id="Shape 24106" style="position:absolute;width:0;height:1942;left:33503;top:2077;" coordsize="0,194246" path="m0,194246l0,0">
                  <v:stroke weight="0.709pt" endcap="flat" joinstyle="miter" miterlimit="10" on="true" color="#000000"/>
                  <v:fill on="false" color="#000000" opacity="0"/>
                </v:shape>
                <v:shape id="Shape 24107" style="position:absolute;width:10271;height:0;left:43774;top:2032;" coordsize="1027163,0" path="m0,0l1027163,0">
                  <v:stroke weight="0.709pt" endcap="flat" joinstyle="miter" miterlimit="10" on="true" color="#000000"/>
                  <v:fill on="false" color="#000000" opacity="0"/>
                </v:shape>
                <v:shape id="Shape 24108" style="position:absolute;width:10753;height:0;left:54046;top:2032;" coordsize="1075334,0" path="m0,0l1075334,0">
                  <v:stroke weight="0.709pt" endcap="flat" joinstyle="miter" miterlimit="10" on="true" color="#000000"/>
                  <v:fill on="false" color="#000000" opacity="0"/>
                </v:shape>
                <v:shape id="Shape 24109" style="position:absolute;width:0;height:1942;left:64755;top:2077;" coordsize="0,194246" path="m0,194246l0,0">
                  <v:stroke weight="0.709pt" endcap="flat" joinstyle="miter" miterlimit="10" on="true" color="#000000"/>
                  <v:fill on="false" color="#000000" opacity="0"/>
                </v:shape>
                <v:shape id="Shape 24110" style="position:absolute;width:10316;height:0;left:33458;top:4065;" coordsize="1031659,0" path="m0,0l1031659,0">
                  <v:stroke weight="0.709pt" endcap="flat" joinstyle="miter" miterlimit="10" on="true" color="#000000"/>
                  <v:fill on="false" color="#000000" opacity="0"/>
                </v:shape>
                <v:shape id="Shape 24111" style="position:absolute;width:0;height:5497;left:33503;top:4110;" coordsize="0,549745" path="m0,549745l0,0">
                  <v:stroke weight="0.709pt" endcap="flat" joinstyle="miter" miterlimit="10" on="true" color="#000000"/>
                  <v:fill on="false" color="#000000" opacity="0"/>
                </v:shape>
                <v:shape id="Shape 24112" style="position:absolute;width:10271;height:0;left:43774;top:4065;" coordsize="1027163,0" path="m0,0l1027163,0">
                  <v:stroke weight="0.709pt" endcap="flat" joinstyle="miter" miterlimit="10" on="true" color="#000000"/>
                  <v:fill on="false" color="#000000" opacity="0"/>
                </v:shape>
                <v:shape id="Shape 24113" style="position:absolute;width:0;height:5497;left:43774;top:4110;" coordsize="0,549745" path="m0,549745l0,0">
                  <v:stroke weight="0.709pt" endcap="flat" joinstyle="miter" miterlimit="10" on="true" color="#000000"/>
                  <v:fill on="false" color="#000000" opacity="0"/>
                </v:shape>
                <v:shape id="Shape 24114" style="position:absolute;width:10753;height:0;left:54046;top:4065;" coordsize="1075334,0" path="m0,0l1075334,0">
                  <v:stroke weight="0.709pt" endcap="flat" joinstyle="miter" miterlimit="10" on="true" color="#000000"/>
                  <v:fill on="false" color="#000000" opacity="0"/>
                </v:shape>
                <v:shape id="Shape 24115" style="position:absolute;width:0;height:5497;left:54046;top:4110;" coordsize="0,549745" path="m0,549745l0,0">
                  <v:stroke weight="0.709pt" endcap="flat" joinstyle="miter" miterlimit="10" on="true" color="#000000"/>
                  <v:fill on="false" color="#000000" opacity="0"/>
                </v:shape>
                <v:shape id="Shape 24116" style="position:absolute;width:0;height:5497;left:64755;top:4110;" coordsize="0,549745" path="m0,549745l0,0">
                  <v:stroke weight="0.709pt" endcap="flat" joinstyle="miter" miterlimit="10" on="true" color="#000000"/>
                  <v:fill on="false" color="#000000" opacity="0"/>
                </v:shape>
                <v:shape id="Shape 24117" style="position:absolute;width:12959;height:0;left:0;top:9652;" coordsize="1295997,0" path="m0,0l1295997,0">
                  <v:stroke weight="0.709pt" endcap="flat" joinstyle="miter" miterlimit="10" on="true" color="#000000"/>
                  <v:fill on="false" color="#000000" opacity="0"/>
                </v:shape>
                <v:shape id="Shape 24118" style="position:absolute;width:0;height:8927;left:45;top:9697;" coordsize="0,892747" path="m0,892747l0,0">
                  <v:stroke weight="0.709pt" endcap="flat" joinstyle="miter" miterlimit="10" on="true" color="#000000"/>
                  <v:fill on="false" color="#000000" opacity="0"/>
                </v:shape>
                <v:shape id="Shape 24119" style="position:absolute;width:10271;height:0;left:12959;top:9652;" coordsize="1027163,0" path="m0,0l1027163,0">
                  <v:stroke weight="0.709pt" endcap="flat" joinstyle="miter" miterlimit="10" on="true" color="#000000"/>
                  <v:fill on="false" color="#000000" opacity="0"/>
                </v:shape>
                <v:shape id="Shape 24120" style="position:absolute;width:0;height:8927;left:12959;top:9697;" coordsize="0,892747" path="m0,892747l0,0">
                  <v:stroke weight="0.709pt" endcap="flat" joinstyle="miter" miterlimit="10" on="true" color="#000000"/>
                  <v:fill on="false" color="#000000" opacity="0"/>
                </v:shape>
                <v:shape id="Shape 24121" style="position:absolute;width:12959;height:0;left:0;top:18670;" coordsize="1295997,0" path="m0,0l1295997,0">
                  <v:stroke weight="0.709pt" endcap="flat" joinstyle="miter" miterlimit="10" on="true" color="#000000"/>
                  <v:fill on="false" color="#000000" opacity="0"/>
                </v:shape>
                <v:shape id="Shape 24122" style="position:absolute;width:0;height:8927;left:45;top:18715;" coordsize="0,892747" path="m0,892747l0,0">
                  <v:stroke weight="0.709pt" endcap="flat" joinstyle="miter" miterlimit="10" on="true" color="#000000"/>
                  <v:fill on="false" color="#000000" opacity="0"/>
                </v:shape>
                <v:shape id="Shape 24123" style="position:absolute;width:12959;height:0;left:0;top:27687;" coordsize="1295997,0" path="m0,0l1295997,0">
                  <v:stroke weight="0.709pt" endcap="flat" joinstyle="miter" miterlimit="10" on="true" color="#000000"/>
                  <v:fill on="false" color="#000000" opacity="0"/>
                </v:shape>
                <v:shape id="Shape 24124" style="position:absolute;width:10753;height:0;left:54046;top:9652;" coordsize="1075334,0" path="m0,0l1075334,0">
                  <v:stroke weight="0.709pt" endcap="flat" joinstyle="miter" miterlimit="10" on="true" color="#000000"/>
                  <v:fill on="false" color="#000000" opacity="0"/>
                </v:shape>
                <v:shape id="Shape 24125" style="position:absolute;width:0;height:8972;left:64755;top:9697;" coordsize="0,897255" path="m0,897255l0,0">
                  <v:stroke weight="0.709pt" endcap="flat" joinstyle="miter" miterlimit="10" on="true" color="#000000"/>
                  <v:fill on="false" color="#000000" opacity="0"/>
                </v:shape>
                <v:shape id="Shape 24126" style="position:absolute;width:0;height:8972;left:64755;top:18669;" coordsize="0,897255" path="m0,897255l0,0">
                  <v:stroke weight="0.709pt" endcap="flat" joinstyle="miter" miterlimit="10" on="true" color="#000000"/>
                  <v:fill on="false" color="#000000" opacity="0"/>
                </v:shape>
                <v:shape id="Shape 24127" style="position:absolute;width:10753;height:0;left:54046;top:27687;" coordsize="1075334,0" path="m0,0l1075334,0">
                  <v:stroke weight="0.709pt" endcap="flat" joinstyle="miter" miterlimit="10" on="true" color="#000000"/>
                  <v:fill on="false" color="#000000" opacity="0"/>
                </v:shape>
                <v:shape id="Shape 24128" style="position:absolute;width:10271;height:0;left:43774;top:9652;" coordsize="1027163,0" path="m0,0l1027163,0">
                  <v:stroke weight="0.709pt" endcap="flat" joinstyle="miter" miterlimit="10" on="true" color="#000000"/>
                  <v:fill on="false" color="#000000" opacity="0"/>
                </v:shape>
                <v:shape id="Shape 24129" style="position:absolute;width:0;height:8972;left:54046;top:9697;" coordsize="0,897255" path="m0,897255l0,0">
                  <v:stroke weight="0.709pt" endcap="flat" joinstyle="miter" miterlimit="10" on="true" color="#000000"/>
                  <v:fill on="false" color="#000000" opacity="0"/>
                </v:shape>
                <v:shape id="Shape 24130" style="position:absolute;width:0;height:8972;left:54046;top:18669;" coordsize="0,897255" path="m0,897255l0,0">
                  <v:stroke weight="0.709pt" endcap="flat" joinstyle="miter" miterlimit="10" on="true" color="#000000"/>
                  <v:fill on="false" color="#000000" opacity="0"/>
                </v:shape>
                <v:shape id="Shape 24131" style="position:absolute;width:10271;height:0;left:43774;top:27687;" coordsize="1027163,0" path="m0,0l1027163,0">
                  <v:stroke weight="0.709pt" endcap="flat" joinstyle="miter" miterlimit="10" on="true" color="#000000"/>
                  <v:fill on="false" color="#000000" opacity="0"/>
                </v:shape>
                <v:shape id="Shape 24132" style="position:absolute;width:10271;height:0;left:33503;top:9652;" coordsize="1027163,0" path="m0,0l1027163,0">
                  <v:stroke weight="0.709pt" endcap="flat" joinstyle="miter" miterlimit="10" on="true" color="#000000"/>
                  <v:fill on="false" color="#000000" opacity="0"/>
                </v:shape>
                <v:shape id="Shape 24133" style="position:absolute;width:0;height:8972;left:43774;top:9697;" coordsize="0,897255" path="m0,897255l0,0">
                  <v:stroke weight="0.709pt" endcap="flat" joinstyle="miter" miterlimit="10" on="true" color="#000000"/>
                  <v:fill on="false" color="#000000" opacity="0"/>
                </v:shape>
                <v:shape id="Shape 24134" style="position:absolute;width:0;height:8972;left:43774;top:18669;" coordsize="0,897255" path="m0,897255l0,0">
                  <v:stroke weight="0.709pt" endcap="flat" joinstyle="miter" miterlimit="10" on="true" color="#000000"/>
                  <v:fill on="false" color="#000000" opacity="0"/>
                </v:shape>
                <v:shape id="Shape 24135" style="position:absolute;width:10271;height:0;left:33503;top:27687;" coordsize="1027163,0" path="m0,0l1027163,0">
                  <v:stroke weight="0.709pt" endcap="flat" joinstyle="miter" miterlimit="10" on="true" color="#000000"/>
                  <v:fill on="false" color="#000000" opacity="0"/>
                </v:shape>
                <v:shape id="Shape 24136" style="position:absolute;width:0;height:8927;left:33503;top:18715;" coordsize="0,892747" path="m0,892747l0,0">
                  <v:stroke weight="0.709pt" endcap="flat" joinstyle="miter" miterlimit="10" on="true" color="#000000"/>
                  <v:fill on="false" color="#000000" opacity="0"/>
                </v:shape>
                <v:shape id="Shape 24137" style="position:absolute;width:10271;height:0;left:23231;top:27687;" coordsize="1027163,0" path="m0,0l1027163,0">
                  <v:stroke weight="0.709pt" endcap="flat" joinstyle="miter" miterlimit="10" on="true" color="#000000"/>
                  <v:fill on="false" color="#000000" opacity="0"/>
                </v:shape>
                <v:shape id="Shape 24138" style="position:absolute;width:0;height:8927;left:23231;top:9697;" coordsize="0,892747" path="m0,892747l0,0">
                  <v:stroke weight="0.709pt" endcap="flat" joinstyle="miter" miterlimit="10" on="true" color="#000000"/>
                  <v:fill on="false" color="#000000" opacity="0"/>
                </v:shape>
                <v:shape id="Shape 24139" style="position:absolute;width:10271;height:0;left:23231;top:9652;" coordsize="1027163,0" path="m0,0l1027163,0">
                  <v:stroke weight="0.709pt" endcap="flat" joinstyle="miter" miterlimit="10" on="true" color="#000000"/>
                  <v:fill on="false" color="#000000" opacity="0"/>
                </v:shape>
                <v:shape id="Shape 24140" style="position:absolute;width:0;height:8927;left:33503;top:9697;" coordsize="0,892747" path="m0,892747l0,0">
                  <v:stroke weight="0.709pt" endcap="flat" joinstyle="miter" miterlimit="10" on="true" color="#000000"/>
                  <v:fill on="false" color="#000000" opacity="0"/>
                </v:shape>
                <v:shape id="Shape 24141" style="position:absolute;width:10316;height:0;left:23231;top:18670;" coordsize="1031659,0" path="m0,0l1031659,0">
                  <v:stroke weight="0.709pt" endcap="flat" joinstyle="miter" miterlimit="10" on="true" color="#000000"/>
                  <v:fill on="false" color="#000000" opacity="0"/>
                </v:shape>
                <v:shape id="Shape 24142" style="position:absolute;width:0;height:8927;left:12959;top:18715;" coordsize="0,892747" path="m0,892747l0,0">
                  <v:stroke weight="0.709pt" endcap="flat" joinstyle="miter" miterlimit="10" on="true" color="#000000"/>
                  <v:fill on="false" color="#000000" opacity="0"/>
                </v:shape>
                <v:shape id="Shape 24143" style="position:absolute;width:10271;height:0;left:12959;top:18670;" coordsize="1027163,0" path="m0,0l1027163,0">
                  <v:stroke weight="0.709pt" endcap="flat" joinstyle="miter" miterlimit="10" on="true" color="#000000"/>
                  <v:fill on="false" color="#000000" opacity="0"/>
                </v:shape>
                <v:shape id="Shape 24144" style="position:absolute;width:0;height:8927;left:23231;top:18715;" coordsize="0,892747" path="m0,892747l0,0">
                  <v:stroke weight="0.709pt" endcap="flat" joinstyle="miter" miterlimit="10" on="true" color="#000000"/>
                  <v:fill on="false" color="#000000" opacity="0"/>
                </v:shape>
                <v:shape id="Shape 24145" style="position:absolute;width:10271;height:0;left:12959;top:27687;" coordsize="1027163,0" path="m0,0l1027163,0">
                  <v:stroke weight="0.709pt" endcap="flat" joinstyle="miter" miterlimit="10" on="true" color="#000000"/>
                  <v:fill on="false" color="#000000" opacity="0"/>
                </v:shape>
                <v:shape id="Shape 24146" style="position:absolute;width:12824;height:9562;left:89;top:45;" coordsize="1282497,956247" path="m0,0l1282497,956247">
                  <v:stroke weight="1pt" endcap="flat" joinstyle="miter" miterlimit="10" on="true" color="#000000"/>
                  <v:fill on="false" color="#000000" opacity="0"/>
                </v:shape>
                <v:rect id="Rectangle 24254" style="position:absolute;width:6349;height:2040;left:7826;top:95;" filled="f" stroked="f">
                  <v:textbox inset="0,0,0,0">
                    <w:txbxContent>
                      <w:p>
                        <w:pPr>
                          <w:spacing w:before="0" w:after="160" w:line="259" w:lineRule="auto"/>
                          <w:ind w:left="0" w:right="0" w:firstLine="0"/>
                          <w:jc w:val="left"/>
                        </w:pPr>
                        <w:r>
                          <w:rPr>
                            <w:rFonts w:cs="Calibri" w:hAnsi="Calibri" w:eastAsia="Calibri" w:ascii="Calibri"/>
                            <w:b w:val="1"/>
                            <w:w w:val="86"/>
                          </w:rPr>
                          <w:t xml:space="preserve">Категории</w:t>
                        </w:r>
                      </w:p>
                    </w:txbxContent>
                  </v:textbox>
                </v:rect>
                <v:rect id="Rectangle 24148" style="position:absolute;width:6606;height:2040;left:7633;top:1619;" filled="f" stroked="f">
                  <v:textbox inset="0,0,0,0">
                    <w:txbxContent>
                      <w:p>
                        <w:pPr>
                          <w:spacing w:before="0" w:after="160" w:line="259" w:lineRule="auto"/>
                          <w:ind w:left="0" w:right="0" w:firstLine="0"/>
                          <w:jc w:val="left"/>
                        </w:pPr>
                        <w:r>
                          <w:rPr>
                            <w:rFonts w:cs="Calibri" w:hAnsi="Calibri" w:eastAsia="Calibri" w:ascii="Calibri"/>
                            <w:b w:val="1"/>
                            <w:w w:val="87"/>
                          </w:rPr>
                          <w:t xml:space="preserve">пациентов</w:t>
                        </w:r>
                      </w:p>
                    </w:txbxContent>
                  </v:textbox>
                </v:rect>
                <v:rect id="Rectangle 24149" style="position:absolute;width:8288;height:2040;left:405;top:4667;" filled="f" stroked="f">
                  <v:textbox inset="0,0,0,0">
                    <w:txbxContent>
                      <w:p>
                        <w:pPr>
                          <w:spacing w:before="0" w:after="160" w:line="259" w:lineRule="auto"/>
                          <w:ind w:left="0" w:right="0" w:firstLine="0"/>
                          <w:jc w:val="left"/>
                        </w:pPr>
                        <w:r>
                          <w:rPr>
                            <w:rFonts w:cs="Calibri" w:hAnsi="Calibri" w:eastAsia="Calibri" w:ascii="Calibri"/>
                            <w:b w:val="1"/>
                            <w:w w:val="86"/>
                          </w:rPr>
                          <w:t xml:space="preserve">Клинические</w:t>
                        </w:r>
                        <w:r>
                          <w:rPr>
                            <w:rFonts w:cs="Calibri" w:hAnsi="Calibri" w:eastAsia="Calibri" w:ascii="Calibri"/>
                            <w:b w:val="1"/>
                            <w:spacing w:val="-13"/>
                            <w:w w:val="86"/>
                          </w:rPr>
                          <w:t xml:space="preserve"> </w:t>
                        </w:r>
                      </w:p>
                    </w:txbxContent>
                  </v:textbox>
                </v:rect>
                <v:rect id="Rectangle 24150" style="position:absolute;width:11134;height:2040;left:405;top:6191;" filled="f" stroked="f">
                  <v:textbox inset="0,0,0,0">
                    <w:txbxContent>
                      <w:p>
                        <w:pPr>
                          <w:spacing w:before="0" w:after="160" w:line="259" w:lineRule="auto"/>
                          <w:ind w:left="0" w:right="0" w:firstLine="0"/>
                          <w:jc w:val="left"/>
                        </w:pPr>
                        <w:r>
                          <w:rPr>
                            <w:rFonts w:cs="Calibri" w:hAnsi="Calibri" w:eastAsia="Calibri" w:ascii="Calibri"/>
                            <w:b w:val="1"/>
                            <w:w w:val="87"/>
                          </w:rPr>
                          <w:t xml:space="preserve">характеристики</w:t>
                        </w:r>
                        <w:r>
                          <w:rPr>
                            <w:rFonts w:cs="Calibri" w:hAnsi="Calibri" w:eastAsia="Calibri" w:ascii="Calibri"/>
                            <w:b w:val="1"/>
                            <w:spacing w:val="-13"/>
                            <w:w w:val="87"/>
                          </w:rPr>
                          <w:t xml:space="preserve"> </w:t>
                        </w:r>
                        <w:r>
                          <w:rPr>
                            <w:rFonts w:cs="Calibri" w:hAnsi="Calibri" w:eastAsia="Calibri" w:ascii="Calibri"/>
                            <w:b w:val="1"/>
                            <w:w w:val="87"/>
                          </w:rPr>
                          <w:t xml:space="preserve">/</w:t>
                        </w:r>
                        <w:r>
                          <w:rPr>
                            <w:rFonts w:cs="Calibri" w:hAnsi="Calibri" w:eastAsia="Calibri" w:ascii="Calibri"/>
                            <w:b w:val="1"/>
                            <w:spacing w:val="-13"/>
                            <w:w w:val="87"/>
                          </w:rPr>
                          <w:t xml:space="preserve"> </w:t>
                        </w:r>
                        <w:r>
                          <w:rPr>
                            <w:rFonts w:cs="Calibri" w:hAnsi="Calibri" w:eastAsia="Calibri" w:ascii="Calibri"/>
                            <w:b w:val="1"/>
                            <w:spacing w:val="-13"/>
                            <w:w w:val="87"/>
                          </w:rPr>
                          <w:t xml:space="preserve"> </w:t>
                        </w:r>
                      </w:p>
                    </w:txbxContent>
                  </v:textbox>
                </v:rect>
                <v:rect id="Rectangle 24151" style="position:absolute;width:3535;height:2040;left:405;top:7715;" filled="f" stroked="f">
                  <v:textbox inset="0,0,0,0">
                    <w:txbxContent>
                      <w:p>
                        <w:pPr>
                          <w:spacing w:before="0" w:after="160" w:line="259" w:lineRule="auto"/>
                          <w:ind w:left="0" w:right="0" w:firstLine="0"/>
                          <w:jc w:val="left"/>
                        </w:pPr>
                        <w:r>
                          <w:rPr>
                            <w:rFonts w:cs="Calibri" w:hAnsi="Calibri" w:eastAsia="Calibri" w:ascii="Calibri"/>
                            <w:b w:val="1"/>
                            <w:w w:val="85"/>
                          </w:rPr>
                          <w:t xml:space="preserve">риски</w:t>
                        </w:r>
                      </w:p>
                    </w:txbxContent>
                  </v:textbox>
                </v:rect>
                <v:rect id="Rectangle 24152" style="position:absolute;width:7607;height:2092;left:15364;top:3104;" filled="f" stroked="f">
                  <v:textbox inset="0,0,0,0">
                    <w:txbxContent>
                      <w:p>
                        <w:pPr>
                          <w:spacing w:before="0" w:after="160" w:line="259" w:lineRule="auto"/>
                          <w:ind w:left="0" w:right="0" w:firstLine="0"/>
                          <w:jc w:val="left"/>
                        </w:pPr>
                        <w:r>
                          <w:rPr>
                            <w:rFonts w:cs="Calibri" w:hAnsi="Calibri" w:eastAsia="Calibri" w:ascii="Calibri"/>
                            <w:b w:val="1"/>
                            <w:w w:val="110"/>
                          </w:rPr>
                          <w:t xml:space="preserve">Пожилой</w:t>
                        </w:r>
                        <w:r>
                          <w:rPr>
                            <w:rFonts w:cs="Calibri" w:hAnsi="Calibri" w:eastAsia="Calibri" w:ascii="Calibri"/>
                            <w:b w:val="1"/>
                            <w:spacing w:val="-5"/>
                            <w:w w:val="110"/>
                          </w:rPr>
                          <w:t xml:space="preserve"> </w:t>
                        </w:r>
                      </w:p>
                    </w:txbxContent>
                  </v:textbox>
                </v:rect>
                <v:rect id="Rectangle 24153" style="position:absolute;width:6200;height:2092;left:15561;top:4628;" filled="f" stroked="f">
                  <v:textbox inset="0,0,0,0">
                    <w:txbxContent>
                      <w:p>
                        <w:pPr>
                          <w:spacing w:before="0" w:after="160" w:line="259" w:lineRule="auto"/>
                          <w:ind w:left="0" w:right="0" w:firstLine="0"/>
                          <w:jc w:val="left"/>
                        </w:pPr>
                        <w:r>
                          <w:rPr>
                            <w:rFonts w:cs="Calibri" w:hAnsi="Calibri" w:eastAsia="Calibri" w:ascii="Calibri"/>
                            <w:b w:val="1"/>
                            <w:w w:val="113"/>
                          </w:rPr>
                          <w:t xml:space="preserve">возраст</w:t>
                        </w:r>
                      </w:p>
                    </w:txbxContent>
                  </v:textbox>
                </v:rect>
                <v:rect id="Rectangle 24154" style="position:absolute;width:543;height:1213;left:20222;top:4736;" filled="f" stroked="f">
                  <v:textbox inset="0,0,0,0">
                    <w:txbxContent>
                      <w:p>
                        <w:pPr>
                          <w:spacing w:before="0" w:after="160" w:line="259" w:lineRule="auto"/>
                          <w:ind w:left="0" w:right="0" w:firstLine="0"/>
                          <w:jc w:val="left"/>
                        </w:pPr>
                        <w:r>
                          <w:rPr>
                            <w:rFonts w:cs="Calibri" w:hAnsi="Calibri" w:eastAsia="Calibri" w:ascii="Calibri"/>
                            <w:b w:val="1"/>
                            <w:w w:val="109"/>
                            <w:sz w:val="12"/>
                          </w:rPr>
                          <w:t xml:space="preserve">4</w:t>
                        </w:r>
                      </w:p>
                    </w:txbxContent>
                  </v:textbox>
                </v:rect>
                <v:rect id="Rectangle 24155" style="position:absolute;width:30714;height:2092;left:32446;top:56;" filled="f" stroked="f">
                  <v:textbox inset="0,0,0,0">
                    <w:txbxContent>
                      <w:p>
                        <w:pPr>
                          <w:spacing w:before="0" w:after="160" w:line="259" w:lineRule="auto"/>
                          <w:ind w:left="0" w:right="0" w:firstLine="0"/>
                          <w:jc w:val="left"/>
                        </w:pPr>
                        <w:r>
                          <w:rPr>
                            <w:rFonts w:cs="Calibri" w:hAnsi="Calibri" w:eastAsia="Calibri" w:ascii="Calibri"/>
                            <w:b w:val="1"/>
                            <w:w w:val="112"/>
                          </w:rPr>
                          <w:t xml:space="preserve">Пожилой</w:t>
                        </w:r>
                        <w:r>
                          <w:rPr>
                            <w:rFonts w:cs="Calibri" w:hAnsi="Calibri" w:eastAsia="Calibri" w:ascii="Calibri"/>
                            <w:b w:val="1"/>
                            <w:spacing w:val="-5"/>
                            <w:w w:val="112"/>
                          </w:rPr>
                          <w:t xml:space="preserve"> </w:t>
                        </w:r>
                        <w:r>
                          <w:rPr>
                            <w:rFonts w:cs="Calibri" w:hAnsi="Calibri" w:eastAsia="Calibri" w:ascii="Calibri"/>
                            <w:b w:val="1"/>
                            <w:w w:val="112"/>
                          </w:rPr>
                          <w:t xml:space="preserve">возраст</w:t>
                        </w:r>
                        <w:r>
                          <w:rPr>
                            <w:rFonts w:cs="Calibri" w:hAnsi="Calibri" w:eastAsia="Calibri" w:ascii="Calibri"/>
                            <w:b w:val="1"/>
                            <w:spacing w:val="-5"/>
                            <w:w w:val="112"/>
                          </w:rPr>
                          <w:t xml:space="preserve"> </w:t>
                        </w:r>
                        <w:r>
                          <w:rPr>
                            <w:rFonts w:cs="Calibri" w:hAnsi="Calibri" w:eastAsia="Calibri" w:ascii="Calibri"/>
                            <w:b w:val="1"/>
                            <w:w w:val="112"/>
                          </w:rPr>
                          <w:t xml:space="preserve">/</w:t>
                        </w:r>
                        <w:r>
                          <w:rPr>
                            <w:rFonts w:cs="Calibri" w:hAnsi="Calibri" w:eastAsia="Calibri" w:ascii="Calibri"/>
                            <w:b w:val="1"/>
                            <w:spacing w:val="-5"/>
                            <w:w w:val="112"/>
                          </w:rPr>
                          <w:t xml:space="preserve"> </w:t>
                        </w:r>
                        <w:r>
                          <w:rPr>
                            <w:rFonts w:cs="Calibri" w:hAnsi="Calibri" w:eastAsia="Calibri" w:ascii="Calibri"/>
                            <w:b w:val="1"/>
                            <w:w w:val="112"/>
                          </w:rPr>
                          <w:t xml:space="preserve">Старческий</w:t>
                        </w:r>
                        <w:r>
                          <w:rPr>
                            <w:rFonts w:cs="Calibri" w:hAnsi="Calibri" w:eastAsia="Calibri" w:ascii="Calibri"/>
                            <w:b w:val="1"/>
                            <w:spacing w:val="-5"/>
                            <w:w w:val="112"/>
                          </w:rPr>
                          <w:t xml:space="preserve"> </w:t>
                        </w:r>
                        <w:r>
                          <w:rPr>
                            <w:rFonts w:cs="Calibri" w:hAnsi="Calibri" w:eastAsia="Calibri" w:ascii="Calibri"/>
                            <w:b w:val="1"/>
                            <w:w w:val="112"/>
                          </w:rPr>
                          <w:t xml:space="preserve">возраст</w:t>
                        </w:r>
                      </w:p>
                    </w:txbxContent>
                  </v:textbox>
                </v:rect>
                <v:rect id="Rectangle 24156" style="position:absolute;width:7611;height:2092;left:25506;top:3358;" filled="f" stroked="f">
                  <v:textbox inset="0,0,0,0">
                    <w:txbxContent>
                      <w:p>
                        <w:pPr>
                          <w:spacing w:before="0" w:after="160" w:line="259" w:lineRule="auto"/>
                          <w:ind w:left="0" w:right="0" w:firstLine="0"/>
                          <w:jc w:val="left"/>
                        </w:pPr>
                        <w:r>
                          <w:rPr>
                            <w:rFonts w:cs="Calibri" w:hAnsi="Calibri" w:eastAsia="Calibri" w:ascii="Calibri"/>
                            <w:b w:val="1"/>
                            <w:w w:val="112"/>
                          </w:rPr>
                          <w:t xml:space="preserve">Функцио-</w:t>
                        </w:r>
                      </w:p>
                    </w:txbxContent>
                  </v:textbox>
                </v:rect>
                <v:rect id="Rectangle 24157" style="position:absolute;width:6030;height:2092;left:26228;top:4882;" filled="f" stroked="f">
                  <v:textbox inset="0,0,0,0">
                    <w:txbxContent>
                      <w:p>
                        <w:pPr>
                          <w:spacing w:before="0" w:after="160" w:line="259" w:lineRule="auto"/>
                          <w:ind w:left="0" w:right="0" w:firstLine="0"/>
                          <w:jc w:val="left"/>
                        </w:pPr>
                        <w:r>
                          <w:rPr>
                            <w:rFonts w:cs="Calibri" w:hAnsi="Calibri" w:eastAsia="Calibri" w:ascii="Calibri"/>
                            <w:b w:val="1"/>
                            <w:w w:val="111"/>
                          </w:rPr>
                          <w:t xml:space="preserve">нально</w:t>
                        </w:r>
                        <w:r>
                          <w:rPr>
                            <w:rFonts w:cs="Calibri" w:hAnsi="Calibri" w:eastAsia="Calibri" w:ascii="Calibri"/>
                            <w:b w:val="1"/>
                            <w:spacing w:val="-5"/>
                            <w:w w:val="111"/>
                          </w:rPr>
                          <w:t xml:space="preserve"> </w:t>
                        </w:r>
                      </w:p>
                    </w:txbxContent>
                  </v:textbox>
                </v:rect>
                <v:rect id="Rectangle 24158" style="position:absolute;width:10727;height:2092;left:24335;top:6406;" filled="f" stroked="f">
                  <v:textbox inset="0,0,0,0">
                    <w:txbxContent>
                      <w:p>
                        <w:pPr>
                          <w:spacing w:before="0" w:after="160" w:line="259" w:lineRule="auto"/>
                          <w:ind w:left="0" w:right="0" w:firstLine="0"/>
                          <w:jc w:val="left"/>
                        </w:pPr>
                        <w:r>
                          <w:rPr>
                            <w:rFonts w:cs="Calibri" w:hAnsi="Calibri" w:eastAsia="Calibri" w:ascii="Calibri"/>
                            <w:b w:val="1"/>
                            <w:w w:val="111"/>
                          </w:rPr>
                          <w:t xml:space="preserve">независимые</w:t>
                        </w:r>
                      </w:p>
                    </w:txbxContent>
                  </v:textbox>
                </v:rect>
                <v:rect id="Rectangle 24159" style="position:absolute;width:21946;height:2092;left:40879;top:2088;" filled="f" stroked="f">
                  <v:textbox inset="0,0,0,0">
                    <w:txbxContent>
                      <w:p>
                        <w:pPr>
                          <w:spacing w:before="0" w:after="160" w:line="259" w:lineRule="auto"/>
                          <w:ind w:left="0" w:right="0" w:firstLine="0"/>
                          <w:jc w:val="left"/>
                        </w:pPr>
                        <w:r>
                          <w:rPr>
                            <w:rFonts w:cs="Calibri" w:hAnsi="Calibri" w:eastAsia="Calibri" w:ascii="Calibri"/>
                            <w:b w:val="1"/>
                            <w:w w:val="112"/>
                          </w:rPr>
                          <w:t xml:space="preserve">Функционально</w:t>
                        </w:r>
                        <w:r>
                          <w:rPr>
                            <w:rFonts w:cs="Calibri" w:hAnsi="Calibri" w:eastAsia="Calibri" w:ascii="Calibri"/>
                            <w:b w:val="1"/>
                            <w:spacing w:val="-5"/>
                            <w:w w:val="112"/>
                          </w:rPr>
                          <w:t xml:space="preserve"> </w:t>
                        </w:r>
                        <w:r>
                          <w:rPr>
                            <w:rFonts w:cs="Calibri" w:hAnsi="Calibri" w:eastAsia="Calibri" w:ascii="Calibri"/>
                            <w:b w:val="1"/>
                            <w:w w:val="112"/>
                          </w:rPr>
                          <w:t xml:space="preserve">зависимые</w:t>
                        </w:r>
                      </w:p>
                    </w:txbxContent>
                  </v:textbox>
                </v:rect>
                <v:rect id="Rectangle 24160" style="position:absolute;width:12316;height:2092;left:34138;top:4374;" filled="f" stroked="f">
                  <v:textbox inset="0,0,0,0">
                    <w:txbxContent>
                      <w:p>
                        <w:pPr>
                          <w:spacing w:before="0" w:after="160" w:line="259" w:lineRule="auto"/>
                          <w:ind w:left="0" w:right="0" w:firstLine="0"/>
                          <w:jc w:val="left"/>
                        </w:pPr>
                        <w:r>
                          <w:rPr>
                            <w:rFonts w:cs="Calibri" w:hAnsi="Calibri" w:eastAsia="Calibri" w:ascii="Calibri"/>
                            <w:b w:val="1"/>
                            <w:w w:val="112"/>
                          </w:rPr>
                          <w:t xml:space="preserve">Без</w:t>
                        </w:r>
                        <w:r>
                          <w:rPr>
                            <w:rFonts w:cs="Calibri" w:hAnsi="Calibri" w:eastAsia="Calibri" w:ascii="Calibri"/>
                            <w:b w:val="1"/>
                            <w:spacing w:val="-5"/>
                            <w:w w:val="112"/>
                          </w:rPr>
                          <w:t xml:space="preserve"> </w:t>
                        </w:r>
                        <w:r>
                          <w:rPr>
                            <w:rFonts w:cs="Calibri" w:hAnsi="Calibri" w:eastAsia="Calibri" w:ascii="Calibri"/>
                            <w:b w:val="1"/>
                            <w:w w:val="112"/>
                          </w:rPr>
                          <w:t xml:space="preserve">старческой</w:t>
                        </w:r>
                        <w:r>
                          <w:rPr>
                            <w:rFonts w:cs="Calibri" w:hAnsi="Calibri" w:eastAsia="Calibri" w:ascii="Calibri"/>
                            <w:b w:val="1"/>
                            <w:spacing w:val="-5"/>
                            <w:w w:val="112"/>
                          </w:rPr>
                          <w:t xml:space="preserve"> </w:t>
                        </w:r>
                      </w:p>
                    </w:txbxContent>
                  </v:textbox>
                </v:rect>
                <v:rect id="Rectangle 24161" style="position:absolute;width:11512;height:2092;left:34440;top:5898;" filled="f" stroked="f">
                  <v:textbox inset="0,0,0,0">
                    <w:txbxContent>
                      <w:p>
                        <w:pPr>
                          <w:spacing w:before="0" w:after="160" w:line="259" w:lineRule="auto"/>
                          <w:ind w:left="0" w:right="0" w:firstLine="0"/>
                          <w:jc w:val="left"/>
                        </w:pPr>
                        <w:r>
                          <w:rPr>
                            <w:rFonts w:cs="Calibri" w:hAnsi="Calibri" w:eastAsia="Calibri" w:ascii="Calibri"/>
                            <w:b w:val="1"/>
                            <w:w w:val="109"/>
                          </w:rPr>
                          <w:t xml:space="preserve">астении</w:t>
                        </w:r>
                        <w:r>
                          <w:rPr>
                            <w:rFonts w:cs="Calibri" w:hAnsi="Calibri" w:eastAsia="Calibri" w:ascii="Calibri"/>
                            <w:b w:val="1"/>
                            <w:spacing w:val="-5"/>
                            <w:w w:val="109"/>
                          </w:rPr>
                          <w:t xml:space="preserve"> </w:t>
                        </w:r>
                        <w:r>
                          <w:rPr>
                            <w:rFonts w:cs="Calibri" w:hAnsi="Calibri" w:eastAsia="Calibri" w:ascii="Calibri"/>
                            <w:b w:val="1"/>
                            <w:w w:val="109"/>
                          </w:rPr>
                          <w:t xml:space="preserve">и/или</w:t>
                        </w:r>
                        <w:r>
                          <w:rPr>
                            <w:rFonts w:cs="Calibri" w:hAnsi="Calibri" w:eastAsia="Calibri" w:ascii="Calibri"/>
                            <w:b w:val="1"/>
                            <w:spacing w:val="-5"/>
                            <w:w w:val="109"/>
                          </w:rPr>
                          <w:t xml:space="preserve"> </w:t>
                        </w:r>
                      </w:p>
                    </w:txbxContent>
                  </v:textbox>
                </v:rect>
                <v:rect id="Rectangle 24162" style="position:absolute;width:7970;height:2092;left:35643;top:7422;" filled="f" stroked="f">
                  <v:textbox inset="0,0,0,0">
                    <w:txbxContent>
                      <w:p>
                        <w:pPr>
                          <w:spacing w:before="0" w:after="160" w:line="259" w:lineRule="auto"/>
                          <w:ind w:left="0" w:right="0" w:firstLine="0"/>
                          <w:jc w:val="left"/>
                        </w:pPr>
                        <w:r>
                          <w:rPr>
                            <w:rFonts w:cs="Calibri" w:hAnsi="Calibri" w:eastAsia="Calibri" w:ascii="Calibri"/>
                            <w:b w:val="1"/>
                            <w:w w:val="109"/>
                          </w:rPr>
                          <w:t xml:space="preserve">деменции</w:t>
                        </w:r>
                      </w:p>
                    </w:txbxContent>
                  </v:textbox>
                </v:rect>
                <v:rect id="Rectangle 24163" style="position:absolute;width:9300;height:2092;left:45542;top:4374;" filled="f" stroked="f">
                  <v:textbox inset="0,0,0,0">
                    <w:txbxContent>
                      <w:p>
                        <w:pPr>
                          <w:spacing w:before="0" w:after="160" w:line="259" w:lineRule="auto"/>
                          <w:ind w:left="0" w:right="0" w:firstLine="0"/>
                          <w:jc w:val="left"/>
                        </w:pPr>
                        <w:r>
                          <w:rPr>
                            <w:rFonts w:cs="Calibri" w:hAnsi="Calibri" w:eastAsia="Calibri" w:ascii="Calibri"/>
                            <w:b w:val="1"/>
                            <w:w w:val="113"/>
                          </w:rPr>
                          <w:t xml:space="preserve">Старческая</w:t>
                        </w:r>
                        <w:r>
                          <w:rPr>
                            <w:rFonts w:cs="Calibri" w:hAnsi="Calibri" w:eastAsia="Calibri" w:ascii="Calibri"/>
                            <w:b w:val="1"/>
                            <w:spacing w:val="-5"/>
                            <w:w w:val="113"/>
                          </w:rPr>
                          <w:t xml:space="preserve"> </w:t>
                        </w:r>
                      </w:p>
                    </w:txbxContent>
                  </v:textbox>
                </v:rect>
                <v:rect id="Rectangle 24164" style="position:absolute;width:11438;height:2092;left:44738;top:5898;" filled="f" stroked="f">
                  <v:textbox inset="0,0,0,0">
                    <w:txbxContent>
                      <w:p>
                        <w:pPr>
                          <w:spacing w:before="0" w:after="160" w:line="259" w:lineRule="auto"/>
                          <w:ind w:left="0" w:right="0" w:firstLine="0"/>
                          <w:jc w:val="left"/>
                        </w:pPr>
                        <w:r>
                          <w:rPr>
                            <w:rFonts w:cs="Calibri" w:hAnsi="Calibri" w:eastAsia="Calibri" w:ascii="Calibri"/>
                            <w:b w:val="1"/>
                            <w:w w:val="110"/>
                          </w:rPr>
                          <w:t xml:space="preserve">астения</w:t>
                        </w:r>
                        <w:r>
                          <w:rPr>
                            <w:rFonts w:cs="Calibri" w:hAnsi="Calibri" w:eastAsia="Calibri" w:ascii="Calibri"/>
                            <w:b w:val="1"/>
                            <w:spacing w:val="-5"/>
                            <w:w w:val="110"/>
                          </w:rPr>
                          <w:t xml:space="preserve"> </w:t>
                        </w:r>
                        <w:r>
                          <w:rPr>
                            <w:rFonts w:cs="Calibri" w:hAnsi="Calibri" w:eastAsia="Calibri" w:ascii="Calibri"/>
                            <w:b w:val="1"/>
                            <w:w w:val="110"/>
                          </w:rPr>
                          <w:t xml:space="preserve">и/или</w:t>
                        </w:r>
                        <w:r>
                          <w:rPr>
                            <w:rFonts w:cs="Calibri" w:hAnsi="Calibri" w:eastAsia="Calibri" w:ascii="Calibri"/>
                            <w:b w:val="1"/>
                            <w:spacing w:val="-5"/>
                            <w:w w:val="110"/>
                          </w:rPr>
                          <w:t xml:space="preserve"> </w:t>
                        </w:r>
                      </w:p>
                    </w:txbxContent>
                  </v:textbox>
                </v:rect>
                <v:rect id="Rectangle 24165" style="position:absolute;width:7896;height:2092;left:45941;top:7422;" filled="f" stroked="f">
                  <v:textbox inset="0,0,0,0">
                    <w:txbxContent>
                      <w:p>
                        <w:pPr>
                          <w:spacing w:before="0" w:after="160" w:line="259" w:lineRule="auto"/>
                          <w:ind w:left="0" w:right="0" w:firstLine="0"/>
                          <w:jc w:val="left"/>
                        </w:pPr>
                        <w:r>
                          <w:rPr>
                            <w:rFonts w:cs="Calibri" w:hAnsi="Calibri" w:eastAsia="Calibri" w:ascii="Calibri"/>
                            <w:b w:val="1"/>
                            <w:w w:val="110"/>
                          </w:rPr>
                          <w:t xml:space="preserve">деменция</w:t>
                        </w:r>
                      </w:p>
                    </w:txbxContent>
                  </v:textbox>
                </v:rect>
                <v:rect id="Rectangle 24166" style="position:absolute;width:11970;height:2092;left:55028;top:5136;" filled="f" stroked="f">
                  <v:textbox inset="0,0,0,0">
                    <w:txbxContent>
                      <w:p>
                        <w:pPr>
                          <w:spacing w:before="0" w:after="160" w:line="259" w:lineRule="auto"/>
                          <w:ind w:left="0" w:right="0" w:firstLine="0"/>
                          <w:jc w:val="left"/>
                        </w:pPr>
                        <w:r>
                          <w:rPr>
                            <w:rFonts w:cs="Calibri" w:hAnsi="Calibri" w:eastAsia="Calibri" w:ascii="Calibri"/>
                            <w:b w:val="1"/>
                            <w:w w:val="112"/>
                          </w:rPr>
                          <w:t xml:space="preserve">Завершающий</w:t>
                        </w:r>
                        <w:r>
                          <w:rPr>
                            <w:rFonts w:cs="Calibri" w:hAnsi="Calibri" w:eastAsia="Calibri" w:ascii="Calibri"/>
                            <w:b w:val="1"/>
                            <w:spacing w:val="-5"/>
                            <w:w w:val="112"/>
                          </w:rPr>
                          <w:t xml:space="preserve"> </w:t>
                        </w:r>
                      </w:p>
                    </w:txbxContent>
                  </v:textbox>
                </v:rect>
                <v:rect id="Rectangle 24167" style="position:absolute;width:8818;height:2092;left:56085;top:6660;" filled="f" stroked="f">
                  <v:textbox inset="0,0,0,0">
                    <w:txbxContent>
                      <w:p>
                        <w:pPr>
                          <w:spacing w:before="0" w:after="160" w:line="259" w:lineRule="auto"/>
                          <w:ind w:left="0" w:right="0" w:firstLine="0"/>
                          <w:jc w:val="left"/>
                        </w:pPr>
                        <w:r>
                          <w:rPr>
                            <w:rFonts w:cs="Calibri" w:hAnsi="Calibri" w:eastAsia="Calibri" w:ascii="Calibri"/>
                            <w:b w:val="1"/>
                            <w:w w:val="111"/>
                          </w:rPr>
                          <w:t xml:space="preserve">этап</w:t>
                        </w:r>
                        <w:r>
                          <w:rPr>
                            <w:rFonts w:cs="Calibri" w:hAnsi="Calibri" w:eastAsia="Calibri" w:ascii="Calibri"/>
                            <w:b w:val="1"/>
                            <w:spacing w:val="-5"/>
                            <w:w w:val="111"/>
                          </w:rPr>
                          <w:t xml:space="preserve"> </w:t>
                        </w:r>
                        <w:r>
                          <w:rPr>
                            <w:rFonts w:cs="Calibri" w:hAnsi="Calibri" w:eastAsia="Calibri" w:ascii="Calibri"/>
                            <w:b w:val="1"/>
                            <w:w w:val="111"/>
                          </w:rPr>
                          <w:t xml:space="preserve">жизни</w:t>
                        </w:r>
                      </w:p>
                    </w:txbxContent>
                  </v:textbox>
                </v:rect>
                <v:rect id="Rectangle 24168" style="position:absolute;width:2993;height:2030;left:404;top:9755;" filled="f" stroked="f">
                  <v:textbox inset="0,0,0,0">
                    <w:txbxContent>
                      <w:p>
                        <w:pPr>
                          <w:spacing w:before="0" w:after="160" w:line="259" w:lineRule="auto"/>
                          <w:ind w:left="0" w:right="0" w:firstLine="0"/>
                          <w:jc w:val="left"/>
                        </w:pPr>
                        <w:r>
                          <w:rPr>
                            <w:w w:val="104"/>
                          </w:rPr>
                          <w:t xml:space="preserve">Нет</w:t>
                        </w:r>
                        <w:r>
                          <w:rPr>
                            <w:spacing w:val="-3"/>
                            <w:w w:val="104"/>
                          </w:rPr>
                          <w:t xml:space="preserve"> </w:t>
                        </w:r>
                      </w:p>
                    </w:txbxContent>
                  </v:textbox>
                </v:rect>
                <v:rect id="Rectangle 24169" style="position:absolute;width:16343;height:2030;left:404;top:11152;" filled="f" stroked="f">
                  <v:textbox inset="0,0,0,0">
                    <w:txbxContent>
                      <w:p>
                        <w:pPr>
                          <w:spacing w:before="0" w:after="160" w:line="259" w:lineRule="auto"/>
                          <w:ind w:left="0" w:right="0" w:firstLine="0"/>
                          <w:jc w:val="left"/>
                        </w:pPr>
                        <w:r>
                          <w:rPr>
                            <w:w w:val="104"/>
                          </w:rPr>
                          <w:t xml:space="preserve">атеросклеротических</w:t>
                        </w:r>
                        <w:r>
                          <w:rPr>
                            <w:spacing w:val="-3"/>
                            <w:w w:val="104"/>
                          </w:rPr>
                          <w:t xml:space="preserve"> </w:t>
                        </w:r>
                      </w:p>
                    </w:txbxContent>
                  </v:textbox>
                </v:rect>
                <v:rect id="Rectangle 24170" style="position:absolute;width:16281;height:2030;left:404;top:12549;" filled="f" stroked="f">
                  <v:textbox inset="0,0,0,0">
                    <w:txbxContent>
                      <w:p>
                        <w:pPr>
                          <w:spacing w:before="0" w:after="160" w:line="259" w:lineRule="auto"/>
                          <w:ind w:left="0" w:right="0" w:firstLine="0"/>
                          <w:jc w:val="left"/>
                        </w:pPr>
                        <w:r>
                          <w:rPr>
                            <w:w w:val="103"/>
                          </w:rPr>
                          <w:t xml:space="preserve">сердечно-сосудистых</w:t>
                        </w:r>
                        <w:r>
                          <w:rPr>
                            <w:spacing w:val="-3"/>
                            <w:w w:val="103"/>
                          </w:rPr>
                          <w:t xml:space="preserve"> </w:t>
                        </w:r>
                      </w:p>
                    </w:txbxContent>
                  </v:textbox>
                </v:rect>
                <v:rect id="Rectangle 24171" style="position:absolute;width:9523;height:2030;left:404;top:13946;" filled="f" stroked="f">
                  <v:textbox inset="0,0,0,0">
                    <w:txbxContent>
                      <w:p>
                        <w:pPr>
                          <w:spacing w:before="0" w:after="160" w:line="259" w:lineRule="auto"/>
                          <w:ind w:left="0" w:right="0" w:firstLine="0"/>
                          <w:jc w:val="left"/>
                        </w:pPr>
                        <w:r>
                          <w:rPr>
                            <w:w w:val="102"/>
                          </w:rPr>
                          <w:t xml:space="preserve">заболеваний</w:t>
                        </w:r>
                      </w:p>
                    </w:txbxContent>
                  </v:textbox>
                </v:rect>
                <v:rect id="Rectangle 24172" style="position:absolute;width:502;height:1177;left:7565;top:14035;" filled="f" stroked="f">
                  <v:textbox inset="0,0,0,0">
                    <w:txbxContent>
                      <w:p>
                        <w:pPr>
                          <w:spacing w:before="0" w:after="160" w:line="259" w:lineRule="auto"/>
                          <w:ind w:left="0" w:right="0" w:firstLine="0"/>
                          <w:jc w:val="left"/>
                        </w:pPr>
                        <w:r>
                          <w:rPr>
                            <w:w w:val="101"/>
                            <w:sz w:val="12"/>
                          </w:rPr>
                          <w:t xml:space="preserve">2</w:t>
                        </w:r>
                      </w:p>
                    </w:txbxContent>
                  </v:textbox>
                </v:rect>
                <v:rect id="Rectangle 24173" style="position:absolute;width:358;height:2030;left:7943;top:13946;" filled="f" stroked="f">
                  <v:textbox inset="0,0,0,0">
                    <w:txbxContent>
                      <w:p>
                        <w:pPr>
                          <w:spacing w:before="0" w:after="160" w:line="259" w:lineRule="auto"/>
                          <w:ind w:left="0" w:right="0" w:firstLine="0"/>
                          <w:jc w:val="left"/>
                        </w:pPr>
                        <w:r>
                          <w:rPr/>
                          <w:t xml:space="preserve"> </w:t>
                        </w:r>
                      </w:p>
                    </w:txbxContent>
                  </v:textbox>
                </v:rect>
                <v:rect id="Rectangle 24174" style="position:absolute;width:15829;height:2030;left:405;top:15343;" filled="f" stroked="f">
                  <v:textbox inset="0,0,0,0">
                    <w:txbxContent>
                      <w:p>
                        <w:pPr>
                          <w:spacing w:before="0" w:after="160" w:line="259" w:lineRule="auto"/>
                          <w:ind w:left="0" w:right="0" w:firstLine="0"/>
                          <w:jc w:val="left"/>
                        </w:pPr>
                        <w:r>
                          <w:rPr>
                            <w:w w:val="103"/>
                          </w:rPr>
                          <w:t xml:space="preserve">и/или</w:t>
                        </w:r>
                        <w:r>
                          <w:rPr>
                            <w:spacing w:val="-3"/>
                            <w:w w:val="103"/>
                          </w:rPr>
                          <w:t xml:space="preserve"> </w:t>
                        </w:r>
                        <w:r>
                          <w:rPr>
                            <w:w w:val="103"/>
                          </w:rPr>
                          <w:t xml:space="preserve">риска</w:t>
                        </w:r>
                        <w:r>
                          <w:rPr>
                            <w:spacing w:val="-3"/>
                            <w:w w:val="103"/>
                          </w:rPr>
                          <w:t xml:space="preserve"> </w:t>
                        </w:r>
                        <w:r>
                          <w:rPr>
                            <w:w w:val="103"/>
                          </w:rPr>
                          <w:t xml:space="preserve">тяжелой</w:t>
                        </w:r>
                        <w:r>
                          <w:rPr>
                            <w:spacing w:val="-3"/>
                            <w:w w:val="103"/>
                          </w:rPr>
                          <w:t xml:space="preserve"> </w:t>
                        </w:r>
                      </w:p>
                    </w:txbxContent>
                  </v:textbox>
                </v:rect>
                <v:rect id="Rectangle 24175" style="position:absolute;width:10430;height:2030;left:405;top:16740;" filled="f" stroked="f">
                  <v:textbox inset="0,0,0,0">
                    <w:txbxContent>
                      <w:p>
                        <w:pPr>
                          <w:spacing w:before="0" w:after="160" w:line="259" w:lineRule="auto"/>
                          <w:ind w:left="0" w:right="0" w:firstLine="0"/>
                          <w:jc w:val="left"/>
                        </w:pPr>
                        <w:r>
                          <w:rPr>
                            <w:w w:val="103"/>
                          </w:rPr>
                          <w:t xml:space="preserve">гипогликемии</w:t>
                        </w:r>
                      </w:p>
                    </w:txbxContent>
                  </v:textbox>
                </v:rect>
                <v:rect id="Rectangle 24176" style="position:absolute;width:502;height:1177;left:8247;top:16829;" filled="f" stroked="f">
                  <v:textbox inset="0,0,0,0">
                    <w:txbxContent>
                      <w:p>
                        <w:pPr>
                          <w:spacing w:before="0" w:after="160" w:line="259" w:lineRule="auto"/>
                          <w:ind w:left="0" w:right="0" w:firstLine="0"/>
                          <w:jc w:val="left"/>
                        </w:pPr>
                        <w:r>
                          <w:rPr>
                            <w:w w:val="101"/>
                            <w:sz w:val="12"/>
                          </w:rPr>
                          <w:t xml:space="preserve">3</w:t>
                        </w:r>
                      </w:p>
                    </w:txbxContent>
                  </v:textbox>
                </v:rect>
                <v:rect id="Rectangle 297580" style="position:absolute;width:1006;height:2030;left:16296;top:13248;" filled="f" stroked="f">
                  <v:textbox inset="0,0,0,0">
                    <w:txbxContent>
                      <w:p>
                        <w:pPr>
                          <w:spacing w:before="0" w:after="160" w:line="259" w:lineRule="auto"/>
                          <w:ind w:left="0" w:right="0" w:firstLine="0"/>
                          <w:jc w:val="left"/>
                        </w:pPr>
                        <w:r>
                          <w:rPr>
                            <w:w w:val="119"/>
                          </w:rPr>
                          <w:t xml:space="preserve">&lt;</w:t>
                        </w:r>
                      </w:p>
                    </w:txbxContent>
                  </v:textbox>
                </v:rect>
                <v:rect id="Rectangle 297581" style="position:absolute;width:3778;height:2030;left:17053;top:13248;" filled="f" stroked="f">
                  <v:textbox inset="0,0,0,0">
                    <w:txbxContent>
                      <w:p>
                        <w:pPr>
                          <w:spacing w:before="0" w:after="160" w:line="259" w:lineRule="auto"/>
                          <w:ind w:left="0" w:right="0" w:firstLine="0"/>
                          <w:jc w:val="left"/>
                        </w:pPr>
                        <w:r>
                          <w:rPr>
                            <w:spacing w:val="-3"/>
                            <w:w w:val="103"/>
                          </w:rPr>
                          <w:t xml:space="preserve"> </w:t>
                        </w:r>
                        <w:r>
                          <w:rPr>
                            <w:w w:val="103"/>
                          </w:rPr>
                          <w:t xml:space="preserve">7,0%</w:t>
                        </w:r>
                      </w:p>
                    </w:txbxContent>
                  </v:textbox>
                </v:rect>
                <v:rect id="Rectangle 297582" style="position:absolute;width:1006;height:2030;left:26568;top:13248;" filled="f" stroked="f">
                  <v:textbox inset="0,0,0,0">
                    <w:txbxContent>
                      <w:p>
                        <w:pPr>
                          <w:spacing w:before="0" w:after="160" w:line="259" w:lineRule="auto"/>
                          <w:ind w:left="0" w:right="0" w:firstLine="0"/>
                          <w:jc w:val="left"/>
                        </w:pPr>
                        <w:r>
                          <w:rPr>
                            <w:w w:val="119"/>
                          </w:rPr>
                          <w:t xml:space="preserve">&lt;</w:t>
                        </w:r>
                      </w:p>
                    </w:txbxContent>
                  </v:textbox>
                </v:rect>
                <v:rect id="Rectangle 297583" style="position:absolute;width:3778;height:2030;left:27325;top:13248;" filled="f" stroked="f">
                  <v:textbox inset="0,0,0,0">
                    <w:txbxContent>
                      <w:p>
                        <w:pPr>
                          <w:spacing w:before="0" w:after="160" w:line="259" w:lineRule="auto"/>
                          <w:ind w:left="0" w:right="0" w:firstLine="0"/>
                          <w:jc w:val="left"/>
                        </w:pPr>
                        <w:r>
                          <w:rPr>
                            <w:spacing w:val="-3"/>
                            <w:w w:val="103"/>
                          </w:rPr>
                          <w:t xml:space="preserve"> </w:t>
                        </w:r>
                        <w:r>
                          <w:rPr>
                            <w:w w:val="103"/>
                          </w:rPr>
                          <w:t xml:space="preserve">7,5%</w:t>
                        </w:r>
                      </w:p>
                    </w:txbxContent>
                  </v:textbox>
                </v:rect>
                <v:rect id="Rectangle 297584" style="position:absolute;width:1006;height:2030;left:36840;top:17756;" filled="f" stroked="f">
                  <v:textbox inset="0,0,0,0">
                    <w:txbxContent>
                      <w:p>
                        <w:pPr>
                          <w:spacing w:before="0" w:after="160" w:line="259" w:lineRule="auto"/>
                          <w:ind w:left="0" w:right="0" w:firstLine="0"/>
                          <w:jc w:val="left"/>
                        </w:pPr>
                        <w:r>
                          <w:rPr>
                            <w:w w:val="119"/>
                          </w:rPr>
                          <w:t xml:space="preserve">&lt;</w:t>
                        </w:r>
                      </w:p>
                    </w:txbxContent>
                  </v:textbox>
                </v:rect>
                <v:rect id="Rectangle 297585" style="position:absolute;width:3778;height:2030;left:37597;top:17756;" filled="f" stroked="f">
                  <v:textbox inset="0,0,0,0">
                    <w:txbxContent>
                      <w:p>
                        <w:pPr>
                          <w:spacing w:before="0" w:after="160" w:line="259" w:lineRule="auto"/>
                          <w:ind w:left="0" w:right="0" w:firstLine="0"/>
                          <w:jc w:val="left"/>
                        </w:pPr>
                        <w:r>
                          <w:rPr>
                            <w:spacing w:val="-3"/>
                            <w:w w:val="103"/>
                          </w:rPr>
                          <w:t xml:space="preserve"> </w:t>
                        </w:r>
                        <w:r>
                          <w:rPr>
                            <w:w w:val="103"/>
                          </w:rPr>
                          <w:t xml:space="preserve">8,0%</w:t>
                        </w:r>
                      </w:p>
                    </w:txbxContent>
                  </v:textbox>
                </v:rect>
                <v:rect id="Rectangle 297586" style="position:absolute;width:1006;height:2030;left:47112;top:17756;" filled="f" stroked="f">
                  <v:textbox inset="0,0,0,0">
                    <w:txbxContent>
                      <w:p>
                        <w:pPr>
                          <w:spacing w:before="0" w:after="160" w:line="259" w:lineRule="auto"/>
                          <w:ind w:left="0" w:right="0" w:firstLine="0"/>
                          <w:jc w:val="left"/>
                        </w:pPr>
                        <w:r>
                          <w:rPr>
                            <w:w w:val="119"/>
                          </w:rPr>
                          <w:t xml:space="preserve">&lt;</w:t>
                        </w:r>
                      </w:p>
                    </w:txbxContent>
                  </v:textbox>
                </v:rect>
                <v:rect id="Rectangle 297587" style="position:absolute;width:3778;height:2030;left:47869;top:17756;" filled="f" stroked="f">
                  <v:textbox inset="0,0,0,0">
                    <w:txbxContent>
                      <w:p>
                        <w:pPr>
                          <w:spacing w:before="0" w:after="160" w:line="259" w:lineRule="auto"/>
                          <w:ind w:left="0" w:right="0" w:firstLine="0"/>
                          <w:jc w:val="left"/>
                        </w:pPr>
                        <w:r>
                          <w:rPr>
                            <w:spacing w:val="-3"/>
                            <w:w w:val="103"/>
                          </w:rPr>
                          <w:t xml:space="preserve"> </w:t>
                        </w:r>
                        <w:r>
                          <w:rPr>
                            <w:w w:val="103"/>
                          </w:rPr>
                          <w:t xml:space="preserve">8,5%</w:t>
                        </w:r>
                      </w:p>
                    </w:txbxContent>
                  </v:textbox>
                </v:rect>
                <v:rect id="Rectangle 24181" style="position:absolute;width:7442;height:2092;left:56731;top:15423;" filled="f" stroked="f">
                  <v:textbox inset="0,0,0,0">
                    <w:txbxContent>
                      <w:p>
                        <w:pPr>
                          <w:spacing w:before="0" w:after="160" w:line="259" w:lineRule="auto"/>
                          <w:ind w:left="0" w:right="0" w:firstLine="0"/>
                          <w:jc w:val="left"/>
                        </w:pPr>
                        <w:r>
                          <w:rPr>
                            <w:rFonts w:cs="Calibri" w:hAnsi="Calibri" w:eastAsia="Calibri" w:ascii="Calibri"/>
                            <w:b w:val="1"/>
                            <w:w w:val="112"/>
                          </w:rPr>
                          <w:t xml:space="preserve">Избегать</w:t>
                        </w:r>
                        <w:r>
                          <w:rPr>
                            <w:rFonts w:cs="Calibri" w:hAnsi="Calibri" w:eastAsia="Calibri" w:ascii="Calibri"/>
                            <w:b w:val="1"/>
                            <w:spacing w:val="-5"/>
                            <w:w w:val="112"/>
                          </w:rPr>
                          <w:t xml:space="preserve"> </w:t>
                        </w:r>
                      </w:p>
                    </w:txbxContent>
                  </v:textbox>
                </v:rect>
                <v:rect id="Rectangle 24182" style="position:absolute;width:11600;height:2092;left:55167;top:16947;" filled="f" stroked="f">
                  <v:textbox inset="0,0,0,0">
                    <w:txbxContent>
                      <w:p>
                        <w:pPr>
                          <w:spacing w:before="0" w:after="160" w:line="259" w:lineRule="auto"/>
                          <w:ind w:left="0" w:right="0" w:firstLine="0"/>
                          <w:jc w:val="left"/>
                        </w:pPr>
                        <w:r>
                          <w:rPr>
                            <w:rFonts w:cs="Calibri" w:hAnsi="Calibri" w:eastAsia="Calibri" w:ascii="Calibri"/>
                            <w:b w:val="1"/>
                            <w:w w:val="112"/>
                          </w:rPr>
                          <w:t xml:space="preserve">гипогликемий</w:t>
                        </w:r>
                        <w:r>
                          <w:rPr>
                            <w:rFonts w:cs="Calibri" w:hAnsi="Calibri" w:eastAsia="Calibri" w:ascii="Calibri"/>
                            <w:b w:val="1"/>
                            <w:spacing w:val="-5"/>
                            <w:w w:val="112"/>
                          </w:rPr>
                          <w:t xml:space="preserve"> </w:t>
                        </w:r>
                      </w:p>
                    </w:txbxContent>
                  </v:textbox>
                </v:rect>
                <v:rect id="Rectangle 24183" style="position:absolute;width:10475;height:2092;left:55590;top:18471;" filled="f" stroked="f">
                  <v:textbox inset="0,0,0,0">
                    <w:txbxContent>
                      <w:p>
                        <w:pPr>
                          <w:spacing w:before="0" w:after="160" w:line="259" w:lineRule="auto"/>
                          <w:ind w:left="0" w:right="0" w:firstLine="0"/>
                          <w:jc w:val="left"/>
                        </w:pPr>
                        <w:r>
                          <w:rPr>
                            <w:rFonts w:cs="Calibri" w:hAnsi="Calibri" w:eastAsia="Calibri" w:ascii="Calibri"/>
                            <w:b w:val="1"/>
                            <w:w w:val="111"/>
                          </w:rPr>
                          <w:t xml:space="preserve">и</w:t>
                        </w:r>
                        <w:r>
                          <w:rPr>
                            <w:rFonts w:cs="Calibri" w:hAnsi="Calibri" w:eastAsia="Calibri" w:ascii="Calibri"/>
                            <w:b w:val="1"/>
                            <w:spacing w:val="-5"/>
                            <w:w w:val="111"/>
                          </w:rPr>
                          <w:t xml:space="preserve"> </w:t>
                        </w:r>
                        <w:r>
                          <w:rPr>
                            <w:rFonts w:cs="Calibri" w:hAnsi="Calibri" w:eastAsia="Calibri" w:ascii="Calibri"/>
                            <w:b w:val="1"/>
                            <w:w w:val="111"/>
                          </w:rPr>
                          <w:t xml:space="preserve">симптомов</w:t>
                        </w:r>
                        <w:r>
                          <w:rPr>
                            <w:rFonts w:cs="Calibri" w:hAnsi="Calibri" w:eastAsia="Calibri" w:ascii="Calibri"/>
                            <w:b w:val="1"/>
                            <w:spacing w:val="-5"/>
                            <w:w w:val="111"/>
                          </w:rPr>
                          <w:t xml:space="preserve"> </w:t>
                        </w:r>
                      </w:p>
                    </w:txbxContent>
                  </v:textbox>
                </v:rect>
                <v:rect id="Rectangle 24184" style="position:absolute;width:12186;height:2092;left:54819;top:19995;" filled="f" stroked="f">
                  <v:textbox inset="0,0,0,0">
                    <w:txbxContent>
                      <w:p>
                        <w:pPr>
                          <w:spacing w:before="0" w:after="160" w:line="259" w:lineRule="auto"/>
                          <w:ind w:left="0" w:right="0" w:firstLine="0"/>
                          <w:jc w:val="left"/>
                        </w:pPr>
                        <w:r>
                          <w:rPr>
                            <w:rFonts w:cs="Calibri" w:hAnsi="Calibri" w:eastAsia="Calibri" w:ascii="Calibri"/>
                            <w:b w:val="1"/>
                            <w:w w:val="112"/>
                          </w:rPr>
                          <w:t xml:space="preserve">гипергликемии</w:t>
                        </w:r>
                      </w:p>
                    </w:txbxContent>
                  </v:textbox>
                </v:rect>
                <v:rect id="Rectangle 24185" style="position:absolute;width:3484;height:2030;left:405;top:18772;" filled="f" stroked="f">
                  <v:textbox inset="0,0,0,0">
                    <w:txbxContent>
                      <w:p>
                        <w:pPr>
                          <w:spacing w:before="0" w:after="160" w:line="259" w:lineRule="auto"/>
                          <w:ind w:left="0" w:right="0" w:firstLine="0"/>
                          <w:jc w:val="left"/>
                        </w:pPr>
                        <w:r>
                          <w:rPr>
                            <w:w w:val="104"/>
                          </w:rPr>
                          <w:t xml:space="preserve">Есть</w:t>
                        </w:r>
                        <w:r>
                          <w:rPr>
                            <w:spacing w:val="-3"/>
                            <w:w w:val="104"/>
                          </w:rPr>
                          <w:t xml:space="preserve"> </w:t>
                        </w:r>
                      </w:p>
                    </w:txbxContent>
                  </v:textbox>
                </v:rect>
                <v:rect id="Rectangle 24186" style="position:absolute;width:16407;height:2030;left:405;top:20169;" filled="f" stroked="f">
                  <v:textbox inset="0,0,0,0">
                    <w:txbxContent>
                      <w:p>
                        <w:pPr>
                          <w:spacing w:before="0" w:after="160" w:line="259" w:lineRule="auto"/>
                          <w:ind w:left="0" w:right="0" w:firstLine="0"/>
                          <w:jc w:val="left"/>
                        </w:pPr>
                        <w:r>
                          <w:rPr>
                            <w:w w:val="104"/>
                          </w:rPr>
                          <w:t xml:space="preserve">атеросклеротические</w:t>
                        </w:r>
                        <w:r>
                          <w:rPr>
                            <w:spacing w:val="-3"/>
                            <w:w w:val="104"/>
                          </w:rPr>
                          <w:t xml:space="preserve"> </w:t>
                        </w:r>
                      </w:p>
                    </w:txbxContent>
                  </v:textbox>
                </v:rect>
                <v:rect id="Rectangle 24187" style="position:absolute;width:16345;height:2030;left:405;top:21566;" filled="f" stroked="f">
                  <v:textbox inset="0,0,0,0">
                    <w:txbxContent>
                      <w:p>
                        <w:pPr>
                          <w:spacing w:before="0" w:after="160" w:line="259" w:lineRule="auto"/>
                          <w:ind w:left="0" w:right="0" w:firstLine="0"/>
                          <w:jc w:val="left"/>
                        </w:pPr>
                        <w:r>
                          <w:rPr>
                            <w:w w:val="103"/>
                          </w:rPr>
                          <w:t xml:space="preserve">сердечно-сосудистые</w:t>
                        </w:r>
                        <w:r>
                          <w:rPr>
                            <w:spacing w:val="-3"/>
                            <w:w w:val="103"/>
                          </w:rPr>
                          <w:t xml:space="preserve"> </w:t>
                        </w:r>
                      </w:p>
                    </w:txbxContent>
                  </v:textbox>
                </v:rect>
                <v:rect id="Rectangle 24188" style="position:absolute;width:9789;height:2030;left:405;top:22963;" filled="f" stroked="f">
                  <v:textbox inset="0,0,0,0">
                    <w:txbxContent>
                      <w:p>
                        <w:pPr>
                          <w:spacing w:before="0" w:after="160" w:line="259" w:lineRule="auto"/>
                          <w:ind w:left="0" w:right="0" w:firstLine="0"/>
                          <w:jc w:val="left"/>
                        </w:pPr>
                        <w:r>
                          <w:rPr>
                            <w:w w:val="103"/>
                          </w:rPr>
                          <w:t xml:space="preserve">заболевания</w:t>
                        </w:r>
                        <w:r>
                          <w:rPr>
                            <w:spacing w:val="-3"/>
                            <w:w w:val="103"/>
                          </w:rPr>
                          <w:t xml:space="preserve"> </w:t>
                        </w:r>
                      </w:p>
                    </w:txbxContent>
                  </v:textbox>
                </v:rect>
                <v:rect id="Rectangle 24189" style="position:absolute;width:14998;height:2030;left:405;top:24360;" filled="f" stroked="f">
                  <v:textbox inset="0,0,0,0">
                    <w:txbxContent>
                      <w:p>
                        <w:pPr>
                          <w:spacing w:before="0" w:after="160" w:line="259" w:lineRule="auto"/>
                          <w:ind w:left="0" w:right="0" w:firstLine="0"/>
                          <w:jc w:val="left"/>
                        </w:pPr>
                        <w:r>
                          <w:rPr>
                            <w:w w:val="103"/>
                          </w:rPr>
                          <w:t xml:space="preserve">и/или</w:t>
                        </w:r>
                        <w:r>
                          <w:rPr>
                            <w:spacing w:val="-3"/>
                            <w:w w:val="103"/>
                          </w:rPr>
                          <w:t xml:space="preserve"> </w:t>
                        </w:r>
                        <w:r>
                          <w:rPr>
                            <w:w w:val="103"/>
                          </w:rPr>
                          <w:t xml:space="preserve">риск</w:t>
                        </w:r>
                        <w:r>
                          <w:rPr>
                            <w:spacing w:val="-3"/>
                            <w:w w:val="103"/>
                          </w:rPr>
                          <w:t xml:space="preserve"> </w:t>
                        </w:r>
                        <w:r>
                          <w:rPr>
                            <w:w w:val="103"/>
                          </w:rPr>
                          <w:t xml:space="preserve">тяжелой</w:t>
                        </w:r>
                        <w:r>
                          <w:rPr>
                            <w:spacing w:val="-3"/>
                            <w:w w:val="103"/>
                          </w:rPr>
                          <w:t xml:space="preserve"> </w:t>
                        </w:r>
                      </w:p>
                    </w:txbxContent>
                  </v:textbox>
                </v:rect>
                <v:rect id="Rectangle 24190" style="position:absolute;width:10430;height:2030;left:405;top:25757;" filled="f" stroked="f">
                  <v:textbox inset="0,0,0,0">
                    <w:txbxContent>
                      <w:p>
                        <w:pPr>
                          <w:spacing w:before="0" w:after="160" w:line="259" w:lineRule="auto"/>
                          <w:ind w:left="0" w:right="0" w:firstLine="0"/>
                          <w:jc w:val="left"/>
                        </w:pPr>
                        <w:r>
                          <w:rPr>
                            <w:w w:val="103"/>
                          </w:rPr>
                          <w:t xml:space="preserve">гипогликемии</w:t>
                        </w:r>
                      </w:p>
                    </w:txbxContent>
                  </v:textbox>
                </v:rect>
                <v:rect id="Rectangle 297588" style="position:absolute;width:1006;height:2030;left:16296;top:22265;" filled="f" stroked="f">
                  <v:textbox inset="0,0,0,0">
                    <w:txbxContent>
                      <w:p>
                        <w:pPr>
                          <w:spacing w:before="0" w:after="160" w:line="259" w:lineRule="auto"/>
                          <w:ind w:left="0" w:right="0" w:firstLine="0"/>
                          <w:jc w:val="left"/>
                        </w:pPr>
                        <w:r>
                          <w:rPr>
                            <w:w w:val="119"/>
                          </w:rPr>
                          <w:t xml:space="preserve">&lt;</w:t>
                        </w:r>
                      </w:p>
                    </w:txbxContent>
                  </v:textbox>
                </v:rect>
                <v:rect id="Rectangle 297589" style="position:absolute;width:3778;height:2030;left:17053;top:22265;" filled="f" stroked="f">
                  <v:textbox inset="0,0,0,0">
                    <w:txbxContent>
                      <w:p>
                        <w:pPr>
                          <w:spacing w:before="0" w:after="160" w:line="259" w:lineRule="auto"/>
                          <w:ind w:left="0" w:right="0" w:firstLine="0"/>
                          <w:jc w:val="left"/>
                        </w:pPr>
                        <w:r>
                          <w:rPr>
                            <w:spacing w:val="-3"/>
                            <w:w w:val="103"/>
                          </w:rPr>
                          <w:t xml:space="preserve"> </w:t>
                        </w:r>
                        <w:r>
                          <w:rPr>
                            <w:w w:val="103"/>
                          </w:rPr>
                          <w:t xml:space="preserve">7,5%</w:t>
                        </w:r>
                      </w:p>
                    </w:txbxContent>
                  </v:textbox>
                </v:rect>
                <v:rect id="Rectangle 297590" style="position:absolute;width:1006;height:2030;left:26568;top:22265;" filled="f" stroked="f">
                  <v:textbox inset="0,0,0,0">
                    <w:txbxContent>
                      <w:p>
                        <w:pPr>
                          <w:spacing w:before="0" w:after="160" w:line="259" w:lineRule="auto"/>
                          <w:ind w:left="0" w:right="0" w:firstLine="0"/>
                          <w:jc w:val="left"/>
                        </w:pPr>
                        <w:r>
                          <w:rPr>
                            <w:w w:val="119"/>
                          </w:rPr>
                          <w:t xml:space="preserve">&lt;</w:t>
                        </w:r>
                      </w:p>
                    </w:txbxContent>
                  </v:textbox>
                </v:rect>
                <v:rect id="Rectangle 297591" style="position:absolute;width:3778;height:2030;left:27325;top:22265;" filled="f" stroked="f">
                  <v:textbox inset="0,0,0,0">
                    <w:txbxContent>
                      <w:p>
                        <w:pPr>
                          <w:spacing w:before="0" w:after="160" w:line="259" w:lineRule="auto"/>
                          <w:ind w:left="0" w:right="0" w:firstLine="0"/>
                          <w:jc w:val="left"/>
                        </w:pPr>
                        <w:r>
                          <w:rPr>
                            <w:spacing w:val="-3"/>
                            <w:w w:val="103"/>
                          </w:rPr>
                          <w:t xml:space="preserve"> </w:t>
                        </w:r>
                        <w:r>
                          <w:rPr>
                            <w:w w:val="103"/>
                          </w:rPr>
                          <w:t xml:space="preserve">8,0%</w:t>
                        </w:r>
                      </w:p>
                    </w:txbxContent>
                  </v:textbox>
                </v:rect>
              </v:group>
            </w:pict>
          </mc:Fallback>
        </mc:AlternateContent>
      </w:r>
    </w:p>
    <w:p w:rsidR="00D27BC6" w:rsidRDefault="004D5071">
      <w:pPr>
        <w:numPr>
          <w:ilvl w:val="0"/>
          <w:numId w:val="159"/>
        </w:numPr>
        <w:spacing w:after="4"/>
        <w:ind w:right="0" w:hanging="82"/>
      </w:pPr>
      <w:r>
        <w:rPr>
          <w:sz w:val="16"/>
        </w:rPr>
        <w:t>Нормальный уровень в соответствии со стандартами DCCT: до 6%.</w:t>
      </w:r>
    </w:p>
    <w:p w:rsidR="00D27BC6" w:rsidRDefault="004D5071">
      <w:pPr>
        <w:numPr>
          <w:ilvl w:val="0"/>
          <w:numId w:val="159"/>
        </w:numPr>
        <w:spacing w:after="4"/>
        <w:ind w:right="0" w:hanging="82"/>
      </w:pPr>
      <w:r>
        <w:rPr>
          <w:sz w:val="16"/>
        </w:rPr>
        <w:t>ИБС (инфаркт миокарда в анамнезе, шунтирование/стентирование коронарных артерий, стенокардия); нарушение мозгового кровообращения в анамнезе; заболевания артерий нижних конечностей (с симптоматикой).</w:t>
      </w:r>
    </w:p>
    <w:p w:rsidR="00D27BC6" w:rsidRDefault="004D5071">
      <w:pPr>
        <w:numPr>
          <w:ilvl w:val="0"/>
          <w:numId w:val="159"/>
        </w:numPr>
        <w:spacing w:after="4"/>
        <w:ind w:right="0" w:hanging="82"/>
      </w:pPr>
      <w:r>
        <w:rPr>
          <w:sz w:val="16"/>
        </w:rPr>
        <w:t>Основными критериями риска тяжелой гипогликемии являются</w:t>
      </w:r>
      <w:r>
        <w:rPr>
          <w:sz w:val="16"/>
        </w:rPr>
        <w:t>: тяжелая гипогликемия в анамнезе, бессимптомная гипогликемия, большая про-должительность СД, ХБП С3-5, деменция.</w:t>
      </w:r>
    </w:p>
    <w:p w:rsidR="00D27BC6" w:rsidRDefault="004D5071">
      <w:pPr>
        <w:numPr>
          <w:ilvl w:val="0"/>
          <w:numId w:val="159"/>
        </w:numPr>
        <w:spacing w:after="4"/>
        <w:ind w:right="0" w:hanging="82"/>
      </w:pPr>
      <w:r>
        <w:rPr>
          <w:sz w:val="16"/>
        </w:rPr>
        <w:t>Если в состав терапии СД входят только препараты с низким риском гипогликемий</w:t>
      </w:r>
    </w:p>
    <w:p w:rsidR="00D27BC6" w:rsidRDefault="004D5071">
      <w:pPr>
        <w:spacing w:after="4"/>
        <w:ind w:left="-3" w:right="0"/>
      </w:pPr>
      <w:r>
        <w:rPr>
          <w:b/>
          <w:sz w:val="16"/>
        </w:rPr>
        <w:t xml:space="preserve">Примечание: </w:t>
      </w:r>
      <w:r>
        <w:rPr>
          <w:sz w:val="16"/>
        </w:rPr>
        <w:t>следует учесть, что даже в пожилом возрасте ожидаема</w:t>
      </w:r>
      <w:r>
        <w:rPr>
          <w:sz w:val="16"/>
        </w:rPr>
        <w:t>я продолжительность жизни может быть достаточно высокой и в этих случаях не следует допускать завышения индивидуальных целей лечения.</w:t>
      </w:r>
    </w:p>
    <w:p w:rsidR="00D27BC6" w:rsidRDefault="004D5071">
      <w:pPr>
        <w:spacing w:after="287"/>
        <w:ind w:left="-3" w:right="0"/>
      </w:pPr>
      <w:r>
        <w:rPr>
          <w:sz w:val="16"/>
        </w:rPr>
        <w:t>При хорошем общем состоянии здоровья у некоторых пожилых пациентов с СД 2 типа могут быть избраны более низкие индивидуаль</w:t>
      </w:r>
      <w:r>
        <w:rPr>
          <w:sz w:val="16"/>
        </w:rPr>
        <w:t>ные целевые уровни HbA1c (если в состав терапии входят только средства с низким риском гипогликемий). Кроме того, необходимо учитывать, что в пожилом возрасте значимо чаще встречаются состояния, при которых уровень HbA1c может быть искажен (например, анеми</w:t>
      </w:r>
      <w:r>
        <w:rPr>
          <w:sz w:val="16"/>
        </w:rPr>
        <w:t xml:space="preserve">я и ХБП). </w:t>
      </w:r>
    </w:p>
    <w:p w:rsidR="00D27BC6" w:rsidRDefault="004D5071">
      <w:pPr>
        <w:spacing w:after="243" w:line="259" w:lineRule="auto"/>
        <w:ind w:left="10" w:right="1"/>
        <w:jc w:val="center"/>
      </w:pPr>
      <w:r>
        <w:rPr>
          <w:b/>
          <w:color w:val="6F6F6E"/>
          <w:sz w:val="18"/>
          <w:u w:val="single" w:color="6F6F6E"/>
        </w:rPr>
        <w:t>ЛЕЧЕНИЕ</w:t>
      </w:r>
    </w:p>
    <w:p w:rsidR="00D27BC6" w:rsidRDefault="004D5071">
      <w:pPr>
        <w:ind w:left="281" w:right="51"/>
        <w:jc w:val="left"/>
      </w:pPr>
      <w:r>
        <w:rPr>
          <w:b/>
        </w:rPr>
        <w:t>Особенности питания</w:t>
      </w:r>
    </w:p>
    <w:p w:rsidR="00D27BC6" w:rsidRDefault="004D5071">
      <w:pPr>
        <w:numPr>
          <w:ilvl w:val="0"/>
          <w:numId w:val="160"/>
        </w:numPr>
        <w:ind w:right="0" w:hanging="283"/>
      </w:pPr>
      <w:r>
        <w:t>Диетические ограничения, в том числе для снижения массы тела, следует использовать с осторожностью и лишь в том случае, если они приводят к клинически значимому улучшению углеводного или липидного обмена, уровня АД или других важных показателей состояния з</w:t>
      </w:r>
      <w:r>
        <w:t>доровья. Следует помнить о потенциально неблагоприятном влиянии гипокалорийного питания на костную ткань, поступление витаминов, развитие саркопении</w:t>
      </w:r>
    </w:p>
    <w:p w:rsidR="00D27BC6" w:rsidRDefault="004D5071">
      <w:pPr>
        <w:numPr>
          <w:ilvl w:val="0"/>
          <w:numId w:val="160"/>
        </w:numPr>
        <w:spacing w:after="230"/>
        <w:ind w:right="0" w:hanging="283"/>
      </w:pPr>
      <w:r>
        <w:t>Нет необходимости рекомендовать строго определенное количество углеводов пожилым больным с нормальной массо</w:t>
      </w:r>
      <w:r>
        <w:t>й тела, не получающим инсулинотерапию. При использовании ИКД (ИУКД, ИСБД) возможна практически ориентированная оценка количества углеводов в пище.</w:t>
      </w:r>
    </w:p>
    <w:p w:rsidR="00D27BC6" w:rsidRDefault="004D5071">
      <w:pPr>
        <w:ind w:left="281" w:right="51"/>
        <w:jc w:val="left"/>
      </w:pPr>
      <w:r>
        <w:rPr>
          <w:b/>
        </w:rPr>
        <w:t>Особенности физической активности</w:t>
      </w:r>
    </w:p>
    <w:p w:rsidR="00D27BC6" w:rsidRDefault="004D5071">
      <w:pPr>
        <w:numPr>
          <w:ilvl w:val="0"/>
          <w:numId w:val="160"/>
        </w:numPr>
        <w:ind w:right="0" w:hanging="283"/>
      </w:pPr>
      <w:r>
        <w:t xml:space="preserve">Регулярные физические нагрузки очень желательны, но они должны быть строго </w:t>
      </w:r>
      <w:r>
        <w:t>индивидуализированы в соответствии с общим физическим состоянием больного, наличием и тяжестью осложнений и сопутствующих заболеваний.</w:t>
      </w:r>
    </w:p>
    <w:p w:rsidR="00D27BC6" w:rsidRDefault="004D5071">
      <w:pPr>
        <w:numPr>
          <w:ilvl w:val="0"/>
          <w:numId w:val="160"/>
        </w:numPr>
        <w:spacing w:after="226"/>
        <w:ind w:right="0" w:hanging="283"/>
      </w:pPr>
      <w:r>
        <w:t>Рекомендуются прогулки по 30–60 мин ежедневно или через день.</w:t>
      </w:r>
    </w:p>
    <w:p w:rsidR="00D27BC6" w:rsidRDefault="004D5071">
      <w:pPr>
        <w:spacing w:after="213"/>
        <w:ind w:left="281" w:right="51"/>
        <w:jc w:val="left"/>
      </w:pPr>
      <w:r>
        <w:rPr>
          <w:b/>
        </w:rPr>
        <w:t>Медикаментозная терапия</w:t>
      </w:r>
    </w:p>
    <w:p w:rsidR="00D27BC6" w:rsidRDefault="004D5071">
      <w:pPr>
        <w:pBdr>
          <w:top w:val="single" w:sz="8" w:space="0" w:color="000000"/>
          <w:left w:val="single" w:sz="8" w:space="0" w:color="000000"/>
          <w:bottom w:val="single" w:sz="8" w:space="0" w:color="000000"/>
          <w:right w:val="single" w:sz="8" w:space="0" w:color="000000"/>
        </w:pBdr>
        <w:spacing w:after="244"/>
        <w:ind w:left="159" w:right="110"/>
        <w:jc w:val="center"/>
      </w:pPr>
      <w:r>
        <w:rPr>
          <w:b/>
        </w:rPr>
        <w:t>У лиц пожилого возраста предпочтение следует отдавать использованию сахароснижающих препаратов с низким риском гипогликемий (!)</w:t>
      </w:r>
    </w:p>
    <w:p w:rsidR="00D27BC6" w:rsidRDefault="004D5071">
      <w:pPr>
        <w:numPr>
          <w:ilvl w:val="0"/>
          <w:numId w:val="160"/>
        </w:numPr>
        <w:ind w:right="0" w:hanging="283"/>
      </w:pPr>
      <w:r>
        <w:t>У пожилого пациента с СД может быть избран более строгий индивидуальный целевой показатель HbA1c при использовании в составе сах</w:t>
      </w:r>
      <w:r>
        <w:t>ароснижающей терапии только средств с низким риском гипогликемий (!)</w:t>
      </w:r>
    </w:p>
    <w:p w:rsidR="00D27BC6" w:rsidRDefault="004D5071">
      <w:pPr>
        <w:numPr>
          <w:ilvl w:val="0"/>
          <w:numId w:val="160"/>
        </w:numPr>
        <w:ind w:right="0" w:hanging="283"/>
      </w:pPr>
      <w:r>
        <w:t>В целом, принципы сахароснижающей терапии у пожилых такие же, как при СД 2 типа (см. разделы 6.1.3–6.1.6).</w:t>
      </w:r>
    </w:p>
    <w:p w:rsidR="00D27BC6" w:rsidRDefault="004D5071">
      <w:pPr>
        <w:numPr>
          <w:ilvl w:val="0"/>
          <w:numId w:val="160"/>
        </w:numPr>
        <w:ind w:right="0" w:hanging="283"/>
      </w:pPr>
      <w:r>
        <w:t>Требования к сахароснижающим препаратам у пожилых больных СД 2 типа:</w:t>
      </w:r>
    </w:p>
    <w:p w:rsidR="00D27BC6" w:rsidRDefault="004D5071">
      <w:pPr>
        <w:numPr>
          <w:ilvl w:val="1"/>
          <w:numId w:val="160"/>
        </w:numPr>
        <w:ind w:right="0" w:hanging="283"/>
      </w:pPr>
      <w:r>
        <w:t>минимальный</w:t>
      </w:r>
      <w:r>
        <w:t xml:space="preserve"> риск гипогликемии;</w:t>
      </w:r>
    </w:p>
    <w:p w:rsidR="00D27BC6" w:rsidRDefault="004D5071">
      <w:pPr>
        <w:numPr>
          <w:ilvl w:val="1"/>
          <w:numId w:val="160"/>
        </w:numPr>
        <w:spacing w:after="8" w:line="231" w:lineRule="auto"/>
        <w:ind w:right="0" w:hanging="283"/>
      </w:pPr>
      <w:r>
        <w:t xml:space="preserve">отсутствие нефро-, гепато- и кардиотоксичности; </w:t>
      </w:r>
      <w:r>
        <w:rPr>
          <w:rFonts w:ascii="Wingdings" w:eastAsia="Wingdings" w:hAnsi="Wingdings" w:cs="Wingdings"/>
        </w:rPr>
        <w:t></w:t>
      </w:r>
      <w:r>
        <w:t xml:space="preserve"> </w:t>
      </w:r>
      <w:r>
        <w:tab/>
        <w:t xml:space="preserve">отсутствие взаимодействия с другими препаратами; </w:t>
      </w:r>
      <w:r>
        <w:rPr>
          <w:rFonts w:ascii="Wingdings" w:eastAsia="Wingdings" w:hAnsi="Wingdings" w:cs="Wingdings"/>
        </w:rPr>
        <w:t></w:t>
      </w:r>
      <w:r>
        <w:t xml:space="preserve"> </w:t>
      </w:r>
      <w:r>
        <w:tab/>
        <w:t>удобство применения.</w:t>
      </w:r>
    </w:p>
    <w:p w:rsidR="00D27BC6" w:rsidRDefault="004D5071">
      <w:pPr>
        <w:numPr>
          <w:ilvl w:val="0"/>
          <w:numId w:val="160"/>
        </w:numPr>
        <w:ind w:right="0" w:hanging="283"/>
      </w:pPr>
      <w:r>
        <w:t>Метформин не имеет ограничений по возрасту (при условии его применения с учетом противопоказаний) и рекомендуетс</w:t>
      </w:r>
      <w:r>
        <w:t>я в качестве стартового препарата. В случае неэффективности монотерапии следует рассмотреть присоединение к метформину других сахароснижающих препаратов. Побочные эффекты со стороны ЖКТ могут приводить у части пожилых пациентов к нежелательному снижению ап</w:t>
      </w:r>
      <w:r>
        <w:t>петита. Форма с пролонгированным высвобождением может иметь преимущества. При длительном приеме учесть риск дефицита витамина B12.</w:t>
      </w:r>
    </w:p>
    <w:p w:rsidR="00D27BC6" w:rsidRDefault="004D5071">
      <w:pPr>
        <w:numPr>
          <w:ilvl w:val="0"/>
          <w:numId w:val="160"/>
        </w:numPr>
        <w:ind w:right="0" w:hanging="283"/>
      </w:pPr>
      <w:r>
        <w:t>Препараты из группы иДПП-4 характеризуются рядом преимуществ, важных для пожилых пациентов: обладают наиболее благоприятным п</w:t>
      </w:r>
      <w:r>
        <w:t>рофилем безопасности, в том числе в отношении развития гипогликемии и возможностью применения при любой стадии ХБП; не увеличивают массу тела, не увеличивают риск сердечно-сосудистых событий. Предпочтительнее по сравнению с ПСМ для интенсификации терапии у</w:t>
      </w:r>
      <w:r>
        <w:t xml:space="preserve"> пожилых в связи с низким риском гипогликемий. </w:t>
      </w:r>
    </w:p>
    <w:p w:rsidR="00D27BC6" w:rsidRDefault="004D5071">
      <w:pPr>
        <w:numPr>
          <w:ilvl w:val="0"/>
          <w:numId w:val="160"/>
        </w:numPr>
        <w:ind w:right="0" w:hanging="283"/>
      </w:pPr>
      <w:r>
        <w:t>ПСМ пожилым больным следует назначать с осторожностью из-за увеличивающегося риска гипогликемий по мере старения:</w:t>
      </w:r>
    </w:p>
    <w:p w:rsidR="00D27BC6" w:rsidRDefault="004D5071">
      <w:pPr>
        <w:numPr>
          <w:ilvl w:val="1"/>
          <w:numId w:val="160"/>
        </w:numPr>
        <w:ind w:right="0" w:hanging="283"/>
      </w:pPr>
      <w:r>
        <w:t>прием ПСМ начинают с доз, вполовину меньших, чем в более молодом возрасте;</w:t>
      </w:r>
    </w:p>
    <w:p w:rsidR="00D27BC6" w:rsidRDefault="004D5071">
      <w:pPr>
        <w:numPr>
          <w:ilvl w:val="1"/>
          <w:numId w:val="160"/>
        </w:numPr>
        <w:ind w:right="0" w:hanging="283"/>
      </w:pPr>
      <w:r>
        <w:t>у лиц с нерегулярны</w:t>
      </w:r>
      <w:r>
        <w:t>м режимом питания прием ПСМ длительного действия нежелателен; в отдельных случаях более предпочтительны короткодействующие препараты.</w:t>
      </w:r>
    </w:p>
    <w:p w:rsidR="00D27BC6" w:rsidRDefault="004D5071">
      <w:pPr>
        <w:numPr>
          <w:ilvl w:val="1"/>
          <w:numId w:val="160"/>
        </w:numPr>
        <w:ind w:right="0" w:hanging="283"/>
      </w:pPr>
      <w:r>
        <w:t>глибенкламид не рекомендован лицам старше 60 лет (рекомендация ВОЗ, 2012).</w:t>
      </w:r>
    </w:p>
    <w:p w:rsidR="00D27BC6" w:rsidRDefault="004D5071">
      <w:pPr>
        <w:numPr>
          <w:ilvl w:val="0"/>
          <w:numId w:val="160"/>
        </w:numPr>
        <w:ind w:right="0" w:hanging="283"/>
      </w:pPr>
      <w:r>
        <w:t xml:space="preserve">иНГЛТ-2 показали значимые преимущества у лиц с </w:t>
      </w:r>
      <w:r>
        <w:t>АССЗ, ХСН и ХБП, при этом пожилые пациенты получают преимущества, сопоставимые с лицами более молодого возраста. Следует учитывать, что риск развития осложнений, связанных с гиповолемией у пожилых несколько выше. Осторожность при риске переломов.</w:t>
      </w:r>
    </w:p>
    <w:p w:rsidR="00D27BC6" w:rsidRDefault="004D5071">
      <w:pPr>
        <w:numPr>
          <w:ilvl w:val="0"/>
          <w:numId w:val="160"/>
        </w:numPr>
        <w:ind w:right="0" w:hanging="283"/>
      </w:pPr>
      <w:r>
        <w:t>арГПП-1 (</w:t>
      </w:r>
      <w:r>
        <w:t>лираглутид, дулаглутид, семаглутид) показали значимые преимущества у пациентов c АССЗ (сопоставимые для пожилых с пациентами более молодого возраста). Однако у некоторых пациентов снижение массы тела, характерное для этих препаратов, может быть нежелательн</w:t>
      </w:r>
      <w:r>
        <w:t xml:space="preserve">о. Инъекционный путь введения может создавать сложности у отдельных лиц в силу снижения зрения, двигательных и когнитивных функций (пероральная форма имеется у семаглутида). </w:t>
      </w:r>
    </w:p>
    <w:p w:rsidR="00D27BC6" w:rsidRDefault="004D5071">
      <w:pPr>
        <w:numPr>
          <w:ilvl w:val="0"/>
          <w:numId w:val="160"/>
        </w:numPr>
        <w:ind w:right="0" w:hanging="283"/>
      </w:pPr>
      <w:r>
        <w:t>арГИП/ГПП-1 (тирзепатид). По профилю безопасности тирзепатид сходен с арГПП-1, до</w:t>
      </w:r>
      <w:r>
        <w:t>лжны приниматься во внимание те же аспекты применения. В отношении снижения массы тела эффект более выраженный, чем у арГПП-1.</w:t>
      </w:r>
    </w:p>
    <w:p w:rsidR="00D27BC6" w:rsidRDefault="004D5071">
      <w:pPr>
        <w:numPr>
          <w:ilvl w:val="0"/>
          <w:numId w:val="160"/>
        </w:numPr>
        <w:ind w:right="0" w:hanging="283"/>
      </w:pPr>
      <w:r>
        <w:t>ТЗД не показаны. Могут способствовать задержке жидкости и ухудшать течение часто встречающейся у пожилых ХСН, а также увеличивать</w:t>
      </w:r>
      <w:r>
        <w:t xml:space="preserve"> риск переломов.</w:t>
      </w:r>
    </w:p>
    <w:p w:rsidR="00D27BC6" w:rsidRDefault="004D5071">
      <w:pPr>
        <w:numPr>
          <w:ilvl w:val="0"/>
          <w:numId w:val="160"/>
        </w:numPr>
        <w:ind w:right="0" w:hanging="283"/>
      </w:pPr>
      <w:r>
        <w:t>Инсулинотерапия в целом не отличается от схем, предложенных для больных СД 2 типа (см. раздел 6.1.7):</w:t>
      </w:r>
    </w:p>
    <w:p w:rsidR="00D27BC6" w:rsidRDefault="004D5071">
      <w:pPr>
        <w:numPr>
          <w:ilvl w:val="1"/>
          <w:numId w:val="160"/>
        </w:numPr>
        <w:ind w:right="0" w:hanging="283"/>
      </w:pPr>
      <w:r>
        <w:t xml:space="preserve">начинать инсулинотерапию следует с наиболее простых режимов: с базальных инсулинов (НПХ, гларгин, детемир, деглудек) или комбинированных </w:t>
      </w:r>
      <w:r>
        <w:t>препаратов (готовых смесей инсулинов/аналогов инсулина и готовой комбинации аналогов инсулина).</w:t>
      </w:r>
    </w:p>
    <w:p w:rsidR="00D27BC6" w:rsidRDefault="004D5071">
      <w:pPr>
        <w:numPr>
          <w:ilvl w:val="1"/>
          <w:numId w:val="160"/>
        </w:numPr>
        <w:ind w:right="0" w:hanging="283"/>
      </w:pPr>
      <w:r>
        <w:t>интенсифицированная инсулинотерапия возможна только при сохранении когнитивных функций пожилого пациента, после обучения основным правилам инсулинотерапии и самоконтроля уровня гликемии.</w:t>
      </w:r>
    </w:p>
    <w:p w:rsidR="00D27BC6" w:rsidRDefault="004D5071">
      <w:pPr>
        <w:numPr>
          <w:ilvl w:val="0"/>
          <w:numId w:val="160"/>
        </w:numPr>
        <w:spacing w:after="230"/>
        <w:ind w:right="0" w:hanging="283"/>
      </w:pPr>
      <w:r>
        <w:t>у пациентов с СД 2 типа, ранее длительно получавших интенсифицированн</w:t>
      </w:r>
      <w:r>
        <w:t>ую инсулинотерапию, в случае появления когнитивных нарушений следует рассмотреть более простой режим (например, перевод на готовые смеси инсулина).</w:t>
      </w:r>
    </w:p>
    <w:p w:rsidR="00D27BC6" w:rsidRDefault="004D5071">
      <w:pPr>
        <w:spacing w:after="322"/>
        <w:ind w:left="-11" w:right="0" w:firstLine="283"/>
      </w:pPr>
      <w:r>
        <w:t>Следует учитывать, что достаточно часто у пожилых пациентов сахароснижающая терапия может быть избыточной, ч</w:t>
      </w:r>
      <w:r>
        <w:t>то увеличивает риск гипогликемий. В этом случае может быть проведен депрескрайбинг (деинтенсификация, упрощение) лечения, особенно у пациентов с достигнутым в рамках индивидуальной цели HbA1c. Депрескрайбинг может быть осуществлен посредством уменьшения до</w:t>
      </w:r>
      <w:r>
        <w:t>зы, переводом на препарат с низким риском гипогликемий, отмены медикаментозной терапии.</w:t>
      </w:r>
    </w:p>
    <w:p w:rsidR="00D27BC6" w:rsidRDefault="004D5071">
      <w:pPr>
        <w:pStyle w:val="Heading1"/>
        <w:spacing w:after="84"/>
        <w:ind w:left="313" w:right="306"/>
      </w:pPr>
      <w:r>
        <w:t>22. МЕНОПАУЗАЛЬНАЯ ГОРМОНАЛЬНАЯ ТЕРАПИЯ ПРИ САХАРНОМ ДИАБЕТЕ</w:t>
      </w:r>
    </w:p>
    <w:p w:rsidR="00D27BC6" w:rsidRDefault="004D5071">
      <w:pPr>
        <w:ind w:left="1" w:right="51" w:firstLine="283"/>
        <w:jc w:val="left"/>
      </w:pPr>
      <w:r>
        <w:rPr>
          <w:b/>
        </w:rPr>
        <w:t>Общие принципы начала, подбора и коррекции менопаузальной гормональной терапии (МГТ) при СД (назначается вр</w:t>
      </w:r>
      <w:r>
        <w:rPr>
          <w:b/>
        </w:rPr>
        <w:t>ачом-гинекологом):</w:t>
      </w:r>
    </w:p>
    <w:p w:rsidR="00D27BC6" w:rsidRDefault="004D5071">
      <w:pPr>
        <w:numPr>
          <w:ilvl w:val="0"/>
          <w:numId w:val="161"/>
        </w:numPr>
        <w:ind w:right="0" w:hanging="283"/>
      </w:pPr>
      <w:r>
        <w:t>Сахарный диабет не является противопоказанием к назначению МГТ, однако наличие данных заболеваний требует оценки рисков лечения для решения вопроса о возможности назначения, а также индивидуального подбора типа, режима, дозы и пути введе</w:t>
      </w:r>
      <w:r>
        <w:t>ния МГТ;</w:t>
      </w:r>
    </w:p>
    <w:p w:rsidR="00D27BC6" w:rsidRDefault="004D5071">
      <w:pPr>
        <w:numPr>
          <w:ilvl w:val="0"/>
          <w:numId w:val="161"/>
        </w:numPr>
        <w:ind w:right="0" w:hanging="283"/>
      </w:pPr>
      <w:r>
        <w:t>Цель МГТ у женщин в перименопаузе и постменопаузе — частично восполнить дефицит половых гормонов, используя минимальные (оптимальные) дозы гормональных препаратов, способные улучшить общее состояние пациенток, купировать климактерические симптомы,</w:t>
      </w:r>
      <w:r>
        <w:t xml:space="preserve"> обеспечить профилактику поздних обменных нарушений. При наличии других клинических симптомов, указывающих на дефицит эстрогенов (включая артралгии, мышечные боли, снижение памяти, нарушения сна и психоэмоциональные нарушения), существенно снижающих качест</w:t>
      </w:r>
      <w:r>
        <w:t>во жизни, возможно назначение МГТ после дообследовании у профильных специалистов и исключении других причин для данных симптомов. По данным когортных и плацебо контролируемых исследований своевременный старт МГТ в перименопаузе или в первые 5 лет постменоп</w:t>
      </w:r>
      <w:r>
        <w:t>аузы снижает риск развития субклинического атеросклероза, ИБС и когнитивных нарушений (при условии нормальной когнитивной функции на момент начала МГТ).</w:t>
      </w:r>
    </w:p>
    <w:p w:rsidR="00D27BC6" w:rsidRDefault="004D5071">
      <w:pPr>
        <w:numPr>
          <w:ilvl w:val="0"/>
          <w:numId w:val="161"/>
        </w:numPr>
        <w:ind w:right="0" w:hanging="283"/>
      </w:pPr>
      <w:r>
        <w:t>Рекомендуется назначение МГТ женщинам в перименопаузе и постменопаузе для профилактики постменопаузальн</w:t>
      </w:r>
      <w:r>
        <w:t>ого остеопороза</w:t>
      </w:r>
    </w:p>
    <w:p w:rsidR="00D27BC6" w:rsidRDefault="004D5071">
      <w:pPr>
        <w:numPr>
          <w:ilvl w:val="0"/>
          <w:numId w:val="161"/>
        </w:numPr>
        <w:ind w:right="0" w:hanging="283"/>
      </w:pPr>
      <w:r>
        <w:t xml:space="preserve">В соответствии с «гипотезой терапевтического окна» начинать МГТ у всех пациенток независимо необходимо в возрасте моложе 60 лет и при длительности постменопаузы менее 10 лет. </w:t>
      </w:r>
    </w:p>
    <w:p w:rsidR="00D27BC6" w:rsidRDefault="004D5071">
      <w:pPr>
        <w:numPr>
          <w:ilvl w:val="0"/>
          <w:numId w:val="161"/>
        </w:numPr>
        <w:spacing w:after="230"/>
        <w:ind w:right="0" w:hanging="283"/>
      </w:pPr>
      <w:r>
        <w:t>Всем пациенткам необходимо проводить тщательный сбор анамнестиче</w:t>
      </w:r>
      <w:r>
        <w:t xml:space="preserve">ских данных для выявления факторов риска онкологических заболеваний органов репродуктивной системы и молочной железы, сердечно-сосудистых заболеваний, остеопороза и других коморбидных состояний для определения плана обследования и лечения </w:t>
      </w:r>
    </w:p>
    <w:p w:rsidR="00D27BC6" w:rsidRDefault="004D5071">
      <w:pPr>
        <w:spacing w:after="230"/>
        <w:ind w:left="-11" w:right="0" w:firstLine="283"/>
      </w:pPr>
      <w:r>
        <w:t>Существуют немед</w:t>
      </w:r>
      <w:r>
        <w:t xml:space="preserve">икаментозные и медикаментозные (гормональные и альтернативные) методы коррекции менопаузальных климактерических нарушений у женщин с СД. Немедикаментозные и медикаментозные альтернативные методы в данном разделе не рассматриваются. </w:t>
      </w:r>
    </w:p>
    <w:p w:rsidR="00D27BC6" w:rsidRDefault="004D5071">
      <w:pPr>
        <w:ind w:left="281" w:right="51"/>
        <w:jc w:val="left"/>
      </w:pPr>
      <w:r>
        <w:rPr>
          <w:b/>
        </w:rPr>
        <w:t>Медикаментозная гормона</w:t>
      </w:r>
      <w:r>
        <w:rPr>
          <w:b/>
        </w:rPr>
        <w:t>льная коррекция</w:t>
      </w:r>
    </w:p>
    <w:p w:rsidR="00D27BC6" w:rsidRDefault="004D5071">
      <w:pPr>
        <w:numPr>
          <w:ilvl w:val="0"/>
          <w:numId w:val="161"/>
        </w:numPr>
        <w:ind w:right="0" w:hanging="283"/>
      </w:pPr>
      <w:r>
        <w:t xml:space="preserve">При инициации МГТ целесообразно подбирать минимальную эффективную дозу препарата. По мере увеличения возраста женщины и длительности постменопаузы рекомендуется рассмотреть возможность снижения дозировки. </w:t>
      </w:r>
    </w:p>
    <w:p w:rsidR="00D27BC6" w:rsidRDefault="004D5071">
      <w:pPr>
        <w:numPr>
          <w:ilvl w:val="0"/>
          <w:numId w:val="161"/>
        </w:numPr>
        <w:ind w:right="0" w:hanging="283"/>
      </w:pPr>
      <w:r>
        <w:t>В перименопаузе используются станд</w:t>
      </w:r>
      <w:r>
        <w:t xml:space="preserve">артные и низкие дозы эстрогенов в составе МГТ. </w:t>
      </w:r>
    </w:p>
    <w:p w:rsidR="00D27BC6" w:rsidRDefault="004D5071">
      <w:pPr>
        <w:numPr>
          <w:ilvl w:val="0"/>
          <w:numId w:val="161"/>
        </w:numPr>
        <w:ind w:right="0" w:hanging="283"/>
      </w:pPr>
      <w:r>
        <w:t>В постменопаузе используются низкие и ультранизкие дозы эстрогенов в составе МГТ. У женщин в постменопаузе старше 45 лет низкодозированные и ультранизкодозированные пероральные эстрогены в составе комбинированной монофазной МГТ эффективны для лечения вазом</w:t>
      </w:r>
      <w:r>
        <w:t xml:space="preserve">оторных симптомов, при этом имеют более благоприятный профиль безопасности и переносимости в сравнении со стандартными дозами эстрогенов. </w:t>
      </w:r>
    </w:p>
    <w:p w:rsidR="00D27BC6" w:rsidRDefault="004D5071">
      <w:pPr>
        <w:numPr>
          <w:ilvl w:val="0"/>
          <w:numId w:val="161"/>
        </w:numPr>
        <w:ind w:right="0" w:hanging="283"/>
      </w:pPr>
      <w:r>
        <w:t xml:space="preserve">В РФ зарегистрированы комбинированные формы пероральных препаратов, содержащие стандартную дозу (2 мг) и низкую дозу </w:t>
      </w:r>
      <w:r>
        <w:t xml:space="preserve">(1 мг) эстрадиола в сочетании с гестагеном, а также препарат перорального эстрадиола </w:t>
      </w:r>
    </w:p>
    <w:p w:rsidR="00D27BC6" w:rsidRDefault="004D5071">
      <w:pPr>
        <w:ind w:left="294" w:right="0"/>
      </w:pPr>
      <w:r>
        <w:t>(2 мг).</w:t>
      </w:r>
    </w:p>
    <w:p w:rsidR="00D27BC6" w:rsidRDefault="004D5071">
      <w:pPr>
        <w:numPr>
          <w:ilvl w:val="0"/>
          <w:numId w:val="161"/>
        </w:numPr>
        <w:ind w:right="0" w:hanging="283"/>
      </w:pPr>
      <w:r>
        <w:t>Основная функция гестагена в составе МГТ: защитное действие на эндометрий. Важно учитывать свойства прогестагена в составе МГТ. Микронизированный прогестерон, дид</w:t>
      </w:r>
      <w:r>
        <w:t>рогестерон и ряд других прогестагенов, кроме защитного влияния на эндометрий могут обладать и другими эффектами. Например, дроспиренон в составе комбинации с эстрадиолом обладает антиминералокортикоидным и антиандрогенным эффектом, способностью препятствов</w:t>
      </w:r>
      <w:r>
        <w:t xml:space="preserve">ать задержке жидкости, улучшать ряд метаболических параметров. </w:t>
      </w:r>
    </w:p>
    <w:p w:rsidR="00D27BC6" w:rsidRDefault="004D5071">
      <w:pPr>
        <w:numPr>
          <w:ilvl w:val="0"/>
          <w:numId w:val="161"/>
        </w:numPr>
        <w:spacing w:after="236"/>
        <w:ind w:right="0" w:hanging="283"/>
      </w:pPr>
      <w:r>
        <w:t>Современная низкодозированная и ультранизкодозированная комбинированная пероральная МГТ с эстрадиолом, который используется в составе МГТ, и гестагенами (дидрогестерон, микронизированный проге</w:t>
      </w:r>
      <w:r>
        <w:t>стерон, дроспиренон, левоноргестрел и др.) представляется достаточно безопасной в отношении тромботических осложнений. Однако оценка пользы и риска назначения МГТ, выбор лекарственного препарата, его состава, и пути введения должны проводиться индивидуальн</w:t>
      </w:r>
      <w:r>
        <w:t xml:space="preserve">о, с учетом особенностей клинической картины и наличия факторов риска венозных тромбоэмболических осложнений (ВТЭО). </w:t>
      </w:r>
    </w:p>
    <w:p w:rsidR="00D27BC6" w:rsidRDefault="004D5071">
      <w:pPr>
        <w:numPr>
          <w:ilvl w:val="0"/>
          <w:numId w:val="162"/>
        </w:numPr>
        <w:spacing w:after="8" w:line="231" w:lineRule="auto"/>
        <w:ind w:right="0" w:hanging="283"/>
      </w:pPr>
      <w:r>
        <w:t xml:space="preserve">В качестве </w:t>
      </w:r>
      <w:r>
        <w:rPr>
          <w:b/>
        </w:rPr>
        <w:t>эстрогенного</w:t>
      </w:r>
      <w:r>
        <w:t xml:space="preserve"> компонента трансдермальной МГТ могут использоваться при СД: • </w:t>
      </w:r>
      <w:r>
        <w:tab/>
        <w:t>0,75 мг/сут эстрадиола 0,06% в составе накожного ге</w:t>
      </w:r>
      <w:r>
        <w:t xml:space="preserve">ля (1,25 г геля); • </w:t>
      </w:r>
      <w:r>
        <w:tab/>
        <w:t>0,5 мг/cут эстрадиола 0,1% в составе накожного геля (0,5 г геля).</w:t>
      </w:r>
    </w:p>
    <w:p w:rsidR="00D27BC6" w:rsidRDefault="004D5071">
      <w:pPr>
        <w:numPr>
          <w:ilvl w:val="1"/>
          <w:numId w:val="162"/>
        </w:numPr>
        <w:ind w:left="567" w:right="0" w:hanging="283"/>
      </w:pPr>
      <w:r>
        <w:t>Эстрадиол терапевтическая система трансдермальная (50 мкг/сутки)</w:t>
      </w:r>
    </w:p>
    <w:p w:rsidR="00D27BC6" w:rsidRDefault="004D5071">
      <w:pPr>
        <w:numPr>
          <w:ilvl w:val="1"/>
          <w:numId w:val="162"/>
        </w:numPr>
        <w:ind w:left="567" w:right="0" w:hanging="283"/>
      </w:pPr>
      <w:r>
        <w:t>Эстриол (крем или суппозитории вагинальные) – 0,5 мг.</w:t>
      </w:r>
    </w:p>
    <w:p w:rsidR="00D27BC6" w:rsidRDefault="004D5071">
      <w:pPr>
        <w:ind w:left="-11" w:right="0" w:firstLine="283"/>
      </w:pPr>
      <w:r>
        <w:t>Трансдермальные формы эстрогенов вследствие отсутс</w:t>
      </w:r>
      <w:r>
        <w:t xml:space="preserve">твия первичной стадии печеночного метаболизма имеют благоприятный профиль безопасности при высоких рисках ВТЭО. </w:t>
      </w:r>
    </w:p>
    <w:p w:rsidR="00D27BC6" w:rsidRDefault="004D5071">
      <w:pPr>
        <w:numPr>
          <w:ilvl w:val="0"/>
          <w:numId w:val="162"/>
        </w:numPr>
        <w:ind w:right="0" w:hanging="283"/>
      </w:pPr>
      <w:r>
        <w:t xml:space="preserve">В качестве </w:t>
      </w:r>
      <w:r>
        <w:rPr>
          <w:b/>
        </w:rPr>
        <w:t>гестагенного</w:t>
      </w:r>
      <w:r>
        <w:t xml:space="preserve"> компонента трансдермальной МГТ могут дополнительно использоваться при СД:</w:t>
      </w:r>
    </w:p>
    <w:p w:rsidR="00D27BC6" w:rsidRDefault="004D5071">
      <w:pPr>
        <w:numPr>
          <w:ilvl w:val="1"/>
          <w:numId w:val="162"/>
        </w:numPr>
        <w:ind w:left="567" w:right="0" w:hanging="283"/>
      </w:pPr>
      <w:r>
        <w:t>микронизированный прогестерон (перорально или</w:t>
      </w:r>
      <w:r>
        <w:t xml:space="preserve"> вагинально) в дозе 100 мг в сутки;</w:t>
      </w:r>
    </w:p>
    <w:p w:rsidR="00D27BC6" w:rsidRDefault="004D5071">
      <w:pPr>
        <w:numPr>
          <w:ilvl w:val="1"/>
          <w:numId w:val="162"/>
        </w:numPr>
        <w:ind w:left="567" w:right="0" w:hanging="283"/>
      </w:pPr>
      <w:r>
        <w:t>дидрогестерон 10 мг в сутки;</w:t>
      </w:r>
    </w:p>
    <w:p w:rsidR="00D27BC6" w:rsidRDefault="004D5071">
      <w:pPr>
        <w:numPr>
          <w:ilvl w:val="0"/>
          <w:numId w:val="162"/>
        </w:numPr>
        <w:spacing w:after="232"/>
        <w:ind w:right="0" w:hanging="283"/>
      </w:pPr>
      <w:r>
        <w:t xml:space="preserve">Внутриматочная система с левоноргестрелом (ЛНГ-ВМС52) </w:t>
      </w:r>
    </w:p>
    <w:p w:rsidR="00D27BC6" w:rsidRDefault="004D5071">
      <w:pPr>
        <w:spacing w:after="230"/>
        <w:ind w:left="-11" w:right="0" w:firstLine="283"/>
      </w:pPr>
      <w:r>
        <w:rPr>
          <w:b/>
        </w:rPr>
        <w:t>Не рекомендуется</w:t>
      </w:r>
      <w:r>
        <w:t xml:space="preserve"> назначать препараты тестостерона для лечения женщин с когнитивными, сердечно-сосудистыми, метаболическими нарушениями и</w:t>
      </w:r>
      <w:r>
        <w:t xml:space="preserve"> сексуальной дисфункцией.</w:t>
      </w:r>
    </w:p>
    <w:p w:rsidR="00D27BC6" w:rsidRDefault="004D5071">
      <w:pPr>
        <w:ind w:left="281" w:right="51"/>
        <w:jc w:val="left"/>
      </w:pPr>
      <w:r>
        <w:rPr>
          <w:b/>
        </w:rPr>
        <w:t>Мониторинг эффективности и переносимости МГТ</w:t>
      </w:r>
    </w:p>
    <w:p w:rsidR="00D27BC6" w:rsidRDefault="004D5071">
      <w:pPr>
        <w:numPr>
          <w:ilvl w:val="0"/>
          <w:numId w:val="163"/>
        </w:numPr>
        <w:ind w:right="0" w:hanging="283"/>
      </w:pPr>
      <w:r>
        <w:t xml:space="preserve">После назначения МГТ пациенткам оценка эффективности и переносимости терапии проводится через 1–2 месяца после начала лечения, далее – каждые 6 месяцев в течение первого года терапии, затем 1 раз в год на фоне приема МГТ. </w:t>
      </w:r>
    </w:p>
    <w:p w:rsidR="00D27BC6" w:rsidRDefault="004D5071">
      <w:pPr>
        <w:numPr>
          <w:ilvl w:val="0"/>
          <w:numId w:val="163"/>
        </w:numPr>
        <w:ind w:right="0" w:hanging="283"/>
      </w:pPr>
      <w:r>
        <w:t>Решение о продолжении МГТ принима</w:t>
      </w:r>
      <w:r>
        <w:t>ется совместно пациенткой (хорошо информированной) и врачом-акушером-гинекологом, с учетом конкретных целей лечения и объективной оценки текущих индивидуальных преимуществ и рисков терапии.</w:t>
      </w:r>
    </w:p>
    <w:p w:rsidR="00D27BC6" w:rsidRDefault="004D5071">
      <w:pPr>
        <w:spacing w:after="226"/>
        <w:ind w:left="281" w:right="51"/>
        <w:jc w:val="left"/>
      </w:pPr>
      <w:r>
        <w:rPr>
          <w:b/>
        </w:rPr>
        <w:t>Терапия эстрогенами</w:t>
      </w:r>
    </w:p>
    <w:p w:rsidR="00D27BC6" w:rsidRDefault="004D5071">
      <w:pPr>
        <w:pStyle w:val="Heading2"/>
        <w:ind w:left="-3"/>
      </w:pPr>
      <w:r>
        <w:t xml:space="preserve">Схемы лечения </w:t>
      </w:r>
    </w:p>
    <w:tbl>
      <w:tblPr>
        <w:tblStyle w:val="TableGrid"/>
        <w:tblW w:w="10190" w:type="dxa"/>
        <w:tblInd w:w="8" w:type="dxa"/>
        <w:tblCellMar>
          <w:top w:w="9" w:type="dxa"/>
          <w:left w:w="57" w:type="dxa"/>
          <w:bottom w:w="0" w:type="dxa"/>
          <w:right w:w="94" w:type="dxa"/>
        </w:tblCellMar>
        <w:tblLook w:val="04A0" w:firstRow="1" w:lastRow="0" w:firstColumn="1" w:lastColumn="0" w:noHBand="0" w:noVBand="1"/>
      </w:tblPr>
      <w:tblGrid>
        <w:gridCol w:w="3397"/>
        <w:gridCol w:w="3397"/>
        <w:gridCol w:w="3397"/>
      </w:tblGrid>
      <w:tr w:rsidR="00D27BC6">
        <w:trPr>
          <w:trHeight w:val="320"/>
        </w:trPr>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37" w:right="0" w:firstLine="0"/>
              <w:jc w:val="center"/>
            </w:pPr>
            <w:r>
              <w:rPr>
                <w:b/>
              </w:rPr>
              <w:t>Наименование ЛС</w:t>
            </w:r>
          </w:p>
        </w:tc>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101" w:right="0" w:firstLine="0"/>
              <w:jc w:val="left"/>
            </w:pPr>
            <w:r>
              <w:rPr>
                <w:b/>
              </w:rPr>
              <w:t>Дозы и кратност</w:t>
            </w:r>
            <w:r>
              <w:rPr>
                <w:b/>
              </w:rPr>
              <w:t>ь назначения ЛС</w:t>
            </w:r>
          </w:p>
        </w:tc>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37" w:right="0" w:firstLine="0"/>
              <w:jc w:val="center"/>
            </w:pPr>
            <w:r>
              <w:rPr>
                <w:b/>
              </w:rPr>
              <w:t>Длительность применения</w:t>
            </w:r>
          </w:p>
        </w:tc>
      </w:tr>
      <w:tr w:rsidR="00D27BC6">
        <w:trPr>
          <w:trHeight w:val="760"/>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Эстрадиола валерат 2 мг, драже</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1" w:firstLine="0"/>
              <w:jc w:val="left"/>
            </w:pPr>
            <w:r>
              <w:t>По 1 драже в день в течение 21 дня в месяц</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В течение 1 года, далее </w:t>
            </w:r>
          </w:p>
          <w:p w:rsidR="00D27BC6" w:rsidRDefault="004D5071">
            <w:pPr>
              <w:spacing w:after="0" w:line="259" w:lineRule="auto"/>
              <w:ind w:left="0" w:right="0" w:firstLine="0"/>
              <w:jc w:val="left"/>
            </w:pPr>
            <w:r>
              <w:t>длительность терапии определяется индивидуально</w:t>
            </w:r>
          </w:p>
        </w:tc>
      </w:tr>
      <w:tr w:rsidR="00D27BC6">
        <w:trPr>
          <w:trHeight w:val="1420"/>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Эстрадиол 0,06% -гель трансдермальный</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16" w:lineRule="auto"/>
              <w:ind w:left="0" w:right="94" w:firstLine="0"/>
              <w:jc w:val="left"/>
            </w:pPr>
            <w:r>
              <w:t xml:space="preserve">максимальная суточная доза 3 мг эстрадиола (5,0 г геля), стандартная суточная доза 1,5 мг эстрадиола (2,5 г геля), низкая суточная доза </w:t>
            </w:r>
          </w:p>
          <w:p w:rsidR="00D27BC6" w:rsidRDefault="004D5071">
            <w:pPr>
              <w:spacing w:after="0" w:line="259" w:lineRule="auto"/>
              <w:ind w:left="0" w:right="321" w:firstLine="0"/>
              <w:jc w:val="left"/>
            </w:pPr>
            <w:r>
              <w:t>#0,75 мг эстрадиола (1,25 г геля) в непрерывном режиме</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В течение 1 года, далее </w:t>
            </w:r>
          </w:p>
          <w:p w:rsidR="00D27BC6" w:rsidRDefault="004D5071">
            <w:pPr>
              <w:spacing w:after="0" w:line="259" w:lineRule="auto"/>
              <w:ind w:left="0" w:right="0" w:firstLine="0"/>
              <w:jc w:val="left"/>
            </w:pPr>
            <w:r>
              <w:t>длительность терапии определяется индив</w:t>
            </w:r>
            <w:r>
              <w:t>идуально</w:t>
            </w:r>
          </w:p>
        </w:tc>
      </w:tr>
      <w:tr w:rsidR="00D27BC6">
        <w:trPr>
          <w:trHeight w:val="1420"/>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Эстрадиол 0,1% гель трансдермальный</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16" w:lineRule="auto"/>
              <w:ind w:left="0" w:right="0" w:firstLine="0"/>
              <w:jc w:val="left"/>
            </w:pPr>
            <w:r>
              <w:t xml:space="preserve">максимальная суточная доза 1,5 мг эстрадиола (1,5 г геля), стандартная суточная доза 1 мг эстрадиола (1,0 г геля), низкая суточная доза 0,5 мг </w:t>
            </w:r>
          </w:p>
          <w:p w:rsidR="00D27BC6" w:rsidRDefault="004D5071">
            <w:pPr>
              <w:spacing w:after="0" w:line="259" w:lineRule="auto"/>
              <w:ind w:left="0" w:right="1142" w:firstLine="0"/>
              <w:jc w:val="left"/>
            </w:pPr>
            <w:r>
              <w:t>эстрадиола (0,5 г геля); В непрерывном режиме</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В течение 1 года, далее </w:t>
            </w:r>
          </w:p>
          <w:p w:rsidR="00D27BC6" w:rsidRDefault="004D5071">
            <w:pPr>
              <w:spacing w:after="0" w:line="259" w:lineRule="auto"/>
              <w:ind w:left="0" w:right="0" w:firstLine="0"/>
              <w:jc w:val="left"/>
            </w:pPr>
            <w:r>
              <w:t>длительность терапии определяется индивидуально</w:t>
            </w:r>
          </w:p>
        </w:tc>
      </w:tr>
      <w:tr w:rsidR="00D27BC6">
        <w:trPr>
          <w:trHeight w:val="760"/>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Эстрадиол терапевтическая система трансдермальная </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651" w:firstLine="0"/>
              <w:jc w:val="left"/>
            </w:pPr>
            <w:r>
              <w:t>стандартная суточная доза 50 мкг/сут.</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В течение 1 года, далее </w:t>
            </w:r>
          </w:p>
          <w:p w:rsidR="00D27BC6" w:rsidRDefault="004D5071">
            <w:pPr>
              <w:spacing w:after="0" w:line="259" w:lineRule="auto"/>
              <w:ind w:left="0" w:right="0" w:firstLine="0"/>
              <w:jc w:val="left"/>
            </w:pPr>
            <w:r>
              <w:t>длительность терапии определяется индивидуально</w:t>
            </w:r>
          </w:p>
        </w:tc>
      </w:tr>
      <w:tr w:rsidR="00D27BC6">
        <w:trPr>
          <w:trHeight w:val="760"/>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Эстриол – 2 мг таблетированный препарат</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В непрерывном режиме</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В течение 1 года, далее </w:t>
            </w:r>
          </w:p>
          <w:p w:rsidR="00D27BC6" w:rsidRDefault="004D5071">
            <w:pPr>
              <w:spacing w:after="0" w:line="259" w:lineRule="auto"/>
              <w:ind w:left="0" w:right="0" w:firstLine="0"/>
              <w:jc w:val="left"/>
            </w:pPr>
            <w:r>
              <w:t>длительность терапии определяется индивидуально</w:t>
            </w:r>
          </w:p>
        </w:tc>
      </w:tr>
      <w:tr w:rsidR="00D27BC6">
        <w:trPr>
          <w:trHeight w:val="980"/>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57" w:firstLine="0"/>
              <w:jc w:val="left"/>
            </w:pPr>
            <w:r>
              <w:t>Эстриол (суппозитории вагинальные) – 0,5 мг. эстриол (крем вагинальный) – 1 мг/г.</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35" w:firstLine="0"/>
              <w:jc w:val="left"/>
            </w:pPr>
            <w:r>
              <w:t xml:space="preserve">В начале лечения ежедневно в течение 2 </w:t>
            </w:r>
            <w:r>
              <w:t>недель (максимально до 4 недель), по мере улучшения 2 раза в неделю длительно</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В течение 1 года, далее </w:t>
            </w:r>
          </w:p>
          <w:p w:rsidR="00D27BC6" w:rsidRDefault="004D5071">
            <w:pPr>
              <w:spacing w:after="0" w:line="259" w:lineRule="auto"/>
              <w:ind w:left="0" w:right="0" w:firstLine="0"/>
              <w:jc w:val="left"/>
            </w:pPr>
            <w:r>
              <w:t>длительность терапии определяется индивидуально</w:t>
            </w:r>
          </w:p>
        </w:tc>
      </w:tr>
      <w:tr w:rsidR="00D27BC6">
        <w:trPr>
          <w:trHeight w:val="1200"/>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Лактобактерии ацидофильные+эстриол</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16" w:lineRule="auto"/>
              <w:ind w:left="0" w:right="0" w:firstLine="0"/>
              <w:jc w:val="left"/>
            </w:pPr>
            <w:r>
              <w:t xml:space="preserve">По 1 вагинальной таблетке ежедневно на протяжении </w:t>
            </w:r>
          </w:p>
          <w:p w:rsidR="00D27BC6" w:rsidRDefault="004D5071">
            <w:pPr>
              <w:spacing w:after="0" w:line="259" w:lineRule="auto"/>
              <w:ind w:left="0" w:right="0" w:firstLine="0"/>
              <w:jc w:val="left"/>
            </w:pPr>
            <w:r>
              <w:t>6–12 дней, далее поддерживающая доза составляет 1 вагинальную таблетку 1–2 раза в неделю.</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При необходимости возможно повторение курсов терапии.</w:t>
            </w:r>
          </w:p>
        </w:tc>
      </w:tr>
    </w:tbl>
    <w:p w:rsidR="00D27BC6" w:rsidRDefault="004D5071">
      <w:pPr>
        <w:ind w:left="281" w:right="51"/>
        <w:jc w:val="left"/>
      </w:pPr>
      <w:r>
        <w:rPr>
          <w:b/>
        </w:rPr>
        <w:t>Терапия гестагенами</w:t>
      </w:r>
    </w:p>
    <w:p w:rsidR="00D27BC6" w:rsidRDefault="004D5071">
      <w:pPr>
        <w:spacing w:after="230"/>
        <w:ind w:left="-11" w:right="0" w:firstLine="283"/>
      </w:pPr>
      <w:r>
        <w:t>Проводится женщинам в период менопаузального перехода для профилактики гиперпластических процессов эндометрия и регуляции менструального цикла, в постменопаузе в составе МГТ.</w:t>
      </w:r>
    </w:p>
    <w:p w:rsidR="00D27BC6" w:rsidRDefault="004D5071">
      <w:pPr>
        <w:pStyle w:val="Heading2"/>
        <w:ind w:left="-3"/>
      </w:pPr>
      <w:r>
        <w:t>Схемы лечения</w:t>
      </w:r>
    </w:p>
    <w:tbl>
      <w:tblPr>
        <w:tblStyle w:val="TableGrid"/>
        <w:tblW w:w="10190" w:type="dxa"/>
        <w:tblInd w:w="8" w:type="dxa"/>
        <w:tblCellMar>
          <w:top w:w="9" w:type="dxa"/>
          <w:left w:w="57" w:type="dxa"/>
          <w:bottom w:w="0" w:type="dxa"/>
          <w:right w:w="41" w:type="dxa"/>
        </w:tblCellMar>
        <w:tblLook w:val="04A0" w:firstRow="1" w:lastRow="0" w:firstColumn="1" w:lastColumn="0" w:noHBand="0" w:noVBand="1"/>
      </w:tblPr>
      <w:tblGrid>
        <w:gridCol w:w="3397"/>
        <w:gridCol w:w="3397"/>
        <w:gridCol w:w="3397"/>
      </w:tblGrid>
      <w:tr w:rsidR="00D27BC6">
        <w:trPr>
          <w:trHeight w:val="320"/>
        </w:trPr>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16" w:firstLine="0"/>
              <w:jc w:val="center"/>
            </w:pPr>
            <w:r>
              <w:rPr>
                <w:b/>
              </w:rPr>
              <w:t>Наименование ЛС</w:t>
            </w:r>
          </w:p>
        </w:tc>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101" w:right="0" w:firstLine="0"/>
              <w:jc w:val="left"/>
            </w:pPr>
            <w:r>
              <w:rPr>
                <w:b/>
              </w:rPr>
              <w:t>Дозы и кратность назначения ЛС</w:t>
            </w:r>
          </w:p>
        </w:tc>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16" w:firstLine="0"/>
              <w:jc w:val="center"/>
            </w:pPr>
            <w:r>
              <w:rPr>
                <w:b/>
              </w:rPr>
              <w:t>Длительность примене</w:t>
            </w:r>
            <w:r>
              <w:rPr>
                <w:b/>
              </w:rPr>
              <w:t>ния</w:t>
            </w:r>
          </w:p>
        </w:tc>
      </w:tr>
      <w:tr w:rsidR="00D27BC6">
        <w:trPr>
          <w:trHeight w:val="1200"/>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Дидрогестерон</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16" w:lineRule="auto"/>
              <w:ind w:left="0" w:right="569" w:firstLine="0"/>
              <w:jc w:val="left"/>
            </w:pPr>
            <w:r>
              <w:t>10–20 мг на срок 10–14 дней во вторую фазу цикла</w:t>
            </w:r>
          </w:p>
          <w:p w:rsidR="00D27BC6" w:rsidRDefault="004D5071">
            <w:pPr>
              <w:spacing w:after="0" w:line="259" w:lineRule="auto"/>
              <w:ind w:left="0" w:right="468" w:firstLine="0"/>
              <w:jc w:val="left"/>
            </w:pPr>
            <w:r>
              <w:t>В составе МГТ: 10–20 мг внутрь в течение 14 дней в рамках 28-дневного цикла.</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98" w:firstLine="0"/>
              <w:jc w:val="left"/>
            </w:pPr>
            <w:r>
              <w:t>в течение 1 года, в дальнейшем по показаниям</w:t>
            </w:r>
          </w:p>
        </w:tc>
      </w:tr>
      <w:tr w:rsidR="00D27BC6">
        <w:trPr>
          <w:trHeight w:val="1420"/>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Прогестерон (микронизированный)</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16" w:lineRule="auto"/>
              <w:ind w:left="0" w:right="177" w:firstLine="0"/>
              <w:jc w:val="left"/>
            </w:pPr>
            <w:r>
              <w:t>200–400 мг в течение 10–14 дней во вторую фазу цикла</w:t>
            </w:r>
          </w:p>
          <w:p w:rsidR="00D27BC6" w:rsidRDefault="004D5071">
            <w:pPr>
              <w:spacing w:after="0" w:line="216" w:lineRule="auto"/>
              <w:ind w:left="0" w:right="144" w:firstLine="0"/>
              <w:jc w:val="left"/>
            </w:pPr>
            <w:r>
              <w:t>В составе МГТ в перименопаузе: 200 мг в течение 12–14 дней</w:t>
            </w:r>
          </w:p>
          <w:p w:rsidR="00D27BC6" w:rsidRDefault="004D5071">
            <w:pPr>
              <w:spacing w:after="0" w:line="259" w:lineRule="auto"/>
              <w:ind w:left="0" w:right="0" w:firstLine="0"/>
              <w:jc w:val="left"/>
            </w:pPr>
            <w:r>
              <w:t xml:space="preserve">В составе МГТ в постменопаузе: </w:t>
            </w:r>
          </w:p>
          <w:p w:rsidR="00D27BC6" w:rsidRDefault="004D5071">
            <w:pPr>
              <w:spacing w:after="0" w:line="259" w:lineRule="auto"/>
              <w:ind w:left="0" w:right="0" w:firstLine="0"/>
              <w:jc w:val="left"/>
            </w:pPr>
            <w:r>
              <w:t>100–200 мг ежедневно</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98" w:firstLine="0"/>
              <w:jc w:val="left"/>
            </w:pPr>
            <w:r>
              <w:t>в течение 1 года, в дальнейшем по показаниям</w:t>
            </w:r>
          </w:p>
        </w:tc>
      </w:tr>
      <w:tr w:rsidR="00D27BC6">
        <w:trPr>
          <w:trHeight w:val="1420"/>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02" w:firstLine="0"/>
              <w:jc w:val="left"/>
            </w:pPr>
            <w:r>
              <w:t>Левоноргестрел внутриматочная система</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42" w:firstLine="0"/>
              <w:jc w:val="left"/>
            </w:pPr>
            <w:r>
              <w:t>Т-образный стержень с контейнером, содержащим 52 мг левоноргестрела; поддерживает выделение левоноргестрела в полость матки на уровне 20 мкг/сут); ввести в полость матки однократно;</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устанавливается на 5 лет</w:t>
            </w:r>
          </w:p>
        </w:tc>
      </w:tr>
    </w:tbl>
    <w:p w:rsidR="00D27BC6" w:rsidRDefault="004D5071">
      <w:pPr>
        <w:ind w:left="281" w:right="51"/>
        <w:jc w:val="left"/>
      </w:pPr>
      <w:r>
        <w:rPr>
          <w:b/>
        </w:rPr>
        <w:t>Комбинированная эстроген-гестагенная терапия</w:t>
      </w:r>
    </w:p>
    <w:p w:rsidR="00D27BC6" w:rsidRDefault="004D5071">
      <w:pPr>
        <w:spacing w:after="230"/>
        <w:ind w:left="-11" w:right="0" w:firstLine="283"/>
      </w:pPr>
      <w:r>
        <w:t>Про</w:t>
      </w:r>
      <w:r>
        <w:t>водится женщинам с интактной маткой в перименопаузе, но не ранее, чем через 6 месяцев после последней менструации и в постменопаузе для лечения климактерических симптомов и профилактики остеопороза в циклическом и непрерывном режимах.</w:t>
      </w:r>
    </w:p>
    <w:p w:rsidR="00D27BC6" w:rsidRDefault="004D5071">
      <w:pPr>
        <w:pStyle w:val="Heading2"/>
        <w:ind w:left="-3"/>
      </w:pPr>
      <w:r>
        <w:t xml:space="preserve">Схемы лечения комбинированными эстроген-гестагенными препаратами </w:t>
      </w:r>
    </w:p>
    <w:tbl>
      <w:tblPr>
        <w:tblStyle w:val="TableGrid"/>
        <w:tblW w:w="10190" w:type="dxa"/>
        <w:tblInd w:w="8" w:type="dxa"/>
        <w:tblCellMar>
          <w:top w:w="66" w:type="dxa"/>
          <w:left w:w="57" w:type="dxa"/>
          <w:bottom w:w="0" w:type="dxa"/>
          <w:right w:w="15" w:type="dxa"/>
        </w:tblCellMar>
        <w:tblLook w:val="04A0" w:firstRow="1" w:lastRow="0" w:firstColumn="1" w:lastColumn="0" w:noHBand="0" w:noVBand="1"/>
      </w:tblPr>
      <w:tblGrid>
        <w:gridCol w:w="3397"/>
        <w:gridCol w:w="3397"/>
        <w:gridCol w:w="3397"/>
      </w:tblGrid>
      <w:tr w:rsidR="00D27BC6">
        <w:trPr>
          <w:trHeight w:val="433"/>
        </w:trPr>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1" w:firstLine="0"/>
              <w:jc w:val="center"/>
            </w:pPr>
            <w:r>
              <w:rPr>
                <w:b/>
              </w:rPr>
              <w:t>Наименование ЛС</w:t>
            </w:r>
          </w:p>
        </w:tc>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101" w:right="0" w:firstLine="0"/>
              <w:jc w:val="left"/>
            </w:pPr>
            <w:r>
              <w:rPr>
                <w:b/>
              </w:rPr>
              <w:t>Дозы и кратность назначения ЛС</w:t>
            </w:r>
          </w:p>
        </w:tc>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1" w:firstLine="0"/>
              <w:jc w:val="center"/>
            </w:pPr>
            <w:r>
              <w:rPr>
                <w:b/>
              </w:rPr>
              <w:t>Длительность применения</w:t>
            </w:r>
          </w:p>
        </w:tc>
      </w:tr>
      <w:tr w:rsidR="00D27BC6">
        <w:trPr>
          <w:trHeight w:val="673"/>
        </w:trPr>
        <w:tc>
          <w:tcPr>
            <w:tcW w:w="10190"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2762" w:right="2721" w:firstLine="0"/>
              <w:jc w:val="center"/>
            </w:pPr>
            <w:r>
              <w:rPr>
                <w:b/>
              </w:rPr>
              <w:t>Комбинированная эстроген-гестагенная терапия  в циклическом режиме</w:t>
            </w:r>
          </w:p>
        </w:tc>
      </w:tr>
      <w:tr w:rsidR="00D27BC6">
        <w:trPr>
          <w:trHeight w:val="673"/>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эстрадиол 2мг/дидрогестерон 10 мг</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07" w:firstLine="0"/>
              <w:jc w:val="left"/>
            </w:pPr>
            <w:r>
              <w:t>28 таблеток в месяц, по 1 таблетке в день</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23" w:firstLine="0"/>
              <w:jc w:val="left"/>
            </w:pPr>
            <w:r>
              <w:t>в течение 1 года, в дальнейшем по показаниям</w:t>
            </w:r>
          </w:p>
        </w:tc>
      </w:tr>
      <w:tr w:rsidR="00D27BC6">
        <w:trPr>
          <w:trHeight w:val="913"/>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01" w:firstLine="0"/>
              <w:jc w:val="left"/>
            </w:pPr>
            <w:r>
              <w:t>эстрадиол 2 мг/левоноргестрел 150 мкг</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33" w:firstLine="0"/>
              <w:jc w:val="left"/>
            </w:pPr>
            <w:r>
              <w:t>по 1 таблетке в день в течение 21 дня с последующим 7ми дневным перерывом</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23" w:firstLine="0"/>
              <w:jc w:val="left"/>
            </w:pPr>
            <w:r>
              <w:t>в течение 1 года, в дальнейшем по показаниям</w:t>
            </w:r>
          </w:p>
        </w:tc>
      </w:tr>
      <w:tr w:rsidR="00D27BC6">
        <w:trPr>
          <w:trHeight w:val="913"/>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эстрадиола валерат 2 мг/норгестрел 500 мкг (не ранее 12 месяцев после последней менструации)</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33" w:firstLine="0"/>
              <w:jc w:val="left"/>
            </w:pPr>
            <w:r>
              <w:t>по 1 таблетке в день в течение 21 дня с последующим 7ми дневным перерывом</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23" w:firstLine="0"/>
              <w:jc w:val="left"/>
            </w:pPr>
            <w:r>
              <w:t>в течение 1 года, в дальнейшем по показаниям</w:t>
            </w:r>
          </w:p>
        </w:tc>
      </w:tr>
      <w:tr w:rsidR="00D27BC6">
        <w:trPr>
          <w:trHeight w:val="913"/>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эстрадиол 2 мг/ ципротерон 1 мг</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33" w:firstLine="0"/>
              <w:jc w:val="left"/>
            </w:pPr>
            <w:r>
              <w:t>по 1 таблетке в день в течение 21 дня с последующим 7ми дневным перерывом</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23" w:firstLine="0"/>
              <w:jc w:val="left"/>
            </w:pPr>
            <w:r>
              <w:t>в течение 1 года, в дальнейшем по показаниям</w:t>
            </w:r>
          </w:p>
        </w:tc>
      </w:tr>
      <w:tr w:rsidR="00D27BC6">
        <w:trPr>
          <w:trHeight w:val="913"/>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эстрадиол 1мг/дидрогестерон 10 мг (не ранее 6 месяцев после последней менструации или в постменопаузе)</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07" w:firstLine="0"/>
              <w:jc w:val="left"/>
            </w:pPr>
            <w:r>
              <w:t>28 таблеток в месяц, по 1 таблетке в день</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23" w:firstLine="0"/>
              <w:jc w:val="left"/>
            </w:pPr>
            <w:r>
              <w:t>в течение 1 года, в дальнейшем по показаниям</w:t>
            </w:r>
          </w:p>
        </w:tc>
      </w:tr>
      <w:tr w:rsidR="00D27BC6">
        <w:trPr>
          <w:trHeight w:val="2353"/>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эстрадиола 0,06% -накожный гель, Эстрадиола 0,1% накожный гель, Эстрадиола накожный пластырь + микронизированный прогестерон (перорально или вагинально)/ дидрогестерон перорально</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36" w:lineRule="auto"/>
              <w:ind w:left="0" w:right="0" w:firstLine="0"/>
              <w:jc w:val="left"/>
            </w:pPr>
            <w:r>
              <w:t xml:space="preserve">Трансдермальные формы эстрогенов назначаются в максимальной, стандартной или низкой дозе. Микронизированный прогестерон </w:t>
            </w:r>
          </w:p>
          <w:p w:rsidR="00D27BC6" w:rsidRDefault="004D5071">
            <w:pPr>
              <w:spacing w:after="0" w:line="259" w:lineRule="auto"/>
              <w:ind w:left="0" w:right="143" w:firstLine="0"/>
              <w:jc w:val="left"/>
            </w:pPr>
            <w:r>
              <w:t xml:space="preserve">(перорально или вагинально) в дозе 200–300 мг в сутки в зависимости от ИМТ; дидрогестерон перорально 10–20 мг в сутки на срок не менее </w:t>
            </w:r>
            <w:r>
              <w:t>12–14 дней.</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23" w:firstLine="0"/>
              <w:jc w:val="left"/>
            </w:pPr>
            <w:r>
              <w:t>в течение 1 года, в дальнейшем по показаниям</w:t>
            </w:r>
          </w:p>
        </w:tc>
      </w:tr>
      <w:tr w:rsidR="00D27BC6">
        <w:trPr>
          <w:trHeight w:val="673"/>
        </w:trPr>
        <w:tc>
          <w:tcPr>
            <w:tcW w:w="10190"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41" w:firstLine="0"/>
              <w:jc w:val="center"/>
            </w:pPr>
            <w:r>
              <w:rPr>
                <w:b/>
              </w:rPr>
              <w:t xml:space="preserve">Комбинированная эстроген-гестагенная терапия в непрерывном режиме  </w:t>
            </w:r>
          </w:p>
          <w:p w:rsidR="00D27BC6" w:rsidRDefault="004D5071">
            <w:pPr>
              <w:spacing w:after="0" w:line="259" w:lineRule="auto"/>
              <w:ind w:left="0" w:right="41" w:firstLine="0"/>
              <w:jc w:val="center"/>
            </w:pPr>
            <w:r>
              <w:rPr>
                <w:b/>
              </w:rPr>
              <w:t>(в постменопаузе)</w:t>
            </w:r>
          </w:p>
        </w:tc>
      </w:tr>
      <w:tr w:rsidR="00D27BC6">
        <w:trPr>
          <w:trHeight w:val="673"/>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Эстрадиол 1 мг/дидрогестерон 5 мг</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06" w:firstLine="0"/>
              <w:jc w:val="left"/>
            </w:pPr>
            <w:r>
              <w:t>28 таблеток в месяц, по 1 таблетке в день непрерывно</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23" w:firstLine="0"/>
              <w:jc w:val="left"/>
            </w:pPr>
            <w:r>
              <w:t>в течение 1 года, в дальнейшем по показаниям</w:t>
            </w:r>
          </w:p>
        </w:tc>
      </w:tr>
      <w:tr w:rsidR="00D27BC6">
        <w:trPr>
          <w:trHeight w:val="673"/>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Эстрадиол 1 мг/дроспиренон 2 мг.</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06" w:firstLine="0"/>
              <w:jc w:val="left"/>
            </w:pPr>
            <w:r>
              <w:t>28 таблеток в месяц, по 1 таблетке в день непрерывно</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23" w:firstLine="0"/>
              <w:jc w:val="left"/>
            </w:pPr>
            <w:r>
              <w:t>в течение 1 года, в дальнейшем по показаниям</w:t>
            </w:r>
          </w:p>
        </w:tc>
      </w:tr>
      <w:tr w:rsidR="00D27BC6">
        <w:trPr>
          <w:trHeight w:val="2948"/>
        </w:trPr>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Эстрадиола 0,06% – накожный гель, </w:t>
            </w:r>
          </w:p>
          <w:p w:rsidR="00D27BC6" w:rsidRDefault="004D5071">
            <w:pPr>
              <w:spacing w:after="0" w:line="259" w:lineRule="auto"/>
              <w:ind w:left="0" w:right="0" w:firstLine="0"/>
              <w:jc w:val="left"/>
            </w:pPr>
            <w:r>
              <w:t>Эстрадиола 0,1% накожный гель, Эстрадиола н</w:t>
            </w:r>
            <w:r>
              <w:t>акожный пластырь + микронизированный прогестерон (перорально или вагинально)/ дидрогестерон перорально</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89" w:firstLine="0"/>
              <w:jc w:val="left"/>
            </w:pPr>
            <w:r>
              <w:t xml:space="preserve">Используется стандартная доза – 1,5 мг эстрадиола 0,06% накожного геля (2,5 г); 1,0 мг эстрадиола 0,1% накожного геля (1,0 г). Прогестерон используется перорально или вагинально в дозе 100 мг в сутки; дидрогестерон в дозе 10 мг непрерывно ежедневно, может </w:t>
            </w:r>
            <w:r>
              <w:t>использоваться внутриматочная система с левоноргестрелом (ЛНГ-ВМС).</w:t>
            </w:r>
          </w:p>
        </w:tc>
        <w:tc>
          <w:tcPr>
            <w:tcW w:w="33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23" w:firstLine="0"/>
              <w:jc w:val="left"/>
            </w:pPr>
            <w:r>
              <w:t>в течение 1 года, в дальнейшем по показаниям</w:t>
            </w:r>
          </w:p>
        </w:tc>
      </w:tr>
    </w:tbl>
    <w:p w:rsidR="00D27BC6" w:rsidRDefault="004D5071">
      <w:pPr>
        <w:pStyle w:val="Heading1"/>
        <w:spacing w:after="180"/>
        <w:ind w:left="313" w:right="306"/>
      </w:pPr>
      <w:r>
        <w:t>23. СИНДРОМ ГИПОГОНАДИЗМА У МУЖЧИН С САХАРНЫМ ДИАБЕТОМ</w:t>
      </w:r>
    </w:p>
    <w:p w:rsidR="00D27BC6" w:rsidRDefault="004D5071">
      <w:pPr>
        <w:spacing w:after="0" w:line="259" w:lineRule="auto"/>
        <w:ind w:left="248" w:right="-9"/>
        <w:jc w:val="right"/>
      </w:pPr>
      <w:r>
        <w:rPr>
          <w:b/>
        </w:rPr>
        <w:t>Гипогонадизм у мужчин</w:t>
      </w:r>
      <w:r>
        <w:t xml:space="preserve"> – это клинический и биохимический синдром, связанный с низким уро</w:t>
      </w:r>
      <w:r>
        <w:t>внем тестосте-</w:t>
      </w:r>
    </w:p>
    <w:p w:rsidR="00D27BC6" w:rsidRDefault="004D5071">
      <w:pPr>
        <w:ind w:left="-1" w:right="0"/>
      </w:pPr>
      <w:r>
        <w:t>рона.</w:t>
      </w:r>
    </w:p>
    <w:p w:rsidR="00D27BC6" w:rsidRDefault="004D5071">
      <w:pPr>
        <w:spacing w:after="230"/>
        <w:ind w:left="-11" w:right="0" w:firstLine="283"/>
      </w:pPr>
      <w:r>
        <w:t>Установлено, что уровни тестостерона у пациентов с СД 2 типа ниже таковых у здоровых мужчин в среднем на 2,5 нмоль/л, а распространенность гипогонадизма при СД выше, чем в общей популяции, и при СД 2 типа может превышать 50%.</w:t>
      </w:r>
    </w:p>
    <w:p w:rsidR="00D27BC6" w:rsidRDefault="004D5071">
      <w:pPr>
        <w:ind w:left="281" w:right="51"/>
        <w:jc w:val="left"/>
      </w:pPr>
      <w:r>
        <w:rPr>
          <w:b/>
        </w:rPr>
        <w:t xml:space="preserve">Диагностика. </w:t>
      </w:r>
    </w:p>
    <w:p w:rsidR="00D27BC6" w:rsidRDefault="004D5071">
      <w:pPr>
        <w:numPr>
          <w:ilvl w:val="0"/>
          <w:numId w:val="164"/>
        </w:numPr>
        <w:ind w:right="0" w:hanging="283"/>
      </w:pPr>
      <w:r>
        <w:t xml:space="preserve">Гипогонадизм диагностируется при наличии клинических симптомов (основными являются снижение либидо и эректильная дисфункция), подтвержденных результатами лабораторного исследования уровня тестостерона. </w:t>
      </w:r>
    </w:p>
    <w:p w:rsidR="00D27BC6" w:rsidRDefault="004D5071">
      <w:pPr>
        <w:numPr>
          <w:ilvl w:val="0"/>
          <w:numId w:val="164"/>
        </w:numPr>
        <w:ind w:right="0" w:hanging="283"/>
      </w:pPr>
      <w:r>
        <w:t>Пороговым значением, позволяющим разгра</w:t>
      </w:r>
      <w:r>
        <w:t>ничить нормальное состояние и потенциальный дефицит тестостерона для общего тестостерона крови следует считать 12,1 нмоль/л.</w:t>
      </w:r>
    </w:p>
    <w:p w:rsidR="00D27BC6" w:rsidRDefault="004D5071">
      <w:pPr>
        <w:numPr>
          <w:ilvl w:val="0"/>
          <w:numId w:val="164"/>
        </w:numPr>
        <w:ind w:right="0" w:hanging="283"/>
      </w:pPr>
      <w:r>
        <w:t xml:space="preserve">Забор крови для определения уровня тестостерона производится натощак, между 7 и 11 часами утра. </w:t>
      </w:r>
    </w:p>
    <w:p w:rsidR="00D27BC6" w:rsidRDefault="004D5071">
      <w:pPr>
        <w:numPr>
          <w:ilvl w:val="0"/>
          <w:numId w:val="164"/>
        </w:numPr>
        <w:ind w:right="0" w:hanging="283"/>
      </w:pPr>
      <w:r>
        <w:t>В сомнительных случаях для диагнос</w:t>
      </w:r>
      <w:r>
        <w:t>тики дефицита тестостерона оптимально использовать метод высокоэффективной жидкостной хроматографии с тандемной масс-спектрометрией. Определение или расчет уровней свободного тестостерона являются экспериментальными методиками и не надежны при использовани</w:t>
      </w:r>
      <w:r>
        <w:t>и в рутинной клинической практике.</w:t>
      </w:r>
    </w:p>
    <w:p w:rsidR="00D27BC6" w:rsidRDefault="004D5071">
      <w:pPr>
        <w:numPr>
          <w:ilvl w:val="0"/>
          <w:numId w:val="164"/>
        </w:numPr>
        <w:ind w:right="0" w:hanging="283"/>
      </w:pPr>
      <w:r>
        <w:t>В литературе не представлены исследования, демонстрирующие конкретный уровень HbA1c, при котором необходимо сначала приступить к коррекции углеводного обмена, и только при достижении целевого уровня этого показателя оцени</w:t>
      </w:r>
      <w:r>
        <w:t xml:space="preserve">вать андрогенный статус мужчины и при необходимости проводить лечение гипогонадизма. Поэтому допустимо одновременное лечение гипогонадизма наряду с мероприятиями по компенсации углеводного обмена. </w:t>
      </w:r>
    </w:p>
    <w:p w:rsidR="00D27BC6" w:rsidRDefault="004D5071">
      <w:pPr>
        <w:numPr>
          <w:ilvl w:val="0"/>
          <w:numId w:val="164"/>
        </w:numPr>
        <w:spacing w:after="230"/>
        <w:ind w:right="0" w:hanging="283"/>
      </w:pPr>
      <w:r>
        <w:t xml:space="preserve">Рекомендуется в амбулаторной практике ежегодно определять </w:t>
      </w:r>
      <w:r>
        <w:t xml:space="preserve">уровни тестостерона у всех мужчин с ожирением и СД 2 типа вне зависимости от наличия симптомов, ассоциированных с дефицитом тестостерона, с целью выявления гипогонадизма в условиях планового амбулаторного обследования. </w:t>
      </w:r>
    </w:p>
    <w:p w:rsidR="00D27BC6" w:rsidRDefault="004D5071">
      <w:pPr>
        <w:ind w:left="281" w:right="51"/>
        <w:jc w:val="left"/>
      </w:pPr>
      <w:r>
        <w:rPr>
          <w:b/>
        </w:rPr>
        <w:t xml:space="preserve">Лечение. </w:t>
      </w:r>
    </w:p>
    <w:p w:rsidR="00D27BC6" w:rsidRDefault="004D5071">
      <w:pPr>
        <w:numPr>
          <w:ilvl w:val="0"/>
          <w:numId w:val="164"/>
        </w:numPr>
        <w:ind w:right="0" w:hanging="283"/>
      </w:pPr>
      <w:r>
        <w:t xml:space="preserve">Необходимым и достаточным </w:t>
      </w:r>
      <w:r>
        <w:t xml:space="preserve">показанием к лечению является наличие гипогонадизма. Целью лечения является облегчение его симптомов путем восстановления уровней тестостерона до нормальных физиологических значений. </w:t>
      </w:r>
    </w:p>
    <w:p w:rsidR="00D27BC6" w:rsidRDefault="004D5071">
      <w:pPr>
        <w:numPr>
          <w:ilvl w:val="0"/>
          <w:numId w:val="164"/>
        </w:numPr>
        <w:ind w:right="0" w:hanging="283"/>
      </w:pPr>
      <w:r>
        <w:t>В случаях обратимого гипогонадизма, например, у молодых людей с недостиж</w:t>
      </w:r>
      <w:r>
        <w:t>ением целевых уровней гликемического контроля, терапия тестостероном не показана, так как физиологическое восстановление уровня тестостерона возможно при лечении основного заболевания. Однако при невозможности добиться целевых показателей терапии основного</w:t>
      </w:r>
      <w:r>
        <w:t xml:space="preserve"> заболевания возможно назначение препаратов тестостерона короткого действия. </w:t>
      </w:r>
    </w:p>
    <w:p w:rsidR="00D27BC6" w:rsidRDefault="004D5071">
      <w:pPr>
        <w:numPr>
          <w:ilvl w:val="0"/>
          <w:numId w:val="164"/>
        </w:numPr>
        <w:ind w:right="0" w:hanging="283"/>
      </w:pPr>
      <w:r>
        <w:t>В случаях необратимого гипогонадизма, когда нет необходимости в сохранении репродуктивной функции, рекомендуется тестостерон-заместительная терапия. На начальном этапе лечения сл</w:t>
      </w:r>
      <w:r>
        <w:t xml:space="preserve">едует отдать предпочтение препаратам короткого действия, особенно у пациентов с ФР. </w:t>
      </w:r>
    </w:p>
    <w:p w:rsidR="00D27BC6" w:rsidRDefault="004D5071">
      <w:pPr>
        <w:numPr>
          <w:ilvl w:val="0"/>
          <w:numId w:val="164"/>
        </w:numPr>
        <w:ind w:right="0" w:hanging="283"/>
      </w:pPr>
      <w:r>
        <w:t xml:space="preserve">Мужчинам, имеющим в анамнезе рак грудной и/или предстательной железы, терапия препаратами тестостерона противопоказана. Развитие гипергемоглобинемии с уровнем гемоглобина </w:t>
      </w:r>
      <w:r>
        <w:t>&gt;180 г/л и/или гематокрита &gt;54% на фоне лечения тестостероном требует уменьшения используемой дозы препаратов вплоть до отмены или изменение режима терапии.</w:t>
      </w:r>
    </w:p>
    <w:p w:rsidR="00D27BC6" w:rsidRDefault="004D5071">
      <w:pPr>
        <w:numPr>
          <w:ilvl w:val="0"/>
          <w:numId w:val="164"/>
        </w:numPr>
        <w:ind w:right="0" w:hanging="283"/>
      </w:pPr>
      <w:r>
        <w:t>Терапия препаратами тестостерона у мужчин с гипогонадизмом может повышать чувствительность к инсули</w:t>
      </w:r>
      <w:r>
        <w:t>ну. Влияние тестостерон-заместительной терапии на углеводный обмен становится очевидным спустя 12 мес. Установлен благоприятный эффект препаратов тестостерона в отношении либидо, эрекции и эякуляции, а также в улучшении ответа на терапию ингибиторами фосфо</w:t>
      </w:r>
      <w:r>
        <w:t xml:space="preserve">диэстеразы 5 типа, часто используемыми при лечении эректильной дисфункции на фоне СД. </w:t>
      </w:r>
    </w:p>
    <w:p w:rsidR="00D27BC6" w:rsidRDefault="004D5071">
      <w:pPr>
        <w:numPr>
          <w:ilvl w:val="0"/>
          <w:numId w:val="164"/>
        </w:numPr>
        <w:spacing w:after="322"/>
        <w:ind w:right="0" w:hanging="283"/>
      </w:pPr>
      <w:r>
        <w:t>Пациентам, получающим препараты тестостерона, показано периодическое гематологическое обследование (до назначения лечения, затем через 3, 6 и 12 мес. терапии, далее ежег</w:t>
      </w:r>
      <w:r>
        <w:t>одно). Состояние предстательной железы должно оцениваться путем пальцевого или ультразвукового исследования и по показателю простатспецифического антигена (у мужчин старше 40 лет) до назначения лечения, далее спустя 3, 6 и 12 мес., а в последующем – ежегод</w:t>
      </w:r>
      <w:r>
        <w:t>но.</w:t>
      </w:r>
    </w:p>
    <w:p w:rsidR="00D27BC6" w:rsidRDefault="004D5071">
      <w:pPr>
        <w:pStyle w:val="Heading1"/>
        <w:spacing w:after="281"/>
        <w:ind w:left="1811" w:right="1705"/>
      </w:pPr>
      <w:r>
        <w:t>24. ПЕРИОПЕРАЦИОННОЕ ВЕДЕНИЕ БОЛЬНЫХ  САХАРНЫМ ДИАБЕТОМ</w:t>
      </w:r>
    </w:p>
    <w:p w:rsidR="00D27BC6" w:rsidRDefault="004D5071">
      <w:pPr>
        <w:ind w:left="2025" w:right="0"/>
      </w:pPr>
      <w:r>
        <w:rPr>
          <w:b/>
        </w:rPr>
        <w:t xml:space="preserve">СД определяет высокий хирургический и анестезиологический риск,  </w:t>
      </w:r>
    </w:p>
    <w:p w:rsidR="00D27BC6" w:rsidRDefault="004D5071">
      <w:pPr>
        <w:spacing w:after="12"/>
        <w:ind w:left="290" w:right="280"/>
        <w:jc w:val="center"/>
      </w:pPr>
      <w:r>
        <w:rPr>
          <w:b/>
        </w:rPr>
        <w:t>НО НЕ ЯВЛЯЕТСЯ ПРОТИВОПОКАЗАНИЕМ К ОПЕРАЦИЯМ</w:t>
      </w:r>
    </w:p>
    <w:p w:rsidR="00D27BC6" w:rsidRDefault="004D5071">
      <w:pPr>
        <w:spacing w:after="0" w:line="259" w:lineRule="auto"/>
        <w:ind w:left="-3" w:right="0"/>
        <w:jc w:val="left"/>
      </w:pPr>
      <w:r>
        <w:rPr>
          <w:b/>
          <w:color w:val="6F6F6E"/>
        </w:rPr>
        <w:t>В периоперационном периоде повышен риск следующих осложнений:</w:t>
      </w:r>
    </w:p>
    <w:tbl>
      <w:tblPr>
        <w:tblStyle w:val="TableGrid"/>
        <w:tblW w:w="10191" w:type="dxa"/>
        <w:tblInd w:w="8" w:type="dxa"/>
        <w:tblCellMar>
          <w:top w:w="9" w:type="dxa"/>
          <w:left w:w="57" w:type="dxa"/>
          <w:bottom w:w="0" w:type="dxa"/>
          <w:right w:w="93" w:type="dxa"/>
        </w:tblCellMar>
        <w:tblLook w:val="04A0" w:firstRow="1" w:lastRow="0" w:firstColumn="1" w:lastColumn="0" w:noHBand="0" w:noVBand="1"/>
      </w:tblPr>
      <w:tblGrid>
        <w:gridCol w:w="2790"/>
        <w:gridCol w:w="7401"/>
      </w:tblGrid>
      <w:tr w:rsidR="00D27BC6">
        <w:trPr>
          <w:trHeight w:val="320"/>
        </w:trPr>
        <w:tc>
          <w:tcPr>
            <w:tcW w:w="2790"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36" w:right="0" w:firstLine="0"/>
              <w:jc w:val="center"/>
            </w:pPr>
            <w:r>
              <w:rPr>
                <w:b/>
              </w:rPr>
              <w:t>Осложнение</w:t>
            </w:r>
          </w:p>
        </w:tc>
        <w:tc>
          <w:tcPr>
            <w:tcW w:w="7401"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36" w:right="0" w:firstLine="0"/>
              <w:jc w:val="center"/>
            </w:pPr>
            <w:r>
              <w:rPr>
                <w:b/>
              </w:rPr>
              <w:t>Причины и провоцирующие факторы</w:t>
            </w:r>
          </w:p>
        </w:tc>
      </w:tr>
      <w:tr w:rsidR="00D27BC6">
        <w:trPr>
          <w:trHeight w:val="1210"/>
        </w:trPr>
        <w:tc>
          <w:tcPr>
            <w:tcW w:w="279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Метаболическая </w:t>
            </w:r>
          </w:p>
          <w:p w:rsidR="00D27BC6" w:rsidRDefault="004D5071">
            <w:pPr>
              <w:spacing w:after="0" w:line="259" w:lineRule="auto"/>
              <w:ind w:left="0" w:right="0" w:firstLine="0"/>
              <w:jc w:val="left"/>
            </w:pPr>
            <w:r>
              <w:t>декомпенсация с развитием ДКА</w:t>
            </w:r>
          </w:p>
        </w:tc>
        <w:tc>
          <w:tcPr>
            <w:tcW w:w="740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Усиление инсулинорезистентности и инсулиновой недостаточности </w:t>
            </w:r>
          </w:p>
          <w:p w:rsidR="00D27BC6" w:rsidRDefault="004D5071">
            <w:pPr>
              <w:spacing w:after="0" w:line="259" w:lineRule="auto"/>
              <w:ind w:left="0" w:right="57" w:firstLine="0"/>
              <w:jc w:val="left"/>
            </w:pPr>
            <w:r>
              <w:t>с контринсулярной реакцией и симпатикотонией вследствие периоперационного и анестезиологического стресса, недостаточный периоперационный контроль гликемии, неадекватная сахароснижающая терапия</w:t>
            </w:r>
          </w:p>
        </w:tc>
      </w:tr>
      <w:tr w:rsidR="00D27BC6">
        <w:trPr>
          <w:trHeight w:val="560"/>
        </w:trPr>
        <w:tc>
          <w:tcPr>
            <w:tcW w:w="279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Раневые и системные инфекции</w:t>
            </w:r>
          </w:p>
        </w:tc>
        <w:tc>
          <w:tcPr>
            <w:tcW w:w="740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Снижение иммунитета при гипергликемии</w:t>
            </w:r>
          </w:p>
        </w:tc>
      </w:tr>
      <w:tr w:rsidR="00D27BC6">
        <w:trPr>
          <w:trHeight w:val="560"/>
        </w:trPr>
        <w:tc>
          <w:tcPr>
            <w:tcW w:w="279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Инфаркт миокарда</w:t>
            </w:r>
          </w:p>
        </w:tc>
        <w:tc>
          <w:tcPr>
            <w:tcW w:w="740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Высокая частота ИБС у больных СД, периоперационный стресс с повышением уровней катехоламинов и симпатикотонией</w:t>
            </w:r>
          </w:p>
        </w:tc>
      </w:tr>
      <w:tr w:rsidR="00D27BC6">
        <w:trPr>
          <w:trHeight w:val="560"/>
        </w:trPr>
        <w:tc>
          <w:tcPr>
            <w:tcW w:w="279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Застойная сердечная недостаточность</w:t>
            </w:r>
          </w:p>
        </w:tc>
        <w:tc>
          <w:tcPr>
            <w:tcW w:w="740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Высокая частота ХСН при СД, кардиомиопатия, перегрузка жидкостью</w:t>
            </w:r>
          </w:p>
        </w:tc>
      </w:tr>
      <w:tr w:rsidR="00D27BC6">
        <w:trPr>
          <w:trHeight w:val="560"/>
        </w:trPr>
        <w:tc>
          <w:tcPr>
            <w:tcW w:w="279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Тромбоэмболии</w:t>
            </w:r>
          </w:p>
        </w:tc>
        <w:tc>
          <w:tcPr>
            <w:tcW w:w="740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Гипергликемия, иммобилизация, ожирение, старческий возраст, тяжелые инфекции, синдром диабетической стопы</w:t>
            </w:r>
          </w:p>
        </w:tc>
      </w:tr>
      <w:tr w:rsidR="00D27BC6">
        <w:trPr>
          <w:trHeight w:val="560"/>
        </w:trPr>
        <w:tc>
          <w:tcPr>
            <w:tcW w:w="279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Артериальная гипотензия</w:t>
            </w:r>
          </w:p>
        </w:tc>
        <w:tc>
          <w:tcPr>
            <w:tcW w:w="740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Диабетическая автономная нейропатия</w:t>
            </w:r>
          </w:p>
        </w:tc>
      </w:tr>
      <w:tr w:rsidR="00D27BC6">
        <w:trPr>
          <w:trHeight w:val="560"/>
        </w:trPr>
        <w:tc>
          <w:tcPr>
            <w:tcW w:w="279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Почечная недостаточность</w:t>
            </w:r>
          </w:p>
        </w:tc>
        <w:tc>
          <w:tcPr>
            <w:tcW w:w="740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Дегидратация, гипоперфузия почек/гиповолемия</w:t>
            </w:r>
          </w:p>
        </w:tc>
      </w:tr>
      <w:tr w:rsidR="00D27BC6">
        <w:trPr>
          <w:trHeight w:val="560"/>
        </w:trPr>
        <w:tc>
          <w:tcPr>
            <w:tcW w:w="2790"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Атония желудка и кишечника, аспирация, тошнота и рвота</w:t>
            </w:r>
          </w:p>
        </w:tc>
        <w:tc>
          <w:tcPr>
            <w:tcW w:w="740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Диабетическая автономная нейропатия</w:t>
            </w:r>
          </w:p>
        </w:tc>
      </w:tr>
      <w:tr w:rsidR="00D27BC6">
        <w:trPr>
          <w:trHeight w:val="560"/>
        </w:trPr>
        <w:tc>
          <w:tcPr>
            <w:tcW w:w="279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Атония мочевого пузыря</w:t>
            </w:r>
          </w:p>
        </w:tc>
        <w:tc>
          <w:tcPr>
            <w:tcW w:w="740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Диабетическая автономная нейропатия</w:t>
            </w:r>
          </w:p>
        </w:tc>
      </w:tr>
      <w:tr w:rsidR="00D27BC6">
        <w:trPr>
          <w:trHeight w:val="560"/>
        </w:trPr>
        <w:tc>
          <w:tcPr>
            <w:tcW w:w="279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Гемофтальм</w:t>
            </w:r>
          </w:p>
        </w:tc>
        <w:tc>
          <w:tcPr>
            <w:tcW w:w="740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Длительные операции в положении лицом вниз/на животе; применение антикоагулянтов</w:t>
            </w:r>
          </w:p>
        </w:tc>
      </w:tr>
      <w:tr w:rsidR="00D27BC6">
        <w:trPr>
          <w:trHeight w:val="560"/>
        </w:trPr>
        <w:tc>
          <w:tcPr>
            <w:tcW w:w="2790"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Гипогликемия</w:t>
            </w:r>
          </w:p>
        </w:tc>
        <w:tc>
          <w:tcPr>
            <w:tcW w:w="740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Недостаточный периоперационный контроль гликемии, неадекватная сахароснижающая терапия</w:t>
            </w:r>
          </w:p>
        </w:tc>
      </w:tr>
    </w:tbl>
    <w:p w:rsidR="00D27BC6" w:rsidRDefault="004D5071">
      <w:pPr>
        <w:ind w:left="281" w:right="51"/>
        <w:jc w:val="left"/>
      </w:pPr>
      <w:r>
        <w:rPr>
          <w:b/>
        </w:rPr>
        <w:t>Обследование больного СД для снижения периоперационного риска:</w:t>
      </w:r>
    </w:p>
    <w:p w:rsidR="00D27BC6" w:rsidRDefault="004D5071">
      <w:pPr>
        <w:numPr>
          <w:ilvl w:val="0"/>
          <w:numId w:val="165"/>
        </w:numPr>
        <w:ind w:right="0" w:hanging="283"/>
      </w:pPr>
      <w:r>
        <w:t>Гликемия, кетонурия, перед плановыми операциями – HbA1c</w:t>
      </w:r>
    </w:p>
    <w:p w:rsidR="00D27BC6" w:rsidRDefault="004D5071">
      <w:pPr>
        <w:numPr>
          <w:ilvl w:val="0"/>
          <w:numId w:val="165"/>
        </w:numPr>
        <w:ind w:right="0" w:hanging="283"/>
      </w:pPr>
      <w:r>
        <w:t>Степень гидратации (АД, диурез, ЦВД), КЩС (как минимум, рН и бикарбонат), К</w:t>
      </w:r>
      <w:r>
        <w:rPr>
          <w:sz w:val="18"/>
          <w:vertAlign w:val="superscript"/>
        </w:rPr>
        <w:t>+</w:t>
      </w:r>
      <w:r>
        <w:t>, Na</w:t>
      </w:r>
      <w:r>
        <w:rPr>
          <w:sz w:val="18"/>
          <w:vertAlign w:val="superscript"/>
        </w:rPr>
        <w:t>+</w:t>
      </w:r>
      <w:r>
        <w:t>; крайне желательно – лактат</w:t>
      </w:r>
    </w:p>
    <w:p w:rsidR="00D27BC6" w:rsidRDefault="004D5071">
      <w:pPr>
        <w:numPr>
          <w:ilvl w:val="0"/>
          <w:numId w:val="165"/>
        </w:numPr>
        <w:ind w:right="0" w:hanging="283"/>
      </w:pPr>
      <w:r>
        <w:t>Сердечно-сосудистая система (перед средними и большими операциями):</w:t>
      </w:r>
    </w:p>
    <w:p w:rsidR="00D27BC6" w:rsidRDefault="004D5071">
      <w:pPr>
        <w:numPr>
          <w:ilvl w:val="1"/>
          <w:numId w:val="165"/>
        </w:numPr>
        <w:ind w:left="567" w:right="0" w:hanging="283"/>
      </w:pPr>
      <w:r>
        <w:t>ЭКГ, АД; перед плановы</w:t>
      </w:r>
      <w:r>
        <w:t>ми операциями при высоком риске ИБС – обследование по стандартному алгоритму (см. раздел 10.1);</w:t>
      </w:r>
    </w:p>
    <w:p w:rsidR="00D27BC6" w:rsidRDefault="004D5071">
      <w:pPr>
        <w:numPr>
          <w:ilvl w:val="1"/>
          <w:numId w:val="165"/>
        </w:numPr>
        <w:ind w:left="567" w:right="0" w:hanging="283"/>
      </w:pPr>
      <w:r>
        <w:t>Подробный анамнез и ортостатические пробы для диагностики диабетической кардиоваскулярной автономной нейропатии.</w:t>
      </w:r>
    </w:p>
    <w:p w:rsidR="00D27BC6" w:rsidRDefault="004D5071">
      <w:pPr>
        <w:numPr>
          <w:ilvl w:val="0"/>
          <w:numId w:val="165"/>
        </w:numPr>
        <w:ind w:right="0" w:hanging="283"/>
      </w:pPr>
      <w:r>
        <w:t>Почки и мочевыводящие пути: креатинин сыворотки</w:t>
      </w:r>
      <w:r>
        <w:t>, протеинурия, рСКФ, сбор анамнеза для диагностики автономной нейропатии мочевого пузыря.</w:t>
      </w:r>
    </w:p>
    <w:p w:rsidR="00D27BC6" w:rsidRDefault="004D5071">
      <w:pPr>
        <w:numPr>
          <w:ilvl w:val="0"/>
          <w:numId w:val="165"/>
        </w:numPr>
        <w:ind w:right="0" w:hanging="283"/>
      </w:pPr>
      <w:r>
        <w:t>Желудочно-кишечный тракт: сбор анамнеза для диагностики диабетической автономной нейропатии (гастропарез, энтеропатия).</w:t>
      </w:r>
    </w:p>
    <w:p w:rsidR="00D27BC6" w:rsidRDefault="004D5071">
      <w:pPr>
        <w:numPr>
          <w:ilvl w:val="0"/>
          <w:numId w:val="165"/>
        </w:numPr>
        <w:ind w:right="0" w:hanging="283"/>
      </w:pPr>
      <w:r>
        <w:t>Офтальмоскопия с расширением зрачка.</w:t>
      </w:r>
    </w:p>
    <w:p w:rsidR="00D27BC6" w:rsidRDefault="004D5071">
      <w:pPr>
        <w:numPr>
          <w:ilvl w:val="0"/>
          <w:numId w:val="165"/>
        </w:numPr>
        <w:spacing w:after="226"/>
        <w:ind w:right="0" w:hanging="283"/>
      </w:pPr>
      <w:r>
        <w:t>Коагулогр</w:t>
      </w:r>
      <w:r>
        <w:t>амма.</w:t>
      </w:r>
    </w:p>
    <w:p w:rsidR="00D27BC6" w:rsidRDefault="004D5071">
      <w:pPr>
        <w:spacing w:after="230"/>
        <w:ind w:left="-11" w:right="0" w:firstLine="283"/>
      </w:pPr>
      <w:r>
        <w:t>Выбор метода анестезии: при диабетической автономной нейропатии высокая эпидуральная и высокая спинальная анестезия противопоказана. Потребность в анальгетиках у пациентов с неудовлетворительным контролем гликемии может быть повышена.</w:t>
      </w:r>
    </w:p>
    <w:p w:rsidR="00D27BC6" w:rsidRDefault="004D5071">
      <w:pPr>
        <w:pStyle w:val="Heading2"/>
        <w:spacing w:after="229" w:line="248" w:lineRule="auto"/>
        <w:ind w:left="162" w:right="112"/>
        <w:jc w:val="center"/>
      </w:pPr>
      <w:r>
        <w:rPr>
          <w:color w:val="1E5D99"/>
        </w:rPr>
        <w:t>Целевые значени</w:t>
      </w:r>
      <w:r>
        <w:rPr>
          <w:color w:val="1E5D99"/>
        </w:rPr>
        <w:t>я уровня глюкозы плазмы (ГП) в периоперационном периоде и отделении реанимации и интенсивной терапии</w:t>
      </w:r>
    </w:p>
    <w:p w:rsidR="00D27BC6" w:rsidRDefault="004D5071">
      <w:pPr>
        <w:numPr>
          <w:ilvl w:val="0"/>
          <w:numId w:val="166"/>
        </w:numPr>
        <w:ind w:right="0" w:hanging="283"/>
      </w:pPr>
      <w:r>
        <w:t>У большинства пациентов как с СД, так и со стрессовой гипергликемией для улучшения клинических исходов следует поддерживать уровень ГП в диапазоне 7,8–10,0</w:t>
      </w:r>
      <w:r>
        <w:t xml:space="preserve"> ммоль/л.</w:t>
      </w:r>
    </w:p>
    <w:p w:rsidR="00D27BC6" w:rsidRDefault="004D5071">
      <w:pPr>
        <w:numPr>
          <w:ilvl w:val="0"/>
          <w:numId w:val="166"/>
        </w:numPr>
        <w:ind w:right="0" w:hanging="283"/>
      </w:pPr>
      <w:r>
        <w:t>У отдельных пациентов может быть выбран более низкий целевой диапазон уровня ГП (6.1–7.8 ммоль/л), если его удается достичь без увеличения частоты гипогликемий.</w:t>
      </w:r>
    </w:p>
    <w:p w:rsidR="00D27BC6" w:rsidRDefault="004D5071">
      <w:pPr>
        <w:numPr>
          <w:ilvl w:val="0"/>
          <w:numId w:val="166"/>
        </w:numPr>
        <w:ind w:right="0" w:hanging="283"/>
      </w:pPr>
      <w:r>
        <w:t>Поддержание ГП на уровне менее 6,1 ммоль/л не рекомендуется.</w:t>
      </w:r>
    </w:p>
    <w:p w:rsidR="00D27BC6" w:rsidRDefault="004D5071">
      <w:pPr>
        <w:numPr>
          <w:ilvl w:val="0"/>
          <w:numId w:val="166"/>
        </w:numPr>
        <w:ind w:right="0" w:hanging="283"/>
      </w:pPr>
      <w:r>
        <w:t>Гипогликемии и превышени</w:t>
      </w:r>
      <w:r>
        <w:t>я уровня ГП 12 ммоль/л следует максимально избегать.</w:t>
      </w:r>
    </w:p>
    <w:p w:rsidR="00D27BC6" w:rsidRDefault="004D5071">
      <w:pPr>
        <w:pStyle w:val="Heading2"/>
        <w:spacing w:after="229" w:line="248" w:lineRule="auto"/>
        <w:ind w:left="162" w:right="152"/>
        <w:jc w:val="center"/>
      </w:pPr>
      <w:r>
        <w:rPr>
          <w:color w:val="1E5D99"/>
        </w:rPr>
        <w:t>Управление гликемией в периоперационном периоде</w:t>
      </w:r>
    </w:p>
    <w:p w:rsidR="00D27BC6" w:rsidRDefault="004D5071">
      <w:pPr>
        <w:ind w:left="281" w:right="51"/>
        <w:jc w:val="left"/>
      </w:pPr>
      <w:r>
        <w:rPr>
          <w:b/>
        </w:rPr>
        <w:t xml:space="preserve">Экстренные операции: </w:t>
      </w:r>
    </w:p>
    <w:p w:rsidR="00D27BC6" w:rsidRDefault="004D5071">
      <w:pPr>
        <w:ind w:left="294" w:right="0"/>
      </w:pPr>
      <w:r>
        <w:t>при исходно нецелевых уровнях гликемического контроля – максимально возможная предоперационная коррек-</w:t>
      </w:r>
    </w:p>
    <w:p w:rsidR="00D27BC6" w:rsidRDefault="004D5071">
      <w:pPr>
        <w:spacing w:after="226"/>
        <w:ind w:left="-1" w:right="0"/>
      </w:pPr>
      <w:r>
        <w:t>ция гликемии, степени гидратации, калия и рН (принципы – см. раздел 8.1).</w:t>
      </w:r>
    </w:p>
    <w:p w:rsidR="00D27BC6" w:rsidRDefault="004D5071">
      <w:pPr>
        <w:ind w:left="281" w:right="51"/>
        <w:jc w:val="left"/>
      </w:pPr>
      <w:r>
        <w:rPr>
          <w:b/>
        </w:rPr>
        <w:t>Плановые операции</w:t>
      </w:r>
    </w:p>
    <w:p w:rsidR="00D27BC6" w:rsidRDefault="004D5071">
      <w:pPr>
        <w:numPr>
          <w:ilvl w:val="0"/>
          <w:numId w:val="167"/>
        </w:numPr>
        <w:ind w:right="0" w:hanging="283"/>
      </w:pPr>
      <w:r>
        <w:t>накануне операции при исходно целевых уровнях гликемического контроля:</w:t>
      </w:r>
    </w:p>
    <w:p w:rsidR="00D27BC6" w:rsidRDefault="004D5071">
      <w:pPr>
        <w:ind w:left="567" w:right="0" w:hanging="283"/>
      </w:pPr>
      <w:r>
        <w:t xml:space="preserve">а) </w:t>
      </w:r>
      <w:r>
        <w:rPr>
          <w:u w:val="single" w:color="000000"/>
        </w:rPr>
        <w:t>Малые оперативные вмешательства</w:t>
      </w:r>
      <w:r>
        <w:t xml:space="preserve"> (местное обезболивание, амбулаторные): специальная подготовка не требуется.</w:t>
      </w:r>
    </w:p>
    <w:p w:rsidR="00D27BC6" w:rsidRDefault="004D5071">
      <w:pPr>
        <w:spacing w:after="350"/>
        <w:ind w:left="567" w:right="0" w:hanging="283"/>
      </w:pPr>
      <w:r>
        <w:t xml:space="preserve">б) </w:t>
      </w:r>
      <w:r>
        <w:rPr>
          <w:u w:val="single" w:color="000000"/>
        </w:rPr>
        <w:t>Средние и большие оперативные вмешательства</w:t>
      </w:r>
      <w:r>
        <w:t xml:space="preserve"> (в условиях стационара, требующие изменения питания, регионарной анестезии или наркоза):</w:t>
      </w:r>
    </w:p>
    <w:tbl>
      <w:tblPr>
        <w:tblStyle w:val="TableGrid"/>
        <w:tblW w:w="10185" w:type="dxa"/>
        <w:tblInd w:w="8" w:type="dxa"/>
        <w:tblCellMar>
          <w:top w:w="9" w:type="dxa"/>
          <w:left w:w="57" w:type="dxa"/>
          <w:bottom w:w="0" w:type="dxa"/>
          <w:right w:w="13" w:type="dxa"/>
        </w:tblCellMar>
        <w:tblLook w:val="04A0" w:firstRow="1" w:lastRow="0" w:firstColumn="1" w:lastColumn="0" w:noHBand="0" w:noVBand="1"/>
      </w:tblPr>
      <w:tblGrid>
        <w:gridCol w:w="2037"/>
        <w:gridCol w:w="2037"/>
        <w:gridCol w:w="2037"/>
        <w:gridCol w:w="2037"/>
        <w:gridCol w:w="2037"/>
      </w:tblGrid>
      <w:tr w:rsidR="00D27BC6">
        <w:trPr>
          <w:trHeight w:val="320"/>
        </w:trPr>
        <w:tc>
          <w:tcPr>
            <w:tcW w:w="2037"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Сахароснижающая терапия</w:t>
            </w:r>
          </w:p>
        </w:tc>
        <w:tc>
          <w:tcPr>
            <w:tcW w:w="6111" w:type="dxa"/>
            <w:gridSpan w:val="3"/>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4" w:firstLine="0"/>
              <w:jc w:val="center"/>
            </w:pPr>
            <w:r>
              <w:rPr>
                <w:b/>
              </w:rPr>
              <w:t>День накануне опера</w:t>
            </w:r>
            <w:r>
              <w:rPr>
                <w:b/>
              </w:rPr>
              <w:t>ции</w:t>
            </w:r>
          </w:p>
        </w:tc>
        <w:tc>
          <w:tcPr>
            <w:tcW w:w="2037"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Утром в день операции</w:t>
            </w:r>
          </w:p>
        </w:tc>
      </w:tr>
      <w:tr w:rsidR="00D27BC6">
        <w:trPr>
          <w:trHeight w:val="32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037"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44" w:firstLine="0"/>
              <w:jc w:val="center"/>
            </w:pPr>
            <w:r>
              <w:rPr>
                <w:b/>
              </w:rPr>
              <w:t>Утро</w:t>
            </w:r>
          </w:p>
        </w:tc>
        <w:tc>
          <w:tcPr>
            <w:tcW w:w="4074"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4" w:firstLine="0"/>
              <w:jc w:val="center"/>
            </w:pPr>
            <w:r>
              <w:rPr>
                <w:b/>
              </w:rPr>
              <w:t>Вечер</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r>
      <w:tr w:rsidR="00D27BC6">
        <w:trPr>
          <w:trHeight w:val="56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03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247" w:right="210" w:firstLine="0"/>
              <w:jc w:val="center"/>
            </w:pPr>
            <w:r>
              <w:rPr>
                <w:b/>
              </w:rPr>
              <w:t>Ужин  разрешен</w:t>
            </w:r>
          </w:p>
        </w:tc>
        <w:tc>
          <w:tcPr>
            <w:tcW w:w="203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364" w:right="408" w:firstLine="0"/>
              <w:jc w:val="center"/>
            </w:pPr>
            <w:r>
              <w:rPr>
                <w:b/>
              </w:rPr>
              <w:t>Ужин  не разрешен</w:t>
            </w: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560"/>
        </w:trPr>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Только диета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4" w:firstLine="0"/>
              <w:jc w:val="center"/>
            </w:pPr>
            <w:r>
              <w:t>-</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4" w:firstLine="0"/>
              <w:jc w:val="center"/>
            </w:pPr>
            <w:r>
              <w:t>-</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4" w:firstLine="0"/>
              <w:jc w:val="center"/>
            </w:pPr>
            <w:r>
              <w:t>-</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4" w:firstLine="0"/>
              <w:jc w:val="center"/>
            </w:pPr>
            <w:r>
              <w:t>-</w:t>
            </w:r>
          </w:p>
        </w:tc>
      </w:tr>
      <w:tr w:rsidR="00D27BC6">
        <w:trPr>
          <w:trHeight w:val="1393"/>
        </w:trPr>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12" w:firstLine="0"/>
              <w:jc w:val="left"/>
            </w:pPr>
            <w:r>
              <w:t>ПСМ с действием 24 часа</w:t>
            </w:r>
          </w:p>
        </w:tc>
        <w:tc>
          <w:tcPr>
            <w:tcW w:w="203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54" w:firstLine="0"/>
              <w:jc w:val="left"/>
            </w:pPr>
            <w:r>
              <w:t>Обычная доза, если ужин разрешен Половинная доза, если ужин не разрешен</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3" w:firstLine="0"/>
              <w:jc w:val="center"/>
            </w:pPr>
            <w:r>
              <w:t>-</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3" w:firstLine="0"/>
              <w:jc w:val="center"/>
            </w:pPr>
            <w:r>
              <w:t>-</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Отмена</w:t>
            </w:r>
          </w:p>
        </w:tc>
      </w:tr>
      <w:tr w:rsidR="00D27BC6">
        <w:trPr>
          <w:trHeight w:val="673"/>
        </w:trPr>
        <w:tc>
          <w:tcPr>
            <w:tcW w:w="203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12" w:firstLine="0"/>
              <w:jc w:val="left"/>
            </w:pPr>
            <w:r>
              <w:t>ПСМ с действием 12 часов</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Обычная доза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Обычная доза</w:t>
            </w:r>
          </w:p>
        </w:tc>
        <w:tc>
          <w:tcPr>
            <w:tcW w:w="203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Половинная доза или отмена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Отмена</w:t>
            </w:r>
          </w:p>
        </w:tc>
      </w:tr>
      <w:tr w:rsidR="00D27BC6">
        <w:trPr>
          <w:trHeight w:val="673"/>
        </w:trPr>
        <w:tc>
          <w:tcPr>
            <w:tcW w:w="203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ПСМ короткого действия и глиниды</w:t>
            </w:r>
          </w:p>
        </w:tc>
        <w:tc>
          <w:tcPr>
            <w:tcW w:w="203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544" w:firstLine="0"/>
              <w:jc w:val="left"/>
            </w:pPr>
            <w:r>
              <w:t>Обычная доза (в обед – тоже)</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Обычная доза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Отмена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Отмена</w:t>
            </w:r>
          </w:p>
        </w:tc>
      </w:tr>
      <w:tr w:rsidR="00D27BC6">
        <w:trPr>
          <w:trHeight w:val="560"/>
        </w:trPr>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Метформин</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Отмена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Отмена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Отмена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Отмена</w:t>
            </w:r>
          </w:p>
        </w:tc>
      </w:tr>
      <w:tr w:rsidR="00D27BC6">
        <w:trPr>
          <w:trHeight w:val="560"/>
        </w:trPr>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Тиазолидиндионы</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Отмена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Отмена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Отмена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Отмена</w:t>
            </w:r>
          </w:p>
        </w:tc>
      </w:tr>
      <w:tr w:rsidR="00D27BC6">
        <w:trPr>
          <w:trHeight w:val="673"/>
        </w:trPr>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иДПП4</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Обычная доза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Обычная доза</w:t>
            </w:r>
          </w:p>
        </w:tc>
        <w:tc>
          <w:tcPr>
            <w:tcW w:w="203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Половинная доза или отмена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Отмена</w:t>
            </w:r>
          </w:p>
        </w:tc>
      </w:tr>
      <w:tr w:rsidR="00D27BC6">
        <w:trPr>
          <w:trHeight w:val="560"/>
        </w:trPr>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арГПП1</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Обычная доза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1" w:firstLine="0"/>
              <w:jc w:val="center"/>
            </w:pPr>
            <w:r>
              <w:t>-</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1" w:firstLine="0"/>
              <w:jc w:val="center"/>
            </w:pPr>
            <w:r>
              <w:t>-</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Отмена</w:t>
            </w:r>
          </w:p>
        </w:tc>
      </w:tr>
      <w:tr w:rsidR="00D27BC6">
        <w:trPr>
          <w:trHeight w:val="560"/>
        </w:trPr>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иНГЛТ2</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Отмена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Отмена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Отмена</w:t>
            </w:r>
          </w:p>
        </w:tc>
        <w:tc>
          <w:tcPr>
            <w:tcW w:w="203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Отмена</w:t>
            </w:r>
          </w:p>
        </w:tc>
      </w:tr>
      <w:tr w:rsidR="00D27BC6">
        <w:trPr>
          <w:trHeight w:val="3448"/>
        </w:trPr>
        <w:tc>
          <w:tcPr>
            <w:tcW w:w="203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 xml:space="preserve">Инсулин: </w:t>
            </w:r>
          </w:p>
          <w:p w:rsidR="00D27BC6" w:rsidRDefault="004D5071">
            <w:pPr>
              <w:spacing w:after="480" w:line="236" w:lineRule="auto"/>
              <w:ind w:left="1" w:right="752" w:firstLine="0"/>
              <w:jc w:val="left"/>
            </w:pPr>
            <w:r>
              <w:t>1.ИКД/ИУКД и инсулин продленного действия</w:t>
            </w:r>
          </w:p>
          <w:p w:rsidR="00D27BC6" w:rsidRDefault="004D5071">
            <w:pPr>
              <w:spacing w:after="0" w:line="259" w:lineRule="auto"/>
              <w:ind w:left="1" w:right="0" w:firstLine="0"/>
              <w:jc w:val="left"/>
            </w:pPr>
            <w:r>
              <w:t>2.Только инсулин продленного действия</w:t>
            </w:r>
          </w:p>
        </w:tc>
        <w:tc>
          <w:tcPr>
            <w:tcW w:w="203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36" w:lineRule="auto"/>
              <w:ind w:left="1" w:right="42" w:firstLine="0"/>
            </w:pPr>
            <w:r>
              <w:t xml:space="preserve">Обычные дозы ИКД/ИУКД и инсулина продленного действия </w:t>
            </w:r>
          </w:p>
          <w:p w:rsidR="00D27BC6" w:rsidRDefault="004D5071">
            <w:pPr>
              <w:spacing w:after="240" w:line="236" w:lineRule="auto"/>
              <w:ind w:left="1" w:right="0" w:firstLine="0"/>
              <w:jc w:val="left"/>
            </w:pPr>
            <w:r>
              <w:t>(и ИКД/ИУКД в обед, если вводит)</w:t>
            </w:r>
          </w:p>
          <w:p w:rsidR="00D27BC6" w:rsidRDefault="004D5071">
            <w:pPr>
              <w:spacing w:after="0" w:line="259" w:lineRule="auto"/>
              <w:ind w:left="1" w:right="0" w:firstLine="0"/>
              <w:jc w:val="left"/>
            </w:pPr>
            <w:r>
              <w:t>Обычная доза инсулина продленного действия</w:t>
            </w:r>
          </w:p>
        </w:tc>
        <w:tc>
          <w:tcPr>
            <w:tcW w:w="2037" w:type="dxa"/>
            <w:tcBorders>
              <w:top w:val="single" w:sz="6" w:space="0" w:color="000000"/>
              <w:left w:val="single" w:sz="6" w:space="0" w:color="000000"/>
              <w:bottom w:val="single" w:sz="6" w:space="0" w:color="000000"/>
              <w:right w:val="single" w:sz="6" w:space="0" w:color="000000"/>
            </w:tcBorders>
          </w:tcPr>
          <w:p w:rsidR="00D27BC6" w:rsidRDefault="004D5071">
            <w:pPr>
              <w:spacing w:after="720" w:line="236" w:lineRule="auto"/>
              <w:ind w:left="2" w:right="42" w:firstLine="0"/>
            </w:pPr>
            <w:r>
              <w:t>Обычные дозы ИКД/ИУКД и инсулина продленного действия</w:t>
            </w:r>
          </w:p>
          <w:p w:rsidR="00D27BC6" w:rsidRDefault="004D5071">
            <w:pPr>
              <w:spacing w:after="0" w:line="259" w:lineRule="auto"/>
              <w:ind w:left="2" w:right="0" w:firstLine="0"/>
              <w:jc w:val="left"/>
            </w:pPr>
            <w:r>
              <w:t>Обычная доза инсулина продленного действия</w:t>
            </w:r>
          </w:p>
        </w:tc>
        <w:tc>
          <w:tcPr>
            <w:tcW w:w="2037" w:type="dxa"/>
            <w:tcBorders>
              <w:top w:val="single" w:sz="6" w:space="0" w:color="000000"/>
              <w:left w:val="single" w:sz="6" w:space="0" w:color="000000"/>
              <w:bottom w:val="single" w:sz="6" w:space="0" w:color="000000"/>
              <w:right w:val="single" w:sz="6" w:space="0" w:color="000000"/>
            </w:tcBorders>
          </w:tcPr>
          <w:p w:rsidR="00D27BC6" w:rsidRDefault="004D5071">
            <w:pPr>
              <w:spacing w:after="720" w:line="236" w:lineRule="auto"/>
              <w:ind w:left="2" w:right="0" w:firstLine="0"/>
              <w:jc w:val="left"/>
            </w:pPr>
            <w:r>
              <w:t>Обычная доза инсулина продленного действия</w:t>
            </w:r>
          </w:p>
          <w:p w:rsidR="00D27BC6" w:rsidRDefault="004D5071">
            <w:pPr>
              <w:spacing w:after="0" w:line="259" w:lineRule="auto"/>
              <w:ind w:left="2" w:right="189" w:firstLine="0"/>
              <w:jc w:val="left"/>
            </w:pPr>
            <w:r>
              <w:t>Дозу инсулина продленного действия снизить на 20–50%</w:t>
            </w:r>
          </w:p>
        </w:tc>
        <w:tc>
          <w:tcPr>
            <w:tcW w:w="203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2" w:right="116" w:firstLine="0"/>
              <w:jc w:val="left"/>
            </w:pPr>
            <w:r>
              <w:t>Только ИПД в дозе 50% при СД 2 типа и 80%–100% при СД1</w:t>
            </w:r>
          </w:p>
        </w:tc>
      </w:tr>
    </w:tbl>
    <w:p w:rsidR="00D27BC6" w:rsidRDefault="004D5071">
      <w:pPr>
        <w:numPr>
          <w:ilvl w:val="0"/>
          <w:numId w:val="167"/>
        </w:numPr>
        <w:ind w:right="0" w:hanging="283"/>
      </w:pPr>
      <w:r>
        <w:t>в день операции и в послеоперационном периоде, при исходно целевых уровнях гликемического контроля</w:t>
      </w:r>
    </w:p>
    <w:tbl>
      <w:tblPr>
        <w:tblStyle w:val="TableGrid"/>
        <w:tblW w:w="10195" w:type="dxa"/>
        <w:tblInd w:w="8" w:type="dxa"/>
        <w:tblCellMar>
          <w:top w:w="9" w:type="dxa"/>
          <w:left w:w="0" w:type="dxa"/>
          <w:bottom w:w="0" w:type="dxa"/>
          <w:right w:w="28" w:type="dxa"/>
        </w:tblCellMar>
        <w:tblLook w:val="04A0" w:firstRow="1" w:lastRow="0" w:firstColumn="1" w:lastColumn="0" w:noHBand="0" w:noVBand="1"/>
      </w:tblPr>
      <w:tblGrid>
        <w:gridCol w:w="1418"/>
        <w:gridCol w:w="8777"/>
      </w:tblGrid>
      <w:tr w:rsidR="00D27BC6">
        <w:trPr>
          <w:trHeight w:val="560"/>
        </w:trPr>
        <w:tc>
          <w:tcPr>
            <w:tcW w:w="141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Терапия до операции</w:t>
            </w:r>
          </w:p>
        </w:tc>
        <w:tc>
          <w:tcPr>
            <w:tcW w:w="8777"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28" w:right="0" w:firstLine="0"/>
              <w:jc w:val="center"/>
            </w:pPr>
            <w:r>
              <w:rPr>
                <w:b/>
              </w:rPr>
              <w:t>Терапия в периоперационном периоде</w:t>
            </w:r>
          </w:p>
        </w:tc>
      </w:tr>
      <w:tr w:rsidR="00D27BC6">
        <w:trPr>
          <w:trHeight w:val="320"/>
        </w:trPr>
        <w:tc>
          <w:tcPr>
            <w:tcW w:w="1418"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8777" w:type="dxa"/>
            <w:tcBorders>
              <w:top w:val="single" w:sz="6" w:space="0" w:color="000000"/>
              <w:left w:val="nil"/>
              <w:bottom w:val="single" w:sz="6" w:space="0" w:color="000000"/>
              <w:right w:val="single" w:sz="6" w:space="0" w:color="000000"/>
            </w:tcBorders>
          </w:tcPr>
          <w:p w:rsidR="00D27BC6" w:rsidRDefault="004D5071">
            <w:pPr>
              <w:spacing w:after="0" w:line="259" w:lineRule="auto"/>
              <w:ind w:left="40" w:right="0" w:firstLine="0"/>
              <w:jc w:val="left"/>
            </w:pPr>
            <w:r>
              <w:rPr>
                <w:b/>
              </w:rPr>
              <w:t>Малые оперативные вмешательства и инвазивные диагностические процедуры</w:t>
            </w:r>
          </w:p>
        </w:tc>
      </w:tr>
      <w:tr w:rsidR="00D27BC6">
        <w:trPr>
          <w:trHeight w:val="320"/>
        </w:trPr>
        <w:tc>
          <w:tcPr>
            <w:tcW w:w="141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Диета</w:t>
            </w:r>
          </w:p>
        </w:tc>
        <w:tc>
          <w:tcPr>
            <w:tcW w:w="877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Определять уровень ГП каждые 3–4 часа</w:t>
            </w:r>
          </w:p>
        </w:tc>
      </w:tr>
      <w:tr w:rsidR="00D27BC6">
        <w:trPr>
          <w:trHeight w:val="560"/>
        </w:trPr>
        <w:tc>
          <w:tcPr>
            <w:tcW w:w="141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7" w:right="0" w:firstLine="0"/>
              <w:jc w:val="left"/>
            </w:pPr>
            <w:r>
              <w:t>ПССП</w:t>
            </w:r>
          </w:p>
        </w:tc>
        <w:tc>
          <w:tcPr>
            <w:tcW w:w="877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 xml:space="preserve">Определять уровень ГП каждые 3–4 часа. Возобновить прием ПССП/арГПП-1 при первом приеме пищи (при условии уровня ГП в целевом диапазоне). </w:t>
            </w:r>
          </w:p>
        </w:tc>
      </w:tr>
      <w:tr w:rsidR="00D27BC6">
        <w:trPr>
          <w:trHeight w:val="800"/>
        </w:trPr>
        <w:tc>
          <w:tcPr>
            <w:tcW w:w="141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7" w:right="0" w:firstLine="0"/>
              <w:jc w:val="left"/>
            </w:pPr>
            <w:r>
              <w:t>Инсулин</w:t>
            </w:r>
          </w:p>
        </w:tc>
        <w:tc>
          <w:tcPr>
            <w:tcW w:w="877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До операции – не завтракать, ввести 50% обычной утренней дозы инсулина продленного действия. До и во время операции – в/в инфузия 5% раствора глюкозы, определять уровень ГП ежечасно</w:t>
            </w:r>
          </w:p>
        </w:tc>
      </w:tr>
      <w:tr w:rsidR="00D27BC6">
        <w:trPr>
          <w:trHeight w:val="320"/>
        </w:trPr>
        <w:tc>
          <w:tcPr>
            <w:tcW w:w="1418" w:type="dxa"/>
            <w:tcBorders>
              <w:top w:val="single" w:sz="6" w:space="0" w:color="000000"/>
              <w:left w:val="single" w:sz="6" w:space="0" w:color="000000"/>
              <w:bottom w:val="single" w:sz="6" w:space="0" w:color="000000"/>
              <w:right w:val="nil"/>
            </w:tcBorders>
            <w:shd w:val="clear" w:color="auto" w:fill="ECECEC"/>
          </w:tcPr>
          <w:p w:rsidR="00D27BC6" w:rsidRDefault="00D27BC6">
            <w:pPr>
              <w:spacing w:after="160" w:line="259" w:lineRule="auto"/>
              <w:ind w:left="0" w:right="0" w:firstLine="0"/>
              <w:jc w:val="left"/>
            </w:pPr>
          </w:p>
        </w:tc>
        <w:tc>
          <w:tcPr>
            <w:tcW w:w="8777" w:type="dxa"/>
            <w:tcBorders>
              <w:top w:val="single" w:sz="6" w:space="0" w:color="000000"/>
              <w:left w:val="nil"/>
              <w:bottom w:val="single" w:sz="6" w:space="0" w:color="000000"/>
              <w:right w:val="single" w:sz="6" w:space="0" w:color="000000"/>
            </w:tcBorders>
            <w:shd w:val="clear" w:color="auto" w:fill="ECECEC"/>
          </w:tcPr>
          <w:p w:rsidR="00D27BC6" w:rsidRDefault="004D5071">
            <w:pPr>
              <w:spacing w:after="0" w:line="259" w:lineRule="auto"/>
              <w:ind w:left="1947" w:right="0" w:firstLine="0"/>
              <w:jc w:val="left"/>
            </w:pPr>
            <w:r>
              <w:rPr>
                <w:b/>
              </w:rPr>
              <w:t>Средние оперативные вмешательства</w:t>
            </w:r>
          </w:p>
        </w:tc>
      </w:tr>
      <w:tr w:rsidR="00D27BC6">
        <w:trPr>
          <w:trHeight w:val="320"/>
        </w:trPr>
        <w:tc>
          <w:tcPr>
            <w:tcW w:w="141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Диета</w:t>
            </w:r>
          </w:p>
        </w:tc>
        <w:tc>
          <w:tcPr>
            <w:tcW w:w="877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В/в инфузия 5% раствора глюкозы до первого приема пищи, определять уровень ГП каждые 2–3 ч</w:t>
            </w:r>
          </w:p>
        </w:tc>
      </w:tr>
      <w:tr w:rsidR="00D27BC6">
        <w:trPr>
          <w:trHeight w:val="800"/>
        </w:trPr>
        <w:tc>
          <w:tcPr>
            <w:tcW w:w="141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7" w:right="0" w:firstLine="0"/>
              <w:jc w:val="left"/>
            </w:pPr>
            <w:r>
              <w:t>ПССП</w:t>
            </w:r>
          </w:p>
        </w:tc>
        <w:tc>
          <w:tcPr>
            <w:tcW w:w="877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 xml:space="preserve">В/в инфузия 5% раствора глюкозы до первого приема пищи, определять уровень ГП ежечасно. </w:t>
            </w:r>
          </w:p>
          <w:p w:rsidR="00D27BC6" w:rsidRDefault="004D5071">
            <w:pPr>
              <w:spacing w:after="0" w:line="259" w:lineRule="auto"/>
              <w:ind w:left="57" w:right="0" w:firstLine="0"/>
              <w:jc w:val="left"/>
            </w:pPr>
            <w:r>
              <w:t xml:space="preserve">Инсулин иметь наготове. Возобновить прием ПССП/арГПП-1 при первом приеме пищи. </w:t>
            </w:r>
          </w:p>
          <w:p w:rsidR="00D27BC6" w:rsidRDefault="004D5071">
            <w:pPr>
              <w:spacing w:after="0" w:line="259" w:lineRule="auto"/>
              <w:ind w:left="57" w:right="0" w:firstLine="0"/>
              <w:jc w:val="left"/>
            </w:pPr>
            <w:r>
              <w:t>Метформин и иНГЛТ-2 возобновить через 2 суток после операции</w:t>
            </w:r>
          </w:p>
        </w:tc>
      </w:tr>
      <w:tr w:rsidR="00D27BC6">
        <w:trPr>
          <w:trHeight w:val="1577"/>
        </w:trPr>
        <w:tc>
          <w:tcPr>
            <w:tcW w:w="141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7" w:right="0" w:firstLine="0"/>
              <w:jc w:val="left"/>
            </w:pPr>
            <w:r>
              <w:t>Инсулин</w:t>
            </w:r>
          </w:p>
        </w:tc>
        <w:tc>
          <w:tcPr>
            <w:tcW w:w="877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pPr>
            <w:r>
              <w:t xml:space="preserve">До и во время операции – в/в инфузия 5–10% раствора глюкозы, определять уровень ГП ежечасно. </w:t>
            </w:r>
          </w:p>
          <w:p w:rsidR="00D27BC6" w:rsidRDefault="004D5071">
            <w:pPr>
              <w:spacing w:after="0" w:line="259" w:lineRule="auto"/>
              <w:ind w:left="57" w:right="0" w:firstLine="0"/>
              <w:jc w:val="left"/>
            </w:pPr>
            <w:r>
              <w:t>Инсулинотерапия:</w:t>
            </w:r>
          </w:p>
          <w:p w:rsidR="00D27BC6" w:rsidRDefault="004D5071">
            <w:pPr>
              <w:numPr>
                <w:ilvl w:val="0"/>
                <w:numId w:val="308"/>
              </w:numPr>
              <w:spacing w:after="57" w:line="236" w:lineRule="auto"/>
              <w:ind w:right="0" w:hanging="170"/>
              <w:jc w:val="left"/>
            </w:pPr>
            <w:r>
              <w:t>вариант 1: перед операцией – 50% (СД 2 типа) или 80–100% (СД 1 типа) обычной утренней дозы инсулина продленного действия</w:t>
            </w:r>
          </w:p>
          <w:p w:rsidR="00D27BC6" w:rsidRDefault="004D5071">
            <w:pPr>
              <w:numPr>
                <w:ilvl w:val="0"/>
                <w:numId w:val="308"/>
              </w:numPr>
              <w:spacing w:after="0" w:line="259" w:lineRule="auto"/>
              <w:ind w:right="0" w:hanging="170"/>
              <w:jc w:val="left"/>
            </w:pPr>
            <w:r>
              <w:t>вариант 2: непрерывная в/в инфузия инсулина (НВИИ), определять уровень ГП ежечасно (алгоритм см. далее)</w:t>
            </w:r>
          </w:p>
        </w:tc>
      </w:tr>
      <w:tr w:rsidR="00D27BC6">
        <w:trPr>
          <w:trHeight w:val="320"/>
        </w:trPr>
        <w:tc>
          <w:tcPr>
            <w:tcW w:w="1418" w:type="dxa"/>
            <w:tcBorders>
              <w:top w:val="single" w:sz="6" w:space="0" w:color="000000"/>
              <w:left w:val="single" w:sz="6" w:space="0" w:color="000000"/>
              <w:bottom w:val="single" w:sz="6" w:space="0" w:color="000000"/>
              <w:right w:val="nil"/>
            </w:tcBorders>
            <w:shd w:val="clear" w:color="auto" w:fill="ECECEC"/>
          </w:tcPr>
          <w:p w:rsidR="00D27BC6" w:rsidRDefault="00D27BC6">
            <w:pPr>
              <w:spacing w:after="160" w:line="259" w:lineRule="auto"/>
              <w:ind w:left="0" w:right="0" w:firstLine="0"/>
              <w:jc w:val="left"/>
            </w:pPr>
          </w:p>
        </w:tc>
        <w:tc>
          <w:tcPr>
            <w:tcW w:w="8777" w:type="dxa"/>
            <w:tcBorders>
              <w:top w:val="single" w:sz="6" w:space="0" w:color="000000"/>
              <w:left w:val="nil"/>
              <w:bottom w:val="single" w:sz="6" w:space="0" w:color="000000"/>
              <w:right w:val="single" w:sz="6" w:space="0" w:color="000000"/>
            </w:tcBorders>
            <w:shd w:val="clear" w:color="auto" w:fill="ECECEC"/>
          </w:tcPr>
          <w:p w:rsidR="00D27BC6" w:rsidRDefault="004D5071">
            <w:pPr>
              <w:spacing w:after="0" w:line="259" w:lineRule="auto"/>
              <w:ind w:left="-66" w:right="0" w:firstLine="0"/>
              <w:jc w:val="left"/>
            </w:pPr>
            <w:r>
              <w:rPr>
                <w:b/>
              </w:rPr>
              <w:t>Большие оперативные вмешательства с последующим парентеральным питанием</w:t>
            </w:r>
          </w:p>
        </w:tc>
      </w:tr>
      <w:tr w:rsidR="00D27BC6">
        <w:trPr>
          <w:trHeight w:val="320"/>
        </w:trPr>
        <w:tc>
          <w:tcPr>
            <w:tcW w:w="141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Диета</w:t>
            </w:r>
          </w:p>
        </w:tc>
        <w:tc>
          <w:tcPr>
            <w:tcW w:w="877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Парентеральное питание. Определять уровень ГП ежечасно, инсулин иметь наготове</w:t>
            </w:r>
          </w:p>
        </w:tc>
      </w:tr>
      <w:tr w:rsidR="00D27BC6">
        <w:trPr>
          <w:trHeight w:val="560"/>
        </w:trPr>
        <w:tc>
          <w:tcPr>
            <w:tcW w:w="141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ПССП или инсулин</w:t>
            </w:r>
          </w:p>
        </w:tc>
        <w:tc>
          <w:tcPr>
            <w:tcW w:w="877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До и во время операции – в/в инфузия 5–10% раствора глюкозы, определять уровень ГП ежечасно. Инсулинотерапия – как при средних оперативных вмешательствах</w:t>
            </w:r>
          </w:p>
        </w:tc>
      </w:tr>
    </w:tbl>
    <w:p w:rsidR="00D27BC6" w:rsidRDefault="004D5071">
      <w:pPr>
        <w:spacing w:after="230"/>
        <w:ind w:left="3433" w:right="0" w:hanging="3020"/>
      </w:pPr>
      <w:r>
        <w:rPr>
          <w:b/>
        </w:rPr>
        <w:t>При исходно нецелевых уровнях гликемического контроля для периоперационного управления гликемией жела</w:t>
      </w:r>
      <w:r>
        <w:rPr>
          <w:b/>
        </w:rPr>
        <w:t>тельно применять НВИИ.</w:t>
      </w:r>
    </w:p>
    <w:p w:rsidR="00D27BC6" w:rsidRDefault="004D5071">
      <w:pPr>
        <w:pStyle w:val="Heading2"/>
        <w:spacing w:after="229" w:line="248" w:lineRule="auto"/>
        <w:ind w:left="162" w:right="153"/>
        <w:jc w:val="center"/>
      </w:pPr>
      <w:r>
        <w:rPr>
          <w:color w:val="1E5D99"/>
        </w:rPr>
        <w:t>Алгоритм НВИИ</w:t>
      </w:r>
    </w:p>
    <w:p w:rsidR="00D27BC6" w:rsidRDefault="004D5071">
      <w:pPr>
        <w:numPr>
          <w:ilvl w:val="0"/>
          <w:numId w:val="168"/>
        </w:numPr>
        <w:ind w:right="0" w:hanging="283"/>
      </w:pPr>
      <w:r>
        <w:t>НВИИ проводится через отдельный инфузомат с применением раствора ИКД (ИУКД, ИСБД) с концентрацией 1 ЕД/1 мл 0,9% раствора NaCl (приготовление см. раздел 8.1). В отсутствие инфузомата ИКД (ИУКД, ИСБД) вводится в/в капельно (недостатки метода см. раздел 8.1)</w:t>
      </w:r>
      <w:r>
        <w:t>.</w:t>
      </w:r>
    </w:p>
    <w:p w:rsidR="00D27BC6" w:rsidRDefault="004D5071">
      <w:pPr>
        <w:numPr>
          <w:ilvl w:val="0"/>
          <w:numId w:val="168"/>
        </w:numPr>
        <w:ind w:right="0" w:hanging="283"/>
      </w:pPr>
      <w:r>
        <w:t>Крайне важно определять уровень ГП 1 раз в час до ее стабилизации в выбранном целевом диапазоне минимум 4 часа; затем 1 раз в 2 часа в течение 4 часов; в дальнейшем – 1 раз в 4 часа. У пациентов в критическом состоянии – 1 раз в час даже при стабильно це</w:t>
      </w:r>
      <w:r>
        <w:t xml:space="preserve">левом уровне ГП. </w:t>
      </w:r>
    </w:p>
    <w:p w:rsidR="00D27BC6" w:rsidRDefault="004D5071">
      <w:pPr>
        <w:numPr>
          <w:ilvl w:val="0"/>
          <w:numId w:val="168"/>
        </w:numPr>
        <w:ind w:right="0" w:hanging="283"/>
      </w:pPr>
      <w:r>
        <w:t>Средняя начальная скорость НВИИ в периоперационном периоде:</w:t>
      </w:r>
    </w:p>
    <w:tbl>
      <w:tblPr>
        <w:tblStyle w:val="TableGrid"/>
        <w:tblW w:w="10195" w:type="dxa"/>
        <w:tblInd w:w="8" w:type="dxa"/>
        <w:tblCellMar>
          <w:top w:w="9" w:type="dxa"/>
          <w:left w:w="57" w:type="dxa"/>
          <w:bottom w:w="0" w:type="dxa"/>
          <w:right w:w="115" w:type="dxa"/>
        </w:tblCellMar>
        <w:tblLook w:val="04A0" w:firstRow="1" w:lastRow="0" w:firstColumn="1" w:lastColumn="0" w:noHBand="0" w:noVBand="1"/>
      </w:tblPr>
      <w:tblGrid>
        <w:gridCol w:w="2549"/>
        <w:gridCol w:w="2549"/>
        <w:gridCol w:w="2549"/>
        <w:gridCol w:w="2549"/>
      </w:tblGrid>
      <w:tr w:rsidR="00D27BC6">
        <w:trPr>
          <w:trHeight w:val="320"/>
        </w:trPr>
        <w:tc>
          <w:tcPr>
            <w:tcW w:w="2549"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58" w:right="0" w:firstLine="0"/>
              <w:jc w:val="center"/>
            </w:pPr>
            <w:r>
              <w:rPr>
                <w:b/>
              </w:rPr>
              <w:t>Группы больных СД</w:t>
            </w:r>
          </w:p>
        </w:tc>
        <w:tc>
          <w:tcPr>
            <w:tcW w:w="7646" w:type="dxa"/>
            <w:gridSpan w:val="3"/>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Начальная скорость инфузии инсулина</w:t>
            </w:r>
          </w:p>
        </w:tc>
      </w:tr>
      <w:tr w:rsidR="00D27BC6">
        <w:trPr>
          <w:trHeight w:val="80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54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219" w:right="160" w:firstLine="0"/>
              <w:jc w:val="center"/>
            </w:pPr>
            <w:r>
              <w:rPr>
                <w:b/>
              </w:rPr>
              <w:t>Уже находящиеся в целевом диапазоне гликемии</w:t>
            </w:r>
          </w:p>
        </w:tc>
        <w:tc>
          <w:tcPr>
            <w:tcW w:w="254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219" w:right="160" w:firstLine="0"/>
              <w:jc w:val="center"/>
            </w:pPr>
            <w:r>
              <w:rPr>
                <w:b/>
              </w:rPr>
              <w:t>Не находящиеся в целевом диапазоне гликемии</w:t>
            </w:r>
          </w:p>
        </w:tc>
        <w:tc>
          <w:tcPr>
            <w:tcW w:w="254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124" w:right="65" w:firstLine="18"/>
              <w:jc w:val="center"/>
            </w:pPr>
            <w:r>
              <w:rPr>
                <w:b/>
              </w:rPr>
              <w:t>Не находящиеся в целевом диапазоне гликемии + кетоацидоз</w:t>
            </w:r>
          </w:p>
        </w:tc>
      </w:tr>
      <w:tr w:rsidR="00D27BC6">
        <w:trPr>
          <w:trHeight w:val="627"/>
        </w:trPr>
        <w:tc>
          <w:tcPr>
            <w:tcW w:w="254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Взрослые</w:t>
            </w:r>
          </w:p>
        </w:tc>
        <w:tc>
          <w:tcPr>
            <w:tcW w:w="254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0,5–1 ЕД/ч</w:t>
            </w:r>
          </w:p>
        </w:tc>
        <w:tc>
          <w:tcPr>
            <w:tcW w:w="254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2–3 ЕД/ч</w:t>
            </w:r>
          </w:p>
        </w:tc>
        <w:tc>
          <w:tcPr>
            <w:tcW w:w="254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0,1 ЕД/кг массы тела в час (но не более 15 ЕД в час)</w:t>
            </w:r>
          </w:p>
        </w:tc>
      </w:tr>
      <w:tr w:rsidR="00D27BC6">
        <w:trPr>
          <w:trHeight w:val="560"/>
        </w:trPr>
        <w:tc>
          <w:tcPr>
            <w:tcW w:w="254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Дети и подростки</w:t>
            </w:r>
          </w:p>
        </w:tc>
        <w:tc>
          <w:tcPr>
            <w:tcW w:w="254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0,3–0,4 ЕД/ч</w:t>
            </w:r>
          </w:p>
        </w:tc>
        <w:tc>
          <w:tcPr>
            <w:tcW w:w="2549"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0,5–1 ЕД/ч</w:t>
            </w:r>
          </w:p>
        </w:tc>
        <w:tc>
          <w:tcPr>
            <w:tcW w:w="254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65" w:right="0" w:firstLine="0"/>
              <w:jc w:val="center"/>
            </w:pPr>
            <w:r>
              <w:t>0,05–0,1 ЕД/кг массы тела в час</w:t>
            </w:r>
          </w:p>
        </w:tc>
      </w:tr>
    </w:tbl>
    <w:p w:rsidR="00D27BC6" w:rsidRDefault="004D5071">
      <w:pPr>
        <w:numPr>
          <w:ilvl w:val="0"/>
          <w:numId w:val="168"/>
        </w:numPr>
        <w:ind w:right="0" w:hanging="283"/>
      </w:pPr>
      <w:r>
        <w:t>Более низкая начальная скорость (&lt;0,5 ЕД/ч у взрослых и &lt;0,3 ЕД/ч у детей и подростков) используется при дефиците массы тела, почечной, печёночной или надпочечниковой недостаточности.</w:t>
      </w:r>
    </w:p>
    <w:p w:rsidR="00D27BC6" w:rsidRDefault="004D5071">
      <w:pPr>
        <w:numPr>
          <w:ilvl w:val="0"/>
          <w:numId w:val="168"/>
        </w:numPr>
        <w:ind w:right="0" w:hanging="283"/>
      </w:pPr>
      <w:r>
        <w:t>Более высокая начальная скорость (&gt; 2 ЕД/ч у взрослых и &gt; 1 ЕД/ч у детей</w:t>
      </w:r>
      <w:r>
        <w:t xml:space="preserve"> и подростков) используется при очень высокой гипергликемии и инсулинорезистентности (ожирение, инфекции, хроническая терапия стероидами и др.).</w:t>
      </w:r>
    </w:p>
    <w:p w:rsidR="00D27BC6" w:rsidRDefault="004D5071">
      <w:pPr>
        <w:numPr>
          <w:ilvl w:val="0"/>
          <w:numId w:val="168"/>
        </w:numPr>
        <w:ind w:right="0" w:hanging="283"/>
      </w:pPr>
      <w:r>
        <w:t>Одновременно с НВИИ – инфузия 5–10% раствора глюкозы (около 5 г/ч), через разные инфузионные системы, так как т</w:t>
      </w:r>
      <w:r>
        <w:t>ребуется частая раздельная коррекция скорости инфузии двух растворов. При уровне ГП &gt; 14 ммоль/л глюкозу не вводят.</w:t>
      </w:r>
    </w:p>
    <w:p w:rsidR="00D27BC6" w:rsidRDefault="004D5071">
      <w:pPr>
        <w:pStyle w:val="Heading2"/>
        <w:ind w:left="-3"/>
      </w:pPr>
      <w:r>
        <w:t>Алгоритм коррекции скорости инфузии инсулина</w:t>
      </w:r>
      <w:r>
        <w:t>*</w:t>
      </w:r>
    </w:p>
    <w:tbl>
      <w:tblPr>
        <w:tblStyle w:val="TableGrid"/>
        <w:tblW w:w="10190" w:type="dxa"/>
        <w:tblInd w:w="8" w:type="dxa"/>
        <w:tblCellMar>
          <w:top w:w="9" w:type="dxa"/>
          <w:left w:w="74" w:type="dxa"/>
          <w:bottom w:w="0" w:type="dxa"/>
          <w:right w:w="74" w:type="dxa"/>
        </w:tblCellMar>
        <w:tblLook w:val="04A0" w:firstRow="1" w:lastRow="0" w:firstColumn="1" w:lastColumn="0" w:noHBand="0" w:noVBand="1"/>
      </w:tblPr>
      <w:tblGrid>
        <w:gridCol w:w="1274"/>
        <w:gridCol w:w="1274"/>
        <w:gridCol w:w="1274"/>
        <w:gridCol w:w="1274"/>
        <w:gridCol w:w="1274"/>
        <w:gridCol w:w="1274"/>
        <w:gridCol w:w="1274"/>
        <w:gridCol w:w="1274"/>
      </w:tblGrid>
      <w:tr w:rsidR="00D27BC6">
        <w:trPr>
          <w:trHeight w:val="320"/>
        </w:trPr>
        <w:tc>
          <w:tcPr>
            <w:tcW w:w="2547"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Алгоритм 1</w:t>
            </w:r>
          </w:p>
        </w:tc>
        <w:tc>
          <w:tcPr>
            <w:tcW w:w="2547"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Алгоритм 2</w:t>
            </w:r>
          </w:p>
        </w:tc>
        <w:tc>
          <w:tcPr>
            <w:tcW w:w="2547"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Алгоритм 3</w:t>
            </w:r>
          </w:p>
        </w:tc>
        <w:tc>
          <w:tcPr>
            <w:tcW w:w="2547"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Алгоритм 4</w:t>
            </w:r>
          </w:p>
        </w:tc>
      </w:tr>
      <w:tr w:rsidR="00D27BC6">
        <w:trPr>
          <w:trHeight w:val="320"/>
        </w:trPr>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pPr>
            <w:r>
              <w:rPr>
                <w:b/>
              </w:rPr>
              <w:t>ГП, ммоль/л</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ЕД/ч</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pPr>
            <w:r>
              <w:rPr>
                <w:b/>
              </w:rPr>
              <w:t>ГП, ммоль/л</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ЕД/ч</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pPr>
            <w:r>
              <w:rPr>
                <w:b/>
              </w:rPr>
              <w:t>ГП, ммоль/л</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ЕД/ч</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pPr>
            <w:r>
              <w:rPr>
                <w:b/>
              </w:rPr>
              <w:t>ГП, ммоль/л</w:t>
            </w:r>
          </w:p>
        </w:tc>
        <w:tc>
          <w:tcPr>
            <w:tcW w:w="12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ЕД/ч</w:t>
            </w:r>
          </w:p>
        </w:tc>
      </w:tr>
      <w:tr w:rsidR="00D27BC6">
        <w:trPr>
          <w:trHeight w:val="358"/>
        </w:trPr>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&lt; 3,9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74" w:right="0" w:firstLine="0"/>
              <w:jc w:val="left"/>
            </w:pPr>
            <w:r>
              <w:t>Не вводить</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&lt; 3,9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74" w:right="0" w:firstLine="0"/>
              <w:jc w:val="left"/>
            </w:pPr>
            <w:r>
              <w:t>Не вводить</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&lt; 3,9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74" w:right="0" w:firstLine="0"/>
              <w:jc w:val="left"/>
            </w:pPr>
            <w:r>
              <w:t>Не вводить</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&lt; 3,9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73" w:right="0" w:firstLine="0"/>
              <w:jc w:val="left"/>
            </w:pPr>
            <w:r>
              <w:t>Не вводить</w:t>
            </w:r>
          </w:p>
        </w:tc>
      </w:tr>
      <w:tr w:rsidR="00D27BC6">
        <w:trPr>
          <w:trHeight w:val="358"/>
        </w:trPr>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3,9–6,1</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0,2</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3,9–6,1</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0,5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3,9–6,1</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1</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3,9–6,1</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1,5</w:t>
            </w:r>
          </w:p>
        </w:tc>
      </w:tr>
      <w:tr w:rsidR="00D27BC6">
        <w:trPr>
          <w:trHeight w:val="358"/>
        </w:trPr>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6,2–6,6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0,5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6,2–6,6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6,2–6,6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2</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6,2–6,6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3</w:t>
            </w:r>
          </w:p>
        </w:tc>
      </w:tr>
      <w:tr w:rsidR="00D27BC6">
        <w:trPr>
          <w:trHeight w:val="358"/>
        </w:trPr>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6,7–8,3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6,7–8,3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6,7–8,3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6,7–8,3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5</w:t>
            </w:r>
          </w:p>
        </w:tc>
      </w:tr>
      <w:tr w:rsidR="00D27BC6">
        <w:trPr>
          <w:trHeight w:val="358"/>
        </w:trPr>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8,4–9,9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1,5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8,4–9,9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2</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8,4–9,9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4</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8,4–9,9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7</w:t>
            </w:r>
          </w:p>
        </w:tc>
      </w:tr>
      <w:tr w:rsidR="00D27BC6">
        <w:trPr>
          <w:trHeight w:val="358"/>
        </w:trPr>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10–11,6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2</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10–11,6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10–1,6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10–11,6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9</w:t>
            </w:r>
          </w:p>
        </w:tc>
      </w:tr>
      <w:tr w:rsidR="00D27BC6">
        <w:trPr>
          <w:trHeight w:val="358"/>
        </w:trPr>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11,7–13,3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2</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11,7–13,3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4</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11,7–13,3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11,7–13,3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12</w:t>
            </w:r>
          </w:p>
        </w:tc>
      </w:tr>
      <w:tr w:rsidR="00D27BC6">
        <w:trPr>
          <w:trHeight w:val="358"/>
        </w:trPr>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13,4–14,9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13,4–14,9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5</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13,4–14,9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8</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13,4–14,9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16</w:t>
            </w:r>
          </w:p>
        </w:tc>
      </w:tr>
      <w:tr w:rsidR="00D27BC6">
        <w:trPr>
          <w:trHeight w:val="358"/>
        </w:trPr>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15–16,6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15–16,6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 w:firstLine="0"/>
              <w:jc w:val="center"/>
            </w:pPr>
            <w:r>
              <w:t>15–16,6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10</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15–16,6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20</w:t>
            </w:r>
          </w:p>
        </w:tc>
      </w:tr>
      <w:tr w:rsidR="00D27BC6">
        <w:trPr>
          <w:trHeight w:val="358"/>
        </w:trPr>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16,7–18,3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4</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16,7–18,3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7</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16,7–18,3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12</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16,7–18,3</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24</w:t>
            </w:r>
          </w:p>
        </w:tc>
      </w:tr>
      <w:tr w:rsidR="00D27BC6">
        <w:trPr>
          <w:trHeight w:val="358"/>
        </w:trPr>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18,4–19,9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4</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18,4–19,9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8</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18,4–19,9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 w:firstLine="0"/>
              <w:jc w:val="center"/>
            </w:pPr>
            <w:r>
              <w:t>14</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18,4–19,9</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28</w:t>
            </w:r>
          </w:p>
        </w:tc>
      </w:tr>
      <w:tr w:rsidR="00D27BC6">
        <w:trPr>
          <w:trHeight w:val="358"/>
        </w:trPr>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&gt; 20</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&gt; 20</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10</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&gt; 20</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16</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&gt;20</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center"/>
            </w:pPr>
            <w:r>
              <w:t>32</w:t>
            </w:r>
          </w:p>
        </w:tc>
      </w:tr>
    </w:tbl>
    <w:p w:rsidR="00D27BC6" w:rsidRDefault="004D5071">
      <w:pPr>
        <w:spacing w:after="280"/>
        <w:ind w:left="-3" w:right="0"/>
      </w:pPr>
      <w:r>
        <w:t>*</w:t>
      </w:r>
      <w:r>
        <w:rPr>
          <w:sz w:val="16"/>
        </w:rPr>
        <w:t xml:space="preserve"> Алгоритм 1: начальный для большинства больных. Алгоритм 2: если на алгоритме 1 не достигнут контроль; начальный алгоритм при аортокоронарном шунтировании, трансплантациях, на фоне терапии глюкокортикоидами и у больных, ранее получавших более 80 ЕД инсулин</w:t>
      </w:r>
      <w:r>
        <w:rPr>
          <w:sz w:val="16"/>
        </w:rPr>
        <w:t>а в сутки. Алгоритм 3: если на алгоритме 2 не достигнут контроль. Алгоритм 4: если на алгоритме 3 не достигнут контроль.</w:t>
      </w:r>
    </w:p>
    <w:p w:rsidR="00D27BC6" w:rsidRDefault="004D5071">
      <w:pPr>
        <w:ind w:left="-11" w:right="0" w:firstLine="283"/>
      </w:pPr>
      <w:r>
        <w:t xml:space="preserve">На более высокий алгоритм переходят, если уровень ГП не попадает в целевой диапазон или при исходной гипергликемии не снижается на 3,3 </w:t>
      </w:r>
      <w:r>
        <w:t>ммоль/л в час; на более низкий алгоритм переходят при уровне ГП &lt; 3,9 ммоль/л два раза подряд.</w:t>
      </w:r>
    </w:p>
    <w:p w:rsidR="00D27BC6" w:rsidRDefault="004D5071">
      <w:pPr>
        <w:numPr>
          <w:ilvl w:val="0"/>
          <w:numId w:val="169"/>
        </w:numPr>
        <w:ind w:right="0" w:hanging="283"/>
      </w:pPr>
      <w:r>
        <w:t>При уровне ГП &lt; 3,9 ммоль/л: остановить НВИИ, в/в ввести 30–60 мл 40% раствора глюкозы, при необходимости повторять каждые 20 минут. После двукратного подтвержде</w:t>
      </w:r>
      <w:r>
        <w:t>ния уровня ГП ≥ 3,9 ммоль/л – возобновить НВИИ с меньшей скоростью.</w:t>
      </w:r>
    </w:p>
    <w:p w:rsidR="00D27BC6" w:rsidRDefault="004D5071">
      <w:pPr>
        <w:numPr>
          <w:ilvl w:val="0"/>
          <w:numId w:val="169"/>
        </w:numPr>
        <w:ind w:right="0" w:hanging="283"/>
      </w:pPr>
      <w:r>
        <w:t>В послеоперационном периоде НВИИ продолжают до начала самостоятельного приёма пищи и перевода на п/к инсулинотерапию. НВИИ прекращают утром, через 1–2 ч после первой п/к инъекции ИКД (ИУКД</w:t>
      </w:r>
      <w:r>
        <w:t>, ИСБД) или через 2–3 часа после первой инъекции инсулина продленного действия.</w:t>
      </w:r>
    </w:p>
    <w:p w:rsidR="00D27BC6" w:rsidRDefault="004D5071">
      <w:pPr>
        <w:numPr>
          <w:ilvl w:val="0"/>
          <w:numId w:val="169"/>
        </w:numPr>
        <w:ind w:right="0" w:hanging="283"/>
      </w:pPr>
      <w:r>
        <w:t>Принципы управления гликемией при лапароскопических и открытых операциях одинаковые.</w:t>
      </w:r>
    </w:p>
    <w:p w:rsidR="00D27BC6" w:rsidRDefault="004D5071">
      <w:pPr>
        <w:numPr>
          <w:ilvl w:val="0"/>
          <w:numId w:val="169"/>
        </w:numPr>
        <w:spacing w:after="230"/>
        <w:ind w:right="0" w:hanging="283"/>
      </w:pPr>
      <w:r>
        <w:t>Обязательно определение уровня К+ до и после операции. При нормальной функции почек и нормальном уровне К+ – по 18–20 мл 4% раствора KCl на каждый литр 5% раствора глюкозы (при гипокалиемии – больше).</w:t>
      </w:r>
    </w:p>
    <w:p w:rsidR="00D27BC6" w:rsidRDefault="004D5071">
      <w:pPr>
        <w:spacing w:after="216" w:line="259" w:lineRule="auto"/>
        <w:ind w:left="210" w:right="0"/>
        <w:jc w:val="left"/>
      </w:pPr>
      <w:r>
        <w:rPr>
          <w:b/>
          <w:color w:val="1E5D99"/>
        </w:rPr>
        <w:t>Полное парентеральное питание и энтеральное зондовое пи</w:t>
      </w:r>
      <w:r>
        <w:rPr>
          <w:b/>
          <w:color w:val="1E5D99"/>
        </w:rPr>
        <w:t>тание в периоперационном периоде при СД</w:t>
      </w:r>
    </w:p>
    <w:p w:rsidR="00D27BC6" w:rsidRDefault="004D5071">
      <w:pPr>
        <w:numPr>
          <w:ilvl w:val="0"/>
          <w:numId w:val="169"/>
        </w:numPr>
        <w:ind w:right="0" w:hanging="283"/>
      </w:pPr>
      <w:r>
        <w:t>Полное парентеральное питание (ППП) или энтеральное зондовое питание больного СД принципиально не отличаются от питания больного без СД.</w:t>
      </w:r>
    </w:p>
    <w:p w:rsidR="00D27BC6" w:rsidRDefault="004D5071">
      <w:pPr>
        <w:numPr>
          <w:ilvl w:val="0"/>
          <w:numId w:val="169"/>
        </w:numPr>
        <w:ind w:right="0" w:hanging="283"/>
      </w:pPr>
      <w:r>
        <w:t>Средняя суточная потребность взрослых больных в углеводах составляет 200–300г.</w:t>
      </w:r>
    </w:p>
    <w:p w:rsidR="00D27BC6" w:rsidRDefault="004D5071">
      <w:pPr>
        <w:numPr>
          <w:ilvl w:val="0"/>
          <w:numId w:val="169"/>
        </w:numPr>
        <w:ind w:right="0" w:hanging="283"/>
      </w:pPr>
      <w:r>
        <w:t>Парентерально углеводы вводят в виде растворов глюкозы различной концентрации и легко компенсируют увеличением скорости НВИИ.</w:t>
      </w:r>
    </w:p>
    <w:p w:rsidR="00D27BC6" w:rsidRDefault="004D5071">
      <w:pPr>
        <w:numPr>
          <w:ilvl w:val="0"/>
          <w:numId w:val="169"/>
        </w:numPr>
        <w:ind w:right="0" w:hanging="283"/>
      </w:pPr>
      <w:r>
        <w:t>Применение только безуглеводных смесей для питания может спровоцировать «голодный кетоз» и ухудшение состояния больного.</w:t>
      </w:r>
    </w:p>
    <w:p w:rsidR="00D27BC6" w:rsidRDefault="004D5071">
      <w:pPr>
        <w:numPr>
          <w:ilvl w:val="0"/>
          <w:numId w:val="169"/>
        </w:numPr>
        <w:ind w:right="0" w:hanging="283"/>
      </w:pPr>
      <w:r>
        <w:t xml:space="preserve">ППП у больных с гипергликемией сильнее повышает уровень ГП, чем энтеральное питание. </w:t>
      </w:r>
    </w:p>
    <w:p w:rsidR="00D27BC6" w:rsidRDefault="004D5071">
      <w:pPr>
        <w:numPr>
          <w:ilvl w:val="0"/>
          <w:numId w:val="169"/>
        </w:numPr>
        <w:ind w:right="0" w:hanging="283"/>
      </w:pPr>
      <w:r>
        <w:t xml:space="preserve">Потребность в инсулине при ППП может быть довольно высокой (в среднем 100 ЕД/сут). В связи с этим полное ППП проводят на фоне НВИИ по описанным выше правилам. </w:t>
      </w:r>
    </w:p>
    <w:p w:rsidR="00D27BC6" w:rsidRDefault="004D5071">
      <w:pPr>
        <w:numPr>
          <w:ilvl w:val="0"/>
          <w:numId w:val="169"/>
        </w:numPr>
        <w:spacing w:after="230"/>
        <w:ind w:right="0" w:hanging="283"/>
      </w:pPr>
      <w:r>
        <w:t>При энтера</w:t>
      </w:r>
      <w:r>
        <w:t>льном болюсном питании вводится 1 ЕД инсулина на каждые 10–15 г углеводов п/к в дополнение к НВИИ или проводится активная коррекция скорости НВИИ.</w:t>
      </w:r>
    </w:p>
    <w:p w:rsidR="00D27BC6" w:rsidRDefault="004D5071">
      <w:pPr>
        <w:ind w:left="281" w:right="51"/>
        <w:jc w:val="left"/>
      </w:pPr>
      <w:r>
        <w:rPr>
          <w:b/>
        </w:rPr>
        <w:t>В послеоперационном периоде в хирургическом отделении:</w:t>
      </w:r>
    </w:p>
    <w:p w:rsidR="00D27BC6" w:rsidRDefault="004D5071">
      <w:pPr>
        <w:numPr>
          <w:ilvl w:val="0"/>
          <w:numId w:val="169"/>
        </w:numPr>
        <w:ind w:right="0" w:hanging="283"/>
      </w:pPr>
      <w:r>
        <w:t>регулярное питание, включая промежуточные приемы пищи;</w:t>
      </w:r>
    </w:p>
    <w:p w:rsidR="00D27BC6" w:rsidRDefault="004D5071">
      <w:pPr>
        <w:numPr>
          <w:ilvl w:val="0"/>
          <w:numId w:val="169"/>
        </w:numPr>
        <w:ind w:right="0" w:hanging="283"/>
      </w:pPr>
      <w:r>
        <w:t>экспресс-анализ гликемии в отделении и быстрая коррекция дозы инсулина;</w:t>
      </w:r>
    </w:p>
    <w:p w:rsidR="00D27BC6" w:rsidRDefault="004D5071">
      <w:pPr>
        <w:numPr>
          <w:ilvl w:val="0"/>
          <w:numId w:val="169"/>
        </w:numPr>
        <w:ind w:right="0" w:hanging="283"/>
      </w:pPr>
      <w:r>
        <w:t>больных СД 2 типа, ранее компенсированных на диете или ПССП, переводить с инсулина на ПССП/диету до выписки из стационара только при полной уверенности в отсутствии гнойно-воспалитель</w:t>
      </w:r>
      <w:r>
        <w:t>ных осложнений и хорошем заживлении раны (оптимально – не ранее снятия швов).</w:t>
      </w:r>
    </w:p>
    <w:p w:rsidR="00D27BC6" w:rsidRDefault="004D5071">
      <w:pPr>
        <w:pStyle w:val="Heading3"/>
        <w:spacing w:after="10"/>
        <w:ind w:left="2167" w:right="2077"/>
      </w:pPr>
      <w:r>
        <w:t>Общие принципы периоперационного ведения больных СД,  не относящиеся к управлению гликемией</w:t>
      </w:r>
    </w:p>
    <w:tbl>
      <w:tblPr>
        <w:tblStyle w:val="TableGrid"/>
        <w:tblW w:w="10195" w:type="dxa"/>
        <w:tblInd w:w="11" w:type="dxa"/>
        <w:tblCellMar>
          <w:top w:w="56" w:type="dxa"/>
          <w:left w:w="0" w:type="dxa"/>
          <w:bottom w:w="0" w:type="dxa"/>
          <w:right w:w="66" w:type="dxa"/>
        </w:tblCellMar>
        <w:tblLook w:val="04A0" w:firstRow="1" w:lastRow="0" w:firstColumn="1" w:lastColumn="0" w:noHBand="0" w:noVBand="1"/>
      </w:tblPr>
      <w:tblGrid>
        <w:gridCol w:w="397"/>
        <w:gridCol w:w="9798"/>
      </w:tblGrid>
      <w:tr w:rsidR="00D27BC6">
        <w:trPr>
          <w:trHeight w:val="676"/>
        </w:trPr>
        <w:tc>
          <w:tcPr>
            <w:tcW w:w="397" w:type="dxa"/>
            <w:tcBorders>
              <w:top w:val="single" w:sz="8" w:space="0" w:color="000000"/>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98" w:type="dxa"/>
            <w:tcBorders>
              <w:top w:val="single" w:sz="8" w:space="0" w:color="000000"/>
              <w:left w:val="nil"/>
              <w:bottom w:val="nil"/>
              <w:right w:val="single" w:sz="8" w:space="0" w:color="000000"/>
            </w:tcBorders>
          </w:tcPr>
          <w:p w:rsidR="00D27BC6" w:rsidRDefault="004D5071">
            <w:pPr>
              <w:spacing w:after="0" w:line="259" w:lineRule="auto"/>
              <w:ind w:left="0" w:right="0" w:firstLine="0"/>
            </w:pPr>
            <w:r>
              <w:t>Плановые оперативные вмешательства у больных, получающих медикаментозную сахароснижающую терапию, проводятся утром (в первую очередь).</w:t>
            </w:r>
          </w:p>
        </w:tc>
      </w:tr>
      <w:tr w:rsidR="00D27BC6">
        <w:trPr>
          <w:trHeight w:val="593"/>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98" w:type="dxa"/>
            <w:tcBorders>
              <w:top w:val="nil"/>
              <w:left w:val="nil"/>
              <w:bottom w:val="nil"/>
              <w:right w:val="single" w:sz="8" w:space="0" w:color="000000"/>
            </w:tcBorders>
          </w:tcPr>
          <w:p w:rsidR="00D27BC6" w:rsidRDefault="004D5071">
            <w:pPr>
              <w:spacing w:after="0" w:line="259" w:lineRule="auto"/>
              <w:ind w:left="0" w:right="0" w:firstLine="0"/>
            </w:pPr>
            <w:r>
              <w:t>С учетом высокого риска раневых и системных инфекций, интраоперационная антибиотикопрофилактика показана при любых оп</w:t>
            </w:r>
            <w:r>
              <w:t>ерациях, в том числе «чистого» типа.</w:t>
            </w:r>
          </w:p>
        </w:tc>
      </w:tr>
      <w:tr w:rsidR="00D27BC6">
        <w:trPr>
          <w:trHeight w:val="593"/>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98" w:type="dxa"/>
            <w:tcBorders>
              <w:top w:val="nil"/>
              <w:left w:val="nil"/>
              <w:bottom w:val="nil"/>
              <w:right w:val="single" w:sz="8" w:space="0" w:color="000000"/>
            </w:tcBorders>
          </w:tcPr>
          <w:p w:rsidR="00D27BC6" w:rsidRDefault="004D5071">
            <w:pPr>
              <w:spacing w:after="0" w:line="259" w:lineRule="auto"/>
              <w:ind w:left="0" w:right="0" w:firstLine="0"/>
            </w:pPr>
            <w:r>
              <w:t>Особо тщательная профилактика тошноты, рвоты и атонии ЖКТ – при диабетической автономной нейропатии и при декомпенсации СД.</w:t>
            </w:r>
          </w:p>
        </w:tc>
      </w:tr>
      <w:tr w:rsidR="00D27BC6">
        <w:trPr>
          <w:trHeight w:val="593"/>
        </w:trPr>
        <w:tc>
          <w:tcPr>
            <w:tcW w:w="397" w:type="dxa"/>
            <w:tcBorders>
              <w:top w:val="nil"/>
              <w:left w:val="single" w:sz="8" w:space="0" w:color="000000"/>
              <w:bottom w:val="nil"/>
              <w:right w:val="nil"/>
            </w:tcBorders>
          </w:tcPr>
          <w:p w:rsidR="00D27BC6" w:rsidRDefault="004D5071">
            <w:pPr>
              <w:spacing w:after="0" w:line="259" w:lineRule="auto"/>
              <w:ind w:left="113" w:right="0" w:firstLine="0"/>
              <w:jc w:val="left"/>
            </w:pPr>
            <w:r>
              <w:t xml:space="preserve">• </w:t>
            </w:r>
          </w:p>
        </w:tc>
        <w:tc>
          <w:tcPr>
            <w:tcW w:w="9798" w:type="dxa"/>
            <w:tcBorders>
              <w:top w:val="nil"/>
              <w:left w:val="nil"/>
              <w:bottom w:val="nil"/>
              <w:right w:val="single" w:sz="8" w:space="0" w:color="000000"/>
            </w:tcBorders>
          </w:tcPr>
          <w:p w:rsidR="00D27BC6" w:rsidRDefault="004D5071">
            <w:pPr>
              <w:spacing w:after="0" w:line="259" w:lineRule="auto"/>
              <w:ind w:left="0" w:right="0" w:firstLine="0"/>
            </w:pPr>
            <w:r>
              <w:t>Контроль за регулярным опорожнением мочевого пузыря для профилактики восходящей инфекции при автономной нейропатии.</w:t>
            </w:r>
          </w:p>
        </w:tc>
      </w:tr>
      <w:tr w:rsidR="00D27BC6">
        <w:trPr>
          <w:trHeight w:val="723"/>
        </w:trPr>
        <w:tc>
          <w:tcPr>
            <w:tcW w:w="397" w:type="dxa"/>
            <w:tcBorders>
              <w:top w:val="nil"/>
              <w:left w:val="single" w:sz="8" w:space="0" w:color="000000"/>
              <w:bottom w:val="single" w:sz="8" w:space="0" w:color="000000"/>
              <w:right w:val="nil"/>
            </w:tcBorders>
          </w:tcPr>
          <w:p w:rsidR="00D27BC6" w:rsidRDefault="004D5071">
            <w:pPr>
              <w:spacing w:after="0" w:line="259" w:lineRule="auto"/>
              <w:ind w:left="113" w:right="0" w:firstLine="0"/>
              <w:jc w:val="left"/>
            </w:pPr>
            <w:r>
              <w:t xml:space="preserve">• </w:t>
            </w:r>
          </w:p>
        </w:tc>
        <w:tc>
          <w:tcPr>
            <w:tcW w:w="9798" w:type="dxa"/>
            <w:tcBorders>
              <w:top w:val="nil"/>
              <w:left w:val="nil"/>
              <w:bottom w:val="single" w:sz="8" w:space="0" w:color="000000"/>
              <w:right w:val="single" w:sz="8" w:space="0" w:color="000000"/>
            </w:tcBorders>
          </w:tcPr>
          <w:p w:rsidR="00D27BC6" w:rsidRDefault="004D5071">
            <w:pPr>
              <w:spacing w:after="0" w:line="259" w:lineRule="auto"/>
              <w:ind w:left="0" w:right="0" w:firstLine="0"/>
              <w:jc w:val="left"/>
            </w:pPr>
            <w:r>
              <w:t>Обязательная немедикаментозная и медикаментозная профилактика венозных тромбозов/эмболий, особенно у декомпенсированных больных СД.</w:t>
            </w:r>
          </w:p>
        </w:tc>
      </w:tr>
    </w:tbl>
    <w:p w:rsidR="00D27BC6" w:rsidRDefault="004D5071">
      <w:pPr>
        <w:pStyle w:val="Heading1"/>
        <w:spacing w:after="371"/>
        <w:ind w:left="313" w:right="306"/>
      </w:pPr>
      <w:r>
        <w:t>25. ХИРУРГИЧЕСКОЕ ЛЕЧЕНИЕ САХАРНОГО ДИАБЕТА</w:t>
      </w:r>
    </w:p>
    <w:p w:rsidR="00D27BC6" w:rsidRDefault="004D5071">
      <w:pPr>
        <w:pStyle w:val="Heading2"/>
        <w:spacing w:after="229" w:line="248" w:lineRule="auto"/>
        <w:ind w:left="162" w:right="152"/>
        <w:jc w:val="center"/>
      </w:pPr>
      <w:r>
        <w:rPr>
          <w:color w:val="1E5D99"/>
        </w:rPr>
        <w:t>Метаболическая (бариатрическая) хирургия</w:t>
      </w:r>
    </w:p>
    <w:p w:rsidR="00D27BC6" w:rsidRDefault="004D5071">
      <w:pPr>
        <w:ind w:left="-11" w:right="0" w:firstLine="283"/>
      </w:pPr>
      <w:r>
        <w:t>Метаболическая хирургия, или хирургия ожирения, у лиц с СД ставит целью не просто уменьшить массу тела пациента, но также добиться благоприятных метаболических эффектов (н</w:t>
      </w:r>
      <w:r>
        <w:t>ормализации гликемии, липидного обмена, уменьшения выраженности МАЖБП) и снижения риска атеросклеротических и микрососудистых осложнений. 1. Метаболическая хирургия рекомендуется для лечения СД 2 типа у взрослых пациентов с ИМТ ≥ 35 кг/м</w:t>
      </w:r>
      <w:r>
        <w:rPr>
          <w:sz w:val="18"/>
          <w:vertAlign w:val="superscript"/>
        </w:rPr>
        <w:t>2</w:t>
      </w:r>
      <w:r>
        <w:t xml:space="preserve"> (≥ 32,5 кг/м</w:t>
      </w:r>
      <w:r>
        <w:rPr>
          <w:sz w:val="18"/>
          <w:vertAlign w:val="superscript"/>
        </w:rPr>
        <w:t xml:space="preserve">2 </w:t>
      </w:r>
      <w:r>
        <w:t>для</w:t>
      </w:r>
      <w:r>
        <w:t xml:space="preserve"> азиатской популяции), не достигших контроля гликемии после нескольких попыток нехирургического лечения ожирения (изменения образа жизни и медикаментозной терапии). Метаболическая хирургия может рассматриваться у лиц с ИМТ ≥ 30 кг/м</w:t>
      </w:r>
      <w:r>
        <w:rPr>
          <w:sz w:val="18"/>
          <w:vertAlign w:val="superscript"/>
        </w:rPr>
        <w:t>2</w:t>
      </w:r>
      <w:r>
        <w:t xml:space="preserve"> (≥ 27,5 кг/м</w:t>
      </w:r>
      <w:r>
        <w:rPr>
          <w:sz w:val="18"/>
          <w:vertAlign w:val="superscript"/>
        </w:rPr>
        <w:t xml:space="preserve">2 </w:t>
      </w:r>
      <w:r>
        <w:t>для азиа</w:t>
      </w:r>
      <w:r>
        <w:t>тской популяции), не достигших снижения массы тела и контроля гликемии на фоне нехирургического лечения.</w:t>
      </w:r>
    </w:p>
    <w:p w:rsidR="00D27BC6" w:rsidRDefault="004D5071">
      <w:pPr>
        <w:numPr>
          <w:ilvl w:val="0"/>
          <w:numId w:val="170"/>
        </w:numPr>
        <w:ind w:right="0" w:hanging="283"/>
      </w:pPr>
      <w:r>
        <w:t>Метаболические хирургические операции рекомендовано выполнять квалифицированным хирургам, имеющим большой опыт в выполнении таких операций. Решение о п</w:t>
      </w:r>
      <w:r>
        <w:t>роведении операции должно основываться на мнении мультидисциплинарной команды, включающей эндокринолога, хирурга, терапевта/кардиолога, диетолога, психиатра/психолога, при необходимости – других специалистов.</w:t>
      </w:r>
    </w:p>
    <w:p w:rsidR="00D27BC6" w:rsidRDefault="004D5071">
      <w:pPr>
        <w:numPr>
          <w:ilvl w:val="0"/>
          <w:numId w:val="170"/>
        </w:numPr>
        <w:ind w:right="0" w:hanging="283"/>
      </w:pPr>
      <w:r>
        <w:t>Хирургическое лечение ожирения при СД 1 типа не</w:t>
      </w:r>
      <w:r>
        <w:t xml:space="preserve"> рекомендовано, за исключением пациентов с ИМТ ≥ 40 кг/м</w:t>
      </w:r>
      <w:r>
        <w:rPr>
          <w:sz w:val="18"/>
          <w:vertAlign w:val="superscript"/>
        </w:rPr>
        <w:t>2</w:t>
      </w:r>
      <w:r>
        <w:t xml:space="preserve"> с целью коррекции ожирения</w:t>
      </w:r>
    </w:p>
    <w:p w:rsidR="00D27BC6" w:rsidRDefault="004D5071">
      <w:pPr>
        <w:numPr>
          <w:ilvl w:val="0"/>
          <w:numId w:val="170"/>
        </w:numPr>
        <w:ind w:right="0" w:hanging="283"/>
      </w:pPr>
      <w:r>
        <w:t>Метаболическая хирургия не рекомендована лицам с обострением язвенной болезни желудка и двенадцатиперстной кишки; психическими расстройствами: тяжелыми депрессиями, психоз</w:t>
      </w:r>
      <w:r>
        <w:t xml:space="preserve">ами (в том числе, хроническими), злоупотреблением психоактивными веществами (алкоголем, наркотическими и иными психотропными), некоторыми видами расстройств личности (психопатиями); заболеваниями, угрожающими жизни в ближайшее время, тяжелыми необратимыми </w:t>
      </w:r>
      <w:r>
        <w:t>изменениями со стороны жизненно важных органов (некорригируемая ХСН III-IV функциональных классов, печеночная, почечная недостаточность и др.); неустраненными онкологическими заболеваниями; беременным женщинам.</w:t>
      </w:r>
    </w:p>
    <w:p w:rsidR="00D27BC6" w:rsidRDefault="004D5071">
      <w:pPr>
        <w:numPr>
          <w:ilvl w:val="0"/>
          <w:numId w:val="170"/>
        </w:numPr>
        <w:ind w:right="0" w:hanging="283"/>
      </w:pPr>
      <w:r>
        <w:t>В раннем послеоперационном периоде рекомендуе</w:t>
      </w:r>
      <w:r>
        <w:t xml:space="preserve">тся частый мониторинг гликемии – не менее 4 раз в сутки. При возникновении гипогликемии на фоне исходной сахароснижающей терапии рекомендуется постепенная отмена препаратов. </w:t>
      </w:r>
    </w:p>
    <w:p w:rsidR="00D27BC6" w:rsidRDefault="004D5071">
      <w:pPr>
        <w:numPr>
          <w:ilvl w:val="0"/>
          <w:numId w:val="170"/>
        </w:numPr>
        <w:ind w:right="0" w:hanging="283"/>
      </w:pPr>
      <w:r>
        <w:t>В течение первого года после операции рекомендуется регулярное наблюдение эндокри</w:t>
      </w:r>
      <w:r>
        <w:t>нологом с целью поэтапной коррекции/отмены антидиабетических препаратов (в случае развития ремиссии диабета), коррекции заместительной терапии комплексами витаминов и минералов, макронутриентов, а также регулярное наблюдение диетологом с целью диетического</w:t>
      </w:r>
      <w:r>
        <w:t xml:space="preserve"> консультирования. </w:t>
      </w:r>
    </w:p>
    <w:p w:rsidR="00D27BC6" w:rsidRDefault="004D5071">
      <w:pPr>
        <w:numPr>
          <w:ilvl w:val="0"/>
          <w:numId w:val="170"/>
        </w:numPr>
        <w:ind w:right="0" w:hanging="283"/>
      </w:pPr>
      <w:r>
        <w:t>В отдаленном послеоперационном периоде рекомендуется длительное, часто пожизненное наблюдение с определением статуса усвоения макро- и микронутриентов. При необходимости рекомендовано продолжить восполнение дефицита витаминов/нутриентов</w:t>
      </w:r>
      <w:r>
        <w:t>.</w:t>
      </w:r>
    </w:p>
    <w:p w:rsidR="00D27BC6" w:rsidRDefault="004D5071">
      <w:pPr>
        <w:numPr>
          <w:ilvl w:val="0"/>
          <w:numId w:val="170"/>
        </w:numPr>
        <w:spacing w:after="235"/>
        <w:ind w:right="0" w:hanging="283"/>
      </w:pPr>
      <w:r>
        <w:t>Пациентам, перенесшим бариатрические операции, рекомендуется пожизненно находиться под наблюдением полипрофессиональнои команды (см. выше), имеющеи</w:t>
      </w:r>
      <w:r>
        <w:rPr>
          <w:rFonts w:ascii="Times New Roman" w:eastAsia="Times New Roman" w:hAnsi="Times New Roman" w:cs="Times New Roman"/>
        </w:rPr>
        <w:t>̆</w:t>
      </w:r>
      <w:r>
        <w:t xml:space="preserve"> опыт лечения ожирения, а также медицинских, психологи-</w:t>
      </w:r>
      <w:r>
        <w:rPr>
          <w:rFonts w:ascii="Times New Roman" w:eastAsia="Times New Roman" w:hAnsi="Times New Roman" w:cs="Times New Roman"/>
        </w:rPr>
        <w:t xml:space="preserve">̆ </w:t>
      </w:r>
      <w:r>
        <w:t>ческих и психиатрических последствии бариатрическ</w:t>
      </w:r>
      <w:r>
        <w:t>их операций.</w:t>
      </w:r>
      <w:r>
        <w:rPr>
          <w:rFonts w:ascii="Times New Roman" w:eastAsia="Times New Roman" w:hAnsi="Times New Roman" w:cs="Times New Roman"/>
        </w:rPr>
        <w:t>̆</w:t>
      </w:r>
    </w:p>
    <w:p w:rsidR="00D27BC6" w:rsidRDefault="004D5071">
      <w:pPr>
        <w:ind w:left="-11" w:right="0" w:firstLine="283"/>
      </w:pPr>
      <w:r>
        <w:rPr>
          <w:b/>
        </w:rPr>
        <w:t>Цель метаболической хирургии</w:t>
      </w:r>
      <w:r>
        <w:t xml:space="preserve"> – достижение целевых уровней гликемического контроля, вплоть до ремиссии СД 2 типа. Частота достижения и длительность ремиссии СД 2 типа зависит от вида бариатрической операции (наибольшей эффективностью обладают шунтирующие операции). </w:t>
      </w:r>
    </w:p>
    <w:p w:rsidR="00D27BC6" w:rsidRDefault="004D5071">
      <w:pPr>
        <w:pStyle w:val="Heading2"/>
        <w:ind w:left="-3"/>
      </w:pPr>
      <w:r>
        <w:t xml:space="preserve">Послеоперационное </w:t>
      </w:r>
      <w:r>
        <w:t>наблюдение</w:t>
      </w:r>
    </w:p>
    <w:tbl>
      <w:tblPr>
        <w:tblStyle w:val="TableGrid"/>
        <w:tblW w:w="10195" w:type="dxa"/>
        <w:tblInd w:w="8" w:type="dxa"/>
        <w:tblCellMar>
          <w:top w:w="9" w:type="dxa"/>
          <w:left w:w="57" w:type="dxa"/>
          <w:bottom w:w="0" w:type="dxa"/>
          <w:right w:w="36" w:type="dxa"/>
        </w:tblCellMar>
        <w:tblLook w:val="04A0" w:firstRow="1" w:lastRow="0" w:firstColumn="1" w:lastColumn="0" w:noHBand="0" w:noVBand="1"/>
      </w:tblPr>
      <w:tblGrid>
        <w:gridCol w:w="2263"/>
        <w:gridCol w:w="7932"/>
      </w:tblGrid>
      <w:tr w:rsidR="00D27BC6">
        <w:trPr>
          <w:trHeight w:val="560"/>
        </w:trPr>
        <w:tc>
          <w:tcPr>
            <w:tcW w:w="2263"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Самоконтроль гликемии</w:t>
            </w:r>
          </w:p>
        </w:tc>
        <w:tc>
          <w:tcPr>
            <w:tcW w:w="793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608" w:firstLine="0"/>
              <w:jc w:val="left"/>
            </w:pPr>
            <w:r>
              <w:t>В первые 7 суток – минимум 4 раза в сутки, далее индивидуально в зависимости от наличия ремиссии СД 2 типа, получаемой сахароснижающей терапии</w:t>
            </w:r>
          </w:p>
        </w:tc>
      </w:tr>
      <w:tr w:rsidR="00D27BC6">
        <w:trPr>
          <w:trHeight w:val="560"/>
        </w:trPr>
        <w:tc>
          <w:tcPr>
            <w:tcW w:w="2263"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Гликированный гемоглобин HbA1c</w:t>
            </w:r>
          </w:p>
        </w:tc>
        <w:tc>
          <w:tcPr>
            <w:tcW w:w="793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раз в 3 мес.</w:t>
            </w:r>
          </w:p>
          <w:p w:rsidR="00D27BC6" w:rsidRDefault="004D5071">
            <w:pPr>
              <w:spacing w:after="0" w:line="259" w:lineRule="auto"/>
              <w:ind w:left="0" w:right="0" w:firstLine="0"/>
              <w:jc w:val="left"/>
            </w:pPr>
            <w:r>
              <w:t>У лиц с ремиссией СД 2 типа на протяжении более 1 года – 1 раз в 6 мес.</w:t>
            </w:r>
          </w:p>
        </w:tc>
      </w:tr>
      <w:tr w:rsidR="00D27BC6">
        <w:trPr>
          <w:trHeight w:val="800"/>
        </w:trPr>
        <w:tc>
          <w:tcPr>
            <w:tcW w:w="2263"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Оценка выраженности осложнений СД</w:t>
            </w:r>
          </w:p>
        </w:tc>
        <w:tc>
          <w:tcPr>
            <w:tcW w:w="793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У лиц без ремиссии СД 2 типа кратность не изменяется</w:t>
            </w:r>
          </w:p>
          <w:p w:rsidR="00D27BC6" w:rsidRDefault="004D5071">
            <w:pPr>
              <w:spacing w:after="0" w:line="259" w:lineRule="auto"/>
              <w:ind w:left="0" w:right="0" w:firstLine="0"/>
              <w:jc w:val="left"/>
            </w:pPr>
            <w:r>
              <w:t xml:space="preserve">У лиц с длительной ремиссией СД (более 5 лет) без предшествующих осложнений СД – кратность оценки осложнений может быть уменьшена </w:t>
            </w:r>
          </w:p>
        </w:tc>
      </w:tr>
      <w:tr w:rsidR="00D27BC6">
        <w:trPr>
          <w:trHeight w:val="1633"/>
        </w:trPr>
        <w:tc>
          <w:tcPr>
            <w:tcW w:w="2263"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Сахароснижающая терапия</w:t>
            </w:r>
          </w:p>
        </w:tc>
        <w:tc>
          <w:tcPr>
            <w:tcW w:w="7932"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09"/>
              </w:numPr>
              <w:spacing w:after="33" w:line="259" w:lineRule="auto"/>
              <w:ind w:right="0" w:hanging="170"/>
              <w:jc w:val="left"/>
            </w:pPr>
            <w:r>
              <w:t xml:space="preserve">Активное выявление гипогликемий </w:t>
            </w:r>
          </w:p>
          <w:p w:rsidR="00D27BC6" w:rsidRDefault="004D5071">
            <w:pPr>
              <w:numPr>
                <w:ilvl w:val="0"/>
                <w:numId w:val="309"/>
              </w:numPr>
              <w:spacing w:after="57" w:line="236" w:lineRule="auto"/>
              <w:ind w:right="0" w:hanging="170"/>
              <w:jc w:val="left"/>
            </w:pPr>
            <w:r>
              <w:t>Последующая коррекция терапии, вплоть до полной отмены сахароснижаю</w:t>
            </w:r>
            <w:r>
              <w:t>щих препаратов при частых гипогликемиях / нормогликемии на фоне минимальных доз сахароснижающих препаратов</w:t>
            </w:r>
          </w:p>
          <w:p w:rsidR="00D27BC6" w:rsidRDefault="004D5071">
            <w:pPr>
              <w:numPr>
                <w:ilvl w:val="0"/>
                <w:numId w:val="309"/>
              </w:numPr>
              <w:spacing w:after="0" w:line="259" w:lineRule="auto"/>
              <w:ind w:right="0" w:hanging="170"/>
              <w:jc w:val="left"/>
            </w:pPr>
            <w:r>
              <w:t>Препараты выбора при отсутствии ремиссии СД в послеоперационном периоде (низкий риск гипогликемий): метформин, иДПП-4, иНГЛТ-2, арГПП-1, ТЗД</w:t>
            </w:r>
          </w:p>
        </w:tc>
      </w:tr>
      <w:tr w:rsidR="00D27BC6">
        <w:trPr>
          <w:trHeight w:val="3060"/>
        </w:trPr>
        <w:tc>
          <w:tcPr>
            <w:tcW w:w="2263"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Оценка уровня микронутриентов и витаминов</w:t>
            </w:r>
          </w:p>
        </w:tc>
        <w:tc>
          <w:tcPr>
            <w:tcW w:w="793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Через 1, 3, 6, 12, 18, 24 мес. после операции (при необходимости чаще), далее ежегодно: </w:t>
            </w:r>
          </w:p>
          <w:p w:rsidR="00D27BC6" w:rsidRDefault="004D5071">
            <w:pPr>
              <w:numPr>
                <w:ilvl w:val="0"/>
                <w:numId w:val="310"/>
              </w:numPr>
              <w:spacing w:after="33" w:line="259" w:lineRule="auto"/>
              <w:ind w:right="0" w:hanging="170"/>
              <w:jc w:val="left"/>
            </w:pPr>
            <w:r>
              <w:t>Клинический анализ крови</w:t>
            </w:r>
          </w:p>
          <w:p w:rsidR="00D27BC6" w:rsidRDefault="004D5071">
            <w:pPr>
              <w:numPr>
                <w:ilvl w:val="0"/>
                <w:numId w:val="310"/>
              </w:numPr>
              <w:spacing w:after="57" w:line="236" w:lineRule="auto"/>
              <w:ind w:right="0" w:hanging="170"/>
              <w:jc w:val="left"/>
            </w:pPr>
            <w:r>
              <w:t>Биохимический анализ крови (общий белок, альбумин, креатинин, глюкоза, общий кальций, калий, натрий,</w:t>
            </w:r>
            <w:r>
              <w:t xml:space="preserve"> магний, фосфор, общий билирубин, АЛТ, АСТ, железо, ферритин)</w:t>
            </w:r>
          </w:p>
          <w:p w:rsidR="00D27BC6" w:rsidRDefault="004D5071">
            <w:pPr>
              <w:numPr>
                <w:ilvl w:val="0"/>
                <w:numId w:val="310"/>
              </w:numPr>
              <w:spacing w:after="57" w:line="236" w:lineRule="auto"/>
              <w:ind w:right="0" w:hanging="170"/>
              <w:jc w:val="left"/>
            </w:pPr>
            <w:r>
              <w:t>Оценка витаминного статуса: витамин В1, витамин В12, фолиевая кислота, 25(ОН)витаминD</w:t>
            </w:r>
          </w:p>
          <w:p w:rsidR="00D27BC6" w:rsidRDefault="004D5071">
            <w:pPr>
              <w:spacing w:after="33" w:line="259" w:lineRule="auto"/>
              <w:ind w:left="0" w:right="0" w:firstLine="0"/>
              <w:jc w:val="left"/>
            </w:pPr>
            <w:r>
              <w:t>Ежегодно (при необходимости чаще):</w:t>
            </w:r>
          </w:p>
          <w:p w:rsidR="00D27BC6" w:rsidRDefault="004D5071">
            <w:pPr>
              <w:numPr>
                <w:ilvl w:val="0"/>
                <w:numId w:val="310"/>
              </w:numPr>
              <w:spacing w:after="33" w:line="259" w:lineRule="auto"/>
              <w:ind w:right="0" w:hanging="170"/>
              <w:jc w:val="left"/>
            </w:pPr>
            <w:r>
              <w:t>Цинк, медь, селен</w:t>
            </w:r>
          </w:p>
          <w:p w:rsidR="00D27BC6" w:rsidRDefault="004D5071">
            <w:pPr>
              <w:numPr>
                <w:ilvl w:val="0"/>
                <w:numId w:val="310"/>
              </w:numPr>
              <w:spacing w:after="33" w:line="259" w:lineRule="auto"/>
              <w:ind w:right="0" w:hanging="170"/>
              <w:jc w:val="left"/>
            </w:pPr>
            <w:r>
              <w:t>Паратиреоидный гормон</w:t>
            </w:r>
          </w:p>
          <w:p w:rsidR="00D27BC6" w:rsidRDefault="004D5071">
            <w:pPr>
              <w:numPr>
                <w:ilvl w:val="0"/>
                <w:numId w:val="310"/>
              </w:numPr>
              <w:spacing w:after="0" w:line="259" w:lineRule="auto"/>
              <w:ind w:right="0" w:hanging="170"/>
              <w:jc w:val="left"/>
            </w:pPr>
            <w:r>
              <w:t>Дополнительно после мальабсорбтивных операций: витамины А, Е, К</w:t>
            </w:r>
          </w:p>
        </w:tc>
      </w:tr>
      <w:tr w:rsidR="00D27BC6">
        <w:trPr>
          <w:trHeight w:val="1815"/>
        </w:trPr>
        <w:tc>
          <w:tcPr>
            <w:tcW w:w="2263"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143" w:firstLine="0"/>
              <w:jc w:val="left"/>
            </w:pPr>
            <w:r>
              <w:rPr>
                <w:b/>
              </w:rPr>
              <w:t>Нутритивная поддержка (пожизненный прием после мальабсорбтивных операций)</w:t>
            </w:r>
          </w:p>
        </w:tc>
        <w:tc>
          <w:tcPr>
            <w:tcW w:w="7932"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311"/>
              </w:numPr>
              <w:spacing w:after="57" w:line="236" w:lineRule="auto"/>
              <w:ind w:right="0" w:hanging="170"/>
              <w:jc w:val="left"/>
            </w:pPr>
            <w:r>
              <w:t>Поливитамины (группа А, Е, К, В1, В12, фолиевая кислота, витамин D, в т.ч. высокодозный)</w:t>
            </w:r>
          </w:p>
          <w:p w:rsidR="00D27BC6" w:rsidRDefault="004D5071">
            <w:pPr>
              <w:numPr>
                <w:ilvl w:val="0"/>
                <w:numId w:val="311"/>
              </w:numPr>
              <w:spacing w:after="57" w:line="236" w:lineRule="auto"/>
              <w:ind w:right="0" w:hanging="170"/>
              <w:jc w:val="left"/>
            </w:pPr>
            <w:r>
              <w:t>Белок (не менее 60–90 г в сутки в зависимости от вида операции – до 1,5 г/кг массы тела)</w:t>
            </w:r>
          </w:p>
          <w:p w:rsidR="00D27BC6" w:rsidRDefault="004D5071">
            <w:pPr>
              <w:numPr>
                <w:ilvl w:val="0"/>
                <w:numId w:val="311"/>
              </w:numPr>
              <w:spacing w:after="0" w:line="259" w:lineRule="auto"/>
              <w:ind w:right="0" w:hanging="170"/>
              <w:jc w:val="left"/>
            </w:pPr>
            <w:r>
              <w:t>Коррекция дефицита железа, кальция, цинка, меди, селена</w:t>
            </w:r>
          </w:p>
        </w:tc>
      </w:tr>
    </w:tbl>
    <w:p w:rsidR="00D27BC6" w:rsidRDefault="004D5071">
      <w:pPr>
        <w:pStyle w:val="Heading1"/>
        <w:spacing w:after="167"/>
        <w:ind w:left="313" w:right="306"/>
      </w:pPr>
      <w:r>
        <w:t>26. ВАКЦИНАЦИЯ</w:t>
      </w:r>
    </w:p>
    <w:p w:rsidR="00D27BC6" w:rsidRDefault="004D5071">
      <w:pPr>
        <w:spacing w:after="8" w:line="231" w:lineRule="auto"/>
        <w:ind w:left="-13" w:right="0" w:firstLine="283"/>
        <w:jc w:val="left"/>
      </w:pPr>
      <w:r>
        <w:t>Пациенты с СД подвержены повышенному риску осложнённого течения ряда инфекционных заболеваний в</w:t>
      </w:r>
      <w:r>
        <w:t>следствие иммунологических нарушений, характерных для этого состояния. Плановая вакцинация позволяет существенно снизить риск развития предотвратимых инфекций, уменьшить частоту осложнений, связанных с инфекционными заболеваниями, а также снизить частоту г</w:t>
      </w:r>
      <w:r>
        <w:t>оспитализаций. Лицам с СД следует вакцинироваться в соответствии с возрастными рекомендациями и эпидемическими показаниями.</w:t>
      </w:r>
    </w:p>
    <w:p w:rsidR="00D27BC6" w:rsidRDefault="004D5071">
      <w:pPr>
        <w:spacing w:after="237"/>
        <w:ind w:left="-11" w:right="0" w:firstLine="283"/>
      </w:pPr>
      <w:r>
        <w:t xml:space="preserve">Необходимо обеспечить стандартно рекомендуемую вакцинацию взрослых пациентов с СД в соответствии с национальным календарем прививок </w:t>
      </w:r>
      <w:r>
        <w:t>и календарем профилактических прививок по эпидемическим показаниям для профилактики заболевания гриппом, пневмококковой инфекцией, дифтерией, столбняком, вирусным гепатитом B.</w:t>
      </w:r>
    </w:p>
    <w:p w:rsidR="00D27BC6" w:rsidRDefault="004D5071">
      <w:pPr>
        <w:ind w:left="-11" w:right="0" w:firstLine="283"/>
      </w:pPr>
      <w:r>
        <w:rPr>
          <w:b/>
        </w:rPr>
        <w:t>Грипп</w:t>
      </w:r>
      <w:r>
        <w:t xml:space="preserve"> – распространенное предотвратимое инфекционное заболевание, характеризующееся высокой смертностью и заболеваемостью уязвимых групп населения, включая как молодых, так и пожилых людей, и лиц с хроническими заболеваниями.</w:t>
      </w:r>
    </w:p>
    <w:p w:rsidR="00D27BC6" w:rsidRDefault="004D5071">
      <w:pPr>
        <w:numPr>
          <w:ilvl w:val="0"/>
          <w:numId w:val="171"/>
        </w:numPr>
        <w:ind w:right="0" w:hanging="283"/>
      </w:pPr>
      <w:r>
        <w:t>Вакцинация против гриппа, проведенн</w:t>
      </w:r>
      <w:r>
        <w:t>ая лицам с СД, значительно снижает количество госпитализаций по поводу гриппа и СД.</w:t>
      </w:r>
    </w:p>
    <w:p w:rsidR="00D27BC6" w:rsidRDefault="004D5071">
      <w:pPr>
        <w:numPr>
          <w:ilvl w:val="0"/>
          <w:numId w:val="171"/>
        </w:numPr>
        <w:ind w:right="0" w:hanging="283"/>
      </w:pPr>
      <w:r>
        <w:t xml:space="preserve">Вакцинации против гриппа в предэпидемический период в первую очередь подлежат лица, относящиеся к категории высокого риска заболевания гриппом и неблагоприятных осложнений </w:t>
      </w:r>
      <w:r>
        <w:t>при заболевании, к которым относятся лица с СД.</w:t>
      </w:r>
    </w:p>
    <w:p w:rsidR="00D27BC6" w:rsidRDefault="004D5071">
      <w:pPr>
        <w:numPr>
          <w:ilvl w:val="0"/>
          <w:numId w:val="171"/>
        </w:numPr>
        <w:ind w:right="0" w:hanging="283"/>
      </w:pPr>
      <w:r>
        <w:t xml:space="preserve">При вакцинации от гриппа типоспецифический иммунитет развивается через 14 дней после вакцинации, его продолжительность 6–12 мес, что требует ежегодного повторения прививок, даже если циркулирует прошлогодний </w:t>
      </w:r>
      <w:r>
        <w:t>штамм вируса.</w:t>
      </w:r>
    </w:p>
    <w:p w:rsidR="00D27BC6" w:rsidRDefault="004D5071">
      <w:pPr>
        <w:ind w:left="294" w:right="0"/>
      </w:pPr>
      <w:r>
        <w:rPr>
          <w:b/>
        </w:rPr>
        <w:t>Пневмококковая инфекция.</w:t>
      </w:r>
      <w:r>
        <w:t xml:space="preserve"> Лица с СД имеют повышенный риск пневмококковой инфекции, с развитием пнев-</w:t>
      </w:r>
    </w:p>
    <w:p w:rsidR="00D27BC6" w:rsidRDefault="004D5071">
      <w:pPr>
        <w:ind w:left="-1" w:right="0"/>
      </w:pPr>
      <w:r>
        <w:t xml:space="preserve">монии, преимущественно внебольничной, с высоким риском смертности (до 50%). </w:t>
      </w:r>
    </w:p>
    <w:p w:rsidR="00D27BC6" w:rsidRDefault="004D5071">
      <w:pPr>
        <w:numPr>
          <w:ilvl w:val="0"/>
          <w:numId w:val="171"/>
        </w:numPr>
        <w:ind w:right="0" w:hanging="283"/>
      </w:pPr>
      <w:r>
        <w:t>Иммунизацию против пневмококковой инфекции можно проводить в тече</w:t>
      </w:r>
      <w:r>
        <w:t xml:space="preserve">ние всего года. </w:t>
      </w:r>
    </w:p>
    <w:p w:rsidR="00D27BC6" w:rsidRDefault="004D5071">
      <w:pPr>
        <w:numPr>
          <w:ilvl w:val="0"/>
          <w:numId w:val="171"/>
        </w:numPr>
        <w:ind w:right="0" w:hanging="283"/>
      </w:pPr>
      <w:r>
        <w:t>Для предупреждения пневмококковой инфекции используют вакцины двух типов – полисахаридные и конъюгированные. У них различаются схемы и графики использования. Выбор осуществляется по рекомендации врача.</w:t>
      </w:r>
    </w:p>
    <w:p w:rsidR="00D27BC6" w:rsidRDefault="004D5071">
      <w:pPr>
        <w:numPr>
          <w:ilvl w:val="0"/>
          <w:numId w:val="171"/>
        </w:numPr>
        <w:spacing w:after="237"/>
        <w:ind w:right="0" w:hanging="283"/>
      </w:pPr>
      <w:r>
        <w:t>Вакцинация против пневмококковой инфе</w:t>
      </w:r>
      <w:r>
        <w:t>кции играет важную роль в борьбе с антибиотикорезистентными формами пневмококковых инфекций.</w:t>
      </w:r>
    </w:p>
    <w:p w:rsidR="00D27BC6" w:rsidRDefault="004D5071">
      <w:pPr>
        <w:ind w:left="294" w:right="0"/>
      </w:pPr>
      <w:r>
        <w:rPr>
          <w:b/>
        </w:rPr>
        <w:t>Гепатит B.</w:t>
      </w:r>
      <w:r>
        <w:t xml:space="preserve"> По сравнению с населением в целом, лица с СД чаще заболевают гепатитом B. Это может быть связано </w:t>
      </w:r>
    </w:p>
    <w:p w:rsidR="00D27BC6" w:rsidRDefault="004D5071">
      <w:pPr>
        <w:ind w:left="-1" w:right="0"/>
      </w:pPr>
      <w:r>
        <w:t>с контактом с инфицированной кровью или с неправильным</w:t>
      </w:r>
      <w:r>
        <w:t xml:space="preserve"> использованием оборудования (устройств для измерения уровня глюкозы крови или инфицированных игл). </w:t>
      </w:r>
    </w:p>
    <w:p w:rsidR="00D27BC6" w:rsidRDefault="004D5071">
      <w:pPr>
        <w:numPr>
          <w:ilvl w:val="0"/>
          <w:numId w:val="171"/>
        </w:numPr>
        <w:ind w:right="0" w:hanging="283"/>
      </w:pPr>
      <w:r>
        <w:t xml:space="preserve">Вакцинация против гепатита В рекомендуется взрослым с СД в возрасте до 60 лет. </w:t>
      </w:r>
    </w:p>
    <w:p w:rsidR="00D27BC6" w:rsidRDefault="004D5071">
      <w:pPr>
        <w:numPr>
          <w:ilvl w:val="0"/>
          <w:numId w:val="171"/>
        </w:numPr>
        <w:spacing w:after="237"/>
        <w:ind w:right="0" w:hanging="283"/>
      </w:pPr>
      <w:r>
        <w:t>Взрослым в возрасте 60 лет и старше вакцина против гепатита В может вводить</w:t>
      </w:r>
      <w:r>
        <w:t>ся по усмотрению лечащего врача, исходя из вероятности заражения пациента гепатитом В.</w:t>
      </w:r>
    </w:p>
    <w:p w:rsidR="00D27BC6" w:rsidRDefault="004D5071">
      <w:pPr>
        <w:ind w:left="294" w:right="0"/>
      </w:pPr>
      <w:r>
        <w:rPr>
          <w:b/>
        </w:rPr>
        <w:t>Дифтерия</w:t>
      </w:r>
      <w:r>
        <w:t xml:space="preserve"> – это контагиозная, иногда смертельная инфекция верхних дыхательных путей, вызванная дифтерий-</w:t>
      </w:r>
    </w:p>
    <w:p w:rsidR="00D27BC6" w:rsidRDefault="004D5071">
      <w:pPr>
        <w:ind w:left="-1" w:right="0"/>
      </w:pPr>
      <w:r>
        <w:t>ной палочкой. Она довольно часто осложняется поражением почек, на</w:t>
      </w:r>
      <w:r>
        <w:t>дпочечников, сердечно-сосудистой и нервной систем. Одним из опаснейших состояний является дифтерийный круп, требующий немедленной медицинской помощи. При тяжелом течении есть риск инфекционно-токсического шока.</w:t>
      </w:r>
    </w:p>
    <w:p w:rsidR="00D27BC6" w:rsidRDefault="004D5071">
      <w:pPr>
        <w:numPr>
          <w:ilvl w:val="0"/>
          <w:numId w:val="171"/>
        </w:numPr>
        <w:ind w:right="0" w:hanging="283"/>
      </w:pPr>
      <w:r>
        <w:t>Благодаря всеобщей вакцинации детей, в настоя</w:t>
      </w:r>
      <w:r>
        <w:t>щее время заболеваемость дифтерией довольно низкая.</w:t>
      </w:r>
    </w:p>
    <w:p w:rsidR="00D27BC6" w:rsidRDefault="004D5071">
      <w:pPr>
        <w:numPr>
          <w:ilvl w:val="0"/>
          <w:numId w:val="171"/>
        </w:numPr>
        <w:ind w:right="0" w:hanging="283"/>
      </w:pPr>
      <w:r>
        <w:t>Взрослым прививка от дифтерии проводится через каждые 10 лет, начиная с 24-летнего возраста. Это связано с тем, что специфическая защита со временем ослабевает и при отсутствии повторной иммунизации повыш</w:t>
      </w:r>
      <w:r>
        <w:t>ается риск заражения дифтерийной палочкой.</w:t>
      </w:r>
    </w:p>
    <w:p w:rsidR="00D27BC6" w:rsidRDefault="004D5071">
      <w:pPr>
        <w:numPr>
          <w:ilvl w:val="0"/>
          <w:numId w:val="171"/>
        </w:numPr>
        <w:spacing w:after="237"/>
        <w:ind w:right="0" w:hanging="283"/>
      </w:pPr>
      <w:r>
        <w:t>Вакцинация входит в обязательный национальный календарь прививок и дает возможность избежать болезни, снизить распространение патологии, предупредить летальность, сформировать коллективный иммунитет.</w:t>
      </w:r>
    </w:p>
    <w:p w:rsidR="00D27BC6" w:rsidRDefault="004D5071">
      <w:pPr>
        <w:ind w:left="294" w:right="0"/>
      </w:pPr>
      <w:r>
        <w:rPr>
          <w:b/>
        </w:rPr>
        <w:t>Столбняк</w:t>
      </w:r>
      <w:r>
        <w:t xml:space="preserve"> – эт</w:t>
      </w:r>
      <w:r>
        <w:t xml:space="preserve">о острое инфекционное заболевание, поражающее нервную систему и проявляющееся тоническим </w:t>
      </w:r>
    </w:p>
    <w:p w:rsidR="00D27BC6" w:rsidRDefault="004D5071">
      <w:pPr>
        <w:ind w:left="-1" w:right="0"/>
      </w:pPr>
      <w:r>
        <w:t>напряжением скелетной мускулатуры и генерализованными судорогами. В регионах, где отсутствуют профилактические прививки и квалифицированная медпомощь, смертность окол</w:t>
      </w:r>
      <w:r>
        <w:t>о 80%.</w:t>
      </w:r>
    </w:p>
    <w:p w:rsidR="00D27BC6" w:rsidRDefault="004D5071">
      <w:pPr>
        <w:numPr>
          <w:ilvl w:val="0"/>
          <w:numId w:val="171"/>
        </w:numPr>
        <w:ind w:right="0" w:hanging="283"/>
      </w:pPr>
      <w:r>
        <w:t>Заразиться столбняком можно через повреждённую кожу и слизистую оболочку. Пациенты с СД относятся к группе повышенного риска неблагоприятного течения инфекционных заболеваний, включая столбняк, особенно при наличии диабетических осложнений (например</w:t>
      </w:r>
      <w:r>
        <w:t>, диабетической стопы), сопровождающихся повреждением кожных покровов.</w:t>
      </w:r>
    </w:p>
    <w:p w:rsidR="00D27BC6" w:rsidRDefault="004D5071">
      <w:pPr>
        <w:numPr>
          <w:ilvl w:val="0"/>
          <w:numId w:val="171"/>
        </w:numPr>
        <w:ind w:right="0" w:hanging="283"/>
      </w:pPr>
      <w:r>
        <w:t>Единственным эффективным способом защиты от столбняка является прививка.</w:t>
      </w:r>
    </w:p>
    <w:p w:rsidR="00D27BC6" w:rsidRDefault="004D5071">
      <w:pPr>
        <w:numPr>
          <w:ilvl w:val="0"/>
          <w:numId w:val="171"/>
        </w:numPr>
        <w:spacing w:after="230"/>
        <w:ind w:right="0" w:hanging="283"/>
      </w:pPr>
      <w:r>
        <w:t>Ревакцинация каждые 10 лет после 18 лет необходима для поддержания защитного уровня антител и обеспечения долгосрочной защиты.</w:t>
      </w:r>
    </w:p>
    <w:p w:rsidR="00D27BC6" w:rsidRDefault="004D5071">
      <w:pPr>
        <w:spacing w:after="237"/>
        <w:ind w:left="-11" w:right="0" w:firstLine="284"/>
      </w:pPr>
      <w:r>
        <w:t xml:space="preserve">Для ревакцинации детей и взрослых с целью выработки иммунитета против дифтерии и столбняка используется комбинированная вакцина, </w:t>
      </w:r>
      <w:r>
        <w:t>которая содержит анатоксин (обезвреженный токсин) дифтерийный и столбнячный с уменьшенным содержанием антигенов (АДСМ).</w:t>
      </w:r>
    </w:p>
    <w:p w:rsidR="00D27BC6" w:rsidRDefault="004D5071">
      <w:pPr>
        <w:ind w:left="294" w:right="0"/>
      </w:pPr>
      <w:r>
        <w:rPr>
          <w:b/>
        </w:rPr>
        <w:t xml:space="preserve">Корь. </w:t>
      </w:r>
      <w:r>
        <w:t>Проявляется общей интоксикацией, воспалительными явлениями со стороны слизистых глаз, носоглот-</w:t>
      </w:r>
    </w:p>
    <w:p w:rsidR="00D27BC6" w:rsidRDefault="004D5071">
      <w:pPr>
        <w:ind w:left="-1" w:right="0"/>
      </w:pPr>
      <w:r>
        <w:t>ки, верхних дыхательных путей, поэ</w:t>
      </w:r>
      <w:r>
        <w:t>тапным появлением сыпи. Заболевание характеризуется высокой смертностью и опасными осложнениями: пневмонией, отитами, нарушениями зрения.</w:t>
      </w:r>
    </w:p>
    <w:p w:rsidR="00D27BC6" w:rsidRDefault="004D5071">
      <w:pPr>
        <w:ind w:left="-11" w:right="0" w:firstLine="283"/>
      </w:pPr>
      <w:r>
        <w:t>Вакцинация против кори для лиц с СД не отличается от популяции в целом и должна проводится согласно Национальному кале</w:t>
      </w:r>
      <w:r>
        <w:t xml:space="preserve">ндарю у следующих групп взрослого населения: </w:t>
      </w:r>
    </w:p>
    <w:p w:rsidR="00D27BC6" w:rsidRDefault="004D5071">
      <w:pPr>
        <w:numPr>
          <w:ilvl w:val="0"/>
          <w:numId w:val="171"/>
        </w:numPr>
        <w:ind w:right="0" w:hanging="283"/>
      </w:pPr>
      <w:r>
        <w:t>Взрослые от 18 до 35 лет (включительно), не болевшие корью, ранее не привитые, привитые однократно или не имеющие сведений о прививках против кори.</w:t>
      </w:r>
    </w:p>
    <w:p w:rsidR="00D27BC6" w:rsidRDefault="004D5071">
      <w:pPr>
        <w:numPr>
          <w:ilvl w:val="0"/>
          <w:numId w:val="171"/>
        </w:numPr>
        <w:ind w:right="0" w:hanging="283"/>
      </w:pPr>
      <w:r>
        <w:t>Взрослые от 36 до 55 лет (включительно), относящиеся к группам</w:t>
      </w:r>
      <w:r>
        <w:t xml:space="preserve"> риска (работники медицинских и образователь-ных организаций, организаций торговли, транспорта, коммунальной и социальной сферы; лица, работающие вахтовым методом, сотрудники государственных контрольных органов в пунктах пропуска через государственную гран</w:t>
      </w:r>
      <w:r>
        <w:t>ицу РФ),</w:t>
      </w:r>
    </w:p>
    <w:p w:rsidR="00D27BC6" w:rsidRDefault="004D5071">
      <w:pPr>
        <w:numPr>
          <w:ilvl w:val="0"/>
          <w:numId w:val="171"/>
        </w:numPr>
        <w:spacing w:after="234"/>
        <w:ind w:right="0" w:hanging="283"/>
      </w:pPr>
      <w:r>
        <w:t>Не болевшие корью, ранее не привитые, привитые однократно или не имеющие сведений о прививках против кори.</w:t>
      </w:r>
    </w:p>
    <w:p w:rsidR="00D27BC6" w:rsidRDefault="004D5071">
      <w:pPr>
        <w:ind w:left="294" w:right="0"/>
      </w:pPr>
      <w:r>
        <w:rPr>
          <w:b/>
        </w:rPr>
        <w:t xml:space="preserve">Новая коронавирусная инфекция COVID-19. </w:t>
      </w:r>
      <w:r>
        <w:t>Вопрос о целесообразности ежегодной вакцинации пересматри-</w:t>
      </w:r>
    </w:p>
    <w:p w:rsidR="00D27BC6" w:rsidRDefault="004D5071">
      <w:pPr>
        <w:ind w:left="-1" w:right="0"/>
      </w:pPr>
      <w:r>
        <w:t>вается.</w:t>
      </w:r>
    </w:p>
    <w:p w:rsidR="00D27BC6" w:rsidRDefault="004D5071">
      <w:pPr>
        <w:ind w:left="294" w:right="0"/>
      </w:pPr>
      <w:r>
        <w:rPr>
          <w:b/>
        </w:rPr>
        <w:t>При вакцинации коррекции дозы сах</w:t>
      </w:r>
      <w:r>
        <w:rPr>
          <w:b/>
        </w:rPr>
        <w:t>ароснижающих препаратов или препаратов инсулина не требуется.</w:t>
      </w:r>
    </w:p>
    <w:p w:rsidR="00D27BC6" w:rsidRDefault="004D5071">
      <w:pPr>
        <w:ind w:left="281" w:right="51"/>
        <w:jc w:val="left"/>
      </w:pPr>
      <w:r>
        <w:rPr>
          <w:b/>
        </w:rPr>
        <w:t xml:space="preserve">Общие противопоказания к вакцинации: </w:t>
      </w:r>
    </w:p>
    <w:p w:rsidR="00D27BC6" w:rsidRDefault="004D5071">
      <w:pPr>
        <w:numPr>
          <w:ilvl w:val="0"/>
          <w:numId w:val="171"/>
        </w:numPr>
        <w:ind w:right="0" w:hanging="283"/>
      </w:pPr>
      <w:r>
        <w:t xml:space="preserve">гиперчувствительность к какому-либо компоненту вакцины или вакцины, содержащей аналогичные компоненты; • тяжелые аллергические реакции в анамнезе; </w:t>
      </w:r>
    </w:p>
    <w:p w:rsidR="00D27BC6" w:rsidRDefault="004D5071">
      <w:pPr>
        <w:numPr>
          <w:ilvl w:val="0"/>
          <w:numId w:val="171"/>
        </w:numPr>
        <w:ind w:right="0" w:hanging="283"/>
      </w:pPr>
      <w:r>
        <w:t xml:space="preserve">тяжелые </w:t>
      </w:r>
      <w:r>
        <w:t>поствакцинальные осложнения (анафилактический шок, тяжелые генерализированные аллергические реакции, судорожный синдром, температура выше 40 °C и т.д.) на введение первого компонента вакцины являются противопоказанием для введения второго компонента вакцин</w:t>
      </w:r>
      <w:r>
        <w:t>ы;</w:t>
      </w:r>
    </w:p>
    <w:p w:rsidR="00D27BC6" w:rsidRDefault="004D5071">
      <w:pPr>
        <w:numPr>
          <w:ilvl w:val="0"/>
          <w:numId w:val="171"/>
        </w:numPr>
        <w:spacing w:after="230"/>
        <w:ind w:right="0" w:hanging="283"/>
      </w:pPr>
      <w:r>
        <w:t>острые инфекционные и неинфекционные заболевания, обострение хронических заболеваний (в этих случаях вакцинацию проводят через 2–4 недели после выздоровления или ремиссии). При нетяжелых ОРВИ, острых инфекционных заболеваниях ЖКТ вакцинацию проводят пос</w:t>
      </w:r>
      <w:r>
        <w:t>ле нормализации температуры).</w:t>
      </w:r>
    </w:p>
    <w:p w:rsidR="00D27BC6" w:rsidRDefault="004D5071">
      <w:pPr>
        <w:ind w:left="281" w:right="51"/>
        <w:jc w:val="left"/>
      </w:pPr>
      <w:r>
        <w:rPr>
          <w:b/>
        </w:rPr>
        <w:t>Дополнительные противопоказания к вакцинации пациентов с СД:</w:t>
      </w:r>
    </w:p>
    <w:p w:rsidR="00D27BC6" w:rsidRDefault="004D5071">
      <w:pPr>
        <w:numPr>
          <w:ilvl w:val="0"/>
          <w:numId w:val="171"/>
        </w:numPr>
        <w:spacing w:after="230"/>
        <w:ind w:right="0" w:hanging="283"/>
      </w:pPr>
      <w:r>
        <w:t>острые осложнения СД (диабетический кетоацидоз, гиперосмолярное гипергликемическое состояние, лактатацидоз).</w:t>
      </w:r>
    </w:p>
    <w:p w:rsidR="00D27BC6" w:rsidRDefault="004D5071">
      <w:pPr>
        <w:ind w:left="281" w:right="51"/>
        <w:jc w:val="left"/>
      </w:pPr>
      <w:r>
        <w:rPr>
          <w:b/>
        </w:rPr>
        <w:t xml:space="preserve">Осторожность при проведении вакцинации: </w:t>
      </w:r>
    </w:p>
    <w:p w:rsidR="00D27BC6" w:rsidRDefault="004D5071">
      <w:pPr>
        <w:numPr>
          <w:ilvl w:val="0"/>
          <w:numId w:val="171"/>
        </w:numPr>
        <w:spacing w:after="317"/>
        <w:ind w:right="0" w:hanging="283"/>
      </w:pPr>
      <w:r>
        <w:t>требуется пациентам с выраженной декомпенсацией СД.</w:t>
      </w:r>
    </w:p>
    <w:p w:rsidR="00D27BC6" w:rsidRDefault="004D5071">
      <w:pPr>
        <w:spacing w:after="41"/>
        <w:ind w:left="313" w:right="255"/>
        <w:jc w:val="center"/>
      </w:pPr>
      <w:r>
        <w:rPr>
          <w:b/>
          <w:sz w:val="24"/>
        </w:rPr>
        <w:t xml:space="preserve">27. БАЗА ДАННЫХ КЛИНИКО-ЭПИДЕМИОЛОГИЧЕСКОГО МОНИТОРИНГА </w:t>
      </w:r>
    </w:p>
    <w:p w:rsidR="00D27BC6" w:rsidRDefault="004D5071">
      <w:pPr>
        <w:pStyle w:val="Heading1"/>
        <w:spacing w:after="41"/>
        <w:ind w:left="313" w:right="255"/>
      </w:pPr>
      <w:r>
        <w:t>САХАРНОГО ДИАБЕТА НА ТЕРРИТОРИИ РОССИЙСКОЙ ФЕДЕРАЦИИ</w:t>
      </w:r>
    </w:p>
    <w:p w:rsidR="00D27BC6" w:rsidRDefault="004D5071">
      <w:pPr>
        <w:spacing w:after="226"/>
        <w:ind w:left="293" w:right="0"/>
        <w:jc w:val="center"/>
      </w:pPr>
      <w:r>
        <w:t>http://www.diaregistry.ru</w:t>
      </w:r>
    </w:p>
    <w:p w:rsidR="00D27BC6" w:rsidRDefault="004D5071">
      <w:pPr>
        <w:ind w:left="-11" w:right="0" w:firstLine="283"/>
      </w:pPr>
      <w:r>
        <w:t>По данным ГНЦ РФ ФГБУ НМИЦ эндокринологии, общее количество пациенто</w:t>
      </w:r>
      <w:r>
        <w:t>в с СД в РФ на 01.01.2025 г. составило 5 463 982 человека (3,5% населения), из них: 92,4% (5 046 037) – СД 2 типа, 5,5% (298 919) – СД 1 типа и 2,1% (119 026) – другие типы СД, в том числе 10 010 женщин с гестационным СД. Ниже представлено распределение па</w:t>
      </w:r>
      <w:r>
        <w:t>циентов с СД по типам и возрасту.</w:t>
      </w:r>
    </w:p>
    <w:tbl>
      <w:tblPr>
        <w:tblStyle w:val="TableGrid"/>
        <w:tblW w:w="10195" w:type="dxa"/>
        <w:tblInd w:w="8" w:type="dxa"/>
        <w:tblCellMar>
          <w:top w:w="9" w:type="dxa"/>
          <w:left w:w="57" w:type="dxa"/>
          <w:bottom w:w="0" w:type="dxa"/>
          <w:right w:w="115" w:type="dxa"/>
        </w:tblCellMar>
        <w:tblLook w:val="04A0" w:firstRow="1" w:lastRow="0" w:firstColumn="1" w:lastColumn="0" w:noHBand="0" w:noVBand="1"/>
      </w:tblPr>
      <w:tblGrid>
        <w:gridCol w:w="2039"/>
        <w:gridCol w:w="2039"/>
        <w:gridCol w:w="2039"/>
        <w:gridCol w:w="2039"/>
        <w:gridCol w:w="2039"/>
      </w:tblGrid>
      <w:tr w:rsidR="00D27BC6">
        <w:trPr>
          <w:trHeight w:val="320"/>
        </w:trPr>
        <w:tc>
          <w:tcPr>
            <w:tcW w:w="203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D27BC6">
            <w:pPr>
              <w:spacing w:after="160" w:line="259" w:lineRule="auto"/>
              <w:ind w:left="0" w:right="0" w:firstLine="0"/>
              <w:jc w:val="left"/>
            </w:pPr>
          </w:p>
        </w:tc>
        <w:tc>
          <w:tcPr>
            <w:tcW w:w="203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СД 1 типа</w:t>
            </w:r>
          </w:p>
        </w:tc>
        <w:tc>
          <w:tcPr>
            <w:tcW w:w="203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СД 2 типа</w:t>
            </w:r>
          </w:p>
        </w:tc>
        <w:tc>
          <w:tcPr>
            <w:tcW w:w="203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Другие типы</w:t>
            </w:r>
          </w:p>
        </w:tc>
        <w:tc>
          <w:tcPr>
            <w:tcW w:w="203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Всего</w:t>
            </w:r>
          </w:p>
        </w:tc>
      </w:tr>
      <w:tr w:rsidR="00D27BC6">
        <w:trPr>
          <w:trHeight w:val="320"/>
        </w:trPr>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Дети</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39 764</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771</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716</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41 251</w:t>
            </w:r>
          </w:p>
        </w:tc>
      </w:tr>
      <w:tr w:rsidR="00D27BC6">
        <w:trPr>
          <w:trHeight w:val="320"/>
        </w:trPr>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Подростки</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16 450</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373</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316</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17 139</w:t>
            </w:r>
          </w:p>
        </w:tc>
      </w:tr>
      <w:tr w:rsidR="00D27BC6">
        <w:trPr>
          <w:trHeight w:val="320"/>
        </w:trPr>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Взрослые</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242 705</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5 044 893</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117 994</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5 405 592</w:t>
            </w:r>
          </w:p>
        </w:tc>
      </w:tr>
      <w:tr w:rsidR="00D27BC6">
        <w:trPr>
          <w:trHeight w:val="320"/>
        </w:trPr>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Всего</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298 919</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5 046 037</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119 026</w:t>
            </w:r>
          </w:p>
        </w:tc>
        <w:tc>
          <w:tcPr>
            <w:tcW w:w="203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5 463 982</w:t>
            </w:r>
          </w:p>
        </w:tc>
      </w:tr>
    </w:tbl>
    <w:p w:rsidR="00D27BC6" w:rsidRDefault="004D5071">
      <w:pPr>
        <w:ind w:left="-11" w:right="0" w:firstLine="283"/>
      </w:pPr>
      <w:r>
        <w:t>На протяжении трех десятилетий ГНЦ РФ ФГБУ «НМИЦ эндокринологии» Минздрава России выполняет функцию головного методологического и организационного центра системы клинико-эпидемиологического мониторинга эндокринных заболеваний в нашей стране. Ключевой вехой</w:t>
      </w:r>
      <w:r>
        <w:t xml:space="preserve"> развития этого направления является 1996 г., когда в рамках Федеральной целевой программы (ФЦП) «Сахарный диабет» был создан первый Всероссийский национальный регистр пациентов — Государственный регистр сахарного диабета, а во всех регионах Российской Фед</w:t>
      </w:r>
      <w:r>
        <w:t>ерации были основаны «опорные зоны регистра, обеспечившие передачу информации в государственный регистр федерального уровня» (Приказ No 404 от 10 декабря 1996 г. Министерства Здравоохранения Российской Федерации о мерах по реализации ФЦП «Сахарный диабет»)</w:t>
      </w:r>
      <w:r>
        <w:t xml:space="preserve">. </w:t>
      </w:r>
    </w:p>
    <w:p w:rsidR="00D27BC6" w:rsidRDefault="004D5071">
      <w:pPr>
        <w:ind w:left="-11" w:right="0" w:firstLine="283"/>
      </w:pPr>
      <w:r>
        <w:t>За этот период регистр прошел большой путь от работы с бумажными регистрационными картами до современных цифровых технологий и значимого расширения компетенций.</w:t>
      </w:r>
    </w:p>
    <w:p w:rsidR="00D27BC6" w:rsidRDefault="004D5071">
      <w:pPr>
        <w:ind w:left="-11" w:right="0" w:firstLine="283"/>
      </w:pPr>
      <w:r>
        <w:t>С 2014 г. регистр был переведен в онлайн формат и трансформирован в единую информационно-ана</w:t>
      </w:r>
      <w:r>
        <w:t xml:space="preserve">литическую платформу с авторизованным кодом доступа и функцией дистанционной аналитики; зарегистрирован как «База данных клинико-эпидемиологического мониторинга сахарного диабета на территории РФ» (БД СД), регистрационный номер No2020622447 </w:t>
      </w:r>
      <w:hyperlink r:id="rId93">
        <w:r>
          <w:t>(https://www.diaregistry.ru/</w:t>
        </w:r>
      </w:hyperlink>
      <w:r>
        <w:t xml:space="preserve">). </w:t>
      </w:r>
    </w:p>
    <w:p w:rsidR="00D27BC6" w:rsidRDefault="004D5071">
      <w:pPr>
        <w:ind w:left="294" w:right="0"/>
      </w:pPr>
      <w:r>
        <w:t xml:space="preserve">БД СД аккумулирует сведения о Всероссийской когорте пациентов с СД. </w:t>
      </w:r>
    </w:p>
    <w:p w:rsidR="00D27BC6" w:rsidRDefault="004D5071">
      <w:pPr>
        <w:ind w:left="-11" w:right="0" w:firstLine="283"/>
      </w:pPr>
      <w:r>
        <w:t>Целью новой системы является повышение эффективности работы в качестве научно-аналитической платформы, позволяющей получать</w:t>
      </w:r>
      <w:r>
        <w:t xml:space="preserve"> максимально полную информацию для анализа и прогнозирования развития службы диабетологической помощи в РФ:</w:t>
      </w:r>
    </w:p>
    <w:p w:rsidR="00D27BC6" w:rsidRDefault="004D5071">
      <w:pPr>
        <w:numPr>
          <w:ilvl w:val="0"/>
          <w:numId w:val="172"/>
        </w:numPr>
        <w:ind w:right="0" w:hanging="283"/>
      </w:pPr>
      <w:r>
        <w:t>оценки распространенности СД и диабетических осложнений в РФ в целом и в субъектах РФ;</w:t>
      </w:r>
    </w:p>
    <w:p w:rsidR="00D27BC6" w:rsidRDefault="004D5071">
      <w:pPr>
        <w:numPr>
          <w:ilvl w:val="0"/>
          <w:numId w:val="172"/>
        </w:numPr>
        <w:ind w:right="0" w:hanging="283"/>
      </w:pPr>
      <w:r>
        <w:t>анализа и прогнозирования заболеваемости СД;</w:t>
      </w:r>
    </w:p>
    <w:p w:rsidR="00D27BC6" w:rsidRDefault="004D5071">
      <w:pPr>
        <w:numPr>
          <w:ilvl w:val="0"/>
          <w:numId w:val="172"/>
        </w:numPr>
        <w:ind w:right="0" w:hanging="283"/>
      </w:pPr>
      <w:r>
        <w:t>анализа уровня и</w:t>
      </w:r>
      <w:r>
        <w:t xml:space="preserve"> причин смертности больных СД;</w:t>
      </w:r>
    </w:p>
    <w:p w:rsidR="00D27BC6" w:rsidRDefault="004D5071">
      <w:pPr>
        <w:numPr>
          <w:ilvl w:val="0"/>
          <w:numId w:val="172"/>
        </w:numPr>
        <w:ind w:right="0" w:hanging="283"/>
      </w:pPr>
      <w:r>
        <w:t>анализа структуры медикаментозной терапии больных СД;</w:t>
      </w:r>
    </w:p>
    <w:p w:rsidR="00D27BC6" w:rsidRDefault="004D5071">
      <w:pPr>
        <w:numPr>
          <w:ilvl w:val="0"/>
          <w:numId w:val="172"/>
        </w:numPr>
        <w:ind w:right="0" w:hanging="283"/>
      </w:pPr>
      <w:r>
        <w:t>оценки и прогнозирования потребности в лекарственных препаратах и средствах самоконтроля;</w:t>
      </w:r>
    </w:p>
    <w:p w:rsidR="00D27BC6" w:rsidRDefault="004D5071">
      <w:pPr>
        <w:numPr>
          <w:ilvl w:val="0"/>
          <w:numId w:val="172"/>
        </w:numPr>
        <w:ind w:right="0" w:hanging="283"/>
      </w:pPr>
      <w:r>
        <w:t>анализа соответствия реальной клинической практики существующим стандартам оказания медицинской  помощи;</w:t>
      </w:r>
    </w:p>
    <w:p w:rsidR="00D27BC6" w:rsidRDefault="004D5071">
      <w:pPr>
        <w:numPr>
          <w:ilvl w:val="0"/>
          <w:numId w:val="172"/>
        </w:numPr>
        <w:ind w:right="0" w:hanging="283"/>
      </w:pPr>
      <w:r>
        <w:t>анализа эффективности внедрения и доступности новых диагностических и лечебных методов.</w:t>
      </w:r>
    </w:p>
    <w:p w:rsidR="00D27BC6" w:rsidRDefault="004D5071">
      <w:pPr>
        <w:ind w:left="-11" w:right="0" w:firstLine="283"/>
      </w:pPr>
      <w:r>
        <w:t xml:space="preserve">Благодаря современной системе аналитики БД СД стала уникальным </w:t>
      </w:r>
      <w:r>
        <w:t>инструментом оценки эпидемиологических, демографических и клинических показателей СД, а также оценки долгосрочного прогноза пациентов.</w:t>
      </w:r>
    </w:p>
    <w:p w:rsidR="00D27BC6" w:rsidRDefault="004D5071">
      <w:pPr>
        <w:spacing w:after="230"/>
        <w:ind w:left="-11" w:right="0" w:firstLine="283"/>
      </w:pPr>
      <w:r>
        <w:t>С 2022 г. платформа БД оснащена уникальной разработкой НМИЦ эндокринологии — системой поддержки принятия врачебных решени</w:t>
      </w:r>
      <w:r>
        <w:t xml:space="preserve">й (СППВР), позволяющей осуществлять контроль диагностического и клинико-терапевтических алгоритмов и контроль качества ведения пациентов с СД в соответствии с положениями клинических рекомендаций. </w:t>
      </w:r>
    </w:p>
    <w:p w:rsidR="00D27BC6" w:rsidRDefault="004D5071">
      <w:pPr>
        <w:ind w:left="294" w:right="0"/>
      </w:pPr>
      <w:r>
        <w:t>Ключевые параметры оценки качества данных мониторинга СД:</w:t>
      </w:r>
    </w:p>
    <w:p w:rsidR="00D27BC6" w:rsidRDefault="004D5071">
      <w:pPr>
        <w:numPr>
          <w:ilvl w:val="0"/>
          <w:numId w:val="172"/>
        </w:numPr>
        <w:ind w:right="0" w:hanging="283"/>
      </w:pPr>
      <w:r>
        <w:t>заполнение данных HbA1c – предпочтительна оценка данного параметра лабораторным методом, стандартизованным в соответствии с DCCT и NGSP. Автоматизированный расчет суррогатного HbA1c по уровню среднесуточной гликемии остается доступным в системе мониторинга</w:t>
      </w:r>
      <w:r>
        <w:t>, однако значения расчетного показателя часто значительно ниже фактического лабораторного уровня, что ограничивает его использование для оценки эффективности проводимой терапии и ее интенсификации;</w:t>
      </w:r>
    </w:p>
    <w:p w:rsidR="00D27BC6" w:rsidRDefault="004D5071">
      <w:pPr>
        <w:numPr>
          <w:ilvl w:val="0"/>
          <w:numId w:val="172"/>
        </w:numPr>
        <w:ind w:right="0" w:hanging="283"/>
      </w:pPr>
      <w:r>
        <w:t>заполнение данных о сахароснижающей терапии;</w:t>
      </w:r>
    </w:p>
    <w:p w:rsidR="00D27BC6" w:rsidRDefault="004D5071">
      <w:pPr>
        <w:numPr>
          <w:ilvl w:val="0"/>
          <w:numId w:val="172"/>
        </w:numPr>
        <w:ind w:right="0" w:hanging="283"/>
      </w:pPr>
      <w:r>
        <w:t>заполнение да</w:t>
      </w:r>
      <w:r>
        <w:t>нных о наличии диабетических осложнений;</w:t>
      </w:r>
    </w:p>
    <w:p w:rsidR="00D27BC6" w:rsidRDefault="004D5071">
      <w:pPr>
        <w:numPr>
          <w:ilvl w:val="0"/>
          <w:numId w:val="172"/>
        </w:numPr>
        <w:spacing w:after="56"/>
        <w:ind w:right="0" w:hanging="283"/>
      </w:pPr>
      <w:r>
        <w:t xml:space="preserve">количество дублей пациентов и «ошибочных социально-демографических характеристик»; • </w:t>
      </w:r>
      <w:r>
        <w:tab/>
        <w:t>% обновления данных в текущем году*.</w:t>
      </w:r>
    </w:p>
    <w:p w:rsidR="00D27BC6" w:rsidRDefault="004D5071">
      <w:pPr>
        <w:spacing w:after="459"/>
        <w:ind w:left="-3" w:right="0"/>
      </w:pPr>
      <w:r>
        <w:rPr>
          <w:sz w:val="16"/>
        </w:rPr>
        <w:t>* Необходимым является заполнение 1-го визита в год, включая регистрацию как минимум 1-го зн</w:t>
      </w:r>
      <w:r>
        <w:rPr>
          <w:sz w:val="16"/>
        </w:rPr>
        <w:t>ачения HbA1c, изменений в сахароснижающей терапии, развития/прогрессирования осложнений.</w:t>
      </w:r>
    </w:p>
    <w:p w:rsidR="00D27BC6" w:rsidRDefault="004D5071">
      <w:pPr>
        <w:pBdr>
          <w:top w:val="single" w:sz="8" w:space="0" w:color="000000"/>
          <w:left w:val="single" w:sz="8" w:space="0" w:color="000000"/>
          <w:bottom w:val="single" w:sz="8" w:space="0" w:color="000000"/>
          <w:right w:val="single" w:sz="8" w:space="0" w:color="000000"/>
        </w:pBdr>
        <w:spacing w:after="522" w:line="236" w:lineRule="auto"/>
        <w:ind w:left="120" w:right="104"/>
      </w:pPr>
      <w:r>
        <w:rPr>
          <w:b/>
        </w:rPr>
        <w:t>В настоящее время система БД СД включает более 70 преднастроенных отчетов в различных разделах оценки параметров диабетологической помощи адресно в конкретном учрежден</w:t>
      </w:r>
      <w:r>
        <w:rPr>
          <w:b/>
        </w:rPr>
        <w:t>ии или регионе, и оснащена автоматической системой контроля качества заполнения данных (дублей, ошибочных социально-демографических характеристик, типа СД и т.д.), а также опциями, направленными на контроль назначений рациональной медикаментозной терапии в</w:t>
      </w:r>
      <w:r>
        <w:rPr>
          <w:b/>
        </w:rPr>
        <w:t xml:space="preserve"> соответствии с современными клиническими рекомендациями, что позволяет позиционировать базу данных в качестве не только статистической, но именно клинической информационно-аналитической платформы, направленной на повышение качества мониторинга и терапии п</w:t>
      </w:r>
      <w:r>
        <w:rPr>
          <w:b/>
        </w:rPr>
        <w:t xml:space="preserve">ациентов с СД. </w:t>
      </w:r>
    </w:p>
    <w:p w:rsidR="00D27BC6" w:rsidRDefault="004D5071">
      <w:pPr>
        <w:ind w:left="281" w:right="51"/>
        <w:jc w:val="left"/>
      </w:pPr>
      <w:r>
        <w:rPr>
          <w:b/>
        </w:rPr>
        <w:t>Возможности БД клинико-эпидемиологического мониторинга СД:</w:t>
      </w:r>
    </w:p>
    <w:p w:rsidR="00D27BC6" w:rsidRDefault="004D5071">
      <w:pPr>
        <w:numPr>
          <w:ilvl w:val="0"/>
          <w:numId w:val="173"/>
        </w:numPr>
        <w:ind w:right="0" w:hanging="283"/>
      </w:pPr>
      <w:r>
        <w:t>Автоматически настроенные отчеты:</w:t>
      </w:r>
    </w:p>
    <w:p w:rsidR="00D27BC6" w:rsidRDefault="004D5071">
      <w:pPr>
        <w:numPr>
          <w:ilvl w:val="1"/>
          <w:numId w:val="173"/>
        </w:numPr>
        <w:ind w:left="567" w:right="0" w:hanging="283"/>
      </w:pPr>
      <w:r>
        <w:t>По эпидемиологии (16 шт.), включая данные по распространенности, заболеваемости, смертности, продолжительности жизни.</w:t>
      </w:r>
    </w:p>
    <w:p w:rsidR="00D27BC6" w:rsidRDefault="004D5071">
      <w:pPr>
        <w:numPr>
          <w:ilvl w:val="1"/>
          <w:numId w:val="173"/>
        </w:numPr>
        <w:ind w:left="567" w:right="0" w:hanging="283"/>
      </w:pPr>
      <w:r>
        <w:t xml:space="preserve">По медицинским изделиям (7 шт.), возможность расчета количества тест-полосок, изделий для непрерывного мониторирования глюкозы, расходных материалов для инсулиновых помп и инсулиновых игл. </w:t>
      </w:r>
    </w:p>
    <w:p w:rsidR="00D27BC6" w:rsidRDefault="004D5071">
      <w:pPr>
        <w:numPr>
          <w:ilvl w:val="1"/>
          <w:numId w:val="173"/>
        </w:numPr>
        <w:ind w:left="567" w:right="0" w:hanging="283"/>
      </w:pPr>
      <w:r>
        <w:t>По терапии (6 шт.), отчеты по потребности в лекарственных препарат</w:t>
      </w:r>
      <w:r>
        <w:t>ах по торговому наименованию и МНН, анализ схем терапии и видов применяемых инсулинов.</w:t>
      </w:r>
    </w:p>
    <w:p w:rsidR="00D27BC6" w:rsidRDefault="004D5071">
      <w:pPr>
        <w:numPr>
          <w:ilvl w:val="1"/>
          <w:numId w:val="173"/>
        </w:numPr>
        <w:ind w:left="567" w:right="0" w:hanging="283"/>
      </w:pPr>
      <w:r>
        <w:t xml:space="preserve">По осложнениям (15 шт.), оценка распространенности и заболеваемости основных диабетических осложнений. </w:t>
      </w:r>
    </w:p>
    <w:p w:rsidR="00D27BC6" w:rsidRDefault="004D5071">
      <w:pPr>
        <w:numPr>
          <w:ilvl w:val="1"/>
          <w:numId w:val="173"/>
        </w:numPr>
        <w:ind w:left="567" w:right="0" w:hanging="283"/>
      </w:pPr>
      <w:r>
        <w:t>По качеству (3 шт.), оценка соответствия критериям качества.</w:t>
      </w:r>
    </w:p>
    <w:p w:rsidR="00D27BC6" w:rsidRDefault="004D5071">
      <w:pPr>
        <w:numPr>
          <w:ilvl w:val="1"/>
          <w:numId w:val="173"/>
        </w:numPr>
        <w:ind w:left="567" w:right="0" w:hanging="283"/>
      </w:pPr>
      <w:r>
        <w:t>По у</w:t>
      </w:r>
      <w:r>
        <w:t>чету пациентов (12 шт.), формирование отчета по стандартной форме №12, анализ динамики осуществления активного скрининга.</w:t>
      </w:r>
    </w:p>
    <w:p w:rsidR="00D27BC6" w:rsidRDefault="004D5071">
      <w:pPr>
        <w:numPr>
          <w:ilvl w:val="0"/>
          <w:numId w:val="173"/>
        </w:numPr>
        <w:ind w:right="0" w:hanging="283"/>
      </w:pPr>
      <w:r>
        <w:t>Автоматический расчет:</w:t>
      </w:r>
    </w:p>
    <w:p w:rsidR="00D27BC6" w:rsidRDefault="004D5071">
      <w:pPr>
        <w:numPr>
          <w:ilvl w:val="1"/>
          <w:numId w:val="173"/>
        </w:numPr>
        <w:ind w:left="567" w:right="0" w:hanging="283"/>
      </w:pPr>
      <w:r>
        <w:t>Показателей: индекса массы тела, скорости клубочковой фильтрации.</w:t>
      </w:r>
    </w:p>
    <w:p w:rsidR="00D27BC6" w:rsidRDefault="004D5071">
      <w:pPr>
        <w:numPr>
          <w:ilvl w:val="1"/>
          <w:numId w:val="173"/>
        </w:numPr>
        <w:ind w:left="567" w:right="0" w:hanging="283"/>
      </w:pPr>
      <w:r>
        <w:t>Определения стадии ХБП или Артериальной гипер</w:t>
      </w:r>
      <w:r>
        <w:t>тензии.</w:t>
      </w:r>
    </w:p>
    <w:p w:rsidR="00D27BC6" w:rsidRDefault="004D5071">
      <w:pPr>
        <w:numPr>
          <w:ilvl w:val="1"/>
          <w:numId w:val="173"/>
        </w:numPr>
        <w:ind w:left="567" w:right="0" w:hanging="283"/>
      </w:pPr>
      <w:r>
        <w:t xml:space="preserve">Соответствия критериям группы риска высокой сердечно-сосудистой смертности. </w:t>
      </w:r>
    </w:p>
    <w:p w:rsidR="00D27BC6" w:rsidRDefault="004D5071">
      <w:pPr>
        <w:numPr>
          <w:ilvl w:val="0"/>
          <w:numId w:val="173"/>
        </w:numPr>
        <w:ind w:right="0" w:hanging="283"/>
      </w:pPr>
      <w:r>
        <w:t>Встроенная система поиска дублей, ошибок при постановке диагноза (в т.ч. типа СД) и рациональной лекарственной терапии (в разработке находится система принятия решений о н</w:t>
      </w:r>
      <w:r>
        <w:t>азначении лекарственных препаратов).</w:t>
      </w:r>
    </w:p>
    <w:p w:rsidR="00D27BC6" w:rsidRDefault="004D5071">
      <w:pPr>
        <w:numPr>
          <w:ilvl w:val="0"/>
          <w:numId w:val="173"/>
        </w:numPr>
        <w:ind w:right="0" w:hanging="283"/>
      </w:pPr>
      <w:r>
        <w:t>Гибкая система вывода пофамильных списков с возможностью индивидуальной донастройки:</w:t>
      </w:r>
    </w:p>
    <w:p w:rsidR="00D27BC6" w:rsidRDefault="004D5071">
      <w:pPr>
        <w:numPr>
          <w:ilvl w:val="1"/>
          <w:numId w:val="173"/>
        </w:numPr>
        <w:ind w:left="567" w:right="0" w:hanging="283"/>
      </w:pPr>
      <w:r>
        <w:t>Пофамильные списки пациентов по виду терапии (ССП, инсулины, арГПП-1, в т.ч. на помповой терапии).</w:t>
      </w:r>
    </w:p>
    <w:p w:rsidR="00D27BC6" w:rsidRDefault="004D5071">
      <w:pPr>
        <w:numPr>
          <w:ilvl w:val="1"/>
          <w:numId w:val="173"/>
        </w:numPr>
        <w:ind w:left="567" w:right="0" w:hanging="283"/>
      </w:pPr>
      <w:r>
        <w:t>Формирование пофамильных списков па</w:t>
      </w:r>
      <w:r>
        <w:t>циентов, имеющих показания для изменения терапии – резерв лекарственной заявки.</w:t>
      </w:r>
    </w:p>
    <w:p w:rsidR="00D27BC6" w:rsidRDefault="004D5071">
      <w:pPr>
        <w:numPr>
          <w:ilvl w:val="1"/>
          <w:numId w:val="173"/>
        </w:numPr>
        <w:ind w:left="567" w:right="0" w:hanging="283"/>
      </w:pPr>
      <w:r>
        <w:t>Списки пациентов на федеральной и региональной льготе.</w:t>
      </w:r>
    </w:p>
    <w:p w:rsidR="00D27BC6" w:rsidRDefault="004D5071">
      <w:pPr>
        <w:numPr>
          <w:ilvl w:val="0"/>
          <w:numId w:val="173"/>
        </w:numPr>
        <w:ind w:right="0" w:hanging="283"/>
      </w:pPr>
      <w:r>
        <w:t xml:space="preserve">Готовые печатные шаблоны: </w:t>
      </w:r>
      <w:r>
        <w:rPr>
          <w:rFonts w:ascii="Wingdings" w:eastAsia="Wingdings" w:hAnsi="Wingdings" w:cs="Wingdings"/>
        </w:rPr>
        <w:t></w:t>
      </w:r>
      <w:r>
        <w:t xml:space="preserve"> </w:t>
      </w:r>
      <w:r>
        <w:tab/>
        <w:t>Печать карты пациента.</w:t>
      </w:r>
    </w:p>
    <w:p w:rsidR="00D27BC6" w:rsidRDefault="004D5071">
      <w:pPr>
        <w:numPr>
          <w:ilvl w:val="1"/>
          <w:numId w:val="173"/>
        </w:numPr>
        <w:ind w:left="567" w:right="0" w:hanging="283"/>
      </w:pPr>
      <w:r>
        <w:t>Формирование «Протокола врачебной комиссии» назначаемой лекарственной терапии.</w:t>
      </w:r>
    </w:p>
    <w:p w:rsidR="00D27BC6" w:rsidRDefault="004D5071">
      <w:pPr>
        <w:numPr>
          <w:ilvl w:val="1"/>
          <w:numId w:val="173"/>
        </w:numPr>
        <w:ind w:left="567" w:right="0" w:hanging="283"/>
      </w:pPr>
      <w:r>
        <w:t xml:space="preserve">Формирование формы 30 (карты диспансерного учета). </w:t>
      </w:r>
    </w:p>
    <w:p w:rsidR="00D27BC6" w:rsidRDefault="004D5071">
      <w:pPr>
        <w:numPr>
          <w:ilvl w:val="0"/>
          <w:numId w:val="173"/>
        </w:numPr>
        <w:ind w:right="0" w:hanging="283"/>
      </w:pPr>
      <w:r>
        <w:t xml:space="preserve">СППВР состоит из 4-х терапевтических и 1 прогностического блоков: </w:t>
      </w:r>
    </w:p>
    <w:p w:rsidR="00D27BC6" w:rsidRDefault="004D5071">
      <w:pPr>
        <w:numPr>
          <w:ilvl w:val="1"/>
          <w:numId w:val="173"/>
        </w:numPr>
        <w:ind w:left="567" w:right="0" w:hanging="283"/>
      </w:pPr>
      <w:r>
        <w:rPr>
          <w:b/>
        </w:rPr>
        <w:t xml:space="preserve">Блок 1. </w:t>
      </w:r>
      <w:r>
        <w:t>Направлен на контроль не назначения необходимой те</w:t>
      </w:r>
      <w:r>
        <w:t xml:space="preserve">рапии – как ССТ, так и органопротективных </w:t>
      </w:r>
    </w:p>
    <w:p w:rsidR="00D27BC6" w:rsidRDefault="004D5071">
      <w:pPr>
        <w:spacing w:after="8" w:line="231" w:lineRule="auto"/>
        <w:ind w:left="578" w:right="0"/>
        <w:jc w:val="left"/>
      </w:pPr>
      <w:r>
        <w:t>препаратов, устранение нерациональной терапии, а также внесения ключевых лабораторных параметров, необходимых для оценки клинического статуса пациента в соответствии с положениями «Алгоритмов специализированной по</w:t>
      </w:r>
      <w:r>
        <w:t>мощи»</w:t>
      </w:r>
    </w:p>
    <w:p w:rsidR="00D27BC6" w:rsidRDefault="004D5071">
      <w:pPr>
        <w:numPr>
          <w:ilvl w:val="1"/>
          <w:numId w:val="173"/>
        </w:numPr>
        <w:ind w:left="567" w:right="0" w:hanging="283"/>
      </w:pPr>
      <w:r>
        <w:rPr>
          <w:b/>
        </w:rPr>
        <w:t xml:space="preserve">Блок 2. </w:t>
      </w:r>
      <w:r>
        <w:t>Направлен на своевременную интенсификацию схемы терапии с учетом HbA1c текущего и предшествующего визитов и рекомендуемого темпа интенсификации терапии в соответствии с положениями «Алгоритмов специализированной помощи»</w:t>
      </w:r>
    </w:p>
    <w:p w:rsidR="00D27BC6" w:rsidRDefault="004D5071">
      <w:pPr>
        <w:numPr>
          <w:ilvl w:val="1"/>
          <w:numId w:val="173"/>
        </w:numPr>
        <w:ind w:left="567" w:right="0" w:hanging="283"/>
      </w:pPr>
      <w:r>
        <w:rPr>
          <w:b/>
        </w:rPr>
        <w:t>Блок 3.</w:t>
      </w:r>
      <w:r>
        <w:t xml:space="preserve"> Титрация дозы </w:t>
      </w:r>
      <w:r>
        <w:t xml:space="preserve">или отмена терапии в соответствии с инструкционными ограничениями по уровню СКФ, </w:t>
      </w:r>
    </w:p>
    <w:p w:rsidR="00D27BC6" w:rsidRDefault="004D5071">
      <w:pPr>
        <w:ind w:left="578" w:right="0"/>
      </w:pPr>
      <w:r>
        <w:t>направленный на повышение безопасности терапии</w:t>
      </w:r>
    </w:p>
    <w:p w:rsidR="00D27BC6" w:rsidRDefault="004D5071">
      <w:pPr>
        <w:numPr>
          <w:ilvl w:val="1"/>
          <w:numId w:val="173"/>
        </w:numPr>
        <w:ind w:left="567" w:right="0" w:hanging="283"/>
      </w:pPr>
      <w:r>
        <w:rPr>
          <w:b/>
        </w:rPr>
        <w:t xml:space="preserve">Блок 4. </w:t>
      </w:r>
      <w:r>
        <w:t>Назначение препаратов в зависимости от приоритетной клинической проблемы (АССЗ, СН, ХБП) – контроль назначений препаратов приоритетных классов (иНГЛТ-2 / арГПП-1) с доказанными преимуществами снижения сердечно-сосудистых и ренальных рисков у пациентов с по</w:t>
      </w:r>
      <w:r>
        <w:t xml:space="preserve">дтвержденными АССЗ, ХБП, СН или высоким сердечно-сосудистым риском </w:t>
      </w:r>
    </w:p>
    <w:p w:rsidR="00D27BC6" w:rsidRDefault="004D5071">
      <w:pPr>
        <w:numPr>
          <w:ilvl w:val="1"/>
          <w:numId w:val="173"/>
        </w:numPr>
        <w:ind w:left="567" w:right="0" w:hanging="283"/>
      </w:pPr>
      <w:r>
        <w:rPr>
          <w:b/>
        </w:rPr>
        <w:t xml:space="preserve">Блок 5. </w:t>
      </w:r>
      <w:r>
        <w:t>Калькулятор прогноза ХБП – прогнозирует риск развития через 5 лет снижения СКФ менее диагностического порога – 60 мл/мин/1.73 м</w:t>
      </w:r>
      <w:r>
        <w:rPr>
          <w:sz w:val="18"/>
          <w:vertAlign w:val="superscript"/>
        </w:rPr>
        <w:t>2</w:t>
      </w:r>
      <w:r>
        <w:t xml:space="preserve"> с расчетом % риска. Расчет калькулятора проводится </w:t>
      </w:r>
      <w:r>
        <w:t>при условии исходной СКФ в нормальном диапазоне СКФ=90–130 мл/мин/1,73 м</w:t>
      </w:r>
      <w:r>
        <w:rPr>
          <w:sz w:val="18"/>
          <w:vertAlign w:val="superscript"/>
        </w:rPr>
        <w:t>2</w:t>
      </w:r>
      <w:r>
        <w:t>. Калькулятор включает 6 предикторов ХБП при СД 1 типа (пол; возраст; ИМТ; наличие осложнений (инфаркт, кома, ретинопатия в анамнезе) и 11 предикторов при СД 2 типа (пол; возраст; ИМТ</w:t>
      </w:r>
      <w:r>
        <w:t>, HbA1c, общий холестерин, СКФ (текущего визита) наличие осложнений (инсульт, нейропатия, ампутация, ретинопатия) или онкологии в анамнезе). На основании введенных значений предикторов вычисляется вероятность развития снижения СКФ менее 60 мл/мин/1.73 м</w:t>
      </w:r>
      <w:r>
        <w:rPr>
          <w:sz w:val="18"/>
          <w:vertAlign w:val="superscript"/>
        </w:rPr>
        <w:t>2</w:t>
      </w:r>
      <w:r>
        <w:t xml:space="preserve"> ч</w:t>
      </w:r>
      <w:r>
        <w:t>ерез 5 лет и позиционируется степень риска: при результате от 50% до 100% – высокий риск, от 25% до 50% – средний риск, менее 25% – низкий риск развития ХБП. У пациентов с уже развившейся ХБП в данной строке СППР автоматически устанавливается стадия ХБП по</w:t>
      </w:r>
      <w:r>
        <w:t xml:space="preserve"> уровню СКФ.</w:t>
      </w:r>
      <w:r>
        <w:br w:type="page"/>
      </w:r>
    </w:p>
    <w:p w:rsidR="00D27BC6" w:rsidRDefault="004D5071">
      <w:pPr>
        <w:pStyle w:val="Heading1"/>
        <w:spacing w:after="175"/>
        <w:ind w:left="313" w:right="306"/>
      </w:pPr>
      <w:r>
        <w:t>28. ПРИЛОЖЕНИЯ</w:t>
      </w:r>
    </w:p>
    <w:p w:rsidR="00D27BC6" w:rsidRDefault="004D5071">
      <w:pPr>
        <w:spacing w:after="12"/>
        <w:ind w:left="290" w:right="278"/>
        <w:jc w:val="center"/>
      </w:pPr>
      <w:r>
        <w:rPr>
          <w:b/>
        </w:rPr>
        <w:t xml:space="preserve">ПРИЛОЖЕНИЕ 1.  </w:t>
      </w:r>
    </w:p>
    <w:p w:rsidR="00D27BC6" w:rsidRDefault="004D5071">
      <w:pPr>
        <w:spacing w:after="12"/>
        <w:ind w:left="290" w:right="278"/>
        <w:jc w:val="center"/>
      </w:pPr>
      <w:r>
        <w:rPr>
          <w:b/>
        </w:rPr>
        <w:t xml:space="preserve">ХАРАКТЕРИСТИКА ПРЕПАРАТОВ ИНСУЛИНА. </w:t>
      </w:r>
    </w:p>
    <w:p w:rsidR="00D27BC6" w:rsidRDefault="004D5071">
      <w:pPr>
        <w:ind w:left="2556" w:right="0"/>
      </w:pPr>
      <w:r>
        <w:rPr>
          <w:b/>
        </w:rPr>
        <w:t>(не все зарегистрированные препараты применяются)</w:t>
      </w:r>
    </w:p>
    <w:tbl>
      <w:tblPr>
        <w:tblStyle w:val="TableGrid"/>
        <w:tblW w:w="10191" w:type="dxa"/>
        <w:tblInd w:w="8" w:type="dxa"/>
        <w:tblCellMar>
          <w:top w:w="9" w:type="dxa"/>
          <w:left w:w="56" w:type="dxa"/>
          <w:bottom w:w="0" w:type="dxa"/>
          <w:right w:w="14" w:type="dxa"/>
        </w:tblCellMar>
        <w:tblLook w:val="04A0" w:firstRow="1" w:lastRow="0" w:firstColumn="1" w:lastColumn="0" w:noHBand="0" w:noVBand="1"/>
      </w:tblPr>
      <w:tblGrid>
        <w:gridCol w:w="2346"/>
        <w:gridCol w:w="2367"/>
        <w:gridCol w:w="2438"/>
        <w:gridCol w:w="1018"/>
        <w:gridCol w:w="1018"/>
        <w:gridCol w:w="1004"/>
      </w:tblGrid>
      <w:tr w:rsidR="00D27BC6">
        <w:trPr>
          <w:trHeight w:val="320"/>
        </w:trPr>
        <w:tc>
          <w:tcPr>
            <w:tcW w:w="2346"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Вид инсулина</w:t>
            </w:r>
          </w:p>
        </w:tc>
        <w:tc>
          <w:tcPr>
            <w:tcW w:w="2367"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Международное непатентованное наименование</w:t>
            </w:r>
          </w:p>
        </w:tc>
        <w:tc>
          <w:tcPr>
            <w:tcW w:w="2438" w:type="dxa"/>
            <w:vMerge w:val="restart"/>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36" w:lineRule="auto"/>
              <w:ind w:left="0" w:right="0" w:firstLine="0"/>
              <w:jc w:val="center"/>
            </w:pPr>
            <w:r>
              <w:rPr>
                <w:b/>
              </w:rPr>
              <w:t xml:space="preserve">Торговые наименования, </w:t>
            </w:r>
          </w:p>
          <w:p w:rsidR="00D27BC6" w:rsidRDefault="004D5071">
            <w:pPr>
              <w:spacing w:after="0" w:line="259" w:lineRule="auto"/>
              <w:ind w:left="108" w:right="68" w:firstLine="0"/>
              <w:jc w:val="center"/>
            </w:pPr>
            <w:r>
              <w:rPr>
                <w:b/>
              </w:rPr>
              <w:t>зарегистрированные в России</w:t>
            </w:r>
          </w:p>
        </w:tc>
        <w:tc>
          <w:tcPr>
            <w:tcW w:w="3040" w:type="dxa"/>
            <w:gridSpan w:val="3"/>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center"/>
            </w:pPr>
            <w:r>
              <w:rPr>
                <w:b/>
              </w:rPr>
              <w:t>Действие</w:t>
            </w:r>
          </w:p>
        </w:tc>
      </w:tr>
      <w:tr w:rsidR="00D27BC6">
        <w:trPr>
          <w:trHeight w:val="72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1018"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122" w:right="0" w:firstLine="0"/>
              <w:jc w:val="left"/>
            </w:pPr>
            <w:r>
              <w:rPr>
                <w:b/>
              </w:rPr>
              <w:t>начало</w:t>
            </w:r>
          </w:p>
        </w:tc>
        <w:tc>
          <w:tcPr>
            <w:tcW w:w="1018"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пик</w:t>
            </w:r>
          </w:p>
        </w:tc>
        <w:tc>
          <w:tcPr>
            <w:tcW w:w="100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31" w:right="0" w:firstLine="0"/>
            </w:pPr>
            <w:r>
              <w:rPr>
                <w:b/>
              </w:rPr>
              <w:t>длитель-</w:t>
            </w:r>
          </w:p>
          <w:p w:rsidR="00D27BC6" w:rsidRDefault="004D5071">
            <w:pPr>
              <w:spacing w:after="0" w:line="259" w:lineRule="auto"/>
              <w:ind w:left="0" w:right="0" w:firstLine="0"/>
              <w:jc w:val="center"/>
            </w:pPr>
            <w:r>
              <w:rPr>
                <w:b/>
              </w:rPr>
              <w:t>ность</w:t>
            </w:r>
          </w:p>
        </w:tc>
      </w:tr>
      <w:tr w:rsidR="00D27BC6">
        <w:trPr>
          <w:trHeight w:val="1040"/>
        </w:trPr>
        <w:tc>
          <w:tcPr>
            <w:tcW w:w="2346"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Сверхбыстрого действия (аналоги инсулина человека)</w:t>
            </w:r>
          </w:p>
        </w:tc>
        <w:tc>
          <w:tcPr>
            <w:tcW w:w="236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Инсулин аспарт (имеющий в составе вспомогательное вещество никотинамид)</w:t>
            </w:r>
          </w:p>
        </w:tc>
        <w:tc>
          <w:tcPr>
            <w:tcW w:w="2438"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312"/>
              </w:numPr>
              <w:spacing w:after="0" w:line="259" w:lineRule="auto"/>
              <w:ind w:right="0" w:hanging="170"/>
              <w:jc w:val="left"/>
            </w:pPr>
            <w:r>
              <w:t>Фиасп</w:t>
            </w:r>
          </w:p>
          <w:p w:rsidR="00D27BC6" w:rsidRDefault="004D5071">
            <w:pPr>
              <w:numPr>
                <w:ilvl w:val="0"/>
                <w:numId w:val="312"/>
              </w:numPr>
              <w:spacing w:after="0" w:line="259" w:lineRule="auto"/>
              <w:ind w:right="0" w:hanging="170"/>
              <w:jc w:val="left"/>
            </w:pPr>
            <w:r>
              <w:t>РинФаст Ник</w:t>
            </w:r>
          </w:p>
        </w:tc>
        <w:tc>
          <w:tcPr>
            <w:tcW w:w="1018"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через 1–10 мин</w:t>
            </w:r>
          </w:p>
        </w:tc>
        <w:tc>
          <w:tcPr>
            <w:tcW w:w="1018"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через 45–90 мин</w:t>
            </w:r>
          </w:p>
        </w:tc>
        <w:tc>
          <w:tcPr>
            <w:tcW w:w="1004"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3–5 ч</w:t>
            </w:r>
          </w:p>
        </w:tc>
      </w:tr>
      <w:tr w:rsidR="00D27BC6">
        <w:trPr>
          <w:trHeight w:val="152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6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Инсулин лизпро </w:t>
            </w:r>
          </w:p>
          <w:p w:rsidR="00D27BC6" w:rsidRDefault="004D5071">
            <w:pPr>
              <w:spacing w:after="0" w:line="259" w:lineRule="auto"/>
              <w:ind w:left="0" w:right="0" w:firstLine="0"/>
              <w:jc w:val="left"/>
            </w:pPr>
            <w:r>
              <w:t xml:space="preserve">100 ЕД/мл </w:t>
            </w:r>
          </w:p>
          <w:p w:rsidR="00D27BC6" w:rsidRDefault="004D5071">
            <w:pPr>
              <w:spacing w:after="0" w:line="259" w:lineRule="auto"/>
              <w:ind w:left="0" w:right="131" w:firstLine="0"/>
              <w:jc w:val="left"/>
            </w:pPr>
            <w:r>
              <w:t>(имеющий в составе вспомогательное вещество трепростинил)</w:t>
            </w:r>
          </w:p>
        </w:tc>
        <w:tc>
          <w:tcPr>
            <w:tcW w:w="2438"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313"/>
              </w:numPr>
              <w:spacing w:after="0" w:line="259" w:lineRule="auto"/>
              <w:ind w:right="0" w:hanging="170"/>
              <w:jc w:val="left"/>
            </w:pPr>
            <w:r>
              <w:t>Люмжев</w:t>
            </w:r>
          </w:p>
          <w:p w:rsidR="00D27BC6" w:rsidRDefault="004D5071">
            <w:pPr>
              <w:numPr>
                <w:ilvl w:val="0"/>
                <w:numId w:val="313"/>
              </w:numPr>
              <w:spacing w:after="0" w:line="259" w:lineRule="auto"/>
              <w:ind w:right="0" w:hanging="170"/>
              <w:jc w:val="left"/>
            </w:pPr>
            <w:r>
              <w:t>РинЛиз Рапид 100</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r>
      <w:tr w:rsidR="00D27BC6">
        <w:trPr>
          <w:trHeight w:val="128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36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Инсулин лизпро </w:t>
            </w:r>
          </w:p>
          <w:p w:rsidR="00D27BC6" w:rsidRDefault="004D5071">
            <w:pPr>
              <w:spacing w:after="4" w:line="259" w:lineRule="auto"/>
              <w:ind w:left="0" w:right="0" w:firstLine="0"/>
              <w:jc w:val="left"/>
            </w:pPr>
            <w:r>
              <w:t>200 ЕД/мл</w:t>
            </w:r>
            <w:r>
              <w:rPr>
                <w:sz w:val="18"/>
                <w:vertAlign w:val="superscript"/>
              </w:rPr>
              <w:t>1</w:t>
            </w:r>
          </w:p>
          <w:p w:rsidR="00D27BC6" w:rsidRDefault="004D5071">
            <w:pPr>
              <w:spacing w:after="0" w:line="259" w:lineRule="auto"/>
              <w:ind w:left="0" w:right="0" w:firstLine="0"/>
              <w:jc w:val="left"/>
            </w:pPr>
            <w:r>
              <w:t>(имеющий в составе вспомогательное вещество трепростинил)</w:t>
            </w:r>
          </w:p>
        </w:tc>
        <w:tc>
          <w:tcPr>
            <w:tcW w:w="2438"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314"/>
              </w:numPr>
              <w:spacing w:after="0" w:line="259" w:lineRule="auto"/>
              <w:ind w:right="0" w:hanging="170"/>
              <w:jc w:val="left"/>
            </w:pPr>
            <w:r>
              <w:t>Люмжев 200</w:t>
            </w:r>
          </w:p>
          <w:p w:rsidR="00D27BC6" w:rsidRDefault="004D5071">
            <w:pPr>
              <w:numPr>
                <w:ilvl w:val="0"/>
                <w:numId w:val="314"/>
              </w:numPr>
              <w:spacing w:after="0" w:line="259" w:lineRule="auto"/>
              <w:ind w:right="0" w:hanging="170"/>
              <w:jc w:val="left"/>
            </w:pPr>
            <w:r>
              <w:t>РинЛиз Рапид 200</w:t>
            </w: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1108"/>
        </w:trPr>
        <w:tc>
          <w:tcPr>
            <w:tcW w:w="2346"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36" w:lineRule="auto"/>
              <w:ind w:left="0" w:right="0" w:firstLine="0"/>
              <w:jc w:val="left"/>
            </w:pPr>
            <w:r>
              <w:t xml:space="preserve">Ультракороткого действия </w:t>
            </w:r>
          </w:p>
          <w:p w:rsidR="00D27BC6" w:rsidRDefault="004D5071">
            <w:pPr>
              <w:spacing w:after="0" w:line="259" w:lineRule="auto"/>
              <w:ind w:left="0" w:right="0" w:firstLine="0"/>
              <w:jc w:val="left"/>
            </w:pPr>
            <w:r>
              <w:t>(аналоги инсулина человека)</w:t>
            </w:r>
          </w:p>
        </w:tc>
        <w:tc>
          <w:tcPr>
            <w:tcW w:w="236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83" w:firstLine="0"/>
              <w:jc w:val="left"/>
            </w:pPr>
            <w:r>
              <w:t>Инсулин лизпро 100 ЕД/мл</w:t>
            </w:r>
          </w:p>
        </w:tc>
        <w:tc>
          <w:tcPr>
            <w:tcW w:w="243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15"/>
              </w:numPr>
              <w:spacing w:after="0" w:line="259" w:lineRule="auto"/>
              <w:ind w:right="0" w:hanging="170"/>
              <w:jc w:val="left"/>
            </w:pPr>
            <w:r>
              <w:t>Хумалог</w:t>
            </w:r>
          </w:p>
          <w:p w:rsidR="00D27BC6" w:rsidRDefault="004D5071">
            <w:pPr>
              <w:numPr>
                <w:ilvl w:val="0"/>
                <w:numId w:val="315"/>
              </w:numPr>
              <w:spacing w:after="0" w:line="259" w:lineRule="auto"/>
              <w:ind w:right="0" w:hanging="170"/>
              <w:jc w:val="left"/>
            </w:pPr>
            <w:r>
              <w:t>Инсулин лизпро</w:t>
            </w:r>
          </w:p>
          <w:p w:rsidR="00D27BC6" w:rsidRDefault="004D5071">
            <w:pPr>
              <w:numPr>
                <w:ilvl w:val="0"/>
                <w:numId w:val="315"/>
              </w:numPr>
              <w:spacing w:after="0" w:line="259" w:lineRule="auto"/>
              <w:ind w:right="0" w:hanging="170"/>
              <w:jc w:val="left"/>
            </w:pPr>
            <w:r>
              <w:t>РинЛиз</w:t>
            </w:r>
          </w:p>
          <w:p w:rsidR="00D27BC6" w:rsidRDefault="004D5071">
            <w:pPr>
              <w:numPr>
                <w:ilvl w:val="0"/>
                <w:numId w:val="315"/>
              </w:numPr>
              <w:spacing w:after="0" w:line="259" w:lineRule="auto"/>
              <w:ind w:right="0" w:hanging="170"/>
              <w:jc w:val="left"/>
            </w:pPr>
            <w:r>
              <w:t>Бужетон</w:t>
            </w:r>
          </w:p>
        </w:tc>
        <w:tc>
          <w:tcPr>
            <w:tcW w:w="1018"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через 5–15 мин</w:t>
            </w:r>
          </w:p>
        </w:tc>
        <w:tc>
          <w:tcPr>
            <w:tcW w:w="1018"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53" w:firstLine="0"/>
              <w:jc w:val="left"/>
            </w:pPr>
            <w:r>
              <w:t>через 1–2 ч</w:t>
            </w:r>
          </w:p>
        </w:tc>
        <w:tc>
          <w:tcPr>
            <w:tcW w:w="1004"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4–5 ч</w:t>
            </w:r>
          </w:p>
        </w:tc>
      </w:tr>
      <w:tr w:rsidR="00D27BC6">
        <w:trPr>
          <w:trHeight w:val="80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6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83" w:firstLine="0"/>
              <w:jc w:val="left"/>
            </w:pPr>
            <w:r>
              <w:t>Инсулин лизпро 200 ЕД/мл</w:t>
            </w:r>
            <w:r>
              <w:rPr>
                <w:sz w:val="18"/>
                <w:vertAlign w:val="superscript"/>
              </w:rPr>
              <w:t>1</w:t>
            </w:r>
          </w:p>
        </w:tc>
        <w:tc>
          <w:tcPr>
            <w:tcW w:w="243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РинЛиз 200</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r>
      <w:tr w:rsidR="00D27BC6">
        <w:trPr>
          <w:trHeight w:val="845"/>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6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Инсулин аспарт</w:t>
            </w:r>
          </w:p>
        </w:tc>
        <w:tc>
          <w:tcPr>
            <w:tcW w:w="243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16"/>
              </w:numPr>
              <w:spacing w:after="0" w:line="259" w:lineRule="auto"/>
              <w:ind w:right="0" w:hanging="170"/>
              <w:jc w:val="left"/>
            </w:pPr>
            <w:r>
              <w:t>НовоРапид</w:t>
            </w:r>
          </w:p>
          <w:p w:rsidR="00D27BC6" w:rsidRDefault="004D5071">
            <w:pPr>
              <w:numPr>
                <w:ilvl w:val="0"/>
                <w:numId w:val="316"/>
              </w:numPr>
              <w:spacing w:after="0" w:line="259" w:lineRule="auto"/>
              <w:ind w:right="0" w:hanging="170"/>
              <w:jc w:val="left"/>
            </w:pPr>
            <w:r>
              <w:t>РинФаст</w:t>
            </w:r>
          </w:p>
          <w:p w:rsidR="00D27BC6" w:rsidRDefault="004D5071">
            <w:pPr>
              <w:numPr>
                <w:ilvl w:val="0"/>
                <w:numId w:val="316"/>
              </w:numPr>
              <w:spacing w:after="0" w:line="259" w:lineRule="auto"/>
              <w:ind w:right="0" w:hanging="170"/>
              <w:jc w:val="left"/>
            </w:pPr>
            <w:r>
              <w:t>Росинсулин аспарт Р</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r>
      <w:tr w:rsidR="00D27BC6">
        <w:trPr>
          <w:trHeight w:val="80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36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Инсулин глулизин</w:t>
            </w:r>
          </w:p>
        </w:tc>
        <w:tc>
          <w:tcPr>
            <w:tcW w:w="2438"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317"/>
              </w:numPr>
              <w:spacing w:after="0" w:line="259" w:lineRule="auto"/>
              <w:ind w:right="0" w:hanging="170"/>
              <w:jc w:val="left"/>
            </w:pPr>
            <w:r>
              <w:t>Апидра</w:t>
            </w:r>
          </w:p>
          <w:p w:rsidR="00D27BC6" w:rsidRDefault="004D5071">
            <w:pPr>
              <w:numPr>
                <w:ilvl w:val="0"/>
                <w:numId w:val="317"/>
              </w:numPr>
              <w:spacing w:after="0" w:line="259" w:lineRule="auto"/>
              <w:ind w:right="0" w:hanging="170"/>
              <w:jc w:val="left"/>
            </w:pPr>
            <w:r>
              <w:t>РинГлузин</w:t>
            </w: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2159"/>
        </w:trPr>
        <w:tc>
          <w:tcPr>
            <w:tcW w:w="234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Короткого действия</w:t>
            </w:r>
          </w:p>
        </w:tc>
        <w:tc>
          <w:tcPr>
            <w:tcW w:w="236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Инсулин растворимый человеческий генноинженерный</w:t>
            </w:r>
          </w:p>
        </w:tc>
        <w:tc>
          <w:tcPr>
            <w:tcW w:w="243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18"/>
              </w:numPr>
              <w:spacing w:after="0" w:line="259" w:lineRule="auto"/>
              <w:ind w:right="0" w:hanging="170"/>
              <w:jc w:val="left"/>
            </w:pPr>
            <w:r>
              <w:t>Актрапид НМ</w:t>
            </w:r>
          </w:p>
          <w:p w:rsidR="00D27BC6" w:rsidRDefault="004D5071">
            <w:pPr>
              <w:numPr>
                <w:ilvl w:val="0"/>
                <w:numId w:val="318"/>
              </w:numPr>
              <w:spacing w:after="0" w:line="259" w:lineRule="auto"/>
              <w:ind w:right="0" w:hanging="170"/>
              <w:jc w:val="left"/>
            </w:pPr>
            <w:r>
              <w:t>Хумулин Регуляр</w:t>
            </w:r>
          </w:p>
          <w:p w:rsidR="00D27BC6" w:rsidRDefault="004D5071">
            <w:pPr>
              <w:numPr>
                <w:ilvl w:val="0"/>
                <w:numId w:val="318"/>
              </w:numPr>
              <w:spacing w:after="0" w:line="259" w:lineRule="auto"/>
              <w:ind w:right="0" w:hanging="170"/>
              <w:jc w:val="left"/>
            </w:pPr>
            <w:r>
              <w:t>Биосулин Р</w:t>
            </w:r>
          </w:p>
          <w:p w:rsidR="00D27BC6" w:rsidRDefault="004D5071">
            <w:pPr>
              <w:numPr>
                <w:ilvl w:val="0"/>
                <w:numId w:val="318"/>
              </w:numPr>
              <w:spacing w:after="0" w:line="259" w:lineRule="auto"/>
              <w:ind w:right="0" w:hanging="170"/>
              <w:jc w:val="left"/>
            </w:pPr>
            <w:r>
              <w:t>Генсулин Р</w:t>
            </w:r>
          </w:p>
          <w:p w:rsidR="00D27BC6" w:rsidRDefault="004D5071">
            <w:pPr>
              <w:numPr>
                <w:ilvl w:val="0"/>
                <w:numId w:val="318"/>
              </w:numPr>
              <w:spacing w:after="0" w:line="259" w:lineRule="auto"/>
              <w:ind w:right="0" w:hanging="170"/>
              <w:jc w:val="left"/>
            </w:pPr>
            <w:r>
              <w:t>Ринсулин Р</w:t>
            </w:r>
          </w:p>
          <w:p w:rsidR="00D27BC6" w:rsidRDefault="004D5071">
            <w:pPr>
              <w:numPr>
                <w:ilvl w:val="0"/>
                <w:numId w:val="318"/>
              </w:numPr>
              <w:spacing w:after="0" w:line="259" w:lineRule="auto"/>
              <w:ind w:right="0" w:hanging="170"/>
              <w:jc w:val="left"/>
            </w:pPr>
            <w:r>
              <w:t>Росинсулин Р Медсинтез</w:t>
            </w:r>
          </w:p>
          <w:p w:rsidR="00D27BC6" w:rsidRDefault="004D5071">
            <w:pPr>
              <w:numPr>
                <w:ilvl w:val="0"/>
                <w:numId w:val="318"/>
              </w:numPr>
              <w:spacing w:after="0" w:line="259" w:lineRule="auto"/>
              <w:ind w:right="0" w:hanging="170"/>
              <w:jc w:val="left"/>
            </w:pPr>
            <w:r>
              <w:t>Возулим-Р</w:t>
            </w:r>
          </w:p>
          <w:p w:rsidR="00D27BC6" w:rsidRDefault="004D5071">
            <w:pPr>
              <w:numPr>
                <w:ilvl w:val="0"/>
                <w:numId w:val="318"/>
              </w:numPr>
              <w:spacing w:after="0" w:line="259" w:lineRule="auto"/>
              <w:ind w:right="0" w:hanging="170"/>
              <w:jc w:val="left"/>
            </w:pPr>
            <w:r>
              <w:t>Моноинсулин ЧР</w:t>
            </w:r>
          </w:p>
        </w:tc>
        <w:tc>
          <w:tcPr>
            <w:tcW w:w="101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через 20–30 мин</w:t>
            </w:r>
          </w:p>
        </w:tc>
        <w:tc>
          <w:tcPr>
            <w:tcW w:w="101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53" w:firstLine="0"/>
              <w:jc w:val="left"/>
            </w:pPr>
            <w:r>
              <w:t>через 2–4 ч</w:t>
            </w:r>
          </w:p>
        </w:tc>
        <w:tc>
          <w:tcPr>
            <w:tcW w:w="100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5–6 ч</w:t>
            </w:r>
          </w:p>
        </w:tc>
      </w:tr>
      <w:tr w:rsidR="00D27BC6">
        <w:trPr>
          <w:trHeight w:val="2399"/>
        </w:trPr>
        <w:tc>
          <w:tcPr>
            <w:tcW w:w="234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Cредней продолжительности действия</w:t>
            </w:r>
            <w:r>
              <w:rPr>
                <w:sz w:val="18"/>
                <w:vertAlign w:val="superscript"/>
              </w:rPr>
              <w:t>2</w:t>
            </w:r>
          </w:p>
        </w:tc>
        <w:tc>
          <w:tcPr>
            <w:tcW w:w="236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Инсулинизофан человеческий генноинженерный</w:t>
            </w:r>
          </w:p>
        </w:tc>
        <w:tc>
          <w:tcPr>
            <w:tcW w:w="2438"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19"/>
              </w:numPr>
              <w:spacing w:after="0" w:line="259" w:lineRule="auto"/>
              <w:ind w:right="0" w:hanging="170"/>
              <w:jc w:val="left"/>
            </w:pPr>
            <w:r>
              <w:t>Протафан HM</w:t>
            </w:r>
          </w:p>
          <w:p w:rsidR="00D27BC6" w:rsidRDefault="004D5071">
            <w:pPr>
              <w:numPr>
                <w:ilvl w:val="0"/>
                <w:numId w:val="319"/>
              </w:numPr>
              <w:spacing w:after="0" w:line="259" w:lineRule="auto"/>
              <w:ind w:right="0" w:hanging="170"/>
              <w:jc w:val="left"/>
            </w:pPr>
            <w:r>
              <w:t>Хумулин НПХ</w:t>
            </w:r>
          </w:p>
          <w:p w:rsidR="00D27BC6" w:rsidRDefault="004D5071">
            <w:pPr>
              <w:numPr>
                <w:ilvl w:val="0"/>
                <w:numId w:val="319"/>
              </w:numPr>
              <w:spacing w:after="0" w:line="259" w:lineRule="auto"/>
              <w:ind w:right="0" w:hanging="170"/>
              <w:jc w:val="left"/>
            </w:pPr>
            <w:r>
              <w:t>Биосулин Н</w:t>
            </w:r>
          </w:p>
          <w:p w:rsidR="00D27BC6" w:rsidRDefault="004D5071">
            <w:pPr>
              <w:numPr>
                <w:ilvl w:val="0"/>
                <w:numId w:val="319"/>
              </w:numPr>
              <w:spacing w:after="0" w:line="259" w:lineRule="auto"/>
              <w:ind w:right="0" w:hanging="170"/>
              <w:jc w:val="left"/>
            </w:pPr>
            <w:r>
              <w:t>Генсулин Н</w:t>
            </w:r>
          </w:p>
          <w:p w:rsidR="00D27BC6" w:rsidRDefault="004D5071">
            <w:pPr>
              <w:numPr>
                <w:ilvl w:val="0"/>
                <w:numId w:val="319"/>
              </w:numPr>
              <w:spacing w:after="0" w:line="259" w:lineRule="auto"/>
              <w:ind w:right="0" w:hanging="170"/>
              <w:jc w:val="left"/>
            </w:pPr>
            <w:r>
              <w:t>Ринсулин НПХ</w:t>
            </w:r>
          </w:p>
          <w:p w:rsidR="00D27BC6" w:rsidRDefault="004D5071">
            <w:pPr>
              <w:numPr>
                <w:ilvl w:val="0"/>
                <w:numId w:val="319"/>
              </w:numPr>
              <w:spacing w:after="23" w:line="236" w:lineRule="auto"/>
              <w:ind w:right="0" w:hanging="170"/>
              <w:jc w:val="left"/>
            </w:pPr>
            <w:r>
              <w:t>Росинсулин С Медсинтез</w:t>
            </w:r>
          </w:p>
          <w:p w:rsidR="00D27BC6" w:rsidRDefault="004D5071">
            <w:pPr>
              <w:numPr>
                <w:ilvl w:val="0"/>
                <w:numId w:val="319"/>
              </w:numPr>
              <w:spacing w:after="0" w:line="259" w:lineRule="auto"/>
              <w:ind w:right="0" w:hanging="170"/>
              <w:jc w:val="left"/>
            </w:pPr>
            <w:r>
              <w:t>Возулим-Н</w:t>
            </w:r>
          </w:p>
          <w:p w:rsidR="00D27BC6" w:rsidRDefault="004D5071">
            <w:pPr>
              <w:numPr>
                <w:ilvl w:val="0"/>
                <w:numId w:val="319"/>
              </w:numPr>
              <w:spacing w:after="0" w:line="259" w:lineRule="auto"/>
              <w:ind w:right="0" w:hanging="170"/>
              <w:jc w:val="left"/>
            </w:pPr>
            <w:r>
              <w:t>Протамин-инсулин ЧС</w:t>
            </w:r>
          </w:p>
        </w:tc>
        <w:tc>
          <w:tcPr>
            <w:tcW w:w="101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через 2 ч</w:t>
            </w:r>
          </w:p>
        </w:tc>
        <w:tc>
          <w:tcPr>
            <w:tcW w:w="101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через 6–10 ч</w:t>
            </w:r>
          </w:p>
        </w:tc>
        <w:tc>
          <w:tcPr>
            <w:tcW w:w="100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12–16 ч</w:t>
            </w:r>
          </w:p>
        </w:tc>
      </w:tr>
      <w:tr w:rsidR="00D27BC6">
        <w:trPr>
          <w:trHeight w:val="320"/>
        </w:trPr>
        <w:tc>
          <w:tcPr>
            <w:tcW w:w="2346"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42" w:firstLine="0"/>
              <w:jc w:val="center"/>
            </w:pPr>
            <w:r>
              <w:rPr>
                <w:b/>
              </w:rPr>
              <w:t>Вид инсулина</w:t>
            </w:r>
          </w:p>
        </w:tc>
        <w:tc>
          <w:tcPr>
            <w:tcW w:w="2367" w:type="dxa"/>
            <w:vMerge w:val="restart"/>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Международное непатентованное наименование</w:t>
            </w:r>
          </w:p>
        </w:tc>
        <w:tc>
          <w:tcPr>
            <w:tcW w:w="2438" w:type="dxa"/>
            <w:vMerge w:val="restart"/>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36" w:lineRule="auto"/>
              <w:ind w:left="0" w:right="0" w:firstLine="0"/>
              <w:jc w:val="center"/>
            </w:pPr>
            <w:r>
              <w:rPr>
                <w:b/>
              </w:rPr>
              <w:t xml:space="preserve">Торговые наименования, </w:t>
            </w:r>
          </w:p>
          <w:p w:rsidR="00D27BC6" w:rsidRDefault="004D5071">
            <w:pPr>
              <w:spacing w:after="0" w:line="259" w:lineRule="auto"/>
              <w:ind w:left="108" w:right="110" w:firstLine="0"/>
              <w:jc w:val="center"/>
            </w:pPr>
            <w:r>
              <w:rPr>
                <w:b/>
              </w:rPr>
              <w:t>зарегистрированные в России</w:t>
            </w:r>
          </w:p>
        </w:tc>
        <w:tc>
          <w:tcPr>
            <w:tcW w:w="3040" w:type="dxa"/>
            <w:gridSpan w:val="3"/>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3" w:firstLine="0"/>
              <w:jc w:val="center"/>
            </w:pPr>
            <w:r>
              <w:rPr>
                <w:b/>
              </w:rPr>
              <w:t>Действие</w:t>
            </w:r>
          </w:p>
        </w:tc>
      </w:tr>
      <w:tr w:rsidR="00D27BC6">
        <w:trPr>
          <w:trHeight w:val="72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1018"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122" w:right="0" w:firstLine="0"/>
              <w:jc w:val="left"/>
            </w:pPr>
            <w:r>
              <w:rPr>
                <w:b/>
              </w:rPr>
              <w:t>начало</w:t>
            </w:r>
          </w:p>
        </w:tc>
        <w:tc>
          <w:tcPr>
            <w:tcW w:w="1018"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43" w:firstLine="0"/>
              <w:jc w:val="center"/>
            </w:pPr>
            <w:r>
              <w:rPr>
                <w:b/>
              </w:rPr>
              <w:t>пик</w:t>
            </w:r>
          </w:p>
        </w:tc>
        <w:tc>
          <w:tcPr>
            <w:tcW w:w="100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31" w:right="0" w:firstLine="0"/>
            </w:pPr>
            <w:r>
              <w:rPr>
                <w:b/>
              </w:rPr>
              <w:t>длитель-</w:t>
            </w:r>
          </w:p>
          <w:p w:rsidR="00D27BC6" w:rsidRDefault="004D5071">
            <w:pPr>
              <w:spacing w:after="0" w:line="259" w:lineRule="auto"/>
              <w:ind w:left="0" w:right="43" w:firstLine="0"/>
              <w:jc w:val="center"/>
            </w:pPr>
            <w:r>
              <w:rPr>
                <w:b/>
              </w:rPr>
              <w:t>ность</w:t>
            </w:r>
          </w:p>
        </w:tc>
      </w:tr>
      <w:tr w:rsidR="00D27BC6">
        <w:trPr>
          <w:trHeight w:val="1775"/>
        </w:trPr>
        <w:tc>
          <w:tcPr>
            <w:tcW w:w="2346"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Длительного действия (аналоги инсулина человека)</w:t>
            </w:r>
          </w:p>
        </w:tc>
        <w:tc>
          <w:tcPr>
            <w:tcW w:w="236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74" w:firstLine="0"/>
              <w:jc w:val="left"/>
            </w:pPr>
            <w:r>
              <w:t>Инсулин гларгин 100 ЕД/мл</w:t>
            </w:r>
          </w:p>
        </w:tc>
        <w:tc>
          <w:tcPr>
            <w:tcW w:w="2438"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320"/>
              </w:numPr>
              <w:spacing w:after="0" w:line="259" w:lineRule="auto"/>
              <w:ind w:right="0" w:hanging="170"/>
              <w:jc w:val="left"/>
            </w:pPr>
            <w:r>
              <w:t>Лантус</w:t>
            </w:r>
          </w:p>
          <w:p w:rsidR="00D27BC6" w:rsidRDefault="004D5071">
            <w:pPr>
              <w:numPr>
                <w:ilvl w:val="0"/>
                <w:numId w:val="320"/>
              </w:numPr>
              <w:spacing w:after="0" w:line="259" w:lineRule="auto"/>
              <w:ind w:right="0" w:hanging="170"/>
              <w:jc w:val="left"/>
            </w:pPr>
            <w:r>
              <w:t>Инсулин гларгин</w:t>
            </w:r>
          </w:p>
          <w:p w:rsidR="00D27BC6" w:rsidRDefault="004D5071">
            <w:pPr>
              <w:numPr>
                <w:ilvl w:val="0"/>
                <w:numId w:val="320"/>
              </w:numPr>
              <w:spacing w:after="0" w:line="259" w:lineRule="auto"/>
              <w:ind w:right="0" w:hanging="170"/>
              <w:jc w:val="left"/>
            </w:pPr>
            <w:r>
              <w:t>РинГлар</w:t>
            </w:r>
          </w:p>
          <w:p w:rsidR="00D27BC6" w:rsidRDefault="004D5071">
            <w:pPr>
              <w:numPr>
                <w:ilvl w:val="0"/>
                <w:numId w:val="320"/>
              </w:numPr>
              <w:spacing w:after="0" w:line="259" w:lineRule="auto"/>
              <w:ind w:right="0" w:hanging="170"/>
              <w:jc w:val="left"/>
            </w:pPr>
            <w:r>
              <w:t>Базаглар</w:t>
            </w:r>
          </w:p>
          <w:p w:rsidR="00D27BC6" w:rsidRDefault="004D5071">
            <w:pPr>
              <w:numPr>
                <w:ilvl w:val="0"/>
                <w:numId w:val="320"/>
              </w:numPr>
              <w:spacing w:after="0" w:line="259" w:lineRule="auto"/>
              <w:ind w:right="0" w:hanging="170"/>
              <w:jc w:val="left"/>
            </w:pPr>
            <w:r>
              <w:t>Росинсулин гларгин</w:t>
            </w:r>
          </w:p>
          <w:p w:rsidR="00D27BC6" w:rsidRDefault="004D5071">
            <w:pPr>
              <w:numPr>
                <w:ilvl w:val="0"/>
                <w:numId w:val="320"/>
              </w:numPr>
              <w:spacing w:after="0" w:line="259" w:lineRule="auto"/>
              <w:ind w:right="0" w:hanging="170"/>
              <w:jc w:val="left"/>
            </w:pPr>
            <w:r>
              <w:t>Гларитус</w:t>
            </w:r>
          </w:p>
        </w:tc>
        <w:tc>
          <w:tcPr>
            <w:tcW w:w="1018"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96" w:firstLine="0"/>
              <w:jc w:val="left"/>
            </w:pPr>
            <w:r>
              <w:t>через 1–2 ч</w:t>
            </w:r>
          </w:p>
        </w:tc>
        <w:tc>
          <w:tcPr>
            <w:tcW w:w="1018"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не вы- ражен</w:t>
            </w:r>
          </w:p>
        </w:tc>
        <w:tc>
          <w:tcPr>
            <w:tcW w:w="100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до 29 ч</w:t>
            </w:r>
          </w:p>
        </w:tc>
      </w:tr>
      <w:tr w:rsidR="00D27BC6">
        <w:trPr>
          <w:trHeight w:val="1633"/>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6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74" w:firstLine="0"/>
              <w:jc w:val="left"/>
            </w:pPr>
            <w:r>
              <w:t>Инсулин гларгин 300 ЕД/мл</w:t>
            </w:r>
          </w:p>
        </w:tc>
        <w:tc>
          <w:tcPr>
            <w:tcW w:w="2438"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321"/>
              </w:numPr>
              <w:spacing w:after="0" w:line="259" w:lineRule="auto"/>
              <w:ind w:right="0" w:hanging="170"/>
              <w:jc w:val="left"/>
            </w:pPr>
            <w:r>
              <w:t>Туджео</w:t>
            </w:r>
          </w:p>
          <w:p w:rsidR="00D27BC6" w:rsidRDefault="004D5071">
            <w:pPr>
              <w:numPr>
                <w:ilvl w:val="0"/>
                <w:numId w:val="321"/>
              </w:numPr>
              <w:spacing w:after="0" w:line="259" w:lineRule="auto"/>
              <w:ind w:right="0" w:hanging="170"/>
              <w:jc w:val="left"/>
            </w:pPr>
            <w:r>
              <w:t>Росинсулин гларгин 300</w:t>
            </w:r>
          </w:p>
          <w:p w:rsidR="00D27BC6" w:rsidRDefault="004D5071">
            <w:pPr>
              <w:numPr>
                <w:ilvl w:val="0"/>
                <w:numId w:val="321"/>
              </w:numPr>
              <w:spacing w:after="0" w:line="259" w:lineRule="auto"/>
              <w:ind w:right="0" w:hanging="170"/>
              <w:jc w:val="left"/>
            </w:pPr>
            <w:r>
              <w:t>РинГлар 300</w:t>
            </w: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100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до 36 ч</w:t>
            </w:r>
          </w:p>
        </w:tc>
      </w:tr>
      <w:tr w:rsidR="00D27BC6">
        <w:trPr>
          <w:trHeight w:val="462"/>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36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Инсулин детемир</w:t>
            </w:r>
          </w:p>
        </w:tc>
        <w:tc>
          <w:tcPr>
            <w:tcW w:w="243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Левемир</w:t>
            </w: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100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до 24 ч</w:t>
            </w:r>
          </w:p>
        </w:tc>
      </w:tr>
      <w:tr w:rsidR="00D27BC6">
        <w:trPr>
          <w:trHeight w:val="1760"/>
        </w:trPr>
        <w:tc>
          <w:tcPr>
            <w:tcW w:w="234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36" w:lineRule="auto"/>
              <w:ind w:left="0" w:right="0" w:firstLine="0"/>
              <w:jc w:val="left"/>
            </w:pPr>
            <w:r>
              <w:t xml:space="preserve">Сверхдлительного действия </w:t>
            </w:r>
          </w:p>
          <w:p w:rsidR="00D27BC6" w:rsidRDefault="004D5071">
            <w:pPr>
              <w:spacing w:after="0" w:line="259" w:lineRule="auto"/>
              <w:ind w:left="0" w:right="0" w:firstLine="0"/>
              <w:jc w:val="left"/>
            </w:pPr>
            <w:r>
              <w:t>(аналоги инсулина человека)</w:t>
            </w:r>
          </w:p>
        </w:tc>
        <w:tc>
          <w:tcPr>
            <w:tcW w:w="236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Инсулин деглудек</w:t>
            </w:r>
          </w:p>
        </w:tc>
        <w:tc>
          <w:tcPr>
            <w:tcW w:w="243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 </w:t>
            </w:r>
            <w:r>
              <w:t>Тресиба</w:t>
            </w:r>
          </w:p>
        </w:tc>
        <w:tc>
          <w:tcPr>
            <w:tcW w:w="101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через 30–90 мин</w:t>
            </w:r>
          </w:p>
        </w:tc>
        <w:tc>
          <w:tcPr>
            <w:tcW w:w="101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отсут- ствует</w:t>
            </w:r>
          </w:p>
        </w:tc>
        <w:tc>
          <w:tcPr>
            <w:tcW w:w="100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125" w:firstLine="0"/>
              <w:jc w:val="left"/>
            </w:pPr>
            <w:r>
              <w:t>более  42 ч</w:t>
            </w:r>
          </w:p>
        </w:tc>
      </w:tr>
      <w:tr w:rsidR="00D27BC6">
        <w:trPr>
          <w:trHeight w:val="1760"/>
        </w:trPr>
        <w:tc>
          <w:tcPr>
            <w:tcW w:w="234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2" w:firstLine="0"/>
            </w:pPr>
            <w:r>
              <w:t>Готовые смеси инсулинов короткого действия и НПХ-инсулинов</w:t>
            </w:r>
            <w:r>
              <w:rPr>
                <w:sz w:val="18"/>
                <w:vertAlign w:val="superscript"/>
              </w:rPr>
              <w:t>2</w:t>
            </w:r>
          </w:p>
        </w:tc>
        <w:tc>
          <w:tcPr>
            <w:tcW w:w="236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Инсулин двухфазный человеческий генноинженерный</w:t>
            </w:r>
          </w:p>
        </w:tc>
        <w:tc>
          <w:tcPr>
            <w:tcW w:w="2438"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322"/>
              </w:numPr>
              <w:spacing w:after="0" w:line="259" w:lineRule="auto"/>
              <w:ind w:right="0" w:hanging="170"/>
              <w:jc w:val="left"/>
            </w:pPr>
            <w:r>
              <w:t>Хумулин М3</w:t>
            </w:r>
          </w:p>
          <w:p w:rsidR="00D27BC6" w:rsidRDefault="004D5071">
            <w:pPr>
              <w:numPr>
                <w:ilvl w:val="0"/>
                <w:numId w:val="322"/>
              </w:numPr>
              <w:spacing w:after="0" w:line="259" w:lineRule="auto"/>
              <w:ind w:right="0" w:hanging="170"/>
              <w:jc w:val="left"/>
            </w:pPr>
            <w:r>
              <w:t>Генсулин М30</w:t>
            </w:r>
          </w:p>
          <w:p w:rsidR="00D27BC6" w:rsidRDefault="004D5071">
            <w:pPr>
              <w:numPr>
                <w:ilvl w:val="0"/>
                <w:numId w:val="322"/>
              </w:numPr>
              <w:spacing w:after="0" w:line="259" w:lineRule="auto"/>
              <w:ind w:right="0" w:hanging="170"/>
              <w:jc w:val="left"/>
            </w:pPr>
            <w:r>
              <w:t>Ринсулин Микс 30/70</w:t>
            </w:r>
          </w:p>
          <w:p w:rsidR="00D27BC6" w:rsidRDefault="004D5071">
            <w:pPr>
              <w:numPr>
                <w:ilvl w:val="0"/>
                <w:numId w:val="322"/>
              </w:numPr>
              <w:spacing w:after="0" w:line="259" w:lineRule="auto"/>
              <w:ind w:right="0" w:hanging="170"/>
              <w:jc w:val="left"/>
            </w:pPr>
            <w:r>
              <w:t xml:space="preserve">Росинсулин М микс </w:t>
            </w:r>
          </w:p>
          <w:p w:rsidR="00D27BC6" w:rsidRDefault="004D5071">
            <w:pPr>
              <w:spacing w:after="0" w:line="259" w:lineRule="auto"/>
              <w:ind w:left="170" w:right="0" w:firstLine="0"/>
              <w:jc w:val="left"/>
            </w:pPr>
            <w:r>
              <w:t>30/70 Медсинтез</w:t>
            </w:r>
          </w:p>
        </w:tc>
        <w:tc>
          <w:tcPr>
            <w:tcW w:w="3040" w:type="dxa"/>
            <w:gridSpan w:val="3"/>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Такие же, как у инсулинов короткого действия и НПХинсулинов, т.е. в смеси они действуют раздельно</w:t>
            </w:r>
          </w:p>
        </w:tc>
      </w:tr>
      <w:tr w:rsidR="00D27BC6">
        <w:trPr>
          <w:trHeight w:val="1760"/>
        </w:trPr>
        <w:tc>
          <w:tcPr>
            <w:tcW w:w="2346"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36" w:lineRule="auto"/>
              <w:ind w:left="0" w:right="177" w:firstLine="0"/>
              <w:jc w:val="left"/>
            </w:pPr>
            <w:r>
              <w:t xml:space="preserve">Готовые смеси аналогов инсулина ультракороткого действия </w:t>
            </w:r>
          </w:p>
          <w:p w:rsidR="00D27BC6" w:rsidRDefault="004D5071">
            <w:pPr>
              <w:spacing w:after="0" w:line="259" w:lineRule="auto"/>
              <w:ind w:left="0" w:right="0" w:firstLine="0"/>
              <w:jc w:val="left"/>
            </w:pPr>
            <w:r>
              <w:t>и протаминированных аналогов инсулина ультракороткого действия</w:t>
            </w:r>
            <w:r>
              <w:rPr>
                <w:sz w:val="18"/>
                <w:vertAlign w:val="superscript"/>
              </w:rPr>
              <w:t>2</w:t>
            </w:r>
          </w:p>
        </w:tc>
        <w:tc>
          <w:tcPr>
            <w:tcW w:w="236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Инсулин лизпро двухфазный</w:t>
            </w:r>
          </w:p>
        </w:tc>
        <w:tc>
          <w:tcPr>
            <w:tcW w:w="2438"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323"/>
              </w:numPr>
              <w:spacing w:after="0" w:line="259" w:lineRule="auto"/>
              <w:ind w:right="0" w:hanging="170"/>
              <w:jc w:val="left"/>
            </w:pPr>
            <w:r>
              <w:t>Хумалог Микс 25</w:t>
            </w:r>
          </w:p>
          <w:p w:rsidR="00D27BC6" w:rsidRDefault="004D5071">
            <w:pPr>
              <w:numPr>
                <w:ilvl w:val="0"/>
                <w:numId w:val="323"/>
              </w:numPr>
              <w:spacing w:after="0" w:line="259" w:lineRule="auto"/>
              <w:ind w:right="0" w:hanging="170"/>
              <w:jc w:val="left"/>
            </w:pPr>
            <w:r>
              <w:t>Хумалог Микс 50</w:t>
            </w:r>
          </w:p>
          <w:p w:rsidR="00D27BC6" w:rsidRDefault="004D5071">
            <w:pPr>
              <w:numPr>
                <w:ilvl w:val="0"/>
                <w:numId w:val="323"/>
              </w:numPr>
              <w:spacing w:after="0" w:line="259" w:lineRule="auto"/>
              <w:ind w:right="0" w:hanging="170"/>
              <w:jc w:val="left"/>
            </w:pPr>
            <w:r>
              <w:t>РинЛиз Микс 25</w:t>
            </w:r>
          </w:p>
          <w:p w:rsidR="00D27BC6" w:rsidRDefault="004D5071">
            <w:pPr>
              <w:numPr>
                <w:ilvl w:val="0"/>
                <w:numId w:val="323"/>
              </w:numPr>
              <w:spacing w:after="0" w:line="259" w:lineRule="auto"/>
              <w:ind w:right="0" w:hanging="170"/>
              <w:jc w:val="left"/>
            </w:pPr>
            <w:r>
              <w:t>РинЛиз Микс 50</w:t>
            </w:r>
          </w:p>
        </w:tc>
        <w:tc>
          <w:tcPr>
            <w:tcW w:w="3040" w:type="dxa"/>
            <w:gridSpan w:val="3"/>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68" w:firstLine="0"/>
              <w:jc w:val="left"/>
            </w:pPr>
            <w:r>
              <w:t>Такие же, как у аналогов инсулина ультракороткого действия и НПХ-инсулинов, т.е. в смеси они действуют раздельно</w:t>
            </w:r>
          </w:p>
        </w:tc>
      </w:tr>
      <w:tr w:rsidR="00D27BC6">
        <w:trPr>
          <w:trHeight w:val="176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36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Инсулин аспарт двухфазный</w:t>
            </w:r>
          </w:p>
        </w:tc>
        <w:tc>
          <w:tcPr>
            <w:tcW w:w="2438"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324"/>
              </w:numPr>
              <w:spacing w:after="0" w:line="259" w:lineRule="auto"/>
              <w:ind w:right="0" w:hanging="170"/>
              <w:jc w:val="left"/>
            </w:pPr>
            <w:r>
              <w:t>НовоМикс 30</w:t>
            </w:r>
          </w:p>
          <w:p w:rsidR="00D27BC6" w:rsidRDefault="004D5071">
            <w:pPr>
              <w:numPr>
                <w:ilvl w:val="0"/>
                <w:numId w:val="324"/>
              </w:numPr>
              <w:spacing w:after="0" w:line="259" w:lineRule="auto"/>
              <w:ind w:right="0" w:hanging="170"/>
              <w:jc w:val="left"/>
            </w:pPr>
            <w:r>
              <w:t>РинФаст Микс 30</w:t>
            </w:r>
          </w:p>
        </w:tc>
        <w:tc>
          <w:tcPr>
            <w:tcW w:w="3040" w:type="dxa"/>
            <w:gridSpan w:val="3"/>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68" w:firstLine="0"/>
              <w:jc w:val="left"/>
            </w:pPr>
            <w:r>
              <w:t>Такие же, как у аналогов инсулина ультракороткого действия и НПХ-инсулинов, т.е. в смеси они действуют раздельно</w:t>
            </w:r>
          </w:p>
        </w:tc>
      </w:tr>
      <w:tr w:rsidR="00D27BC6">
        <w:trPr>
          <w:trHeight w:val="1902"/>
        </w:trPr>
        <w:tc>
          <w:tcPr>
            <w:tcW w:w="234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Готовые комбинации аналогов инсулина сверхдлительного действия и аналогов инсулина ультракороткого действия</w:t>
            </w:r>
          </w:p>
        </w:tc>
        <w:tc>
          <w:tcPr>
            <w:tcW w:w="236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448" w:firstLine="0"/>
              <w:jc w:val="left"/>
            </w:pPr>
            <w:r>
              <w:t xml:space="preserve">Инсулин деглудек + инсулин аспарт </w:t>
            </w:r>
            <w:r>
              <w:t>в соотношении 70/30</w:t>
            </w:r>
          </w:p>
        </w:tc>
        <w:tc>
          <w:tcPr>
            <w:tcW w:w="243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Райзодег</w:t>
            </w:r>
          </w:p>
        </w:tc>
        <w:tc>
          <w:tcPr>
            <w:tcW w:w="3040" w:type="dxa"/>
            <w:gridSpan w:val="3"/>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36" w:lineRule="auto"/>
              <w:ind w:left="0" w:right="0" w:firstLine="0"/>
              <w:jc w:val="left"/>
            </w:pPr>
            <w:r>
              <w:t xml:space="preserve">Такие же, как у аналогов инсулина сверхдлительного действия и аналогов инсулина ультракороткого действия, </w:t>
            </w:r>
          </w:p>
          <w:p w:rsidR="00D27BC6" w:rsidRDefault="004D5071">
            <w:pPr>
              <w:spacing w:after="0" w:line="259" w:lineRule="auto"/>
              <w:ind w:left="0" w:right="0" w:firstLine="0"/>
              <w:jc w:val="left"/>
            </w:pPr>
            <w:r>
              <w:t>т.е. в комбинации они действуют раздельно</w:t>
            </w:r>
          </w:p>
        </w:tc>
      </w:tr>
    </w:tbl>
    <w:p w:rsidR="00D27BC6" w:rsidRDefault="004D5071">
      <w:pPr>
        <w:spacing w:after="4"/>
        <w:ind w:left="-3" w:right="3290"/>
      </w:pPr>
      <w:r>
        <w:rPr>
          <w:sz w:val="14"/>
          <w:vertAlign w:val="superscript"/>
        </w:rPr>
        <w:t>1</w:t>
      </w:r>
      <w:r>
        <w:rPr>
          <w:sz w:val="16"/>
        </w:rPr>
        <w:t xml:space="preserve"> Не использовать для в/в введения, помповой инсулинотерапии и набора в инсулиновый шприц. </w:t>
      </w:r>
      <w:r>
        <w:rPr>
          <w:sz w:val="16"/>
          <w:vertAlign w:val="superscript"/>
        </w:rPr>
        <w:t>2</w:t>
      </w:r>
      <w:r>
        <w:rPr>
          <w:sz w:val="16"/>
        </w:rPr>
        <w:t xml:space="preserve"> Перед введением следует тщательно перемешать</w:t>
      </w:r>
      <w:r>
        <w:t>.</w:t>
      </w:r>
    </w:p>
    <w:p w:rsidR="00D27BC6" w:rsidRDefault="004D5071">
      <w:pPr>
        <w:spacing w:after="12"/>
        <w:ind w:left="290" w:right="278"/>
        <w:jc w:val="center"/>
      </w:pPr>
      <w:r>
        <w:rPr>
          <w:b/>
        </w:rPr>
        <w:t xml:space="preserve">ПРИЛОЖЕНИЕ 2.  </w:t>
      </w:r>
    </w:p>
    <w:p w:rsidR="00D27BC6" w:rsidRDefault="004D5071">
      <w:pPr>
        <w:spacing w:after="216" w:line="259" w:lineRule="auto"/>
        <w:ind w:left="10" w:right="2307"/>
        <w:jc w:val="right"/>
      </w:pPr>
      <w:r>
        <w:rPr>
          <w:b/>
        </w:rPr>
        <w:t>ЗАМЕНА ПРОДУКТОВ ПО СИСТЕМЕ ХЛЕБНЫХ ЕДИНИЦ (ХЕ).</w:t>
      </w:r>
    </w:p>
    <w:p w:rsidR="00D27BC6" w:rsidRDefault="004D5071">
      <w:pPr>
        <w:ind w:left="294" w:right="0"/>
      </w:pPr>
      <w:r>
        <w:t>1 ХЕ = количество продукта, содержащее 10г углеводов.</w:t>
      </w:r>
    </w:p>
    <w:tbl>
      <w:tblPr>
        <w:tblStyle w:val="TableGrid"/>
        <w:tblW w:w="10191" w:type="dxa"/>
        <w:tblInd w:w="8" w:type="dxa"/>
        <w:tblCellMar>
          <w:top w:w="9" w:type="dxa"/>
          <w:left w:w="56" w:type="dxa"/>
          <w:bottom w:w="0" w:type="dxa"/>
          <w:right w:w="23" w:type="dxa"/>
        </w:tblCellMar>
        <w:tblLook w:val="04A0" w:firstRow="1" w:lastRow="0" w:firstColumn="1" w:lastColumn="0" w:noHBand="0" w:noVBand="1"/>
      </w:tblPr>
      <w:tblGrid>
        <w:gridCol w:w="4358"/>
        <w:gridCol w:w="3859"/>
        <w:gridCol w:w="1974"/>
      </w:tblGrid>
      <w:tr w:rsidR="00D27BC6">
        <w:trPr>
          <w:trHeight w:val="320"/>
        </w:trPr>
        <w:tc>
          <w:tcPr>
            <w:tcW w:w="435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33" w:firstLine="0"/>
              <w:jc w:val="center"/>
            </w:pPr>
            <w:r>
              <w:rPr>
                <w:b/>
              </w:rPr>
              <w:t>Единицы измерения</w:t>
            </w:r>
          </w:p>
        </w:tc>
        <w:tc>
          <w:tcPr>
            <w:tcW w:w="385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33" w:firstLine="0"/>
              <w:jc w:val="center"/>
            </w:pPr>
            <w:r>
              <w:rPr>
                <w:b/>
              </w:rPr>
              <w:t>Продукты</w:t>
            </w:r>
          </w:p>
        </w:tc>
        <w:tc>
          <w:tcPr>
            <w:tcW w:w="19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45" w:right="0" w:firstLine="0"/>
              <w:jc w:val="left"/>
            </w:pPr>
            <w:r>
              <w:rPr>
                <w:b/>
              </w:rPr>
              <w:t>Количество на 1 ХЕ</w:t>
            </w:r>
          </w:p>
        </w:tc>
      </w:tr>
      <w:tr w:rsidR="00D27BC6">
        <w:trPr>
          <w:trHeight w:val="320"/>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33" w:firstLine="0"/>
              <w:jc w:val="center"/>
            </w:pPr>
            <w:r>
              <w:rPr>
                <w:b/>
              </w:rPr>
              <w:t>Хлеб и хлебобулочные изделия</w:t>
            </w:r>
            <w:r>
              <w:rPr>
                <w:b/>
                <w:sz w:val="18"/>
                <w:vertAlign w:val="superscript"/>
              </w:rPr>
              <w:t>1</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1 кусок</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Белый хлеб</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3" w:firstLine="0"/>
              <w:jc w:val="center"/>
            </w:pPr>
            <w:r>
              <w:t>20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1 кусок</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Черный хлеб</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 w:firstLine="0"/>
              <w:jc w:val="center"/>
            </w:pPr>
            <w:r>
              <w:t>25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Сухари</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 w:firstLine="0"/>
              <w:jc w:val="center"/>
            </w:pPr>
            <w:r>
              <w:t>15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Крекеры (сухое печенье)</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 w:firstLine="0"/>
              <w:jc w:val="center"/>
            </w:pPr>
            <w:r>
              <w:t>15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1 ст. ложка</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Панировочные сухари</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 w:firstLine="0"/>
              <w:jc w:val="center"/>
            </w:pPr>
            <w:r>
              <w:t>15 г</w:t>
            </w:r>
          </w:p>
        </w:tc>
      </w:tr>
      <w:tr w:rsidR="00D27BC6">
        <w:trPr>
          <w:trHeight w:val="499"/>
        </w:trPr>
        <w:tc>
          <w:tcPr>
            <w:tcW w:w="10191"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pPr>
            <w:r>
              <w:rPr>
                <w:sz w:val="14"/>
                <w:vertAlign w:val="superscript"/>
              </w:rPr>
              <w:t>1</w:t>
            </w:r>
            <w:r>
              <w:rPr>
                <w:sz w:val="16"/>
              </w:rPr>
              <w:t xml:space="preserve"> Пельмени, блины, оладьи, пирожки, сырники, вареники, котлеты также содержат углеводы, но количество ХЕ зависит от размера и рецепта изделия.</w:t>
            </w:r>
          </w:p>
        </w:tc>
      </w:tr>
      <w:tr w:rsidR="00D27BC6">
        <w:trPr>
          <w:trHeight w:val="337"/>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33" w:firstLine="0"/>
              <w:jc w:val="center"/>
            </w:pPr>
            <w:r>
              <w:rPr>
                <w:b/>
              </w:rPr>
              <w:t>Макаронные изделия</w:t>
            </w:r>
          </w:p>
        </w:tc>
      </w:tr>
      <w:tr w:rsidR="00D27BC6">
        <w:trPr>
          <w:trHeight w:val="368"/>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1–2 ст. ложки в зависимости от формы изделия</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Вермишель, лапша, рожки, макароны</w:t>
            </w:r>
            <w:r>
              <w:rPr>
                <w:sz w:val="18"/>
                <w:vertAlign w:val="superscript"/>
              </w:rPr>
              <w:t>2</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3" w:firstLine="0"/>
              <w:jc w:val="center"/>
            </w:pPr>
            <w:r>
              <w:t>15 г</w:t>
            </w:r>
          </w:p>
        </w:tc>
      </w:tr>
      <w:tr w:rsidR="00D27BC6">
        <w:trPr>
          <w:trHeight w:val="307"/>
        </w:trPr>
        <w:tc>
          <w:tcPr>
            <w:tcW w:w="10191"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rPr>
                <w:sz w:val="14"/>
                <w:vertAlign w:val="superscript"/>
              </w:rPr>
              <w:t>2</w:t>
            </w:r>
            <w:r>
              <w:rPr>
                <w:sz w:val="16"/>
              </w:rPr>
              <w:t xml:space="preserve"> В сыром виде; в вареном виде 1 ХЕ содержится в 2–4 ст. ложках продукта (40–50 г), в зависимости от формы изделия.</w:t>
            </w:r>
          </w:p>
        </w:tc>
      </w:tr>
      <w:tr w:rsidR="00D27BC6">
        <w:trPr>
          <w:trHeight w:val="337"/>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33" w:firstLine="0"/>
              <w:jc w:val="center"/>
            </w:pPr>
            <w:r>
              <w:rPr>
                <w:b/>
              </w:rPr>
              <w:t>Крупы, кукуруза, мука</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1 ст. ложка</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Крупа (любая)</w:t>
            </w:r>
            <w:r>
              <w:rPr>
                <w:sz w:val="18"/>
                <w:vertAlign w:val="superscript"/>
              </w:rPr>
              <w:t>3</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3" w:firstLine="0"/>
              <w:jc w:val="center"/>
            </w:pPr>
            <w:r>
              <w:t>15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1/2 початка, среднего</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Кукуруза</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3" w:firstLine="0"/>
              <w:jc w:val="center"/>
            </w:pPr>
            <w:r>
              <w:t>100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3 ст. ложки (без жидкости)</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Кукуруза консервированная</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3" w:firstLine="0"/>
              <w:jc w:val="center"/>
            </w:pPr>
            <w:r>
              <w:t>60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2 ст. ложки</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Кукурузные хлопья</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 w:firstLine="0"/>
              <w:jc w:val="center"/>
            </w:pPr>
            <w:r>
              <w:t>15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10 ст. ложек</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Попкорн («воздушная» кукуруза)</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 w:firstLine="0"/>
              <w:jc w:val="center"/>
            </w:pPr>
            <w:r>
              <w:t>15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ст. ложка</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Мука </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 w:firstLine="0"/>
              <w:jc w:val="center"/>
            </w:pPr>
            <w:r>
              <w:t>15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ст. ложка</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Овсяные хлопья</w:t>
            </w:r>
            <w:r>
              <w:rPr>
                <w:sz w:val="18"/>
                <w:vertAlign w:val="superscript"/>
              </w:rPr>
              <w:t>3</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3" w:firstLine="0"/>
              <w:jc w:val="center"/>
            </w:pPr>
            <w:r>
              <w:t>15 г</w:t>
            </w:r>
          </w:p>
        </w:tc>
      </w:tr>
      <w:tr w:rsidR="00D27BC6">
        <w:trPr>
          <w:trHeight w:val="307"/>
        </w:trPr>
        <w:tc>
          <w:tcPr>
            <w:tcW w:w="10191"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rPr>
                <w:sz w:val="14"/>
                <w:vertAlign w:val="superscript"/>
              </w:rPr>
              <w:t>3</w:t>
            </w:r>
            <w:r>
              <w:rPr>
                <w:sz w:val="16"/>
              </w:rPr>
              <w:t xml:space="preserve"> Сырая крупа; в вареном виде (каша) 1 ХЕ содержится в 2 ст. ложках с горкой (50 г).</w:t>
            </w:r>
          </w:p>
        </w:tc>
      </w:tr>
      <w:tr w:rsidR="00D27BC6">
        <w:trPr>
          <w:trHeight w:val="337"/>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33" w:firstLine="0"/>
              <w:jc w:val="center"/>
            </w:pPr>
            <w:r>
              <w:rPr>
                <w:b/>
              </w:rPr>
              <w:t>Картофель</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1 штука, средняя (без кожуры)</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Сырой и вареный картофель</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3" w:firstLine="0"/>
              <w:jc w:val="center"/>
            </w:pPr>
            <w:r>
              <w:t>65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2 ст. ложки</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Картофельное пюре</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 w:firstLine="0"/>
              <w:jc w:val="center"/>
            </w:pPr>
            <w:r>
              <w:t>75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2 ст. ложки</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Жареный картофель</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 w:firstLine="0"/>
              <w:jc w:val="center"/>
            </w:pPr>
            <w:r>
              <w:t>35–45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Сухой картофель (чипсы)</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 w:firstLine="0"/>
              <w:jc w:val="center"/>
            </w:pPr>
            <w:r>
              <w:t>25 г</w:t>
            </w:r>
          </w:p>
        </w:tc>
      </w:tr>
      <w:tr w:rsidR="00D27BC6">
        <w:trPr>
          <w:trHeight w:val="337"/>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34" w:firstLine="0"/>
              <w:jc w:val="center"/>
            </w:pPr>
            <w:r>
              <w:rPr>
                <w:b/>
              </w:rPr>
              <w:t>Молоко и жидкие молочные продукты</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стакан</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Молоко</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 w:firstLine="0"/>
              <w:jc w:val="center"/>
            </w:pPr>
            <w:r>
              <w:t>200 мл</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стакан</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Кефир</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 w:firstLine="0"/>
              <w:jc w:val="center"/>
            </w:pPr>
            <w:r>
              <w:t>250 мл</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стакан</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Ряженка</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 w:firstLine="0"/>
              <w:jc w:val="center"/>
            </w:pPr>
            <w:r>
              <w:t>250 мл</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стакан</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Сливки</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 w:firstLine="0"/>
              <w:jc w:val="center"/>
            </w:pPr>
            <w:r>
              <w:t>200 мл</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Йогурт натуральный</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4" w:firstLine="0"/>
              <w:jc w:val="center"/>
            </w:pPr>
            <w:r>
              <w:t>150–200 г</w:t>
            </w:r>
          </w:p>
        </w:tc>
      </w:tr>
      <w:tr w:rsidR="00D27BC6">
        <w:trPr>
          <w:trHeight w:val="337"/>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0" w:right="35" w:firstLine="0"/>
              <w:jc w:val="center"/>
            </w:pPr>
            <w:r>
              <w:rPr>
                <w:b/>
              </w:rPr>
              <w:t>Фрукты и ягоды (с косточками и кожурой)</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2 штуки, средних</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Абрикосы</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110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штука, крупная</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Айва</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140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кусок (поперечный срез)</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Ананас</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140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штука, средний</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Апельсин</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150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 кусок</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Арбуз</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270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1/2 штуки, среднего</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Банан</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70 г</w:t>
            </w:r>
          </w:p>
        </w:tc>
      </w:tr>
      <w:tr w:rsidR="00D27BC6">
        <w:trPr>
          <w:trHeight w:val="337"/>
        </w:trPr>
        <w:tc>
          <w:tcPr>
            <w:tcW w:w="435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7 ст. ложек</w:t>
            </w: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Брусника</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5" w:firstLine="0"/>
              <w:jc w:val="center"/>
            </w:pPr>
            <w:r>
              <w:t>140 г</w:t>
            </w:r>
          </w:p>
        </w:tc>
      </w:tr>
    </w:tbl>
    <w:p w:rsidR="00D27BC6" w:rsidRDefault="00D27BC6">
      <w:pPr>
        <w:spacing w:after="0" w:line="259" w:lineRule="auto"/>
        <w:ind w:left="-850" w:right="9" w:firstLine="0"/>
        <w:jc w:val="left"/>
      </w:pPr>
    </w:p>
    <w:tbl>
      <w:tblPr>
        <w:tblStyle w:val="TableGrid"/>
        <w:tblW w:w="10191" w:type="dxa"/>
        <w:tblInd w:w="8" w:type="dxa"/>
        <w:tblCellMar>
          <w:top w:w="9" w:type="dxa"/>
          <w:left w:w="0" w:type="dxa"/>
          <w:bottom w:w="0" w:type="dxa"/>
          <w:right w:w="47" w:type="dxa"/>
        </w:tblCellMar>
        <w:tblLook w:val="04A0" w:firstRow="1" w:lastRow="0" w:firstColumn="1" w:lastColumn="0" w:noHBand="0" w:noVBand="1"/>
      </w:tblPr>
      <w:tblGrid>
        <w:gridCol w:w="3191"/>
        <w:gridCol w:w="1167"/>
        <w:gridCol w:w="3859"/>
        <w:gridCol w:w="1974"/>
      </w:tblGrid>
      <w:tr w:rsidR="00D27BC6">
        <w:trPr>
          <w:trHeight w:val="320"/>
        </w:trPr>
        <w:tc>
          <w:tcPr>
            <w:tcW w:w="3191" w:type="dxa"/>
            <w:tcBorders>
              <w:top w:val="single" w:sz="6" w:space="0" w:color="000000"/>
              <w:left w:val="single" w:sz="6" w:space="0" w:color="000000"/>
              <w:bottom w:val="single" w:sz="6" w:space="0" w:color="000000"/>
              <w:right w:val="nil"/>
            </w:tcBorders>
            <w:shd w:val="clear" w:color="auto" w:fill="DADAD9"/>
          </w:tcPr>
          <w:p w:rsidR="00D27BC6" w:rsidRDefault="004D5071">
            <w:pPr>
              <w:spacing w:after="0" w:line="259" w:lineRule="auto"/>
              <w:ind w:left="0" w:right="0" w:firstLine="0"/>
              <w:jc w:val="right"/>
            </w:pPr>
            <w:r>
              <w:rPr>
                <w:b/>
              </w:rPr>
              <w:t>Единицы измерения</w:t>
            </w:r>
          </w:p>
        </w:tc>
        <w:tc>
          <w:tcPr>
            <w:tcW w:w="1167" w:type="dxa"/>
            <w:tcBorders>
              <w:top w:val="single" w:sz="6" w:space="0" w:color="000000"/>
              <w:left w:val="nil"/>
              <w:bottom w:val="single" w:sz="6" w:space="0" w:color="000000"/>
              <w:right w:val="single" w:sz="6" w:space="0" w:color="000000"/>
            </w:tcBorders>
            <w:shd w:val="clear" w:color="auto" w:fill="DADAD9"/>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47" w:right="0" w:firstLine="0"/>
              <w:jc w:val="center"/>
            </w:pPr>
            <w:r>
              <w:rPr>
                <w:b/>
              </w:rPr>
              <w:t>Продукты</w:t>
            </w:r>
          </w:p>
        </w:tc>
        <w:tc>
          <w:tcPr>
            <w:tcW w:w="197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101" w:right="0" w:firstLine="0"/>
              <w:jc w:val="left"/>
            </w:pPr>
            <w:r>
              <w:rPr>
                <w:b/>
              </w:rPr>
              <w:t>Количество на 1 ХЕ</w:t>
            </w:r>
          </w:p>
        </w:tc>
      </w:tr>
      <w:tr w:rsidR="00D27BC6">
        <w:trPr>
          <w:trHeight w:val="326"/>
        </w:trPr>
        <w:tc>
          <w:tcPr>
            <w:tcW w:w="3191" w:type="dxa"/>
            <w:tcBorders>
              <w:top w:val="single" w:sz="6" w:space="0" w:color="000000"/>
              <w:left w:val="single" w:sz="6" w:space="0" w:color="000000"/>
              <w:bottom w:val="single" w:sz="6" w:space="0" w:color="000000"/>
              <w:right w:val="nil"/>
            </w:tcBorders>
            <w:shd w:val="clear" w:color="auto" w:fill="ECECEC"/>
          </w:tcPr>
          <w:p w:rsidR="00D27BC6" w:rsidRDefault="00D27BC6">
            <w:pPr>
              <w:spacing w:after="160" w:line="259" w:lineRule="auto"/>
              <w:ind w:left="0" w:right="0" w:firstLine="0"/>
              <w:jc w:val="left"/>
            </w:pPr>
          </w:p>
        </w:tc>
        <w:tc>
          <w:tcPr>
            <w:tcW w:w="6999" w:type="dxa"/>
            <w:gridSpan w:val="3"/>
            <w:tcBorders>
              <w:top w:val="single" w:sz="6" w:space="0" w:color="000000"/>
              <w:left w:val="nil"/>
              <w:bottom w:val="single" w:sz="6" w:space="0" w:color="000000"/>
              <w:right w:val="single" w:sz="6" w:space="0" w:color="000000"/>
            </w:tcBorders>
            <w:shd w:val="clear" w:color="auto" w:fill="ECECEC"/>
          </w:tcPr>
          <w:p w:rsidR="00D27BC6" w:rsidRDefault="004D5071">
            <w:pPr>
              <w:spacing w:after="0" w:line="259" w:lineRule="auto"/>
              <w:ind w:left="0" w:right="0" w:firstLine="0"/>
              <w:jc w:val="left"/>
            </w:pPr>
            <w:r>
              <w:rPr>
                <w:b/>
              </w:rPr>
              <w:t>Фрукты и ягоды (с косточками и кожурой)</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7" w:right="0" w:firstLine="0"/>
              <w:jc w:val="left"/>
            </w:pPr>
            <w:r>
              <w:t>12 штук, небольших</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Виноград</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7" w:right="0" w:firstLine="0"/>
              <w:jc w:val="center"/>
            </w:pPr>
            <w:r>
              <w:t>70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7" w:right="0" w:firstLine="0"/>
              <w:jc w:val="left"/>
            </w:pPr>
            <w:r>
              <w:t>15 штук</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Вишня</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7" w:right="0" w:firstLine="0"/>
              <w:jc w:val="center"/>
            </w:pPr>
            <w:r>
              <w:t>90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1 штука, средний</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Гранат</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170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1/2 штуки, крупного</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Грейпфрут</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170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1 штука, маленькая</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Груша</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90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1 кусок</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Дыня</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100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8 ст. ложек</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Ежевика</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140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1 штука</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Инжир</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80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1 штука, крупный</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Киви</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110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10 штук, средних</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Клубника</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160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6 ст. ложек</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Крыжовник</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120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8 ст. ложек</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Малина</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160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1/2 штуки, небольшого</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Манго</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110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2 штуки, средних</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Мандарины</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150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1 штука, средний</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Персик</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120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3 штуки, маленьких</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Сливы</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90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7 ст. ложек</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Смородина</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120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1 штука, средний</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Финик</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15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1/2 штуки, средней</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5" w:right="0" w:firstLine="0"/>
              <w:jc w:val="left"/>
            </w:pPr>
            <w:r>
              <w:t>Хурма</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70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5" w:right="0" w:firstLine="0"/>
              <w:jc w:val="left"/>
            </w:pPr>
            <w:r>
              <w:t>12 штук</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5" w:right="0" w:firstLine="0"/>
              <w:jc w:val="left"/>
            </w:pPr>
            <w:r>
              <w:t>Черешня</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4" w:right="0" w:firstLine="0"/>
              <w:jc w:val="center"/>
            </w:pPr>
            <w:r>
              <w:t>90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5" w:right="0" w:firstLine="0"/>
              <w:jc w:val="left"/>
            </w:pPr>
            <w:r>
              <w:t>7 ст. ложек</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5" w:right="0" w:firstLine="0"/>
              <w:jc w:val="left"/>
            </w:pPr>
            <w:r>
              <w:t>Черника</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4" w:right="0" w:firstLine="0"/>
              <w:jc w:val="center"/>
            </w:pPr>
            <w:r>
              <w:t>90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5" w:right="0" w:firstLine="0"/>
              <w:jc w:val="left"/>
            </w:pPr>
            <w:r>
              <w:t>1 штука, маленькое</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5" w:right="0" w:firstLine="0"/>
              <w:jc w:val="left"/>
            </w:pPr>
            <w:r>
              <w:t>Яблоко</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3" w:right="0" w:firstLine="0"/>
              <w:jc w:val="center"/>
            </w:pPr>
            <w:r>
              <w:t>90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5" w:right="0" w:firstLine="0"/>
              <w:jc w:val="left"/>
            </w:pPr>
            <w:r>
              <w:t>1/2 стакана</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5" w:right="0" w:firstLine="0"/>
              <w:jc w:val="left"/>
            </w:pPr>
            <w:r>
              <w:t>Фруктовый сок</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3" w:right="0" w:firstLine="0"/>
              <w:jc w:val="center"/>
            </w:pPr>
            <w:r>
              <w:t>100 мл</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5" w:right="0" w:firstLine="0"/>
              <w:jc w:val="left"/>
            </w:pPr>
            <w:r>
              <w:t>Сухофрукты</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3" w:right="0" w:firstLine="0"/>
              <w:jc w:val="center"/>
            </w:pPr>
            <w:r>
              <w:t>20 г</w:t>
            </w:r>
          </w:p>
        </w:tc>
      </w:tr>
      <w:tr w:rsidR="00D27BC6">
        <w:trPr>
          <w:trHeight w:val="326"/>
        </w:trPr>
        <w:tc>
          <w:tcPr>
            <w:tcW w:w="3191" w:type="dxa"/>
            <w:tcBorders>
              <w:top w:val="single" w:sz="6" w:space="0" w:color="000000"/>
              <w:left w:val="single" w:sz="6" w:space="0" w:color="000000"/>
              <w:bottom w:val="single" w:sz="6" w:space="0" w:color="000000"/>
              <w:right w:val="nil"/>
            </w:tcBorders>
            <w:shd w:val="clear" w:color="auto" w:fill="ECECEC"/>
          </w:tcPr>
          <w:p w:rsidR="00D27BC6" w:rsidRDefault="00D27BC6">
            <w:pPr>
              <w:spacing w:after="160" w:line="259" w:lineRule="auto"/>
              <w:ind w:left="0" w:right="0" w:firstLine="0"/>
              <w:jc w:val="left"/>
            </w:pPr>
          </w:p>
        </w:tc>
        <w:tc>
          <w:tcPr>
            <w:tcW w:w="6999" w:type="dxa"/>
            <w:gridSpan w:val="3"/>
            <w:tcBorders>
              <w:top w:val="single" w:sz="6" w:space="0" w:color="000000"/>
              <w:left w:val="nil"/>
              <w:bottom w:val="single" w:sz="6" w:space="0" w:color="000000"/>
              <w:right w:val="single" w:sz="6" w:space="0" w:color="000000"/>
            </w:tcBorders>
            <w:shd w:val="clear" w:color="auto" w:fill="ECECEC"/>
          </w:tcPr>
          <w:p w:rsidR="00D27BC6" w:rsidRDefault="004D5071">
            <w:pPr>
              <w:spacing w:after="0" w:line="259" w:lineRule="auto"/>
              <w:ind w:left="823" w:right="0" w:firstLine="0"/>
              <w:jc w:val="left"/>
            </w:pPr>
            <w:r>
              <w:rPr>
                <w:b/>
              </w:rPr>
              <w:t>Овощи, бобовые, орехи</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5" w:right="0" w:firstLine="0"/>
              <w:jc w:val="left"/>
            </w:pPr>
            <w:r>
              <w:t>3 штуки, средних</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4" w:right="0" w:firstLine="0"/>
              <w:jc w:val="left"/>
            </w:pPr>
            <w:r>
              <w:t>Морковь</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3" w:right="0" w:firstLine="0"/>
              <w:jc w:val="center"/>
            </w:pPr>
            <w:r>
              <w:t>200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5" w:right="0" w:firstLine="0"/>
              <w:jc w:val="left"/>
            </w:pPr>
            <w:r>
              <w:t>1 штука, средняя</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4" w:right="0" w:firstLine="0"/>
              <w:jc w:val="left"/>
            </w:pPr>
            <w:r>
              <w:t>Свекла</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3" w:right="0" w:firstLine="0"/>
              <w:jc w:val="center"/>
            </w:pPr>
            <w:r>
              <w:t>150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5" w:right="0" w:firstLine="0"/>
              <w:jc w:val="left"/>
            </w:pPr>
            <w:r>
              <w:t>7 ст. ложек</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4" w:right="0" w:firstLine="0"/>
              <w:jc w:val="left"/>
            </w:pPr>
            <w:r>
              <w:t>Арахис</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3" w:right="0" w:firstLine="0"/>
              <w:jc w:val="center"/>
            </w:pPr>
            <w:r>
              <w:t>100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5" w:right="0" w:firstLine="0"/>
              <w:jc w:val="left"/>
            </w:pPr>
            <w:r>
              <w:t>1 ст. ложка, сухих</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4" w:right="0" w:firstLine="0"/>
              <w:jc w:val="left"/>
            </w:pPr>
            <w:r>
              <w:t>Бобы</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3" w:right="0" w:firstLine="0"/>
              <w:jc w:val="center"/>
            </w:pPr>
            <w:r>
              <w:t>20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4" w:right="0" w:firstLine="0"/>
              <w:jc w:val="left"/>
            </w:pPr>
            <w:r>
              <w:t>7 ст. ложек, свежего</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4" w:right="0" w:firstLine="0"/>
              <w:jc w:val="left"/>
            </w:pPr>
            <w:r>
              <w:t>Горошек зеленый</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2" w:right="0" w:firstLine="0"/>
              <w:jc w:val="center"/>
            </w:pPr>
            <w:r>
              <w:t>100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4" w:right="0" w:firstLine="0"/>
              <w:jc w:val="left"/>
            </w:pPr>
            <w:r>
              <w:t>3 ст. ложки, вареной</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4" w:right="0" w:firstLine="0"/>
              <w:jc w:val="left"/>
            </w:pPr>
            <w:r>
              <w:t>Фасоль</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2" w:right="0" w:firstLine="0"/>
              <w:jc w:val="center"/>
            </w:pPr>
            <w:r>
              <w:t>50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4" w:right="0" w:firstLine="0"/>
              <w:jc w:val="left"/>
            </w:pPr>
            <w:r>
              <w:t>Орехи (очищенные)</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5" w:right="0" w:firstLine="0"/>
              <w:jc w:val="center"/>
            </w:pPr>
            <w:r>
              <w:t>60–90 г</w:t>
            </w:r>
            <w:r>
              <w:rPr>
                <w:sz w:val="18"/>
                <w:vertAlign w:val="superscript"/>
              </w:rPr>
              <w:t>4</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Семечки подсолнечника (неочищенные)</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7" w:right="0" w:firstLine="0"/>
              <w:jc w:val="center"/>
            </w:pPr>
            <w:r>
              <w:t>200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7" w:right="0" w:firstLine="0"/>
              <w:jc w:val="left"/>
            </w:pPr>
            <w:r>
              <w:rPr>
                <w:sz w:val="14"/>
                <w:vertAlign w:val="superscript"/>
              </w:rPr>
              <w:t>4</w:t>
            </w:r>
            <w:r>
              <w:rPr>
                <w:sz w:val="16"/>
              </w:rPr>
              <w:t xml:space="preserve"> В зависимости от вида.</w:t>
            </w:r>
          </w:p>
        </w:tc>
        <w:tc>
          <w:tcPr>
            <w:tcW w:w="6999" w:type="dxa"/>
            <w:gridSpan w:val="3"/>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326"/>
        </w:trPr>
        <w:tc>
          <w:tcPr>
            <w:tcW w:w="3191" w:type="dxa"/>
            <w:tcBorders>
              <w:top w:val="single" w:sz="6" w:space="0" w:color="000000"/>
              <w:left w:val="single" w:sz="6" w:space="0" w:color="000000"/>
              <w:bottom w:val="single" w:sz="6" w:space="0" w:color="000000"/>
              <w:right w:val="nil"/>
            </w:tcBorders>
            <w:shd w:val="clear" w:color="auto" w:fill="ECECEC"/>
          </w:tcPr>
          <w:p w:rsidR="00D27BC6" w:rsidRDefault="00D27BC6">
            <w:pPr>
              <w:spacing w:after="160" w:line="259" w:lineRule="auto"/>
              <w:ind w:left="0" w:right="0" w:firstLine="0"/>
              <w:jc w:val="left"/>
            </w:pPr>
          </w:p>
        </w:tc>
        <w:tc>
          <w:tcPr>
            <w:tcW w:w="6999" w:type="dxa"/>
            <w:gridSpan w:val="3"/>
            <w:tcBorders>
              <w:top w:val="single" w:sz="6" w:space="0" w:color="000000"/>
              <w:left w:val="nil"/>
              <w:bottom w:val="single" w:sz="6" w:space="0" w:color="000000"/>
              <w:right w:val="single" w:sz="6" w:space="0" w:color="000000"/>
            </w:tcBorders>
            <w:shd w:val="clear" w:color="auto" w:fill="ECECEC"/>
          </w:tcPr>
          <w:p w:rsidR="00D27BC6" w:rsidRDefault="004D5071">
            <w:pPr>
              <w:spacing w:after="0" w:line="259" w:lineRule="auto"/>
              <w:ind w:left="1118" w:right="0" w:firstLine="0"/>
              <w:jc w:val="left"/>
            </w:pPr>
            <w:r>
              <w:rPr>
                <w:b/>
              </w:rPr>
              <w:t>Другие продукты</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7" w:right="0" w:firstLine="0"/>
              <w:jc w:val="left"/>
            </w:pPr>
            <w:r>
              <w:t>2 ч. ложки</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Сахар-песок</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7" w:right="0" w:firstLine="0"/>
              <w:jc w:val="center"/>
            </w:pPr>
            <w:r>
              <w:t>10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7" w:right="0" w:firstLine="0"/>
              <w:jc w:val="left"/>
            </w:pPr>
            <w:r>
              <w:t>2 куска</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7" w:right="0" w:firstLine="0"/>
              <w:jc w:val="left"/>
            </w:pPr>
            <w:r>
              <w:t>Сахар кусковой</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7" w:right="0" w:firstLine="0"/>
              <w:jc w:val="center"/>
            </w:pPr>
            <w:r>
              <w:t>10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1/2 стакана</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Газированная вода на сахаре</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100 мл</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4D5071">
            <w:pPr>
              <w:spacing w:after="0" w:line="259" w:lineRule="auto"/>
              <w:ind w:left="56" w:right="0" w:firstLine="0"/>
              <w:jc w:val="left"/>
            </w:pPr>
            <w:r>
              <w:t>1 стакан</w:t>
            </w: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Квас</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250 мл</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Мороженое</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65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Шоколад</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20 г</w:t>
            </w:r>
          </w:p>
        </w:tc>
      </w:tr>
      <w:tr w:rsidR="00D27BC6">
        <w:trPr>
          <w:trHeight w:val="326"/>
        </w:trPr>
        <w:tc>
          <w:tcPr>
            <w:tcW w:w="319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1167"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385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6" w:right="0" w:firstLine="0"/>
              <w:jc w:val="left"/>
            </w:pPr>
            <w:r>
              <w:t>Мед</w:t>
            </w:r>
          </w:p>
        </w:tc>
        <w:tc>
          <w:tcPr>
            <w:tcW w:w="19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6" w:right="0" w:firstLine="0"/>
              <w:jc w:val="center"/>
            </w:pPr>
            <w:r>
              <w:t>12 г</w:t>
            </w:r>
          </w:p>
        </w:tc>
      </w:tr>
    </w:tbl>
    <w:p w:rsidR="00D27BC6" w:rsidRDefault="004D5071">
      <w:pPr>
        <w:spacing w:after="12"/>
        <w:ind w:left="290" w:right="278"/>
        <w:jc w:val="center"/>
      </w:pPr>
      <w:r>
        <w:rPr>
          <w:b/>
        </w:rPr>
        <w:t xml:space="preserve">ПРИЛОЖЕНИЕ 3.  </w:t>
      </w:r>
    </w:p>
    <w:p w:rsidR="00D27BC6" w:rsidRDefault="004D5071">
      <w:pPr>
        <w:spacing w:after="193"/>
        <w:ind w:left="290" w:right="278"/>
        <w:jc w:val="center"/>
      </w:pPr>
      <w:r>
        <w:rPr>
          <w:b/>
        </w:rPr>
        <w:t>ОРИЕНТИРОВОЧНАЯ ПОТРЕБНОСТЬ В УГЛЕВОДАХ (ХЕ) В СУТКИ.</w:t>
      </w:r>
    </w:p>
    <w:p w:rsidR="00D27BC6" w:rsidRDefault="004D5071">
      <w:pPr>
        <w:ind w:left="294" w:right="0"/>
      </w:pPr>
      <w:r>
        <w:t>Применима только к взрослым больным СД 1 типа и СД 2 типа, получающим инсулин</w:t>
      </w:r>
      <w:r>
        <w:rPr>
          <w:sz w:val="18"/>
          <w:vertAlign w:val="superscript"/>
        </w:rPr>
        <w:t>1</w:t>
      </w:r>
    </w:p>
    <w:tbl>
      <w:tblPr>
        <w:tblStyle w:val="TableGrid"/>
        <w:tblW w:w="10190" w:type="dxa"/>
        <w:tblInd w:w="8" w:type="dxa"/>
        <w:tblCellMar>
          <w:top w:w="9" w:type="dxa"/>
          <w:left w:w="57" w:type="dxa"/>
          <w:bottom w:w="0" w:type="dxa"/>
          <w:right w:w="115" w:type="dxa"/>
        </w:tblCellMar>
        <w:tblLook w:val="04A0" w:firstRow="1" w:lastRow="0" w:firstColumn="1" w:lastColumn="0" w:noHBand="0" w:noVBand="1"/>
      </w:tblPr>
      <w:tblGrid>
        <w:gridCol w:w="5095"/>
        <w:gridCol w:w="5095"/>
      </w:tblGrid>
      <w:tr w:rsidR="00D27BC6">
        <w:trPr>
          <w:trHeight w:val="320"/>
        </w:trPr>
        <w:tc>
          <w:tcPr>
            <w:tcW w:w="509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Категория пациентов</w:t>
            </w:r>
          </w:p>
        </w:tc>
        <w:tc>
          <w:tcPr>
            <w:tcW w:w="5095"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Количество ХЕ в сутки</w:t>
            </w:r>
          </w:p>
        </w:tc>
      </w:tr>
      <w:tr w:rsidR="00D27BC6">
        <w:trPr>
          <w:trHeight w:val="320"/>
        </w:trPr>
        <w:tc>
          <w:tcPr>
            <w:tcW w:w="10190" w:type="dxa"/>
            <w:gridSpan w:val="2"/>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59" w:right="0" w:firstLine="0"/>
              <w:jc w:val="center"/>
            </w:pPr>
            <w:r>
              <w:rPr>
                <w:b/>
              </w:rPr>
              <w:t>Пациенты с близкой к нормальной массой тела</w:t>
            </w:r>
            <w:r>
              <w:rPr>
                <w:b/>
                <w:sz w:val="18"/>
                <w:vertAlign w:val="superscript"/>
              </w:rPr>
              <w:t>2</w:t>
            </w:r>
            <w:r>
              <w:rPr>
                <w:b/>
              </w:rPr>
              <w:t xml:space="preserve"> </w:t>
            </w:r>
          </w:p>
        </w:tc>
      </w:tr>
      <w:tr w:rsidR="00D27BC6">
        <w:trPr>
          <w:trHeight w:val="320"/>
        </w:trPr>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Тяжелый физический труд</w:t>
            </w:r>
          </w:p>
        </w:tc>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25–30</w:t>
            </w:r>
          </w:p>
        </w:tc>
      </w:tr>
      <w:tr w:rsidR="00D27BC6">
        <w:trPr>
          <w:trHeight w:val="320"/>
        </w:trPr>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Среднетяжелый физический труд </w:t>
            </w:r>
          </w:p>
        </w:tc>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20–24</w:t>
            </w:r>
          </w:p>
        </w:tc>
      </w:tr>
      <w:tr w:rsidR="00D27BC6">
        <w:trPr>
          <w:trHeight w:val="320"/>
        </w:trPr>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Работа «сидячего» типа </w:t>
            </w:r>
          </w:p>
        </w:tc>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16–19</w:t>
            </w:r>
          </w:p>
        </w:tc>
      </w:tr>
      <w:tr w:rsidR="00D27BC6">
        <w:trPr>
          <w:trHeight w:val="320"/>
        </w:trPr>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Малоподвижный образ жизни</w:t>
            </w:r>
          </w:p>
        </w:tc>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12–15</w:t>
            </w:r>
          </w:p>
        </w:tc>
      </w:tr>
      <w:tr w:rsidR="00D27BC6">
        <w:trPr>
          <w:trHeight w:val="320"/>
        </w:trPr>
        <w:tc>
          <w:tcPr>
            <w:tcW w:w="10190" w:type="dxa"/>
            <w:gridSpan w:val="2"/>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59" w:right="0" w:firstLine="0"/>
              <w:jc w:val="center"/>
            </w:pPr>
            <w:r>
              <w:rPr>
                <w:b/>
              </w:rPr>
              <w:t>Пациенты с избыточной массой тела или ожирением</w:t>
            </w:r>
          </w:p>
        </w:tc>
      </w:tr>
      <w:tr w:rsidR="00D27BC6">
        <w:trPr>
          <w:trHeight w:val="320"/>
        </w:trPr>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Тяжелый физический труд</w:t>
            </w:r>
          </w:p>
        </w:tc>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20–25</w:t>
            </w:r>
          </w:p>
        </w:tc>
      </w:tr>
      <w:tr w:rsidR="00D27BC6">
        <w:trPr>
          <w:trHeight w:val="320"/>
        </w:trPr>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Среднетяжелый физический труд </w:t>
            </w:r>
          </w:p>
        </w:tc>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16–19</w:t>
            </w:r>
          </w:p>
        </w:tc>
      </w:tr>
      <w:tr w:rsidR="00D27BC6">
        <w:trPr>
          <w:trHeight w:val="320"/>
        </w:trPr>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Работа «сидячего» типа </w:t>
            </w:r>
          </w:p>
        </w:tc>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13–15</w:t>
            </w:r>
          </w:p>
        </w:tc>
      </w:tr>
      <w:tr w:rsidR="00D27BC6">
        <w:trPr>
          <w:trHeight w:val="320"/>
        </w:trPr>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Малоподвижный образ жизни</w:t>
            </w:r>
          </w:p>
        </w:tc>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10–12</w:t>
            </w:r>
          </w:p>
        </w:tc>
      </w:tr>
      <w:tr w:rsidR="00D27BC6">
        <w:trPr>
          <w:trHeight w:val="320"/>
        </w:trPr>
        <w:tc>
          <w:tcPr>
            <w:tcW w:w="10190" w:type="dxa"/>
            <w:gridSpan w:val="2"/>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59" w:right="0" w:firstLine="0"/>
              <w:jc w:val="center"/>
            </w:pPr>
            <w:r>
              <w:rPr>
                <w:b/>
              </w:rPr>
              <w:t>Пациенты с дефицитом массы тела</w:t>
            </w:r>
          </w:p>
        </w:tc>
      </w:tr>
      <w:tr w:rsidR="00D27BC6">
        <w:trPr>
          <w:trHeight w:val="320"/>
        </w:trPr>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Любой образ жизни</w:t>
            </w:r>
          </w:p>
        </w:tc>
        <w:tc>
          <w:tcPr>
            <w:tcW w:w="509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25–30</w:t>
            </w:r>
          </w:p>
        </w:tc>
      </w:tr>
    </w:tbl>
    <w:p w:rsidR="00D27BC6" w:rsidRDefault="004D5071">
      <w:pPr>
        <w:numPr>
          <w:ilvl w:val="0"/>
          <w:numId w:val="174"/>
        </w:numPr>
        <w:spacing w:after="4"/>
        <w:ind w:right="0" w:hanging="84"/>
      </w:pPr>
      <w:r>
        <w:rPr>
          <w:sz w:val="16"/>
        </w:rPr>
        <w:t>В пределах каждой категории мужчины обычно потребляют ХЕ ближе к верхней границе диапазона, женщины – ближе к нижней.</w:t>
      </w:r>
    </w:p>
    <w:p w:rsidR="00D27BC6" w:rsidRDefault="004D5071">
      <w:pPr>
        <w:numPr>
          <w:ilvl w:val="0"/>
          <w:numId w:val="174"/>
        </w:numPr>
        <w:spacing w:after="4"/>
        <w:ind w:right="0" w:hanging="84"/>
      </w:pPr>
      <w:r>
        <w:rPr>
          <w:sz w:val="16"/>
        </w:rPr>
        <w:t>Близкая к нормальной масса тела указывает на адекватность соотношения между питанием пациента и расходом энергии, поэтому эти пациенты, как правило, не нуждаются в рекомендациях по количеству ХЕ в сутки.</w:t>
      </w:r>
      <w:r>
        <w:br w:type="page"/>
      </w:r>
    </w:p>
    <w:p w:rsidR="00D27BC6" w:rsidRDefault="004D5071">
      <w:pPr>
        <w:spacing w:after="12"/>
        <w:ind w:left="3438" w:right="3426"/>
        <w:jc w:val="center"/>
      </w:pPr>
      <w:r>
        <w:rPr>
          <w:b/>
        </w:rPr>
        <w:t>ПРИЛОЖЕНИЕ 4.  ПИТАНИЕ ПРИ ИЗБЫТОЧНОМ ВЕСЕ.</w:t>
      </w:r>
    </w:p>
    <w:tbl>
      <w:tblPr>
        <w:tblStyle w:val="TableGrid"/>
        <w:tblW w:w="10185" w:type="dxa"/>
        <w:tblInd w:w="8" w:type="dxa"/>
        <w:tblCellMar>
          <w:top w:w="7" w:type="dxa"/>
          <w:left w:w="53" w:type="dxa"/>
          <w:bottom w:w="0" w:type="dxa"/>
          <w:right w:w="56" w:type="dxa"/>
        </w:tblCellMar>
        <w:tblLook w:val="04A0" w:firstRow="1" w:lastRow="0" w:firstColumn="1" w:lastColumn="0" w:noHBand="0" w:noVBand="1"/>
      </w:tblPr>
      <w:tblGrid>
        <w:gridCol w:w="5092"/>
        <w:gridCol w:w="5092"/>
      </w:tblGrid>
      <w:tr w:rsidR="00D27BC6">
        <w:trPr>
          <w:trHeight w:val="320"/>
        </w:trPr>
        <w:tc>
          <w:tcPr>
            <w:tcW w:w="10185"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3" w:right="0" w:firstLine="0"/>
              <w:jc w:val="center"/>
            </w:pPr>
            <w:r>
              <w:rPr>
                <w:b/>
              </w:rPr>
              <w:t>Продукт</w:t>
            </w:r>
            <w:r>
              <w:rPr>
                <w:b/>
              </w:rPr>
              <w:t>ы, которые следует употреблять без ограничения</w:t>
            </w:r>
          </w:p>
        </w:tc>
      </w:tr>
      <w:tr w:rsidR="00D27BC6">
        <w:trPr>
          <w:trHeight w:val="1210"/>
        </w:trPr>
        <w:tc>
          <w:tcPr>
            <w:tcW w:w="5092" w:type="dxa"/>
            <w:vMerge w:val="restart"/>
            <w:tcBorders>
              <w:top w:val="single" w:sz="6" w:space="0" w:color="000000"/>
              <w:left w:val="single" w:sz="6" w:space="0" w:color="000000"/>
              <w:bottom w:val="single" w:sz="6" w:space="0" w:color="000000"/>
              <w:right w:val="single" w:sz="6" w:space="0" w:color="000000"/>
            </w:tcBorders>
          </w:tcPr>
          <w:p w:rsidR="00D27BC6" w:rsidRDefault="004D5071">
            <w:pPr>
              <w:numPr>
                <w:ilvl w:val="0"/>
                <w:numId w:val="325"/>
              </w:numPr>
              <w:spacing w:after="40" w:line="259" w:lineRule="auto"/>
              <w:ind w:right="0" w:hanging="170"/>
              <w:jc w:val="left"/>
            </w:pPr>
            <w:r>
              <w:t>капуста (все виды)</w:t>
            </w:r>
          </w:p>
          <w:p w:rsidR="00D27BC6" w:rsidRDefault="004D5071">
            <w:pPr>
              <w:numPr>
                <w:ilvl w:val="0"/>
                <w:numId w:val="325"/>
              </w:numPr>
              <w:spacing w:after="38" w:line="259" w:lineRule="auto"/>
              <w:ind w:right="0" w:hanging="170"/>
              <w:jc w:val="left"/>
            </w:pPr>
            <w:r>
              <w:t>огурцы</w:t>
            </w:r>
          </w:p>
          <w:p w:rsidR="00D27BC6" w:rsidRDefault="004D5071">
            <w:pPr>
              <w:numPr>
                <w:ilvl w:val="0"/>
                <w:numId w:val="325"/>
              </w:numPr>
              <w:spacing w:after="41" w:line="259" w:lineRule="auto"/>
              <w:ind w:right="0" w:hanging="170"/>
              <w:jc w:val="left"/>
            </w:pPr>
            <w:r>
              <w:t>салат листовой</w:t>
            </w:r>
          </w:p>
          <w:p w:rsidR="00D27BC6" w:rsidRDefault="004D5071">
            <w:pPr>
              <w:numPr>
                <w:ilvl w:val="0"/>
                <w:numId w:val="325"/>
              </w:numPr>
              <w:spacing w:after="40" w:line="259" w:lineRule="auto"/>
              <w:ind w:right="0" w:hanging="170"/>
              <w:jc w:val="left"/>
            </w:pPr>
            <w:r>
              <w:t>зелень</w:t>
            </w:r>
          </w:p>
          <w:p w:rsidR="00D27BC6" w:rsidRDefault="004D5071">
            <w:pPr>
              <w:numPr>
                <w:ilvl w:val="0"/>
                <w:numId w:val="325"/>
              </w:numPr>
              <w:spacing w:after="42" w:line="259" w:lineRule="auto"/>
              <w:ind w:right="0" w:hanging="170"/>
              <w:jc w:val="left"/>
            </w:pPr>
            <w:r>
              <w:t>помидоры</w:t>
            </w:r>
          </w:p>
          <w:p w:rsidR="00D27BC6" w:rsidRDefault="004D5071">
            <w:pPr>
              <w:numPr>
                <w:ilvl w:val="0"/>
                <w:numId w:val="325"/>
              </w:numPr>
              <w:spacing w:after="41" w:line="259" w:lineRule="auto"/>
              <w:ind w:right="0" w:hanging="170"/>
              <w:jc w:val="left"/>
            </w:pPr>
            <w:r>
              <w:t>перец</w:t>
            </w:r>
          </w:p>
          <w:p w:rsidR="00D27BC6" w:rsidRDefault="004D5071">
            <w:pPr>
              <w:numPr>
                <w:ilvl w:val="0"/>
                <w:numId w:val="325"/>
              </w:numPr>
              <w:spacing w:after="39" w:line="259" w:lineRule="auto"/>
              <w:ind w:right="0" w:hanging="170"/>
              <w:jc w:val="left"/>
            </w:pPr>
            <w:r>
              <w:t>кабачки</w:t>
            </w:r>
          </w:p>
          <w:p w:rsidR="00D27BC6" w:rsidRDefault="004D5071">
            <w:pPr>
              <w:numPr>
                <w:ilvl w:val="0"/>
                <w:numId w:val="325"/>
              </w:numPr>
              <w:spacing w:after="41" w:line="259" w:lineRule="auto"/>
              <w:ind w:right="0" w:hanging="170"/>
              <w:jc w:val="left"/>
            </w:pPr>
            <w:r>
              <w:t>баклажаны</w:t>
            </w:r>
          </w:p>
          <w:p w:rsidR="00D27BC6" w:rsidRDefault="004D5071">
            <w:pPr>
              <w:numPr>
                <w:ilvl w:val="0"/>
                <w:numId w:val="325"/>
              </w:numPr>
              <w:spacing w:after="40" w:line="259" w:lineRule="auto"/>
              <w:ind w:right="0" w:hanging="170"/>
              <w:jc w:val="left"/>
            </w:pPr>
            <w:r>
              <w:t>свекла</w:t>
            </w:r>
          </w:p>
          <w:p w:rsidR="00D27BC6" w:rsidRDefault="004D5071">
            <w:pPr>
              <w:numPr>
                <w:ilvl w:val="0"/>
                <w:numId w:val="325"/>
              </w:numPr>
              <w:spacing w:after="37" w:line="259" w:lineRule="auto"/>
              <w:ind w:right="0" w:hanging="170"/>
              <w:jc w:val="left"/>
            </w:pPr>
            <w:r>
              <w:t>морковь</w:t>
            </w:r>
          </w:p>
          <w:p w:rsidR="00D27BC6" w:rsidRDefault="004D5071">
            <w:pPr>
              <w:numPr>
                <w:ilvl w:val="0"/>
                <w:numId w:val="325"/>
              </w:numPr>
              <w:spacing w:after="37" w:line="259" w:lineRule="auto"/>
              <w:ind w:right="0" w:hanging="170"/>
              <w:jc w:val="left"/>
            </w:pPr>
            <w:r>
              <w:t>стручковая фасоль</w:t>
            </w:r>
          </w:p>
          <w:p w:rsidR="00D27BC6" w:rsidRDefault="004D5071">
            <w:pPr>
              <w:numPr>
                <w:ilvl w:val="0"/>
                <w:numId w:val="325"/>
              </w:numPr>
              <w:spacing w:after="36" w:line="259" w:lineRule="auto"/>
              <w:ind w:right="0" w:hanging="170"/>
              <w:jc w:val="left"/>
            </w:pPr>
            <w:r>
              <w:t>редис, редька, репа</w:t>
            </w:r>
          </w:p>
          <w:p w:rsidR="00D27BC6" w:rsidRDefault="004D5071">
            <w:pPr>
              <w:numPr>
                <w:ilvl w:val="0"/>
                <w:numId w:val="325"/>
              </w:numPr>
              <w:spacing w:after="37" w:line="259" w:lineRule="auto"/>
              <w:ind w:right="0" w:hanging="170"/>
              <w:jc w:val="left"/>
            </w:pPr>
            <w:r>
              <w:t>зеленый горошек (молодой)</w:t>
            </w:r>
          </w:p>
          <w:p w:rsidR="00D27BC6" w:rsidRDefault="004D5071">
            <w:pPr>
              <w:numPr>
                <w:ilvl w:val="0"/>
                <w:numId w:val="325"/>
              </w:numPr>
              <w:spacing w:after="41" w:line="259" w:lineRule="auto"/>
              <w:ind w:right="0" w:hanging="170"/>
              <w:jc w:val="left"/>
            </w:pPr>
            <w:r>
              <w:t>шпинат, щавель</w:t>
            </w:r>
          </w:p>
          <w:p w:rsidR="00D27BC6" w:rsidRDefault="004D5071">
            <w:pPr>
              <w:numPr>
                <w:ilvl w:val="0"/>
                <w:numId w:val="325"/>
              </w:numPr>
              <w:spacing w:after="0" w:line="259" w:lineRule="auto"/>
              <w:ind w:right="0" w:hanging="170"/>
              <w:jc w:val="left"/>
            </w:pPr>
            <w:r>
              <w:t>грибы</w:t>
            </w: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26"/>
              </w:numPr>
              <w:spacing w:after="36" w:line="259" w:lineRule="auto"/>
              <w:ind w:right="0" w:hanging="170"/>
              <w:jc w:val="left"/>
            </w:pPr>
            <w:r>
              <w:t>чай, кофе без сахара и сливок</w:t>
            </w:r>
          </w:p>
          <w:p w:rsidR="00D27BC6" w:rsidRDefault="004D5071">
            <w:pPr>
              <w:numPr>
                <w:ilvl w:val="0"/>
                <w:numId w:val="326"/>
              </w:numPr>
              <w:spacing w:after="36" w:line="259" w:lineRule="auto"/>
              <w:ind w:right="0" w:hanging="170"/>
              <w:jc w:val="left"/>
            </w:pPr>
            <w:r>
              <w:t>минеральная вода</w:t>
            </w:r>
          </w:p>
          <w:p w:rsidR="00D27BC6" w:rsidRDefault="004D5071">
            <w:pPr>
              <w:numPr>
                <w:ilvl w:val="0"/>
                <w:numId w:val="326"/>
              </w:numPr>
              <w:spacing w:after="0" w:line="259" w:lineRule="auto"/>
              <w:ind w:right="0" w:hanging="170"/>
              <w:jc w:val="left"/>
            </w:pPr>
            <w:r>
              <w:t>напитки на сахарозаменителях</w:t>
            </w:r>
          </w:p>
        </w:tc>
      </w:tr>
      <w:tr w:rsidR="00D27BC6">
        <w:trPr>
          <w:trHeight w:val="3264"/>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240" w:line="236" w:lineRule="auto"/>
              <w:ind w:left="0" w:right="0" w:firstLine="0"/>
              <w:jc w:val="left"/>
            </w:pPr>
            <w:r>
              <w:t>Овощи можно употреблять в сыром, отварном, запеченном виде.</w:t>
            </w:r>
          </w:p>
          <w:p w:rsidR="00D27BC6" w:rsidRDefault="004D5071">
            <w:pPr>
              <w:spacing w:after="0" w:line="259" w:lineRule="auto"/>
              <w:ind w:left="0" w:right="465" w:firstLine="0"/>
              <w:jc w:val="left"/>
            </w:pPr>
            <w:r>
              <w:t>Использование жиров (масла, майонеза, сметаны) в приготовлении овощных блюд должно быть минимальным.</w:t>
            </w:r>
          </w:p>
        </w:tc>
      </w:tr>
      <w:tr w:rsidR="00D27BC6">
        <w:trPr>
          <w:trHeight w:val="320"/>
        </w:trPr>
        <w:tc>
          <w:tcPr>
            <w:tcW w:w="10185"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3" w:firstLine="0"/>
              <w:jc w:val="center"/>
            </w:pPr>
            <w:r>
              <w:rPr>
                <w:b/>
              </w:rPr>
              <w:t>Продукты, которые следует употреблять в умеренном количестве</w:t>
            </w:r>
          </w:p>
        </w:tc>
      </w:tr>
      <w:tr w:rsidR="00D27BC6">
        <w:trPr>
          <w:trHeight w:val="2397"/>
        </w:trPr>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45" w:line="259" w:lineRule="auto"/>
              <w:ind w:left="0" w:right="0" w:firstLine="0"/>
              <w:jc w:val="left"/>
            </w:pPr>
            <w:r>
              <w:rPr>
                <w:rFonts w:ascii="Courier New" w:eastAsia="Courier New" w:hAnsi="Courier New" w:cs="Courier New"/>
              </w:rPr>
              <w:t>○</w:t>
            </w:r>
            <w:r>
              <w:t xml:space="preserve"> нежирное мясо (постная говядина, телятина)</w:t>
            </w:r>
          </w:p>
          <w:p w:rsidR="00D27BC6" w:rsidRDefault="004D5071">
            <w:pPr>
              <w:spacing w:after="44" w:line="259" w:lineRule="auto"/>
              <w:ind w:left="0" w:right="0" w:firstLine="0"/>
              <w:jc w:val="left"/>
            </w:pPr>
            <w:r>
              <w:rPr>
                <w:rFonts w:ascii="Courier New" w:eastAsia="Courier New" w:hAnsi="Courier New" w:cs="Courier New"/>
              </w:rPr>
              <w:t>○</w:t>
            </w:r>
            <w:r>
              <w:t xml:space="preserve"> нежирная рыба (треска, судак, хек)</w:t>
            </w:r>
          </w:p>
          <w:p w:rsidR="00D27BC6" w:rsidRDefault="004D5071">
            <w:pPr>
              <w:spacing w:after="46" w:line="259" w:lineRule="auto"/>
              <w:ind w:left="0" w:right="0" w:firstLine="0"/>
              <w:jc w:val="left"/>
            </w:pPr>
            <w:r>
              <w:rPr>
                <w:rFonts w:ascii="Courier New" w:eastAsia="Courier New" w:hAnsi="Courier New" w:cs="Courier New"/>
              </w:rPr>
              <w:t>○</w:t>
            </w:r>
            <w:r>
              <w:t xml:space="preserve"> молоко и кисломолочные продукты (нежирные)</w:t>
            </w:r>
          </w:p>
          <w:p w:rsidR="00D27BC6" w:rsidRDefault="004D5071">
            <w:pPr>
              <w:spacing w:after="46" w:line="259" w:lineRule="auto"/>
              <w:ind w:left="0" w:right="0" w:firstLine="0"/>
              <w:jc w:val="left"/>
            </w:pPr>
            <w:r>
              <w:rPr>
                <w:rFonts w:ascii="Courier New" w:eastAsia="Courier New" w:hAnsi="Courier New" w:cs="Courier New"/>
              </w:rPr>
              <w:t>○</w:t>
            </w:r>
            <w:r>
              <w:t xml:space="preserve"> сыры менее 30% жирности</w:t>
            </w:r>
          </w:p>
          <w:p w:rsidR="00D27BC6" w:rsidRDefault="004D5071">
            <w:pPr>
              <w:spacing w:after="50" w:line="259" w:lineRule="auto"/>
              <w:ind w:left="0" w:right="0" w:firstLine="0"/>
              <w:jc w:val="left"/>
            </w:pPr>
            <w:r>
              <w:rPr>
                <w:rFonts w:ascii="Courier New" w:eastAsia="Courier New" w:hAnsi="Courier New" w:cs="Courier New"/>
              </w:rPr>
              <w:t>○</w:t>
            </w:r>
            <w:r>
              <w:t xml:space="preserve"> творог менее 5% жирности</w:t>
            </w:r>
          </w:p>
          <w:p w:rsidR="00D27BC6" w:rsidRDefault="004D5071">
            <w:pPr>
              <w:spacing w:after="51" w:line="259" w:lineRule="auto"/>
              <w:ind w:left="0" w:right="0" w:firstLine="0"/>
              <w:jc w:val="left"/>
            </w:pPr>
            <w:r>
              <w:rPr>
                <w:rFonts w:ascii="Courier New" w:eastAsia="Courier New" w:hAnsi="Courier New" w:cs="Courier New"/>
              </w:rPr>
              <w:t>○</w:t>
            </w:r>
            <w:r>
              <w:t xml:space="preserve"> картофель</w:t>
            </w:r>
          </w:p>
          <w:p w:rsidR="00D27BC6" w:rsidRDefault="004D5071">
            <w:pPr>
              <w:spacing w:after="44" w:line="259" w:lineRule="auto"/>
              <w:ind w:left="0" w:right="0" w:firstLine="0"/>
              <w:jc w:val="left"/>
            </w:pPr>
            <w:r>
              <w:rPr>
                <w:rFonts w:ascii="Courier New" w:eastAsia="Courier New" w:hAnsi="Courier New" w:cs="Courier New"/>
              </w:rPr>
              <w:t>○</w:t>
            </w:r>
            <w:r>
              <w:t xml:space="preserve"> </w:t>
            </w:r>
            <w:r>
              <w:t>кукуруза</w:t>
            </w:r>
          </w:p>
          <w:p w:rsidR="00D27BC6" w:rsidRDefault="004D5071">
            <w:pPr>
              <w:spacing w:after="0" w:line="259" w:lineRule="auto"/>
              <w:ind w:left="0" w:right="0" w:firstLine="0"/>
              <w:jc w:val="left"/>
            </w:pPr>
            <w:r>
              <w:rPr>
                <w:rFonts w:ascii="Courier New" w:eastAsia="Courier New" w:hAnsi="Courier New" w:cs="Courier New"/>
              </w:rPr>
              <w:t>○</w:t>
            </w:r>
            <w:r>
              <w:t xml:space="preserve"> зрелые зерна бобовых (горох, фасоль, чечевица)</w:t>
            </w: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w:t>
            </w:r>
            <w:r>
              <w:rPr>
                <w:i/>
              </w:rPr>
              <w:t>Умеренное количество» означает половину от Вашей привычной порции</w:t>
            </w:r>
          </w:p>
        </w:tc>
      </w:tr>
      <w:tr w:rsidR="00D27BC6">
        <w:trPr>
          <w:trHeight w:val="320"/>
        </w:trPr>
        <w:tc>
          <w:tcPr>
            <w:tcW w:w="10185" w:type="dxa"/>
            <w:gridSpan w:val="2"/>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4" w:firstLine="0"/>
              <w:jc w:val="center"/>
            </w:pPr>
            <w:r>
              <w:rPr>
                <w:b/>
              </w:rPr>
              <w:t>Продукты, которые необходимо исключить или максимально ограничить</w:t>
            </w:r>
          </w:p>
        </w:tc>
      </w:tr>
      <w:tr w:rsidR="00D27BC6">
        <w:trPr>
          <w:trHeight w:val="4714"/>
        </w:trPr>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27"/>
              </w:numPr>
              <w:spacing w:after="33" w:line="259" w:lineRule="auto"/>
              <w:ind w:right="0" w:hanging="170"/>
              <w:jc w:val="left"/>
            </w:pPr>
            <w:r>
              <w:t>масло сливочное</w:t>
            </w:r>
          </w:p>
          <w:p w:rsidR="00D27BC6" w:rsidRDefault="004D5071">
            <w:pPr>
              <w:numPr>
                <w:ilvl w:val="0"/>
                <w:numId w:val="327"/>
              </w:numPr>
              <w:spacing w:after="33" w:line="259" w:lineRule="auto"/>
              <w:ind w:right="0" w:hanging="170"/>
              <w:jc w:val="left"/>
            </w:pPr>
            <w:r>
              <w:t>масло растительное*</w:t>
            </w:r>
          </w:p>
          <w:p w:rsidR="00D27BC6" w:rsidRDefault="004D5071">
            <w:pPr>
              <w:numPr>
                <w:ilvl w:val="0"/>
                <w:numId w:val="327"/>
              </w:numPr>
              <w:spacing w:after="33" w:line="259" w:lineRule="auto"/>
              <w:ind w:right="0" w:hanging="170"/>
              <w:jc w:val="left"/>
            </w:pPr>
            <w:r>
              <w:t>сало</w:t>
            </w:r>
          </w:p>
          <w:p w:rsidR="00D27BC6" w:rsidRDefault="004D5071">
            <w:pPr>
              <w:numPr>
                <w:ilvl w:val="0"/>
                <w:numId w:val="327"/>
              </w:numPr>
              <w:spacing w:after="33" w:line="259" w:lineRule="auto"/>
              <w:ind w:right="0" w:hanging="170"/>
              <w:jc w:val="left"/>
            </w:pPr>
            <w:r>
              <w:t>сметана, сливки</w:t>
            </w:r>
          </w:p>
          <w:p w:rsidR="00D27BC6" w:rsidRDefault="004D5071">
            <w:pPr>
              <w:numPr>
                <w:ilvl w:val="0"/>
                <w:numId w:val="327"/>
              </w:numPr>
              <w:spacing w:after="33" w:line="259" w:lineRule="auto"/>
              <w:ind w:right="0" w:hanging="170"/>
              <w:jc w:val="left"/>
            </w:pPr>
            <w:r>
              <w:t>сыры более 30% жирности</w:t>
            </w:r>
          </w:p>
          <w:p w:rsidR="00D27BC6" w:rsidRDefault="004D5071">
            <w:pPr>
              <w:numPr>
                <w:ilvl w:val="0"/>
                <w:numId w:val="327"/>
              </w:numPr>
              <w:spacing w:after="33" w:line="259" w:lineRule="auto"/>
              <w:ind w:right="0" w:hanging="170"/>
              <w:jc w:val="left"/>
            </w:pPr>
            <w:r>
              <w:t>творог более 5% жирности</w:t>
            </w:r>
          </w:p>
          <w:p w:rsidR="00D27BC6" w:rsidRDefault="004D5071">
            <w:pPr>
              <w:numPr>
                <w:ilvl w:val="0"/>
                <w:numId w:val="327"/>
              </w:numPr>
              <w:spacing w:after="33" w:line="259" w:lineRule="auto"/>
              <w:ind w:right="0" w:hanging="170"/>
              <w:jc w:val="left"/>
            </w:pPr>
            <w:r>
              <w:t>майонез</w:t>
            </w:r>
          </w:p>
          <w:p w:rsidR="00D27BC6" w:rsidRDefault="004D5071">
            <w:pPr>
              <w:numPr>
                <w:ilvl w:val="0"/>
                <w:numId w:val="327"/>
              </w:numPr>
              <w:spacing w:after="33" w:line="259" w:lineRule="auto"/>
              <w:ind w:right="0" w:hanging="170"/>
              <w:jc w:val="left"/>
            </w:pPr>
            <w:r>
              <w:t xml:space="preserve">жирное мясо, копчености </w:t>
            </w:r>
          </w:p>
          <w:p w:rsidR="00D27BC6" w:rsidRDefault="004D5071">
            <w:pPr>
              <w:numPr>
                <w:ilvl w:val="0"/>
                <w:numId w:val="327"/>
              </w:numPr>
              <w:spacing w:after="33" w:line="259" w:lineRule="auto"/>
              <w:ind w:right="0" w:hanging="170"/>
              <w:jc w:val="left"/>
            </w:pPr>
            <w:r>
              <w:t>колбасные изделия</w:t>
            </w:r>
          </w:p>
          <w:p w:rsidR="00D27BC6" w:rsidRDefault="004D5071">
            <w:pPr>
              <w:numPr>
                <w:ilvl w:val="0"/>
                <w:numId w:val="327"/>
              </w:numPr>
              <w:spacing w:after="57" w:line="236" w:lineRule="auto"/>
              <w:ind w:right="0" w:hanging="170"/>
              <w:jc w:val="left"/>
            </w:pPr>
            <w:r>
              <w:t>полуфабрикаты (изделия из фарша, пельмени, замороженная пицца и т.п.)</w:t>
            </w:r>
          </w:p>
          <w:p w:rsidR="00D27BC6" w:rsidRDefault="004D5071">
            <w:pPr>
              <w:numPr>
                <w:ilvl w:val="0"/>
                <w:numId w:val="327"/>
              </w:numPr>
              <w:spacing w:after="33" w:line="259" w:lineRule="auto"/>
              <w:ind w:right="0" w:hanging="170"/>
              <w:jc w:val="left"/>
            </w:pPr>
            <w:r>
              <w:t>пироги</w:t>
            </w:r>
          </w:p>
          <w:p w:rsidR="00D27BC6" w:rsidRDefault="004D5071">
            <w:pPr>
              <w:numPr>
                <w:ilvl w:val="0"/>
                <w:numId w:val="327"/>
              </w:numPr>
              <w:spacing w:after="33" w:line="259" w:lineRule="auto"/>
              <w:ind w:right="0" w:hanging="170"/>
              <w:jc w:val="left"/>
            </w:pPr>
            <w:r>
              <w:t>жирная рыба**</w:t>
            </w:r>
          </w:p>
          <w:p w:rsidR="00D27BC6" w:rsidRDefault="004D5071">
            <w:pPr>
              <w:numPr>
                <w:ilvl w:val="0"/>
                <w:numId w:val="327"/>
              </w:numPr>
              <w:spacing w:after="33" w:line="259" w:lineRule="auto"/>
              <w:ind w:right="0" w:hanging="170"/>
              <w:jc w:val="left"/>
            </w:pPr>
            <w:r>
              <w:t>кожа птицы</w:t>
            </w:r>
          </w:p>
          <w:p w:rsidR="00D27BC6" w:rsidRDefault="004D5071">
            <w:pPr>
              <w:numPr>
                <w:ilvl w:val="0"/>
                <w:numId w:val="327"/>
              </w:numPr>
              <w:spacing w:after="0" w:line="259" w:lineRule="auto"/>
              <w:ind w:right="0" w:hanging="170"/>
              <w:jc w:val="left"/>
            </w:pPr>
            <w:r>
              <w:t>консервы мясные, рыбные и растительные в масле • орехи</w:t>
            </w:r>
            <w:r>
              <w:t>, семечки</w:t>
            </w:r>
          </w:p>
        </w:tc>
        <w:tc>
          <w:tcPr>
            <w:tcW w:w="5092"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28"/>
              </w:numPr>
              <w:spacing w:after="33" w:line="259" w:lineRule="auto"/>
              <w:ind w:right="0" w:hanging="170"/>
              <w:jc w:val="left"/>
            </w:pPr>
            <w:r>
              <w:t>сахар, мед</w:t>
            </w:r>
          </w:p>
          <w:p w:rsidR="00D27BC6" w:rsidRDefault="004D5071">
            <w:pPr>
              <w:numPr>
                <w:ilvl w:val="0"/>
                <w:numId w:val="328"/>
              </w:numPr>
              <w:spacing w:after="33" w:line="259" w:lineRule="auto"/>
              <w:ind w:right="0" w:hanging="170"/>
              <w:jc w:val="left"/>
            </w:pPr>
            <w:r>
              <w:t>варенье, джемы, сухофрукты</w:t>
            </w:r>
          </w:p>
          <w:p w:rsidR="00D27BC6" w:rsidRDefault="004D5071">
            <w:pPr>
              <w:numPr>
                <w:ilvl w:val="0"/>
                <w:numId w:val="328"/>
              </w:numPr>
              <w:spacing w:after="33" w:line="259" w:lineRule="auto"/>
              <w:ind w:right="0" w:hanging="170"/>
              <w:jc w:val="left"/>
            </w:pPr>
            <w:r>
              <w:t>конфеты, шоколад</w:t>
            </w:r>
          </w:p>
          <w:p w:rsidR="00D27BC6" w:rsidRDefault="004D5071">
            <w:pPr>
              <w:numPr>
                <w:ilvl w:val="0"/>
                <w:numId w:val="328"/>
              </w:numPr>
              <w:spacing w:after="33" w:line="259" w:lineRule="auto"/>
              <w:ind w:right="0" w:hanging="170"/>
              <w:jc w:val="left"/>
            </w:pPr>
            <w:r>
              <w:t>пирожные, торты и др. кондитерские изделия</w:t>
            </w:r>
          </w:p>
          <w:p w:rsidR="00D27BC6" w:rsidRDefault="004D5071">
            <w:pPr>
              <w:numPr>
                <w:ilvl w:val="0"/>
                <w:numId w:val="328"/>
              </w:numPr>
              <w:spacing w:after="33" w:line="259" w:lineRule="auto"/>
              <w:ind w:right="0" w:hanging="170"/>
              <w:jc w:val="left"/>
            </w:pPr>
            <w:r>
              <w:t>печенье, изделия из сдобного теста</w:t>
            </w:r>
          </w:p>
          <w:p w:rsidR="00D27BC6" w:rsidRDefault="004D5071">
            <w:pPr>
              <w:numPr>
                <w:ilvl w:val="0"/>
                <w:numId w:val="328"/>
              </w:numPr>
              <w:spacing w:after="33" w:line="259" w:lineRule="auto"/>
              <w:ind w:right="0" w:hanging="170"/>
              <w:jc w:val="left"/>
            </w:pPr>
            <w:r>
              <w:t>мороженое</w:t>
            </w:r>
          </w:p>
          <w:p w:rsidR="00D27BC6" w:rsidRDefault="004D5071">
            <w:pPr>
              <w:numPr>
                <w:ilvl w:val="0"/>
                <w:numId w:val="328"/>
              </w:numPr>
              <w:spacing w:after="33" w:line="259" w:lineRule="auto"/>
              <w:ind w:right="0" w:hanging="170"/>
              <w:jc w:val="left"/>
            </w:pPr>
            <w:r>
              <w:t>сладкие напитки (лимонады, фруктовые соки)</w:t>
            </w:r>
          </w:p>
          <w:p w:rsidR="00D27BC6" w:rsidRDefault="004D5071">
            <w:pPr>
              <w:numPr>
                <w:ilvl w:val="0"/>
                <w:numId w:val="328"/>
              </w:numPr>
              <w:spacing w:after="0" w:line="259" w:lineRule="auto"/>
              <w:ind w:right="0" w:hanging="170"/>
              <w:jc w:val="left"/>
            </w:pPr>
            <w:r>
              <w:t>алкогольные напитки</w:t>
            </w:r>
            <w:r>
              <w:rPr>
                <w:i/>
              </w:rPr>
              <w:t xml:space="preserve"> </w:t>
            </w:r>
          </w:p>
        </w:tc>
      </w:tr>
      <w:tr w:rsidR="00D27BC6">
        <w:trPr>
          <w:trHeight w:val="1057"/>
        </w:trPr>
        <w:tc>
          <w:tcPr>
            <w:tcW w:w="10185"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70" w:line="236" w:lineRule="auto"/>
              <w:ind w:left="0" w:right="1608" w:firstLine="0"/>
              <w:jc w:val="left"/>
            </w:pPr>
            <w:r>
              <w:t>Следует по возможности исключить такой способ приготовления пищи как жарение.  Старайтесь использовать посуду, позволяющую готовить пищу без добавления жира.</w:t>
            </w:r>
          </w:p>
          <w:p w:rsidR="00D27BC6" w:rsidRDefault="004D5071">
            <w:pPr>
              <w:spacing w:after="0" w:line="259" w:lineRule="auto"/>
              <w:ind w:left="4" w:right="0" w:firstLine="0"/>
            </w:pPr>
            <w:r>
              <w:rPr>
                <w:sz w:val="16"/>
              </w:rPr>
              <w:t>* Растительное масло является необходимой частью ежедневного рациона, однако достаточно употреблять его в очень небольших количествах</w:t>
            </w:r>
          </w:p>
          <w:p w:rsidR="00D27BC6" w:rsidRDefault="004D5071">
            <w:pPr>
              <w:spacing w:after="0" w:line="259" w:lineRule="auto"/>
              <w:ind w:left="4" w:right="0" w:firstLine="0"/>
              <w:jc w:val="left"/>
            </w:pPr>
            <w:r>
              <w:rPr>
                <w:sz w:val="16"/>
              </w:rPr>
              <w:t>** В жирных сортах рыбы содержатся полезные вещества, поэтому ограничение на нее менее строгое, чем на жирное мясо</w:t>
            </w:r>
          </w:p>
        </w:tc>
      </w:tr>
    </w:tbl>
    <w:p w:rsidR="00D27BC6" w:rsidRDefault="004D5071">
      <w:pPr>
        <w:spacing w:after="12"/>
        <w:ind w:left="290" w:right="278"/>
        <w:jc w:val="center"/>
      </w:pPr>
      <w:r>
        <w:rPr>
          <w:b/>
        </w:rPr>
        <w:t>ПРИЛОЖ</w:t>
      </w:r>
      <w:r>
        <w:rPr>
          <w:b/>
        </w:rPr>
        <w:t xml:space="preserve">ЕНИЕ 5.  </w:t>
      </w:r>
    </w:p>
    <w:p w:rsidR="00D27BC6" w:rsidRDefault="004D5071">
      <w:pPr>
        <w:spacing w:after="216" w:line="259" w:lineRule="auto"/>
        <w:ind w:left="10" w:right="2447"/>
        <w:jc w:val="right"/>
      </w:pPr>
      <w:r>
        <w:rPr>
          <w:b/>
        </w:rPr>
        <w:t>ХАРАКТЕРИСТИКА САХАРОСНИЖАЮЩИХ ПРЕПАРАТОВ.</w:t>
      </w:r>
    </w:p>
    <w:p w:rsidR="00D27BC6" w:rsidRDefault="004D5071">
      <w:pPr>
        <w:ind w:left="294" w:right="0"/>
      </w:pPr>
      <w:r>
        <w:t>(Не все зарегистрированные препараты применяются)</w:t>
      </w:r>
    </w:p>
    <w:tbl>
      <w:tblPr>
        <w:tblStyle w:val="TableGrid"/>
        <w:tblW w:w="10191" w:type="dxa"/>
        <w:tblInd w:w="8" w:type="dxa"/>
        <w:tblCellMar>
          <w:top w:w="15" w:type="dxa"/>
          <w:left w:w="56" w:type="dxa"/>
          <w:bottom w:w="0" w:type="dxa"/>
          <w:right w:w="29" w:type="dxa"/>
        </w:tblCellMar>
        <w:tblLook w:val="04A0" w:firstRow="1" w:lastRow="0" w:firstColumn="1" w:lastColumn="0" w:noHBand="0" w:noVBand="1"/>
      </w:tblPr>
      <w:tblGrid>
        <w:gridCol w:w="1675"/>
        <w:gridCol w:w="2324"/>
        <w:gridCol w:w="3581"/>
        <w:gridCol w:w="871"/>
        <w:gridCol w:w="871"/>
        <w:gridCol w:w="868"/>
      </w:tblGrid>
      <w:tr w:rsidR="00D27BC6">
        <w:trPr>
          <w:trHeight w:val="980"/>
        </w:trPr>
        <w:tc>
          <w:tcPr>
            <w:tcW w:w="1675"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88" w:right="0" w:firstLine="0"/>
              <w:jc w:val="left"/>
            </w:pPr>
            <w:r>
              <w:rPr>
                <w:b/>
              </w:rPr>
              <w:t>Группа препаратов</w:t>
            </w:r>
          </w:p>
        </w:tc>
        <w:tc>
          <w:tcPr>
            <w:tcW w:w="2324"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Международное непатентованное наименование</w:t>
            </w:r>
          </w:p>
        </w:tc>
        <w:tc>
          <w:tcPr>
            <w:tcW w:w="358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16" w:lineRule="auto"/>
              <w:ind w:left="27" w:right="22" w:firstLine="0"/>
              <w:jc w:val="center"/>
            </w:pPr>
            <w:r>
              <w:rPr>
                <w:b/>
              </w:rPr>
              <w:t xml:space="preserve">Торговые наименования, зарегистрированные в России  </w:t>
            </w:r>
          </w:p>
          <w:p w:rsidR="00D27BC6" w:rsidRDefault="004D5071">
            <w:pPr>
              <w:spacing w:after="0" w:line="259" w:lineRule="auto"/>
              <w:ind w:left="0" w:right="27" w:firstLine="0"/>
              <w:jc w:val="center"/>
            </w:pPr>
            <w:r>
              <w:rPr>
                <w:b/>
              </w:rPr>
              <w:t>(выпускаемые дозы, мг)</w:t>
            </w:r>
          </w:p>
        </w:tc>
        <w:tc>
          <w:tcPr>
            <w:tcW w:w="87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Суточная доза (мг)</w:t>
            </w:r>
          </w:p>
        </w:tc>
        <w:tc>
          <w:tcPr>
            <w:tcW w:w="871"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16" w:lineRule="auto"/>
              <w:ind w:left="0" w:right="0" w:firstLine="0"/>
              <w:jc w:val="center"/>
            </w:pPr>
            <w:r>
              <w:rPr>
                <w:b/>
              </w:rPr>
              <w:t xml:space="preserve">Кратность приема  </w:t>
            </w:r>
          </w:p>
          <w:p w:rsidR="00D27BC6" w:rsidRDefault="004D5071">
            <w:pPr>
              <w:spacing w:after="0" w:line="259" w:lineRule="auto"/>
              <w:ind w:left="0" w:right="0" w:firstLine="0"/>
              <w:jc w:val="center"/>
            </w:pPr>
            <w:r>
              <w:rPr>
                <w:b/>
              </w:rPr>
              <w:t>(раз/ сутки)</w:t>
            </w:r>
          </w:p>
        </w:tc>
        <w:tc>
          <w:tcPr>
            <w:tcW w:w="86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16" w:lineRule="auto"/>
              <w:ind w:left="0" w:right="0" w:firstLine="0"/>
              <w:jc w:val="center"/>
            </w:pPr>
            <w:r>
              <w:rPr>
                <w:b/>
              </w:rPr>
              <w:t xml:space="preserve">Длительность </w:t>
            </w:r>
          </w:p>
          <w:p w:rsidR="00D27BC6" w:rsidRDefault="004D5071">
            <w:pPr>
              <w:spacing w:after="0" w:line="259" w:lineRule="auto"/>
              <w:ind w:left="36" w:right="0" w:firstLine="0"/>
              <w:jc w:val="left"/>
            </w:pPr>
            <w:r>
              <w:rPr>
                <w:b/>
              </w:rPr>
              <w:t xml:space="preserve">действия </w:t>
            </w:r>
          </w:p>
          <w:p w:rsidR="00D27BC6" w:rsidRDefault="004D5071">
            <w:pPr>
              <w:spacing w:after="0" w:line="259" w:lineRule="auto"/>
              <w:ind w:left="0" w:right="27" w:firstLine="0"/>
              <w:jc w:val="center"/>
            </w:pPr>
            <w:r>
              <w:rPr>
                <w:b/>
              </w:rPr>
              <w:t>(часы)</w:t>
            </w:r>
          </w:p>
        </w:tc>
      </w:tr>
      <w:tr w:rsidR="00D27BC6">
        <w:trPr>
          <w:trHeight w:val="987"/>
        </w:trPr>
        <w:tc>
          <w:tcPr>
            <w:tcW w:w="1675"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Производные сульфонил- мочевины</w:t>
            </w: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Глибенкламид микронизированный</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29"/>
              </w:numPr>
              <w:spacing w:after="13" w:line="259" w:lineRule="auto"/>
              <w:ind w:right="0" w:hanging="170"/>
              <w:jc w:val="left"/>
            </w:pPr>
            <w:r>
              <w:t>Манинил 1,75 (1,75)</w:t>
            </w:r>
          </w:p>
          <w:p w:rsidR="00D27BC6" w:rsidRDefault="004D5071">
            <w:pPr>
              <w:numPr>
                <w:ilvl w:val="0"/>
                <w:numId w:val="329"/>
              </w:numPr>
              <w:spacing w:after="13" w:line="259" w:lineRule="auto"/>
              <w:ind w:right="0" w:hanging="170"/>
              <w:jc w:val="left"/>
            </w:pPr>
            <w:r>
              <w:t>Манинил 3,5 (3,5)</w:t>
            </w:r>
          </w:p>
          <w:p w:rsidR="00D27BC6" w:rsidRDefault="004D5071">
            <w:pPr>
              <w:numPr>
                <w:ilvl w:val="0"/>
                <w:numId w:val="329"/>
              </w:numPr>
              <w:spacing w:after="0" w:line="259" w:lineRule="auto"/>
              <w:ind w:right="0" w:hanging="170"/>
              <w:jc w:val="left"/>
            </w:pPr>
            <w:r>
              <w:t>Глибенкламид (1,75; 3,5)</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left"/>
            </w:pPr>
            <w:r>
              <w:t>1,75–10,5</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1–2</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16–24</w:t>
            </w:r>
          </w:p>
        </w:tc>
      </w:tr>
      <w:tr w:rsidR="00D27BC6">
        <w:trPr>
          <w:trHeight w:val="154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Глибенкламид немикронизированный</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30"/>
              </w:numPr>
              <w:spacing w:after="13" w:line="259" w:lineRule="auto"/>
              <w:ind w:right="0" w:hanging="170"/>
              <w:jc w:val="left"/>
            </w:pPr>
            <w:r>
              <w:t>Манинил 5 (5)</w:t>
            </w:r>
          </w:p>
          <w:p w:rsidR="00D27BC6" w:rsidRDefault="004D5071">
            <w:pPr>
              <w:numPr>
                <w:ilvl w:val="0"/>
                <w:numId w:val="330"/>
              </w:numPr>
              <w:spacing w:after="13" w:line="259" w:lineRule="auto"/>
              <w:ind w:right="0" w:hanging="170"/>
              <w:jc w:val="left"/>
            </w:pPr>
            <w:r>
              <w:t>Глибенкламид (5)</w:t>
            </w:r>
          </w:p>
          <w:p w:rsidR="00D27BC6" w:rsidRDefault="004D5071">
            <w:pPr>
              <w:numPr>
                <w:ilvl w:val="0"/>
                <w:numId w:val="330"/>
              </w:numPr>
              <w:spacing w:after="13" w:line="259" w:lineRule="auto"/>
              <w:ind w:right="0" w:hanging="170"/>
              <w:jc w:val="left"/>
            </w:pPr>
            <w:r>
              <w:t>Глибенкламида таблетки 0,005 г (5)</w:t>
            </w:r>
          </w:p>
          <w:p w:rsidR="00D27BC6" w:rsidRDefault="004D5071">
            <w:pPr>
              <w:numPr>
                <w:ilvl w:val="0"/>
                <w:numId w:val="330"/>
              </w:numPr>
              <w:spacing w:after="13" w:line="259" w:lineRule="auto"/>
              <w:ind w:right="0" w:hanging="170"/>
              <w:jc w:val="left"/>
            </w:pPr>
            <w:r>
              <w:t>Статиглин (1,75; 3,5; 5)</w:t>
            </w:r>
          </w:p>
          <w:p w:rsidR="00D27BC6" w:rsidRDefault="004D5071">
            <w:pPr>
              <w:numPr>
                <w:ilvl w:val="0"/>
                <w:numId w:val="330"/>
              </w:numPr>
              <w:spacing w:after="0" w:line="259" w:lineRule="auto"/>
              <w:ind w:right="0" w:hanging="170"/>
              <w:jc w:val="left"/>
            </w:pPr>
            <w:r>
              <w:t>Глибекс (5)</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2,5–15</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1–2</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16–24</w:t>
            </w:r>
          </w:p>
        </w:tc>
      </w:tr>
      <w:tr w:rsidR="00D27BC6">
        <w:trPr>
          <w:trHeight w:val="1264"/>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Гликлазид</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31"/>
              </w:numPr>
              <w:spacing w:after="13" w:line="259" w:lineRule="auto"/>
              <w:ind w:right="0" w:hanging="170"/>
              <w:jc w:val="left"/>
            </w:pPr>
            <w:r>
              <w:t>Глидиаб (80)</w:t>
            </w:r>
          </w:p>
          <w:p w:rsidR="00D27BC6" w:rsidRDefault="004D5071">
            <w:pPr>
              <w:numPr>
                <w:ilvl w:val="0"/>
                <w:numId w:val="331"/>
              </w:numPr>
              <w:spacing w:after="13" w:line="259" w:lineRule="auto"/>
              <w:ind w:right="0" w:hanging="170"/>
              <w:jc w:val="left"/>
            </w:pPr>
            <w:r>
              <w:t>Гликлазид (80)</w:t>
            </w:r>
          </w:p>
          <w:p w:rsidR="00D27BC6" w:rsidRDefault="004D5071">
            <w:pPr>
              <w:numPr>
                <w:ilvl w:val="0"/>
                <w:numId w:val="331"/>
              </w:numPr>
              <w:spacing w:after="13" w:line="259" w:lineRule="auto"/>
              <w:ind w:right="0" w:hanging="170"/>
              <w:jc w:val="left"/>
            </w:pPr>
            <w:r>
              <w:t>Диабефарм (80)</w:t>
            </w:r>
          </w:p>
          <w:p w:rsidR="00D27BC6" w:rsidRDefault="004D5071">
            <w:pPr>
              <w:numPr>
                <w:ilvl w:val="0"/>
                <w:numId w:val="331"/>
              </w:numPr>
              <w:spacing w:after="0" w:line="259" w:lineRule="auto"/>
              <w:ind w:right="0" w:hanging="170"/>
              <w:jc w:val="left"/>
            </w:pPr>
            <w:r>
              <w:t>Диабинакс (20; 40; 80)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80–320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1–2</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16–24</w:t>
            </w:r>
          </w:p>
        </w:tc>
      </w:tr>
      <w:tr w:rsidR="00D27BC6">
        <w:trPr>
          <w:trHeight w:val="3754"/>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589" w:firstLine="0"/>
              <w:jc w:val="left"/>
            </w:pPr>
            <w:r>
              <w:rPr>
                <w:b/>
              </w:rPr>
              <w:t>Гликлазид с модифицированным высвобождением</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32"/>
              </w:numPr>
              <w:spacing w:after="13" w:line="259" w:lineRule="auto"/>
              <w:ind w:right="0" w:hanging="170"/>
              <w:jc w:val="left"/>
            </w:pPr>
            <w:r>
              <w:t>Диабетон МВ (30; 60)</w:t>
            </w:r>
          </w:p>
          <w:p w:rsidR="00D27BC6" w:rsidRDefault="004D5071">
            <w:pPr>
              <w:numPr>
                <w:ilvl w:val="0"/>
                <w:numId w:val="332"/>
              </w:numPr>
              <w:spacing w:after="13" w:line="259" w:lineRule="auto"/>
              <w:ind w:right="0" w:hanging="170"/>
              <w:jc w:val="left"/>
            </w:pPr>
            <w:r>
              <w:t>Глидиаб МВ (30)</w:t>
            </w:r>
          </w:p>
          <w:p w:rsidR="00D27BC6" w:rsidRDefault="004D5071">
            <w:pPr>
              <w:numPr>
                <w:ilvl w:val="0"/>
                <w:numId w:val="332"/>
              </w:numPr>
              <w:spacing w:after="13" w:line="259" w:lineRule="auto"/>
              <w:ind w:right="0" w:hanging="170"/>
              <w:jc w:val="left"/>
            </w:pPr>
            <w:r>
              <w:t>Диабефарм МВ (30; 60)</w:t>
            </w:r>
          </w:p>
          <w:p w:rsidR="00D27BC6" w:rsidRDefault="004D5071">
            <w:pPr>
              <w:numPr>
                <w:ilvl w:val="0"/>
                <w:numId w:val="332"/>
              </w:numPr>
              <w:spacing w:after="13" w:line="259" w:lineRule="auto"/>
              <w:ind w:right="0" w:hanging="170"/>
              <w:jc w:val="left"/>
            </w:pPr>
            <w:r>
              <w:t>Гликлада (30; 60; 90)</w:t>
            </w:r>
          </w:p>
          <w:p w:rsidR="00D27BC6" w:rsidRDefault="004D5071">
            <w:pPr>
              <w:numPr>
                <w:ilvl w:val="0"/>
                <w:numId w:val="332"/>
              </w:numPr>
              <w:spacing w:after="13" w:line="259" w:lineRule="auto"/>
              <w:ind w:right="0" w:hanging="170"/>
              <w:jc w:val="left"/>
            </w:pPr>
            <w:r>
              <w:t>Диабеталонг (30; 60)</w:t>
            </w:r>
          </w:p>
          <w:p w:rsidR="00D27BC6" w:rsidRDefault="004D5071">
            <w:pPr>
              <w:numPr>
                <w:ilvl w:val="0"/>
                <w:numId w:val="332"/>
              </w:numPr>
              <w:spacing w:after="13" w:line="259" w:lineRule="auto"/>
              <w:ind w:right="0" w:hanging="170"/>
              <w:jc w:val="left"/>
            </w:pPr>
            <w:r>
              <w:t>Гликлазид МВ (30; 60)</w:t>
            </w:r>
          </w:p>
          <w:p w:rsidR="00D27BC6" w:rsidRDefault="004D5071">
            <w:pPr>
              <w:numPr>
                <w:ilvl w:val="0"/>
                <w:numId w:val="332"/>
              </w:numPr>
              <w:spacing w:after="13" w:line="259" w:lineRule="auto"/>
              <w:ind w:right="0" w:hanging="170"/>
              <w:jc w:val="left"/>
            </w:pPr>
            <w:r>
              <w:t>Гликлазид МВ Фармстандарт (30; 60)</w:t>
            </w:r>
          </w:p>
          <w:p w:rsidR="00D27BC6" w:rsidRDefault="004D5071">
            <w:pPr>
              <w:numPr>
                <w:ilvl w:val="0"/>
                <w:numId w:val="332"/>
              </w:numPr>
              <w:spacing w:after="13" w:line="259" w:lineRule="auto"/>
              <w:ind w:right="0" w:hanging="170"/>
              <w:jc w:val="left"/>
            </w:pPr>
            <w:r>
              <w:t>Гликлазид Канон (30; 60)</w:t>
            </w:r>
          </w:p>
          <w:p w:rsidR="00D27BC6" w:rsidRDefault="004D5071">
            <w:pPr>
              <w:numPr>
                <w:ilvl w:val="0"/>
                <w:numId w:val="332"/>
              </w:numPr>
              <w:spacing w:after="13" w:line="259" w:lineRule="auto"/>
              <w:ind w:right="0" w:hanging="170"/>
              <w:jc w:val="left"/>
            </w:pPr>
            <w:r>
              <w:t>Гликлазид-СЗ (60)</w:t>
            </w:r>
          </w:p>
          <w:p w:rsidR="00D27BC6" w:rsidRDefault="004D5071">
            <w:pPr>
              <w:numPr>
                <w:ilvl w:val="0"/>
                <w:numId w:val="332"/>
              </w:numPr>
              <w:spacing w:after="13" w:line="259" w:lineRule="auto"/>
              <w:ind w:right="0" w:hanging="170"/>
              <w:jc w:val="left"/>
            </w:pPr>
            <w:r>
              <w:t>Голда МВ (60)</w:t>
            </w:r>
          </w:p>
          <w:p w:rsidR="00D27BC6" w:rsidRDefault="004D5071">
            <w:pPr>
              <w:numPr>
                <w:ilvl w:val="0"/>
                <w:numId w:val="332"/>
              </w:numPr>
              <w:spacing w:after="13" w:line="259" w:lineRule="auto"/>
              <w:ind w:right="0" w:hanging="170"/>
              <w:jc w:val="left"/>
            </w:pPr>
            <w:r>
              <w:t>Гликлазид МВ-ВЕРТЕКС (30; 60)</w:t>
            </w:r>
          </w:p>
          <w:p w:rsidR="00D27BC6" w:rsidRDefault="004D5071">
            <w:pPr>
              <w:numPr>
                <w:ilvl w:val="0"/>
                <w:numId w:val="332"/>
              </w:numPr>
              <w:spacing w:after="13" w:line="259" w:lineRule="auto"/>
              <w:ind w:right="0" w:hanging="170"/>
              <w:jc w:val="left"/>
            </w:pPr>
            <w:r>
              <w:t>Гликлазид Пролонг- АКОС (30; 60)</w:t>
            </w:r>
          </w:p>
          <w:p w:rsidR="00D27BC6" w:rsidRDefault="004D5071">
            <w:pPr>
              <w:numPr>
                <w:ilvl w:val="0"/>
                <w:numId w:val="332"/>
              </w:numPr>
              <w:spacing w:after="0" w:line="259" w:lineRule="auto"/>
              <w:ind w:right="0" w:hanging="170"/>
              <w:jc w:val="left"/>
            </w:pPr>
            <w:r>
              <w:t>ГЛИКЛАЗИД ВЕЛФАРМ (30; 60)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30–120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24</w:t>
            </w:r>
          </w:p>
        </w:tc>
      </w:tr>
      <w:tr w:rsidR="00D27BC6">
        <w:trPr>
          <w:trHeight w:val="320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Глимепирид</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33"/>
              </w:numPr>
              <w:spacing w:after="13" w:line="259" w:lineRule="auto"/>
              <w:ind w:right="0" w:hanging="170"/>
              <w:jc w:val="left"/>
            </w:pPr>
            <w:r>
              <w:t>Амарил (1; 2; 3; 4)</w:t>
            </w:r>
          </w:p>
          <w:p w:rsidR="00D27BC6" w:rsidRDefault="004D5071">
            <w:pPr>
              <w:numPr>
                <w:ilvl w:val="0"/>
                <w:numId w:val="333"/>
              </w:numPr>
              <w:spacing w:after="13" w:line="259" w:lineRule="auto"/>
              <w:ind w:right="0" w:hanging="170"/>
              <w:jc w:val="left"/>
            </w:pPr>
            <w:r>
              <w:t>Глюмедекс (2)</w:t>
            </w:r>
          </w:p>
          <w:p w:rsidR="00D27BC6" w:rsidRDefault="004D5071">
            <w:pPr>
              <w:numPr>
                <w:ilvl w:val="0"/>
                <w:numId w:val="333"/>
              </w:numPr>
              <w:spacing w:after="13" w:line="259" w:lineRule="auto"/>
              <w:ind w:right="0" w:hanging="170"/>
              <w:jc w:val="left"/>
            </w:pPr>
            <w:r>
              <w:t>Глимепирид (1; 2; 3; 4; 6)</w:t>
            </w:r>
          </w:p>
          <w:p w:rsidR="00D27BC6" w:rsidRDefault="004D5071">
            <w:pPr>
              <w:numPr>
                <w:ilvl w:val="0"/>
                <w:numId w:val="333"/>
              </w:numPr>
              <w:spacing w:after="13" w:line="259" w:lineRule="auto"/>
              <w:ind w:right="0" w:hanging="170"/>
              <w:jc w:val="left"/>
            </w:pPr>
            <w:r>
              <w:t>Диамерид (1;2; 3; 4)</w:t>
            </w:r>
          </w:p>
          <w:p w:rsidR="00D27BC6" w:rsidRDefault="004D5071">
            <w:pPr>
              <w:numPr>
                <w:ilvl w:val="0"/>
                <w:numId w:val="333"/>
              </w:numPr>
              <w:spacing w:after="13" w:line="259" w:lineRule="auto"/>
              <w:ind w:right="0" w:hanging="170"/>
              <w:jc w:val="left"/>
            </w:pPr>
            <w:r>
              <w:t>Глемауно (1; 2; 3; 4)</w:t>
            </w:r>
          </w:p>
          <w:p w:rsidR="00D27BC6" w:rsidRDefault="004D5071">
            <w:pPr>
              <w:numPr>
                <w:ilvl w:val="0"/>
                <w:numId w:val="333"/>
              </w:numPr>
              <w:spacing w:after="13" w:line="259" w:lineRule="auto"/>
              <w:ind w:right="0" w:hanging="170"/>
              <w:jc w:val="left"/>
            </w:pPr>
            <w:r>
              <w:t>Глимепирид Канон (1; 2; 3; 4)</w:t>
            </w:r>
          </w:p>
          <w:p w:rsidR="00D27BC6" w:rsidRDefault="004D5071">
            <w:pPr>
              <w:numPr>
                <w:ilvl w:val="0"/>
                <w:numId w:val="333"/>
              </w:numPr>
              <w:spacing w:after="13" w:line="259" w:lineRule="auto"/>
              <w:ind w:right="0" w:hanging="170"/>
              <w:jc w:val="left"/>
            </w:pPr>
            <w:r>
              <w:t>Инстолит (1; 2; 3; 4)</w:t>
            </w:r>
          </w:p>
          <w:p w:rsidR="00D27BC6" w:rsidRDefault="004D5071">
            <w:pPr>
              <w:numPr>
                <w:ilvl w:val="0"/>
                <w:numId w:val="333"/>
              </w:numPr>
              <w:spacing w:after="13" w:line="259" w:lineRule="auto"/>
              <w:ind w:right="0" w:hanging="170"/>
              <w:jc w:val="left"/>
            </w:pPr>
            <w:r>
              <w:t>Глимепирид-С3 (2; 3; 4)</w:t>
            </w:r>
          </w:p>
          <w:p w:rsidR="00D27BC6" w:rsidRDefault="004D5071">
            <w:pPr>
              <w:numPr>
                <w:ilvl w:val="0"/>
                <w:numId w:val="333"/>
              </w:numPr>
              <w:spacing w:after="13" w:line="259" w:lineRule="auto"/>
              <w:ind w:right="0" w:hanging="170"/>
              <w:jc w:val="left"/>
            </w:pPr>
            <w:r>
              <w:t>Глимепирид-ВЕРТЕКС (1; 2; 3; 4; 6)</w:t>
            </w:r>
          </w:p>
          <w:p w:rsidR="00D27BC6" w:rsidRDefault="004D5071">
            <w:pPr>
              <w:numPr>
                <w:ilvl w:val="0"/>
                <w:numId w:val="333"/>
              </w:numPr>
              <w:spacing w:after="13" w:line="259" w:lineRule="auto"/>
              <w:ind w:right="0" w:hanging="170"/>
              <w:jc w:val="left"/>
            </w:pPr>
            <w:r>
              <w:t>ГЛИМЕПИРИД ВЕЛФАРМ (1; 2; 3; 4)</w:t>
            </w:r>
          </w:p>
          <w:p w:rsidR="00D27BC6" w:rsidRDefault="004D5071">
            <w:pPr>
              <w:numPr>
                <w:ilvl w:val="0"/>
                <w:numId w:val="333"/>
              </w:numPr>
              <w:spacing w:after="0" w:line="259" w:lineRule="auto"/>
              <w:ind w:right="0" w:hanging="170"/>
              <w:jc w:val="left"/>
            </w:pPr>
            <w:r>
              <w:t>Глимепирид Реневал (1; 2; 3; 4)</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1–6</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24</w:t>
            </w:r>
          </w:p>
        </w:tc>
      </w:tr>
      <w:tr w:rsidR="00D27BC6">
        <w:trPr>
          <w:trHeight w:val="71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Гликвидон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34"/>
              </w:numPr>
              <w:spacing w:after="13" w:line="259" w:lineRule="auto"/>
              <w:ind w:right="0" w:hanging="170"/>
              <w:jc w:val="left"/>
            </w:pPr>
            <w:r>
              <w:t>Глюренорм (30)</w:t>
            </w:r>
          </w:p>
          <w:p w:rsidR="00D27BC6" w:rsidRDefault="004D5071">
            <w:pPr>
              <w:numPr>
                <w:ilvl w:val="0"/>
                <w:numId w:val="334"/>
              </w:numPr>
              <w:spacing w:after="0" w:line="259" w:lineRule="auto"/>
              <w:ind w:right="0" w:hanging="170"/>
              <w:jc w:val="left"/>
            </w:pPr>
            <w:r>
              <w:t>Юглин (30)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30–180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1–3</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8–12</w:t>
            </w:r>
          </w:p>
        </w:tc>
      </w:tr>
      <w:tr w:rsidR="00D27BC6">
        <w:trPr>
          <w:trHeight w:val="797"/>
        </w:trPr>
        <w:tc>
          <w:tcPr>
            <w:tcW w:w="167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 xml:space="preserve">Глиниды </w:t>
            </w:r>
          </w:p>
          <w:p w:rsidR="00D27BC6" w:rsidRDefault="004D5071">
            <w:pPr>
              <w:spacing w:after="0" w:line="259" w:lineRule="auto"/>
              <w:ind w:left="0" w:right="0" w:firstLine="0"/>
              <w:jc w:val="left"/>
            </w:pPr>
            <w:r>
              <w:rPr>
                <w:b/>
              </w:rPr>
              <w:t>(меглитиниды)</w:t>
            </w: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Репаглинид</w:t>
            </w:r>
          </w:p>
        </w:tc>
        <w:tc>
          <w:tcPr>
            <w:tcW w:w="3581" w:type="dxa"/>
            <w:tcBorders>
              <w:top w:val="single" w:sz="6" w:space="0" w:color="000000"/>
              <w:left w:val="single" w:sz="6" w:space="0" w:color="000000"/>
              <w:bottom w:val="single" w:sz="6" w:space="0" w:color="000000"/>
              <w:right w:val="single" w:sz="6" w:space="0" w:color="000000"/>
            </w:tcBorders>
            <w:vAlign w:val="center"/>
          </w:tcPr>
          <w:p w:rsidR="00D27BC6" w:rsidRDefault="004D5071">
            <w:pPr>
              <w:numPr>
                <w:ilvl w:val="0"/>
                <w:numId w:val="335"/>
              </w:numPr>
              <w:spacing w:after="13" w:line="259" w:lineRule="auto"/>
              <w:ind w:right="0" w:hanging="170"/>
              <w:jc w:val="left"/>
            </w:pPr>
            <w:r>
              <w:t>Диаглинид (1; 2)</w:t>
            </w:r>
          </w:p>
          <w:p w:rsidR="00D27BC6" w:rsidRDefault="004D5071">
            <w:pPr>
              <w:numPr>
                <w:ilvl w:val="0"/>
                <w:numId w:val="335"/>
              </w:numPr>
              <w:spacing w:after="0" w:line="259" w:lineRule="auto"/>
              <w:ind w:right="0" w:hanging="170"/>
              <w:jc w:val="left"/>
            </w:pPr>
            <w:r>
              <w:t>Иглинид (0,5; 1; 2)</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0,5–16</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3–4</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3–4</w:t>
            </w:r>
          </w:p>
        </w:tc>
      </w:tr>
    </w:tbl>
    <w:p w:rsidR="00D27BC6" w:rsidRDefault="00D27BC6">
      <w:pPr>
        <w:spacing w:after="0" w:line="259" w:lineRule="auto"/>
        <w:ind w:left="-850" w:right="9" w:firstLine="0"/>
        <w:jc w:val="left"/>
      </w:pPr>
    </w:p>
    <w:tbl>
      <w:tblPr>
        <w:tblStyle w:val="TableGrid"/>
        <w:tblW w:w="10191" w:type="dxa"/>
        <w:tblInd w:w="8" w:type="dxa"/>
        <w:tblCellMar>
          <w:top w:w="15" w:type="dxa"/>
          <w:left w:w="56" w:type="dxa"/>
          <w:bottom w:w="0" w:type="dxa"/>
          <w:right w:w="29" w:type="dxa"/>
        </w:tblCellMar>
        <w:tblLook w:val="04A0" w:firstRow="1" w:lastRow="0" w:firstColumn="1" w:lastColumn="0" w:noHBand="0" w:noVBand="1"/>
      </w:tblPr>
      <w:tblGrid>
        <w:gridCol w:w="1675"/>
        <w:gridCol w:w="2324"/>
        <w:gridCol w:w="3581"/>
        <w:gridCol w:w="871"/>
        <w:gridCol w:w="871"/>
        <w:gridCol w:w="868"/>
      </w:tblGrid>
      <w:tr w:rsidR="00D27BC6">
        <w:trPr>
          <w:trHeight w:val="980"/>
        </w:trPr>
        <w:tc>
          <w:tcPr>
            <w:tcW w:w="1675"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88" w:right="0" w:firstLine="0"/>
              <w:jc w:val="left"/>
            </w:pPr>
            <w:r>
              <w:rPr>
                <w:b/>
              </w:rPr>
              <w:t>Группа препаратов</w:t>
            </w:r>
          </w:p>
        </w:tc>
        <w:tc>
          <w:tcPr>
            <w:tcW w:w="2324"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Международное непатентованное наименование</w:t>
            </w:r>
          </w:p>
        </w:tc>
        <w:tc>
          <w:tcPr>
            <w:tcW w:w="358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16" w:lineRule="auto"/>
              <w:ind w:left="27" w:right="22" w:firstLine="0"/>
              <w:jc w:val="center"/>
            </w:pPr>
            <w:r>
              <w:rPr>
                <w:b/>
              </w:rPr>
              <w:t xml:space="preserve">Торговые наименования, зарегистрированные в России  </w:t>
            </w:r>
          </w:p>
          <w:p w:rsidR="00D27BC6" w:rsidRDefault="004D5071">
            <w:pPr>
              <w:spacing w:after="0" w:line="259" w:lineRule="auto"/>
              <w:ind w:left="0" w:right="27" w:firstLine="0"/>
              <w:jc w:val="center"/>
            </w:pPr>
            <w:r>
              <w:rPr>
                <w:b/>
              </w:rPr>
              <w:t>(выпускаемые дозы, мг)</w:t>
            </w:r>
          </w:p>
        </w:tc>
        <w:tc>
          <w:tcPr>
            <w:tcW w:w="87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Суточная доза (мг)</w:t>
            </w:r>
          </w:p>
        </w:tc>
        <w:tc>
          <w:tcPr>
            <w:tcW w:w="871"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16" w:lineRule="auto"/>
              <w:ind w:left="0" w:right="0" w:firstLine="0"/>
              <w:jc w:val="center"/>
            </w:pPr>
            <w:r>
              <w:rPr>
                <w:b/>
              </w:rPr>
              <w:t xml:space="preserve">Кратность приема  </w:t>
            </w:r>
          </w:p>
          <w:p w:rsidR="00D27BC6" w:rsidRDefault="004D5071">
            <w:pPr>
              <w:spacing w:after="0" w:line="259" w:lineRule="auto"/>
              <w:ind w:left="0" w:right="0" w:firstLine="0"/>
              <w:jc w:val="center"/>
            </w:pPr>
            <w:r>
              <w:rPr>
                <w:b/>
              </w:rPr>
              <w:t>(раз/ сутки)</w:t>
            </w:r>
          </w:p>
        </w:tc>
        <w:tc>
          <w:tcPr>
            <w:tcW w:w="86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16" w:lineRule="auto"/>
              <w:ind w:left="0" w:right="0" w:firstLine="0"/>
              <w:jc w:val="center"/>
            </w:pPr>
            <w:r>
              <w:rPr>
                <w:b/>
              </w:rPr>
              <w:t xml:space="preserve">Длительность </w:t>
            </w:r>
          </w:p>
          <w:p w:rsidR="00D27BC6" w:rsidRDefault="004D5071">
            <w:pPr>
              <w:spacing w:after="0" w:line="259" w:lineRule="auto"/>
              <w:ind w:left="36" w:right="0" w:firstLine="0"/>
              <w:jc w:val="left"/>
            </w:pPr>
            <w:r>
              <w:rPr>
                <w:b/>
              </w:rPr>
              <w:t xml:space="preserve">действия </w:t>
            </w:r>
          </w:p>
          <w:p w:rsidR="00D27BC6" w:rsidRDefault="004D5071">
            <w:pPr>
              <w:spacing w:after="0" w:line="259" w:lineRule="auto"/>
              <w:ind w:left="0" w:right="27" w:firstLine="0"/>
              <w:jc w:val="center"/>
            </w:pPr>
            <w:r>
              <w:rPr>
                <w:b/>
              </w:rPr>
              <w:t>(часы)</w:t>
            </w:r>
          </w:p>
        </w:tc>
      </w:tr>
      <w:tr w:rsidR="00D27BC6">
        <w:trPr>
          <w:trHeight w:val="4253"/>
        </w:trPr>
        <w:tc>
          <w:tcPr>
            <w:tcW w:w="1675"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Бигуаниды</w:t>
            </w: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Метформин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36"/>
              </w:numPr>
              <w:spacing w:after="0" w:line="259" w:lineRule="auto"/>
              <w:ind w:right="0" w:hanging="170"/>
              <w:jc w:val="left"/>
            </w:pPr>
            <w:r>
              <w:t>Сиофор 500 (500)</w:t>
            </w:r>
          </w:p>
          <w:p w:rsidR="00D27BC6" w:rsidRDefault="004D5071">
            <w:pPr>
              <w:numPr>
                <w:ilvl w:val="0"/>
                <w:numId w:val="336"/>
              </w:numPr>
              <w:spacing w:after="0" w:line="259" w:lineRule="auto"/>
              <w:ind w:right="0" w:hanging="170"/>
              <w:jc w:val="left"/>
            </w:pPr>
            <w:r>
              <w:t>Сиофор 850 (850)</w:t>
            </w:r>
          </w:p>
          <w:p w:rsidR="00D27BC6" w:rsidRDefault="004D5071">
            <w:pPr>
              <w:numPr>
                <w:ilvl w:val="0"/>
                <w:numId w:val="336"/>
              </w:numPr>
              <w:spacing w:after="0" w:line="259" w:lineRule="auto"/>
              <w:ind w:right="0" w:hanging="170"/>
              <w:jc w:val="left"/>
            </w:pPr>
            <w:r>
              <w:t>Сиофор 1000 (1000)</w:t>
            </w:r>
          </w:p>
          <w:p w:rsidR="00D27BC6" w:rsidRDefault="004D5071">
            <w:pPr>
              <w:numPr>
                <w:ilvl w:val="0"/>
                <w:numId w:val="336"/>
              </w:numPr>
              <w:spacing w:after="0" w:line="259" w:lineRule="auto"/>
              <w:ind w:right="0" w:hanging="170"/>
              <w:jc w:val="left"/>
            </w:pPr>
            <w:r>
              <w:t>Глюкофаж (500; 850; 1000)</w:t>
            </w:r>
          </w:p>
          <w:p w:rsidR="00D27BC6" w:rsidRDefault="004D5071">
            <w:pPr>
              <w:numPr>
                <w:ilvl w:val="0"/>
                <w:numId w:val="336"/>
              </w:numPr>
              <w:spacing w:after="0" w:line="259" w:lineRule="auto"/>
              <w:ind w:right="0" w:hanging="170"/>
              <w:jc w:val="left"/>
            </w:pPr>
            <w:r>
              <w:t>Метформин (500; 850; 1000)</w:t>
            </w:r>
          </w:p>
          <w:p w:rsidR="00D27BC6" w:rsidRDefault="004D5071">
            <w:pPr>
              <w:numPr>
                <w:ilvl w:val="0"/>
                <w:numId w:val="336"/>
              </w:numPr>
              <w:spacing w:after="0" w:line="259" w:lineRule="auto"/>
              <w:ind w:right="0" w:hanging="170"/>
              <w:jc w:val="left"/>
            </w:pPr>
            <w:r>
              <w:t>Метформин-Рихтер (500; 850; 1000)</w:t>
            </w:r>
          </w:p>
          <w:p w:rsidR="00D27BC6" w:rsidRDefault="004D5071">
            <w:pPr>
              <w:numPr>
                <w:ilvl w:val="0"/>
                <w:numId w:val="336"/>
              </w:numPr>
              <w:spacing w:after="0" w:line="259" w:lineRule="auto"/>
              <w:ind w:right="0" w:hanging="170"/>
              <w:jc w:val="left"/>
            </w:pPr>
            <w:r>
              <w:t>Форметин (500; 850; 1000)</w:t>
            </w:r>
          </w:p>
          <w:p w:rsidR="00D27BC6" w:rsidRDefault="004D5071">
            <w:pPr>
              <w:numPr>
                <w:ilvl w:val="0"/>
                <w:numId w:val="336"/>
              </w:numPr>
              <w:spacing w:after="0" w:line="259" w:lineRule="auto"/>
              <w:ind w:right="0" w:hanging="170"/>
              <w:jc w:val="left"/>
            </w:pPr>
            <w:r>
              <w:t>Метформин-Тева (500; 850; 1000)</w:t>
            </w:r>
          </w:p>
          <w:p w:rsidR="00D27BC6" w:rsidRDefault="004D5071">
            <w:pPr>
              <w:numPr>
                <w:ilvl w:val="0"/>
                <w:numId w:val="336"/>
              </w:numPr>
              <w:spacing w:after="0" w:line="259" w:lineRule="auto"/>
              <w:ind w:right="0" w:hanging="170"/>
              <w:jc w:val="left"/>
            </w:pPr>
            <w:r>
              <w:t>Метформин Канон (500; 850; 1000)</w:t>
            </w:r>
          </w:p>
          <w:p w:rsidR="00D27BC6" w:rsidRDefault="004D5071">
            <w:pPr>
              <w:numPr>
                <w:ilvl w:val="0"/>
                <w:numId w:val="336"/>
              </w:numPr>
              <w:spacing w:after="0" w:line="259" w:lineRule="auto"/>
              <w:ind w:right="0" w:hanging="170"/>
              <w:jc w:val="left"/>
            </w:pPr>
            <w:r>
              <w:t>Мерифатин (500; 850; 1000)</w:t>
            </w:r>
          </w:p>
          <w:p w:rsidR="00D27BC6" w:rsidRDefault="004D5071">
            <w:pPr>
              <w:numPr>
                <w:ilvl w:val="0"/>
                <w:numId w:val="336"/>
              </w:numPr>
              <w:spacing w:after="0" w:line="259" w:lineRule="auto"/>
              <w:ind w:right="0" w:hanging="170"/>
              <w:jc w:val="left"/>
            </w:pPr>
            <w:r>
              <w:t>Метформин-Акрихин (500; 850; 1000)</w:t>
            </w:r>
          </w:p>
          <w:p w:rsidR="00D27BC6" w:rsidRDefault="004D5071">
            <w:pPr>
              <w:numPr>
                <w:ilvl w:val="0"/>
                <w:numId w:val="336"/>
              </w:numPr>
              <w:spacing w:after="0" w:line="259" w:lineRule="auto"/>
              <w:ind w:right="0" w:hanging="170"/>
              <w:jc w:val="left"/>
            </w:pPr>
            <w:r>
              <w:t>Метформин-ВЕРТЕКС (500; 850; 1000)</w:t>
            </w:r>
          </w:p>
          <w:p w:rsidR="00D27BC6" w:rsidRDefault="004D5071">
            <w:pPr>
              <w:numPr>
                <w:ilvl w:val="0"/>
                <w:numId w:val="336"/>
              </w:numPr>
              <w:spacing w:after="0" w:line="259" w:lineRule="auto"/>
              <w:ind w:right="0" w:hanging="170"/>
              <w:jc w:val="left"/>
            </w:pPr>
            <w:r>
              <w:t>МЕТФОРМИН АВЕКСИМА (500; 850)</w:t>
            </w:r>
          </w:p>
          <w:p w:rsidR="00D27BC6" w:rsidRDefault="004D5071">
            <w:pPr>
              <w:numPr>
                <w:ilvl w:val="0"/>
                <w:numId w:val="336"/>
              </w:numPr>
              <w:spacing w:after="0" w:line="259" w:lineRule="auto"/>
              <w:ind w:right="0" w:hanging="170"/>
              <w:jc w:val="left"/>
            </w:pPr>
            <w:r>
              <w:t>МЕТФОРВЕЛ (500; 850)</w:t>
            </w:r>
          </w:p>
          <w:p w:rsidR="00D27BC6" w:rsidRDefault="004D5071">
            <w:pPr>
              <w:numPr>
                <w:ilvl w:val="0"/>
                <w:numId w:val="336"/>
              </w:numPr>
              <w:spacing w:after="0" w:line="259" w:lineRule="auto"/>
              <w:ind w:right="0" w:hanging="170"/>
              <w:jc w:val="left"/>
            </w:pPr>
            <w:r>
              <w:t>Метформин Санофи (500; 850; 1000)</w:t>
            </w:r>
          </w:p>
          <w:p w:rsidR="00D27BC6" w:rsidRDefault="004D5071">
            <w:pPr>
              <w:numPr>
                <w:ilvl w:val="0"/>
                <w:numId w:val="336"/>
              </w:numPr>
              <w:spacing w:after="0" w:line="259" w:lineRule="auto"/>
              <w:ind w:right="0" w:hanging="170"/>
              <w:jc w:val="left"/>
            </w:pPr>
            <w:r>
              <w:t>Ринформин</w:t>
            </w:r>
            <w:r>
              <w:t xml:space="preserve"> (500; 850; 1000)</w:t>
            </w:r>
          </w:p>
          <w:p w:rsidR="00D27BC6" w:rsidRDefault="004D5071">
            <w:pPr>
              <w:numPr>
                <w:ilvl w:val="0"/>
                <w:numId w:val="336"/>
              </w:numPr>
              <w:spacing w:after="0" w:line="259" w:lineRule="auto"/>
              <w:ind w:right="0" w:hanging="170"/>
              <w:jc w:val="left"/>
            </w:pPr>
            <w:r>
              <w:t>Метформин АЛСИ (500; 850)</w:t>
            </w:r>
          </w:p>
          <w:p w:rsidR="00D27BC6" w:rsidRDefault="004D5071">
            <w:pPr>
              <w:numPr>
                <w:ilvl w:val="0"/>
                <w:numId w:val="336"/>
              </w:numPr>
              <w:spacing w:after="0" w:line="259" w:lineRule="auto"/>
              <w:ind w:right="0" w:hanging="170"/>
              <w:jc w:val="left"/>
            </w:pPr>
            <w:r>
              <w:t>Метформин Медисорб (500; 850; 1000)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60" w:right="0" w:firstLine="0"/>
              <w:jc w:val="left"/>
            </w:pPr>
            <w:r>
              <w:t>500–3000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1–3</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8–12</w:t>
            </w:r>
          </w:p>
        </w:tc>
      </w:tr>
      <w:tr w:rsidR="00D27BC6">
        <w:trPr>
          <w:trHeight w:val="3327"/>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675" w:firstLine="0"/>
              <w:jc w:val="left"/>
            </w:pPr>
            <w:r>
              <w:rPr>
                <w:b/>
              </w:rPr>
              <w:t>Метформин с пролонгированным высвобождением (пролонгированного действия)</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37"/>
              </w:numPr>
              <w:spacing w:after="0" w:line="259" w:lineRule="auto"/>
              <w:ind w:right="0" w:hanging="170"/>
              <w:jc w:val="left"/>
            </w:pPr>
            <w:r>
              <w:t>Глюкофаж Лонг (500; 750; 1000)</w:t>
            </w:r>
          </w:p>
          <w:p w:rsidR="00D27BC6" w:rsidRDefault="004D5071">
            <w:pPr>
              <w:numPr>
                <w:ilvl w:val="0"/>
                <w:numId w:val="337"/>
              </w:numPr>
              <w:spacing w:after="0" w:line="259" w:lineRule="auto"/>
              <w:ind w:right="0" w:hanging="170"/>
              <w:jc w:val="left"/>
            </w:pPr>
            <w:r>
              <w:t>Метадиен (500)</w:t>
            </w:r>
          </w:p>
          <w:p w:rsidR="00D27BC6" w:rsidRDefault="004D5071">
            <w:pPr>
              <w:numPr>
                <w:ilvl w:val="0"/>
                <w:numId w:val="337"/>
              </w:numPr>
              <w:spacing w:after="0" w:line="259" w:lineRule="auto"/>
              <w:ind w:right="0" w:hanging="170"/>
              <w:jc w:val="left"/>
            </w:pPr>
            <w:r>
              <w:t>Диаформин ОД (500)</w:t>
            </w:r>
          </w:p>
          <w:p w:rsidR="00D27BC6" w:rsidRDefault="004D5071">
            <w:pPr>
              <w:numPr>
                <w:ilvl w:val="0"/>
                <w:numId w:val="337"/>
              </w:numPr>
              <w:spacing w:after="0" w:line="259" w:lineRule="auto"/>
              <w:ind w:right="0" w:hanging="170"/>
              <w:jc w:val="left"/>
            </w:pPr>
            <w:r>
              <w:t>Метформин МВ (500; 750; 850; 1000)</w:t>
            </w:r>
          </w:p>
          <w:p w:rsidR="00D27BC6" w:rsidRDefault="004D5071">
            <w:pPr>
              <w:numPr>
                <w:ilvl w:val="0"/>
                <w:numId w:val="337"/>
              </w:numPr>
              <w:spacing w:after="0" w:line="259" w:lineRule="auto"/>
              <w:ind w:right="0" w:hanging="170"/>
              <w:jc w:val="left"/>
            </w:pPr>
            <w:r>
              <w:t>Метформин Лонг (500; 750; 850; 1000)</w:t>
            </w:r>
          </w:p>
          <w:p w:rsidR="00D27BC6" w:rsidRDefault="004D5071">
            <w:pPr>
              <w:numPr>
                <w:ilvl w:val="0"/>
                <w:numId w:val="337"/>
              </w:numPr>
              <w:spacing w:after="0" w:line="259" w:lineRule="auto"/>
              <w:ind w:right="0" w:hanging="170"/>
              <w:jc w:val="left"/>
            </w:pPr>
            <w:r>
              <w:t>Метформин Лонг Канон (500; 750; 1000)</w:t>
            </w:r>
          </w:p>
          <w:p w:rsidR="00D27BC6" w:rsidRDefault="004D5071">
            <w:pPr>
              <w:numPr>
                <w:ilvl w:val="0"/>
                <w:numId w:val="337"/>
              </w:numPr>
              <w:spacing w:after="0" w:line="259" w:lineRule="auto"/>
              <w:ind w:right="0" w:hanging="170"/>
              <w:jc w:val="left"/>
            </w:pPr>
            <w:r>
              <w:t>Форметин Лонг (500; 750; 850; 1000)</w:t>
            </w:r>
          </w:p>
          <w:p w:rsidR="00D27BC6" w:rsidRDefault="004D5071">
            <w:pPr>
              <w:numPr>
                <w:ilvl w:val="0"/>
                <w:numId w:val="337"/>
              </w:numPr>
              <w:spacing w:after="0" w:line="259" w:lineRule="auto"/>
              <w:ind w:right="0" w:hanging="170"/>
              <w:jc w:val="left"/>
            </w:pPr>
            <w:r>
              <w:t>Метформин Пролонг-Акрихин (750; 1000)</w:t>
            </w:r>
          </w:p>
          <w:p w:rsidR="00D27BC6" w:rsidRDefault="004D5071">
            <w:pPr>
              <w:numPr>
                <w:ilvl w:val="0"/>
                <w:numId w:val="337"/>
              </w:numPr>
              <w:spacing w:after="0" w:line="259" w:lineRule="auto"/>
              <w:ind w:right="0" w:hanging="170"/>
              <w:jc w:val="left"/>
            </w:pPr>
            <w:r>
              <w:t>Мерифатин МВ (500; 750; 1000)</w:t>
            </w:r>
          </w:p>
          <w:p w:rsidR="00D27BC6" w:rsidRDefault="004D5071">
            <w:pPr>
              <w:numPr>
                <w:ilvl w:val="0"/>
                <w:numId w:val="337"/>
              </w:numPr>
              <w:spacing w:after="0" w:line="259" w:lineRule="auto"/>
              <w:ind w:right="0" w:hanging="170"/>
              <w:jc w:val="left"/>
            </w:pPr>
            <w:r>
              <w:t>Ринформин Лонг (500; 750)</w:t>
            </w:r>
          </w:p>
          <w:p w:rsidR="00D27BC6" w:rsidRDefault="004D5071">
            <w:pPr>
              <w:numPr>
                <w:ilvl w:val="0"/>
                <w:numId w:val="337"/>
              </w:numPr>
              <w:spacing w:after="0" w:line="259" w:lineRule="auto"/>
              <w:ind w:right="0" w:hanging="170"/>
              <w:jc w:val="left"/>
            </w:pPr>
            <w:r>
              <w:t>Метформин-СЗ Лонг (500; 750; 1000)</w:t>
            </w:r>
          </w:p>
          <w:p w:rsidR="00D27BC6" w:rsidRDefault="004D5071">
            <w:pPr>
              <w:numPr>
                <w:ilvl w:val="0"/>
                <w:numId w:val="337"/>
              </w:numPr>
              <w:spacing w:after="0" w:line="259" w:lineRule="auto"/>
              <w:ind w:right="0" w:hanging="170"/>
              <w:jc w:val="left"/>
            </w:pPr>
            <w:r>
              <w:t>Метформин Велфарм Лонг (500; 750; 1000)</w:t>
            </w:r>
          </w:p>
          <w:p w:rsidR="00D27BC6" w:rsidRDefault="004D5071">
            <w:pPr>
              <w:numPr>
                <w:ilvl w:val="0"/>
                <w:numId w:val="337"/>
              </w:numPr>
              <w:spacing w:after="0" w:line="259" w:lineRule="auto"/>
              <w:ind w:right="0" w:hanging="170"/>
              <w:jc w:val="left"/>
            </w:pPr>
            <w:r>
              <w:t>Глюкогамма (500; 750; 850; 1000)</w:t>
            </w:r>
          </w:p>
          <w:p w:rsidR="00D27BC6" w:rsidRDefault="004D5071">
            <w:pPr>
              <w:numPr>
                <w:ilvl w:val="0"/>
                <w:numId w:val="337"/>
              </w:numPr>
              <w:spacing w:after="0" w:line="259" w:lineRule="auto"/>
              <w:ind w:right="0" w:hanging="170"/>
              <w:jc w:val="left"/>
            </w:pPr>
            <w:r>
              <w:t>Метформин Солофарм (1000)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60" w:right="0" w:firstLine="0"/>
              <w:jc w:val="left"/>
            </w:pPr>
            <w:r>
              <w:t>500–2250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1–2</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12–24</w:t>
            </w:r>
          </w:p>
        </w:tc>
      </w:tr>
      <w:tr w:rsidR="00D27BC6">
        <w:trPr>
          <w:trHeight w:val="783"/>
        </w:trPr>
        <w:tc>
          <w:tcPr>
            <w:tcW w:w="167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Тиазолидиндионы (глитазоны)</w:t>
            </w: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Пиоглитазон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38"/>
              </w:numPr>
              <w:spacing w:after="0" w:line="259" w:lineRule="auto"/>
              <w:ind w:right="0" w:hanging="170"/>
              <w:jc w:val="left"/>
            </w:pPr>
            <w:r>
              <w:t>Пиоглар (15; 30)</w:t>
            </w:r>
          </w:p>
          <w:p w:rsidR="00D27BC6" w:rsidRDefault="004D5071">
            <w:pPr>
              <w:numPr>
                <w:ilvl w:val="0"/>
                <w:numId w:val="338"/>
              </w:numPr>
              <w:spacing w:after="0" w:line="259" w:lineRule="auto"/>
              <w:ind w:right="0" w:hanging="170"/>
              <w:jc w:val="left"/>
            </w:pPr>
            <w:r>
              <w:t>Пиоглит (15; 30)</w:t>
            </w:r>
          </w:p>
          <w:p w:rsidR="00D27BC6" w:rsidRDefault="004D5071">
            <w:pPr>
              <w:numPr>
                <w:ilvl w:val="0"/>
                <w:numId w:val="338"/>
              </w:numPr>
              <w:spacing w:after="0" w:line="259" w:lineRule="auto"/>
              <w:ind w:right="0" w:hanging="170"/>
              <w:jc w:val="left"/>
            </w:pPr>
            <w:r>
              <w:t>Астрозон (30)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15–45</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16–24</w:t>
            </w:r>
          </w:p>
        </w:tc>
      </w:tr>
      <w:tr w:rsidR="00D27BC6">
        <w:trPr>
          <w:trHeight w:val="320"/>
        </w:trPr>
        <w:tc>
          <w:tcPr>
            <w:tcW w:w="1675"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1" w:firstLine="0"/>
              <w:jc w:val="left"/>
            </w:pPr>
            <w:r>
              <w:rPr>
                <w:b/>
              </w:rPr>
              <w:t>Агонисты рецепторов глюкагоноподобного пептида-1</w:t>
            </w: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Эксенатид</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Баета (5, 10 мкг), для п/к инъекций</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0" w:right="0" w:firstLine="0"/>
              <w:jc w:val="left"/>
            </w:pPr>
            <w:r>
              <w:t>10–20 мкг</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2</w:t>
            </w:r>
          </w:p>
        </w:tc>
        <w:tc>
          <w:tcPr>
            <w:tcW w:w="86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12</w:t>
            </w:r>
          </w:p>
        </w:tc>
      </w:tr>
      <w:tr w:rsidR="00D27BC6">
        <w:trPr>
          <w:trHeight w:val="1245"/>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Лираглутид</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39"/>
              </w:numPr>
              <w:spacing w:after="0" w:line="259" w:lineRule="auto"/>
              <w:ind w:right="0" w:hanging="170"/>
              <w:jc w:val="left"/>
            </w:pPr>
            <w:r>
              <w:t>Виктоза (0,6; 1,2; 1,8), для п/к инъекций</w:t>
            </w:r>
          </w:p>
          <w:p w:rsidR="00D27BC6" w:rsidRDefault="004D5071">
            <w:pPr>
              <w:numPr>
                <w:ilvl w:val="0"/>
                <w:numId w:val="339"/>
              </w:numPr>
              <w:spacing w:after="0" w:line="259" w:lineRule="auto"/>
              <w:ind w:right="0" w:hanging="170"/>
              <w:jc w:val="left"/>
            </w:pPr>
            <w:r>
              <w:t>Квинлиро (0,6; 1,2; 1,8), для п/к инъекций</w:t>
            </w:r>
          </w:p>
          <w:p w:rsidR="00D27BC6" w:rsidRDefault="004D5071">
            <w:pPr>
              <w:numPr>
                <w:ilvl w:val="0"/>
                <w:numId w:val="339"/>
              </w:numPr>
              <w:spacing w:after="0" w:line="259" w:lineRule="auto"/>
              <w:ind w:right="0" w:hanging="170"/>
              <w:jc w:val="left"/>
            </w:pPr>
            <w:r>
              <w:t>Весфол (0,6; 1,2; 1,8), для п/к инъекций</w:t>
            </w:r>
          </w:p>
          <w:p w:rsidR="00D27BC6" w:rsidRDefault="004D5071">
            <w:pPr>
              <w:numPr>
                <w:ilvl w:val="0"/>
                <w:numId w:val="339"/>
              </w:numPr>
              <w:spacing w:after="0" w:line="259" w:lineRule="auto"/>
              <w:ind w:right="0" w:hanging="170"/>
              <w:jc w:val="left"/>
            </w:pPr>
            <w:r>
              <w:t>Шугалес (0,6; 1,2; 1,8), для п/к инъекций</w:t>
            </w:r>
          </w:p>
          <w:p w:rsidR="00D27BC6" w:rsidRDefault="004D5071">
            <w:pPr>
              <w:numPr>
                <w:ilvl w:val="0"/>
                <w:numId w:val="339"/>
              </w:numPr>
              <w:spacing w:after="0" w:line="259" w:lineRule="auto"/>
              <w:ind w:right="0" w:hanging="170"/>
              <w:jc w:val="left"/>
            </w:pPr>
            <w:r>
              <w:t>Мелитид (0,6; 1,2; 1,8), для п/к инъекций</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0,6–1,8</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24</w:t>
            </w:r>
          </w:p>
        </w:tc>
      </w:tr>
      <w:tr w:rsidR="00D27BC6">
        <w:trPr>
          <w:trHeight w:val="551"/>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Дулаглутид</w:t>
            </w:r>
          </w:p>
        </w:tc>
        <w:tc>
          <w:tcPr>
            <w:tcW w:w="358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Трулисити (0,75; 1,5), для п/к инъекций</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1 раз в</w:t>
            </w:r>
          </w:p>
          <w:p w:rsidR="00D27BC6" w:rsidRDefault="004D5071">
            <w:pPr>
              <w:spacing w:after="0" w:line="259" w:lineRule="auto"/>
              <w:ind w:left="0" w:right="28" w:firstLine="0"/>
              <w:jc w:val="center"/>
            </w:pPr>
            <w:r>
              <w:t>неделю</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168</w:t>
            </w:r>
          </w:p>
        </w:tc>
      </w:tr>
      <w:tr w:rsidR="00D27BC6">
        <w:trPr>
          <w:trHeight w:val="1708"/>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Семаглутид</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40"/>
              </w:numPr>
              <w:spacing w:after="0" w:line="259" w:lineRule="auto"/>
              <w:ind w:right="0" w:hanging="170"/>
              <w:jc w:val="left"/>
            </w:pPr>
            <w:r>
              <w:t>Оземпик (0,25; 0,5; 1,0), для п/к инъекций</w:t>
            </w:r>
          </w:p>
          <w:p w:rsidR="00D27BC6" w:rsidRDefault="004D5071">
            <w:pPr>
              <w:numPr>
                <w:ilvl w:val="0"/>
                <w:numId w:val="340"/>
              </w:numPr>
              <w:spacing w:after="0" w:line="259" w:lineRule="auto"/>
              <w:ind w:right="0" w:hanging="170"/>
              <w:jc w:val="left"/>
            </w:pPr>
            <w:r>
              <w:t>Семавик (0,25; 0,5; 1,0), для п/к инъекций</w:t>
            </w:r>
          </w:p>
          <w:p w:rsidR="00D27BC6" w:rsidRDefault="004D5071">
            <w:pPr>
              <w:numPr>
                <w:ilvl w:val="0"/>
                <w:numId w:val="340"/>
              </w:numPr>
              <w:spacing w:after="0" w:line="259" w:lineRule="auto"/>
              <w:ind w:right="0" w:hanging="170"/>
              <w:jc w:val="left"/>
            </w:pPr>
            <w:r>
              <w:t>Квинсента (0,25; 0,5; 1,0)</w:t>
            </w:r>
          </w:p>
          <w:p w:rsidR="00D27BC6" w:rsidRDefault="004D5071">
            <w:pPr>
              <w:numPr>
                <w:ilvl w:val="0"/>
                <w:numId w:val="340"/>
              </w:numPr>
              <w:spacing w:after="0" w:line="259" w:lineRule="auto"/>
              <w:ind w:right="0" w:hanging="170"/>
              <w:jc w:val="left"/>
            </w:pPr>
            <w:r>
              <w:t>Инсудайв (0,25; 0,5; 1,0), для п/к инъекций</w:t>
            </w:r>
          </w:p>
          <w:p w:rsidR="00D27BC6" w:rsidRDefault="004D5071">
            <w:pPr>
              <w:numPr>
                <w:ilvl w:val="0"/>
                <w:numId w:val="340"/>
              </w:numPr>
              <w:spacing w:after="0" w:line="259" w:lineRule="auto"/>
              <w:ind w:right="0" w:hanging="170"/>
              <w:jc w:val="left"/>
            </w:pPr>
            <w:r>
              <w:t>Семуглин (0,25; 0,5; 1,0), для п/к инъекций</w:t>
            </w:r>
          </w:p>
          <w:p w:rsidR="00D27BC6" w:rsidRDefault="004D5071">
            <w:pPr>
              <w:numPr>
                <w:ilvl w:val="0"/>
                <w:numId w:val="340"/>
              </w:numPr>
              <w:spacing w:after="0" w:line="259" w:lineRule="auto"/>
              <w:ind w:right="0" w:hanging="170"/>
              <w:jc w:val="left"/>
            </w:pPr>
            <w:r>
              <w:t>Семаглутид Дж (0,25; 0,5; 1,0), для п/к инъекций</w:t>
            </w:r>
          </w:p>
          <w:p w:rsidR="00D27BC6" w:rsidRDefault="004D5071">
            <w:pPr>
              <w:numPr>
                <w:ilvl w:val="0"/>
                <w:numId w:val="340"/>
              </w:numPr>
              <w:spacing w:after="0" w:line="259" w:lineRule="auto"/>
              <w:ind w:right="0" w:hanging="170"/>
              <w:jc w:val="left"/>
            </w:pPr>
            <w:r>
              <w:t>СЕГЛУРИЯ (0,25; 0,5; 1,0), для п/к инъекций</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 xml:space="preserve">1 раз в </w:t>
            </w:r>
          </w:p>
          <w:p w:rsidR="00D27BC6" w:rsidRDefault="004D5071">
            <w:pPr>
              <w:spacing w:after="0" w:line="259" w:lineRule="auto"/>
              <w:ind w:left="0" w:right="28" w:firstLine="0"/>
              <w:jc w:val="center"/>
            </w:pPr>
            <w:r>
              <w:t>неделю</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168</w:t>
            </w:r>
          </w:p>
        </w:tc>
      </w:tr>
      <w:tr w:rsidR="00D27BC6">
        <w:trPr>
          <w:trHeight w:val="32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Ребелсас (3; 7; 14), в таблетках</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8" w:firstLine="0"/>
              <w:jc w:val="center"/>
            </w:pPr>
            <w:r>
              <w:t>3–14</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8" w:firstLine="0"/>
              <w:jc w:val="center"/>
            </w:pPr>
            <w:r>
              <w:t>1</w:t>
            </w:r>
          </w:p>
        </w:tc>
        <w:tc>
          <w:tcPr>
            <w:tcW w:w="86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8" w:firstLine="0"/>
              <w:jc w:val="center"/>
            </w:pPr>
            <w:r>
              <w:t>24</w:t>
            </w:r>
          </w:p>
        </w:tc>
      </w:tr>
      <w:tr w:rsidR="00D27BC6">
        <w:trPr>
          <w:trHeight w:val="837"/>
        </w:trPr>
        <w:tc>
          <w:tcPr>
            <w:tcW w:w="167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Двойные агонисты ГИП/ГПП-1</w:t>
            </w: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Тирзепатид</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41"/>
              </w:numPr>
              <w:spacing w:after="0" w:line="259" w:lineRule="auto"/>
              <w:ind w:hanging="170"/>
              <w:jc w:val="left"/>
            </w:pPr>
            <w:r>
              <w:t>Тирзетта (2,5; 5; 7,5; 10; 12,5; 15), для п/к инъекций</w:t>
            </w:r>
          </w:p>
          <w:p w:rsidR="00D27BC6" w:rsidRDefault="004D5071">
            <w:pPr>
              <w:numPr>
                <w:ilvl w:val="0"/>
                <w:numId w:val="341"/>
              </w:numPr>
              <w:spacing w:after="0" w:line="259" w:lineRule="auto"/>
              <w:ind w:hanging="170"/>
              <w:jc w:val="left"/>
            </w:pPr>
            <w:r>
              <w:t>Седжаро (2,5; 5; 7,5; 10; 12,5; 15), для п/к инъекций</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 xml:space="preserve">1 раз в </w:t>
            </w:r>
          </w:p>
          <w:p w:rsidR="00D27BC6" w:rsidRDefault="004D5071">
            <w:pPr>
              <w:spacing w:after="0" w:line="259" w:lineRule="auto"/>
              <w:ind w:left="0" w:right="28" w:firstLine="0"/>
              <w:jc w:val="center"/>
            </w:pPr>
            <w:r>
              <w:t>неделю</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168</w:t>
            </w:r>
          </w:p>
        </w:tc>
      </w:tr>
    </w:tbl>
    <w:p w:rsidR="00D27BC6" w:rsidRDefault="00D27BC6">
      <w:pPr>
        <w:spacing w:after="0" w:line="259" w:lineRule="auto"/>
        <w:ind w:left="-850" w:right="9" w:firstLine="0"/>
        <w:jc w:val="left"/>
      </w:pPr>
    </w:p>
    <w:tbl>
      <w:tblPr>
        <w:tblStyle w:val="TableGrid"/>
        <w:tblW w:w="10191" w:type="dxa"/>
        <w:tblInd w:w="8" w:type="dxa"/>
        <w:tblCellMar>
          <w:top w:w="15" w:type="dxa"/>
          <w:left w:w="57" w:type="dxa"/>
          <w:bottom w:w="0" w:type="dxa"/>
          <w:right w:w="29" w:type="dxa"/>
        </w:tblCellMar>
        <w:tblLook w:val="04A0" w:firstRow="1" w:lastRow="0" w:firstColumn="1" w:lastColumn="0" w:noHBand="0" w:noVBand="1"/>
      </w:tblPr>
      <w:tblGrid>
        <w:gridCol w:w="1675"/>
        <w:gridCol w:w="2324"/>
        <w:gridCol w:w="3581"/>
        <w:gridCol w:w="871"/>
        <w:gridCol w:w="871"/>
        <w:gridCol w:w="868"/>
      </w:tblGrid>
      <w:tr w:rsidR="00D27BC6">
        <w:trPr>
          <w:trHeight w:val="980"/>
        </w:trPr>
        <w:tc>
          <w:tcPr>
            <w:tcW w:w="1675"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88" w:right="0" w:firstLine="0"/>
              <w:jc w:val="left"/>
            </w:pPr>
            <w:r>
              <w:rPr>
                <w:b/>
              </w:rPr>
              <w:t>Группа препаратов</w:t>
            </w:r>
          </w:p>
        </w:tc>
        <w:tc>
          <w:tcPr>
            <w:tcW w:w="2324"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Международное непатентованное наименование</w:t>
            </w:r>
          </w:p>
        </w:tc>
        <w:tc>
          <w:tcPr>
            <w:tcW w:w="358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16" w:lineRule="auto"/>
              <w:ind w:left="27" w:right="22" w:firstLine="0"/>
              <w:jc w:val="center"/>
            </w:pPr>
            <w:r>
              <w:rPr>
                <w:b/>
              </w:rPr>
              <w:t xml:space="preserve">Торговые наименования, зарегистрированные в России  </w:t>
            </w:r>
          </w:p>
          <w:p w:rsidR="00D27BC6" w:rsidRDefault="004D5071">
            <w:pPr>
              <w:spacing w:after="0" w:line="259" w:lineRule="auto"/>
              <w:ind w:left="0" w:right="27" w:firstLine="0"/>
              <w:jc w:val="center"/>
            </w:pPr>
            <w:r>
              <w:rPr>
                <w:b/>
              </w:rPr>
              <w:t>(выпускаемые дозы, мг)</w:t>
            </w:r>
          </w:p>
        </w:tc>
        <w:tc>
          <w:tcPr>
            <w:tcW w:w="87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Суточная доза (мг)</w:t>
            </w:r>
          </w:p>
        </w:tc>
        <w:tc>
          <w:tcPr>
            <w:tcW w:w="871"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16" w:lineRule="auto"/>
              <w:ind w:left="0" w:right="0" w:firstLine="0"/>
              <w:jc w:val="center"/>
            </w:pPr>
            <w:r>
              <w:rPr>
                <w:b/>
              </w:rPr>
              <w:t xml:space="preserve">Кратность приема  </w:t>
            </w:r>
          </w:p>
          <w:p w:rsidR="00D27BC6" w:rsidRDefault="004D5071">
            <w:pPr>
              <w:spacing w:after="0" w:line="259" w:lineRule="auto"/>
              <w:ind w:left="0" w:right="0" w:firstLine="0"/>
              <w:jc w:val="center"/>
            </w:pPr>
            <w:r>
              <w:rPr>
                <w:b/>
              </w:rPr>
              <w:t>(раз/ сутки)</w:t>
            </w:r>
          </w:p>
        </w:tc>
        <w:tc>
          <w:tcPr>
            <w:tcW w:w="86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16" w:lineRule="auto"/>
              <w:ind w:left="0" w:right="0" w:firstLine="0"/>
              <w:jc w:val="center"/>
            </w:pPr>
            <w:r>
              <w:rPr>
                <w:b/>
              </w:rPr>
              <w:t xml:space="preserve">Длительность </w:t>
            </w:r>
          </w:p>
          <w:p w:rsidR="00D27BC6" w:rsidRDefault="004D5071">
            <w:pPr>
              <w:spacing w:after="0" w:line="259" w:lineRule="auto"/>
              <w:ind w:left="36" w:right="0" w:firstLine="0"/>
              <w:jc w:val="left"/>
            </w:pPr>
            <w:r>
              <w:rPr>
                <w:b/>
              </w:rPr>
              <w:t xml:space="preserve">действия </w:t>
            </w:r>
          </w:p>
          <w:p w:rsidR="00D27BC6" w:rsidRDefault="004D5071">
            <w:pPr>
              <w:spacing w:after="0" w:line="259" w:lineRule="auto"/>
              <w:ind w:left="0" w:right="28" w:firstLine="0"/>
              <w:jc w:val="center"/>
            </w:pPr>
            <w:r>
              <w:rPr>
                <w:b/>
              </w:rPr>
              <w:t>(часы)</w:t>
            </w:r>
          </w:p>
        </w:tc>
      </w:tr>
      <w:tr w:rsidR="00D27BC6">
        <w:trPr>
          <w:trHeight w:val="3773"/>
        </w:trPr>
        <w:tc>
          <w:tcPr>
            <w:tcW w:w="1675"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Ингибиторы дипептидил- пептидазы-4 (глиптины)</w:t>
            </w: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Ситаглиптин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42"/>
              </w:numPr>
              <w:spacing w:after="0" w:line="259" w:lineRule="auto"/>
              <w:ind w:right="0" w:hanging="170"/>
              <w:jc w:val="left"/>
            </w:pPr>
            <w:r>
              <w:t>Янувия (25; 50; 100)</w:t>
            </w:r>
          </w:p>
          <w:p w:rsidR="00D27BC6" w:rsidRDefault="004D5071">
            <w:pPr>
              <w:numPr>
                <w:ilvl w:val="0"/>
                <w:numId w:val="342"/>
              </w:numPr>
              <w:spacing w:after="0" w:line="259" w:lineRule="auto"/>
              <w:ind w:right="0" w:hanging="170"/>
              <w:jc w:val="left"/>
            </w:pPr>
            <w:r>
              <w:t>Яситара (25; 50; 100)</w:t>
            </w:r>
          </w:p>
          <w:p w:rsidR="00D27BC6" w:rsidRDefault="004D5071">
            <w:pPr>
              <w:numPr>
                <w:ilvl w:val="0"/>
                <w:numId w:val="342"/>
              </w:numPr>
              <w:spacing w:after="0" w:line="259" w:lineRule="auto"/>
              <w:ind w:right="0" w:hanging="170"/>
              <w:jc w:val="left"/>
            </w:pPr>
            <w:r>
              <w:t>Кселевия (100)</w:t>
            </w:r>
          </w:p>
          <w:p w:rsidR="00D27BC6" w:rsidRDefault="004D5071">
            <w:pPr>
              <w:numPr>
                <w:ilvl w:val="0"/>
                <w:numId w:val="342"/>
              </w:numPr>
              <w:spacing w:after="0" w:line="259" w:lineRule="auto"/>
              <w:ind w:right="0" w:hanging="170"/>
              <w:jc w:val="left"/>
            </w:pPr>
            <w:r>
              <w:t xml:space="preserve">Сиглетик (25; 50; 100) </w:t>
            </w:r>
          </w:p>
          <w:p w:rsidR="00D27BC6" w:rsidRDefault="004D5071">
            <w:pPr>
              <w:numPr>
                <w:ilvl w:val="0"/>
                <w:numId w:val="342"/>
              </w:numPr>
              <w:spacing w:after="0" w:line="259" w:lineRule="auto"/>
              <w:ind w:right="0" w:hanging="170"/>
              <w:jc w:val="left"/>
            </w:pPr>
            <w:r>
              <w:t xml:space="preserve">Сиглетик Акрихин (25; 50; 100) </w:t>
            </w:r>
          </w:p>
          <w:p w:rsidR="00D27BC6" w:rsidRDefault="004D5071">
            <w:pPr>
              <w:numPr>
                <w:ilvl w:val="0"/>
                <w:numId w:val="342"/>
              </w:numPr>
              <w:spacing w:after="0" w:line="259" w:lineRule="auto"/>
              <w:ind w:right="0" w:hanging="170"/>
              <w:jc w:val="left"/>
            </w:pPr>
            <w:r>
              <w:t xml:space="preserve">Асиглия (25; 50; 100) </w:t>
            </w:r>
          </w:p>
          <w:p w:rsidR="00D27BC6" w:rsidRDefault="004D5071">
            <w:pPr>
              <w:numPr>
                <w:ilvl w:val="0"/>
                <w:numId w:val="342"/>
              </w:numPr>
              <w:spacing w:after="0" w:line="259" w:lineRule="auto"/>
              <w:ind w:right="0" w:hanging="170"/>
              <w:jc w:val="left"/>
            </w:pPr>
            <w:r>
              <w:t>СИТАДИАБ (100)</w:t>
            </w:r>
          </w:p>
          <w:p w:rsidR="00D27BC6" w:rsidRDefault="004D5071">
            <w:pPr>
              <w:numPr>
                <w:ilvl w:val="0"/>
                <w:numId w:val="342"/>
              </w:numPr>
              <w:spacing w:after="0" w:line="259" w:lineRule="auto"/>
              <w:ind w:right="0" w:hanging="170"/>
              <w:jc w:val="left"/>
            </w:pPr>
            <w:r>
              <w:t>Глиптозан (25; 50; 100)</w:t>
            </w:r>
          </w:p>
          <w:p w:rsidR="00D27BC6" w:rsidRDefault="004D5071">
            <w:pPr>
              <w:numPr>
                <w:ilvl w:val="0"/>
                <w:numId w:val="342"/>
              </w:numPr>
              <w:spacing w:after="0" w:line="259" w:lineRule="auto"/>
              <w:ind w:right="0" w:hanging="170"/>
              <w:jc w:val="left"/>
            </w:pPr>
            <w:r>
              <w:t>Ситаглиптин Гриндекс (25; 50; 100)</w:t>
            </w:r>
          </w:p>
          <w:p w:rsidR="00D27BC6" w:rsidRDefault="004D5071">
            <w:pPr>
              <w:numPr>
                <w:ilvl w:val="0"/>
                <w:numId w:val="342"/>
              </w:numPr>
              <w:spacing w:after="0" w:line="259" w:lineRule="auto"/>
              <w:ind w:right="0" w:hanging="170"/>
              <w:jc w:val="left"/>
            </w:pPr>
            <w:r>
              <w:t>Ситаглиптин Медисорб (25; 50; 100)</w:t>
            </w:r>
          </w:p>
          <w:p w:rsidR="00D27BC6" w:rsidRDefault="004D5071">
            <w:pPr>
              <w:numPr>
                <w:ilvl w:val="0"/>
                <w:numId w:val="342"/>
              </w:numPr>
              <w:spacing w:after="0" w:line="259" w:lineRule="auto"/>
              <w:ind w:right="0" w:hanging="170"/>
              <w:jc w:val="left"/>
            </w:pPr>
            <w:r>
              <w:t>СИТАГЛИКС (25; 50; 100)</w:t>
            </w:r>
          </w:p>
          <w:p w:rsidR="00D27BC6" w:rsidRDefault="004D5071">
            <w:pPr>
              <w:numPr>
                <w:ilvl w:val="0"/>
                <w:numId w:val="342"/>
              </w:numPr>
              <w:spacing w:after="0" w:line="259" w:lineRule="auto"/>
              <w:ind w:right="0" w:hanging="170"/>
              <w:jc w:val="left"/>
            </w:pPr>
            <w:r>
              <w:t>Ситаглиптин Акрихин (25; 50; 100)</w:t>
            </w:r>
          </w:p>
          <w:p w:rsidR="00D27BC6" w:rsidRDefault="004D5071">
            <w:pPr>
              <w:numPr>
                <w:ilvl w:val="0"/>
                <w:numId w:val="342"/>
              </w:numPr>
              <w:spacing w:after="0" w:line="259" w:lineRule="auto"/>
              <w:ind w:right="0" w:hanging="170"/>
              <w:jc w:val="left"/>
            </w:pPr>
            <w:r>
              <w:t>Ситаглиптин Дж (25; 50; 100)</w:t>
            </w:r>
          </w:p>
          <w:p w:rsidR="00D27BC6" w:rsidRDefault="004D5071">
            <w:pPr>
              <w:numPr>
                <w:ilvl w:val="0"/>
                <w:numId w:val="342"/>
              </w:numPr>
              <w:spacing w:after="0" w:line="259" w:lineRule="auto"/>
              <w:ind w:right="0" w:hanging="170"/>
              <w:jc w:val="left"/>
            </w:pPr>
            <w:r>
              <w:t>СелгиМоно Про (25; 50; 100)</w:t>
            </w:r>
          </w:p>
          <w:p w:rsidR="00D27BC6" w:rsidRDefault="004D5071">
            <w:pPr>
              <w:numPr>
                <w:ilvl w:val="0"/>
                <w:numId w:val="342"/>
              </w:numPr>
              <w:spacing w:after="0" w:line="259" w:lineRule="auto"/>
              <w:ind w:right="0" w:hanging="170"/>
              <w:jc w:val="left"/>
            </w:pPr>
            <w:r>
              <w:t>РАВИДАГЛИН (25; 50; 100)</w:t>
            </w:r>
          </w:p>
          <w:p w:rsidR="00D27BC6" w:rsidRDefault="004D5071">
            <w:pPr>
              <w:numPr>
                <w:ilvl w:val="0"/>
                <w:numId w:val="342"/>
              </w:numPr>
              <w:spacing w:after="0" w:line="259" w:lineRule="auto"/>
              <w:ind w:right="0" w:hanging="170"/>
              <w:jc w:val="left"/>
            </w:pPr>
            <w:r>
              <w:t>Ситаглиптин ПСК (25; 50; 100)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25–100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24</w:t>
            </w:r>
          </w:p>
        </w:tc>
      </w:tr>
      <w:tr w:rsidR="00D27BC6">
        <w:trPr>
          <w:trHeight w:val="5385"/>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Вилдаглиптин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43"/>
              </w:numPr>
              <w:spacing w:after="0" w:line="259" w:lineRule="auto"/>
              <w:ind w:right="0" w:hanging="170"/>
              <w:jc w:val="left"/>
            </w:pPr>
            <w:r>
              <w:t>Галвус (50)</w:t>
            </w:r>
          </w:p>
          <w:p w:rsidR="00D27BC6" w:rsidRDefault="004D5071">
            <w:pPr>
              <w:numPr>
                <w:ilvl w:val="0"/>
                <w:numId w:val="343"/>
              </w:numPr>
              <w:spacing w:after="0" w:line="259" w:lineRule="auto"/>
              <w:ind w:right="0" w:hanging="170"/>
              <w:jc w:val="left"/>
            </w:pPr>
            <w:r>
              <w:t>Вилдаглиптин Медисорб (50)</w:t>
            </w:r>
          </w:p>
          <w:p w:rsidR="00D27BC6" w:rsidRDefault="004D5071">
            <w:pPr>
              <w:numPr>
                <w:ilvl w:val="0"/>
                <w:numId w:val="343"/>
              </w:numPr>
              <w:spacing w:after="0" w:line="259" w:lineRule="auto"/>
              <w:ind w:right="0" w:hanging="170"/>
              <w:jc w:val="left"/>
            </w:pPr>
            <w:r>
              <w:t>Агарта (50)</w:t>
            </w:r>
          </w:p>
          <w:p w:rsidR="00D27BC6" w:rsidRDefault="004D5071">
            <w:pPr>
              <w:numPr>
                <w:ilvl w:val="0"/>
                <w:numId w:val="343"/>
              </w:numPr>
              <w:spacing w:after="0" w:line="259" w:lineRule="auto"/>
              <w:ind w:right="0" w:hanging="170"/>
              <w:jc w:val="left"/>
            </w:pPr>
            <w:r>
              <w:t>Вилдаглиптин (50)</w:t>
            </w:r>
          </w:p>
          <w:p w:rsidR="00D27BC6" w:rsidRDefault="004D5071">
            <w:pPr>
              <w:numPr>
                <w:ilvl w:val="0"/>
                <w:numId w:val="343"/>
              </w:numPr>
              <w:spacing w:after="0" w:line="259" w:lineRule="auto"/>
              <w:ind w:right="0" w:hanging="170"/>
              <w:jc w:val="left"/>
            </w:pPr>
            <w:r>
              <w:t>Глипвило (50)</w:t>
            </w:r>
          </w:p>
          <w:p w:rsidR="00D27BC6" w:rsidRDefault="004D5071">
            <w:pPr>
              <w:numPr>
                <w:ilvl w:val="0"/>
                <w:numId w:val="343"/>
              </w:numPr>
              <w:spacing w:after="0" w:line="259" w:lineRule="auto"/>
              <w:ind w:right="0" w:hanging="170"/>
              <w:jc w:val="left"/>
            </w:pPr>
            <w:r>
              <w:t>Вилдаглиптин Канон (50)</w:t>
            </w:r>
          </w:p>
          <w:p w:rsidR="00D27BC6" w:rsidRDefault="004D5071">
            <w:pPr>
              <w:numPr>
                <w:ilvl w:val="0"/>
                <w:numId w:val="343"/>
              </w:numPr>
              <w:spacing w:after="0" w:line="259" w:lineRule="auto"/>
              <w:ind w:right="0" w:hanging="170"/>
              <w:jc w:val="left"/>
            </w:pPr>
            <w:r>
              <w:t>Вилдаглиптин С3 (50)</w:t>
            </w:r>
          </w:p>
          <w:p w:rsidR="00D27BC6" w:rsidRDefault="004D5071">
            <w:pPr>
              <w:numPr>
                <w:ilvl w:val="0"/>
                <w:numId w:val="343"/>
              </w:numPr>
              <w:spacing w:after="0" w:line="259" w:lineRule="auto"/>
              <w:ind w:right="0" w:hanging="170"/>
              <w:jc w:val="left"/>
            </w:pPr>
            <w:r>
              <w:t>Вилдус (50)</w:t>
            </w:r>
          </w:p>
          <w:p w:rsidR="00D27BC6" w:rsidRDefault="004D5071">
            <w:pPr>
              <w:numPr>
                <w:ilvl w:val="0"/>
                <w:numId w:val="343"/>
              </w:numPr>
              <w:spacing w:after="0" w:line="259" w:lineRule="auto"/>
              <w:ind w:right="0" w:hanging="170"/>
              <w:jc w:val="left"/>
            </w:pPr>
            <w:r>
              <w:t>Вилдаглиптин-АМЕДАРТ (50)</w:t>
            </w:r>
          </w:p>
          <w:p w:rsidR="00D27BC6" w:rsidRDefault="004D5071">
            <w:pPr>
              <w:numPr>
                <w:ilvl w:val="0"/>
                <w:numId w:val="343"/>
              </w:numPr>
              <w:spacing w:after="0" w:line="259" w:lineRule="auto"/>
              <w:ind w:right="0" w:hanging="170"/>
              <w:jc w:val="left"/>
            </w:pPr>
            <w:r>
              <w:t>Вилдаглиптин-ВЕРТЕКС (50)</w:t>
            </w:r>
          </w:p>
          <w:p w:rsidR="00D27BC6" w:rsidRDefault="004D5071">
            <w:pPr>
              <w:numPr>
                <w:ilvl w:val="0"/>
                <w:numId w:val="343"/>
              </w:numPr>
              <w:spacing w:after="0" w:line="259" w:lineRule="auto"/>
              <w:ind w:right="0" w:hanging="170"/>
              <w:jc w:val="left"/>
            </w:pPr>
            <w:r>
              <w:t>Вилдаглиптин Реневал (50)</w:t>
            </w:r>
          </w:p>
          <w:p w:rsidR="00D27BC6" w:rsidRDefault="004D5071">
            <w:pPr>
              <w:numPr>
                <w:ilvl w:val="0"/>
                <w:numId w:val="343"/>
              </w:numPr>
              <w:spacing w:after="0" w:line="259" w:lineRule="auto"/>
              <w:ind w:right="0" w:hanging="170"/>
              <w:jc w:val="left"/>
            </w:pPr>
            <w:r>
              <w:t>Вилдаглиптин ДЖИЭФСИ (50)</w:t>
            </w:r>
          </w:p>
          <w:p w:rsidR="00D27BC6" w:rsidRDefault="004D5071">
            <w:pPr>
              <w:numPr>
                <w:ilvl w:val="0"/>
                <w:numId w:val="343"/>
              </w:numPr>
              <w:spacing w:after="0" w:line="259" w:lineRule="auto"/>
              <w:ind w:right="0" w:hanging="170"/>
              <w:jc w:val="left"/>
            </w:pPr>
            <w:r>
              <w:t>Вилдаглиптин ПСК (50)</w:t>
            </w:r>
          </w:p>
          <w:p w:rsidR="00D27BC6" w:rsidRDefault="004D5071">
            <w:pPr>
              <w:numPr>
                <w:ilvl w:val="0"/>
                <w:numId w:val="343"/>
              </w:numPr>
              <w:spacing w:after="0" w:line="259" w:lineRule="auto"/>
              <w:ind w:right="0" w:hanging="170"/>
              <w:jc w:val="left"/>
            </w:pPr>
            <w:r>
              <w:t>Вилдаглиптин Дж (50)</w:t>
            </w:r>
          </w:p>
          <w:p w:rsidR="00D27BC6" w:rsidRDefault="004D5071">
            <w:pPr>
              <w:numPr>
                <w:ilvl w:val="0"/>
                <w:numId w:val="343"/>
              </w:numPr>
              <w:spacing w:after="0" w:line="259" w:lineRule="auto"/>
              <w:ind w:right="0" w:hanging="170"/>
              <w:jc w:val="left"/>
            </w:pPr>
            <w:r>
              <w:t>Вилдаглиптин ГЛИКВИТАБС (50)</w:t>
            </w:r>
          </w:p>
          <w:p w:rsidR="00D27BC6" w:rsidRDefault="004D5071">
            <w:pPr>
              <w:numPr>
                <w:ilvl w:val="0"/>
                <w:numId w:val="343"/>
              </w:numPr>
              <w:spacing w:after="0" w:line="259" w:lineRule="auto"/>
              <w:ind w:right="0" w:hanging="170"/>
              <w:jc w:val="left"/>
            </w:pPr>
            <w:r>
              <w:t>Вилдаглиптин-ФП (50)</w:t>
            </w:r>
          </w:p>
          <w:p w:rsidR="00D27BC6" w:rsidRDefault="004D5071">
            <w:pPr>
              <w:numPr>
                <w:ilvl w:val="0"/>
                <w:numId w:val="343"/>
              </w:numPr>
              <w:spacing w:after="0" w:line="259" w:lineRule="auto"/>
              <w:ind w:right="0" w:hanging="170"/>
              <w:jc w:val="left"/>
            </w:pPr>
            <w:r>
              <w:t>Илдиглип (50)</w:t>
            </w:r>
          </w:p>
          <w:p w:rsidR="00D27BC6" w:rsidRDefault="004D5071">
            <w:pPr>
              <w:numPr>
                <w:ilvl w:val="0"/>
                <w:numId w:val="343"/>
              </w:numPr>
              <w:spacing w:after="0" w:line="259" w:lineRule="auto"/>
              <w:ind w:right="0" w:hanging="170"/>
              <w:jc w:val="left"/>
            </w:pPr>
            <w:r>
              <w:t>ВИЛДАРИЛ (50)</w:t>
            </w:r>
          </w:p>
          <w:p w:rsidR="00D27BC6" w:rsidRDefault="004D5071">
            <w:pPr>
              <w:numPr>
                <w:ilvl w:val="0"/>
                <w:numId w:val="343"/>
              </w:numPr>
              <w:spacing w:after="0" w:line="259" w:lineRule="auto"/>
              <w:ind w:right="0" w:hanging="170"/>
              <w:jc w:val="left"/>
            </w:pPr>
            <w:r>
              <w:t>Вилдагвус (50)</w:t>
            </w:r>
          </w:p>
          <w:p w:rsidR="00D27BC6" w:rsidRDefault="004D5071">
            <w:pPr>
              <w:numPr>
                <w:ilvl w:val="0"/>
                <w:numId w:val="343"/>
              </w:numPr>
              <w:spacing w:after="0" w:line="259" w:lineRule="auto"/>
              <w:ind w:right="0" w:hanging="170"/>
              <w:jc w:val="left"/>
            </w:pPr>
            <w:r>
              <w:t>ВИЛМИТРИКС (50)</w:t>
            </w:r>
          </w:p>
          <w:p w:rsidR="00D27BC6" w:rsidRDefault="004D5071">
            <w:pPr>
              <w:numPr>
                <w:ilvl w:val="0"/>
                <w:numId w:val="343"/>
              </w:numPr>
              <w:spacing w:after="0" w:line="259" w:lineRule="auto"/>
              <w:ind w:right="0" w:hanging="170"/>
              <w:jc w:val="left"/>
            </w:pPr>
            <w:r>
              <w:t>Вилдаглиптин Фармсинтез (50)</w:t>
            </w:r>
          </w:p>
          <w:p w:rsidR="00D27BC6" w:rsidRDefault="004D5071">
            <w:pPr>
              <w:numPr>
                <w:ilvl w:val="0"/>
                <w:numId w:val="343"/>
              </w:numPr>
              <w:spacing w:after="0" w:line="259" w:lineRule="auto"/>
              <w:ind w:right="0" w:hanging="170"/>
              <w:jc w:val="left"/>
            </w:pPr>
            <w:r>
              <w:t>Вилдаглиптин АВВА (50)</w:t>
            </w:r>
          </w:p>
          <w:p w:rsidR="00D27BC6" w:rsidRDefault="004D5071">
            <w:pPr>
              <w:numPr>
                <w:ilvl w:val="0"/>
                <w:numId w:val="343"/>
              </w:numPr>
              <w:spacing w:after="0" w:line="259" w:lineRule="auto"/>
              <w:ind w:right="0" w:hanging="170"/>
              <w:jc w:val="left"/>
            </w:pPr>
            <w:r>
              <w:t>Глидави (50)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50–100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1–2</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16–24</w:t>
            </w:r>
          </w:p>
        </w:tc>
      </w:tr>
      <w:tr w:rsidR="00D27BC6">
        <w:trPr>
          <w:trHeight w:val="551"/>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Саксаглиптин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44"/>
              </w:numPr>
              <w:spacing w:after="0" w:line="259" w:lineRule="auto"/>
              <w:ind w:right="0" w:hanging="170"/>
              <w:jc w:val="left"/>
            </w:pPr>
            <w:r>
              <w:t>Онглиза (2,5; 5)</w:t>
            </w:r>
          </w:p>
          <w:p w:rsidR="00D27BC6" w:rsidRDefault="004D5071">
            <w:pPr>
              <w:numPr>
                <w:ilvl w:val="0"/>
                <w:numId w:val="344"/>
              </w:numPr>
              <w:spacing w:after="0" w:line="259" w:lineRule="auto"/>
              <w:ind w:right="0" w:hanging="170"/>
              <w:jc w:val="left"/>
            </w:pPr>
            <w:r>
              <w:t>САГЛИВЕЛ (2,5; 5)</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2,5–5</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24</w:t>
            </w:r>
          </w:p>
        </w:tc>
      </w:tr>
      <w:tr w:rsidR="00D27BC6">
        <w:trPr>
          <w:trHeight w:val="783"/>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Линаглиптин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45"/>
              </w:numPr>
              <w:spacing w:after="0" w:line="259" w:lineRule="auto"/>
              <w:ind w:right="0" w:hanging="170"/>
              <w:jc w:val="left"/>
            </w:pPr>
            <w:r>
              <w:t>Тражента (5)</w:t>
            </w:r>
          </w:p>
          <w:p w:rsidR="00D27BC6" w:rsidRDefault="004D5071">
            <w:pPr>
              <w:numPr>
                <w:ilvl w:val="0"/>
                <w:numId w:val="345"/>
              </w:numPr>
              <w:spacing w:after="0" w:line="259" w:lineRule="auto"/>
              <w:ind w:right="0" w:hanging="170"/>
              <w:jc w:val="left"/>
            </w:pPr>
            <w:r>
              <w:t>ЛИКРИНТА (5)</w:t>
            </w:r>
          </w:p>
          <w:p w:rsidR="00D27BC6" w:rsidRDefault="004D5071">
            <w:pPr>
              <w:numPr>
                <w:ilvl w:val="0"/>
                <w:numId w:val="345"/>
              </w:numPr>
              <w:spacing w:after="0" w:line="259" w:lineRule="auto"/>
              <w:ind w:right="0" w:hanging="170"/>
              <w:jc w:val="left"/>
            </w:pPr>
            <w:r>
              <w:t>ЛИНАГЛИПТИН ГЛИКВИТАБС (5)</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5</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24</w:t>
            </w:r>
          </w:p>
        </w:tc>
      </w:tr>
      <w:tr w:rsidR="00D27BC6">
        <w:trPr>
          <w:trHeight w:val="32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Алоглиптин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Випидия (12,5; 25)</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12,5–25</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24</w:t>
            </w:r>
          </w:p>
        </w:tc>
      </w:tr>
      <w:tr w:rsidR="00D27BC6">
        <w:trPr>
          <w:trHeight w:val="32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Гозоглиптин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Сатерекс (20; 30)</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20–30</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24</w:t>
            </w:r>
          </w:p>
        </w:tc>
      </w:tr>
      <w:tr w:rsidR="00D27BC6">
        <w:trPr>
          <w:trHeight w:val="32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Гемиглиптин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Земигло (50)</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50</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24</w:t>
            </w:r>
          </w:p>
        </w:tc>
      </w:tr>
      <w:tr w:rsidR="00D27BC6">
        <w:trPr>
          <w:trHeight w:val="32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Эвоглиптин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Эводин (5)</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5</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24</w:t>
            </w:r>
          </w:p>
        </w:tc>
      </w:tr>
      <w:tr w:rsidR="00D27BC6">
        <w:trPr>
          <w:trHeight w:val="320"/>
        </w:trPr>
        <w:tc>
          <w:tcPr>
            <w:tcW w:w="1675"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86" w:firstLine="0"/>
              <w:jc w:val="left"/>
            </w:pPr>
            <w:r>
              <w:rPr>
                <w:b/>
              </w:rPr>
              <w:t xml:space="preserve">Ингибиторы натрий-глюкозного </w:t>
            </w:r>
            <w:r>
              <w:rPr>
                <w:b/>
                <w:sz w:val="18"/>
                <w:vertAlign w:val="superscript"/>
              </w:rPr>
              <w:t xml:space="preserve"> </w:t>
            </w:r>
            <w:r>
              <w:rPr>
                <w:b/>
              </w:rPr>
              <w:t xml:space="preserve"> котранспортера 2 типа (глифлозины)</w:t>
            </w: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Дапаглифлозин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Форсига (5; 10)</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8" w:firstLine="0"/>
              <w:jc w:val="center"/>
            </w:pPr>
            <w:r>
              <w:t>5–10</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8" w:firstLine="0"/>
              <w:jc w:val="center"/>
            </w:pPr>
            <w:r>
              <w:t>1</w:t>
            </w:r>
          </w:p>
        </w:tc>
        <w:tc>
          <w:tcPr>
            <w:tcW w:w="86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8" w:firstLine="0"/>
              <w:jc w:val="center"/>
            </w:pPr>
            <w:r>
              <w:t>24</w:t>
            </w:r>
          </w:p>
        </w:tc>
      </w:tr>
      <w:tr w:rsidR="00D27BC6">
        <w:trPr>
          <w:trHeight w:val="32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Эмпаглифлозин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Джардинс (10; 25)</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8" w:firstLine="0"/>
              <w:jc w:val="center"/>
            </w:pPr>
            <w:r>
              <w:t>10–25</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8" w:firstLine="0"/>
              <w:jc w:val="center"/>
            </w:pPr>
            <w:r>
              <w:t>1</w:t>
            </w:r>
          </w:p>
        </w:tc>
        <w:tc>
          <w:tcPr>
            <w:tcW w:w="86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8" w:firstLine="0"/>
              <w:jc w:val="center"/>
            </w:pPr>
            <w:r>
              <w:t>24</w:t>
            </w:r>
          </w:p>
        </w:tc>
      </w:tr>
      <w:tr w:rsidR="00D27BC6">
        <w:trPr>
          <w:trHeight w:val="32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Канаглифлозин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Инвокана (100; 300)</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98" w:right="0" w:firstLine="0"/>
              <w:jc w:val="left"/>
            </w:pPr>
            <w:r>
              <w:t>100–300</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8" w:firstLine="0"/>
              <w:jc w:val="center"/>
            </w:pPr>
            <w:r>
              <w:t>1</w:t>
            </w:r>
          </w:p>
        </w:tc>
        <w:tc>
          <w:tcPr>
            <w:tcW w:w="86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8" w:firstLine="0"/>
              <w:jc w:val="center"/>
            </w:pPr>
            <w:r>
              <w:t>24</w:t>
            </w:r>
          </w:p>
        </w:tc>
      </w:tr>
      <w:tr w:rsidR="00D27BC6">
        <w:trPr>
          <w:trHeight w:val="32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Ипраглифлозин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 </w:t>
            </w:r>
            <w:r>
              <w:t>Суглат (50)</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8" w:firstLine="0"/>
              <w:jc w:val="center"/>
            </w:pPr>
            <w:r>
              <w:t>50–100</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24</w:t>
            </w:r>
          </w:p>
        </w:tc>
      </w:tr>
      <w:tr w:rsidR="00D27BC6">
        <w:trPr>
          <w:trHeight w:val="320"/>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Лусеоглифлозин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Лусефи (2,5; 5)</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2,5–5</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24</w:t>
            </w:r>
          </w:p>
        </w:tc>
      </w:tr>
    </w:tbl>
    <w:p w:rsidR="00D27BC6" w:rsidRDefault="00D27BC6">
      <w:pPr>
        <w:spacing w:after="0" w:line="259" w:lineRule="auto"/>
        <w:ind w:left="-850" w:right="9" w:firstLine="0"/>
        <w:jc w:val="left"/>
      </w:pPr>
    </w:p>
    <w:tbl>
      <w:tblPr>
        <w:tblStyle w:val="TableGrid"/>
        <w:tblW w:w="10191" w:type="dxa"/>
        <w:tblInd w:w="8" w:type="dxa"/>
        <w:tblCellMar>
          <w:top w:w="15" w:type="dxa"/>
          <w:left w:w="57" w:type="dxa"/>
          <w:bottom w:w="0" w:type="dxa"/>
          <w:right w:w="29" w:type="dxa"/>
        </w:tblCellMar>
        <w:tblLook w:val="04A0" w:firstRow="1" w:lastRow="0" w:firstColumn="1" w:lastColumn="0" w:noHBand="0" w:noVBand="1"/>
      </w:tblPr>
      <w:tblGrid>
        <w:gridCol w:w="1675"/>
        <w:gridCol w:w="2324"/>
        <w:gridCol w:w="3581"/>
        <w:gridCol w:w="871"/>
        <w:gridCol w:w="871"/>
        <w:gridCol w:w="868"/>
      </w:tblGrid>
      <w:tr w:rsidR="00D27BC6">
        <w:trPr>
          <w:trHeight w:val="980"/>
        </w:trPr>
        <w:tc>
          <w:tcPr>
            <w:tcW w:w="1675"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88" w:right="0" w:firstLine="0"/>
              <w:jc w:val="left"/>
            </w:pPr>
            <w:r>
              <w:rPr>
                <w:b/>
              </w:rPr>
              <w:t>Группа препаратов</w:t>
            </w:r>
          </w:p>
        </w:tc>
        <w:tc>
          <w:tcPr>
            <w:tcW w:w="2324"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Международное непатентованное наименование</w:t>
            </w:r>
          </w:p>
        </w:tc>
        <w:tc>
          <w:tcPr>
            <w:tcW w:w="358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16" w:lineRule="auto"/>
              <w:ind w:left="27" w:right="22" w:firstLine="0"/>
              <w:jc w:val="center"/>
            </w:pPr>
            <w:r>
              <w:rPr>
                <w:b/>
              </w:rPr>
              <w:t xml:space="preserve">Торговые наименования, зарегистрированные в России  </w:t>
            </w:r>
          </w:p>
          <w:p w:rsidR="00D27BC6" w:rsidRDefault="004D5071">
            <w:pPr>
              <w:spacing w:after="0" w:line="259" w:lineRule="auto"/>
              <w:ind w:left="0" w:right="27" w:firstLine="0"/>
              <w:jc w:val="center"/>
            </w:pPr>
            <w:r>
              <w:rPr>
                <w:b/>
              </w:rPr>
              <w:t>(выпускаемые дозы, мг)</w:t>
            </w:r>
          </w:p>
        </w:tc>
        <w:tc>
          <w:tcPr>
            <w:tcW w:w="871"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center"/>
            </w:pPr>
            <w:r>
              <w:rPr>
                <w:b/>
              </w:rPr>
              <w:t>Суточная доза (мг)</w:t>
            </w:r>
          </w:p>
        </w:tc>
        <w:tc>
          <w:tcPr>
            <w:tcW w:w="871"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16" w:lineRule="auto"/>
              <w:ind w:left="0" w:right="0" w:firstLine="0"/>
              <w:jc w:val="center"/>
            </w:pPr>
            <w:r>
              <w:rPr>
                <w:b/>
              </w:rPr>
              <w:t xml:space="preserve">Кратность приема  </w:t>
            </w:r>
          </w:p>
          <w:p w:rsidR="00D27BC6" w:rsidRDefault="004D5071">
            <w:pPr>
              <w:spacing w:after="0" w:line="259" w:lineRule="auto"/>
              <w:ind w:left="0" w:right="0" w:firstLine="0"/>
              <w:jc w:val="center"/>
            </w:pPr>
            <w:r>
              <w:rPr>
                <w:b/>
              </w:rPr>
              <w:t>(раз/ сутки)</w:t>
            </w:r>
          </w:p>
        </w:tc>
        <w:tc>
          <w:tcPr>
            <w:tcW w:w="868"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16" w:lineRule="auto"/>
              <w:ind w:left="0" w:right="0" w:firstLine="0"/>
              <w:jc w:val="center"/>
            </w:pPr>
            <w:r>
              <w:rPr>
                <w:b/>
              </w:rPr>
              <w:t xml:space="preserve">Длительность </w:t>
            </w:r>
          </w:p>
          <w:p w:rsidR="00D27BC6" w:rsidRDefault="004D5071">
            <w:pPr>
              <w:spacing w:after="0" w:line="259" w:lineRule="auto"/>
              <w:ind w:left="36" w:right="0" w:firstLine="0"/>
              <w:jc w:val="left"/>
            </w:pPr>
            <w:r>
              <w:rPr>
                <w:b/>
              </w:rPr>
              <w:t xml:space="preserve">действия </w:t>
            </w:r>
          </w:p>
          <w:p w:rsidR="00D27BC6" w:rsidRDefault="004D5071">
            <w:pPr>
              <w:spacing w:after="0" w:line="259" w:lineRule="auto"/>
              <w:ind w:left="0" w:right="28" w:firstLine="0"/>
              <w:jc w:val="center"/>
            </w:pPr>
            <w:r>
              <w:rPr>
                <w:b/>
              </w:rPr>
              <w:t>(часы)</w:t>
            </w:r>
          </w:p>
        </w:tc>
      </w:tr>
      <w:tr w:rsidR="00D27BC6">
        <w:trPr>
          <w:trHeight w:val="2277"/>
        </w:trPr>
        <w:tc>
          <w:tcPr>
            <w:tcW w:w="1675"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Комбинированные препараты</w:t>
            </w: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158" w:firstLine="0"/>
              <w:jc w:val="left"/>
            </w:pPr>
            <w:r>
              <w:rPr>
                <w:b/>
              </w:rPr>
              <w:t>Глибенкламид + метформин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46"/>
              </w:numPr>
              <w:spacing w:after="0" w:line="259" w:lineRule="auto"/>
              <w:ind w:right="0" w:hanging="170"/>
              <w:jc w:val="left"/>
            </w:pPr>
            <w:r>
              <w:t>Глибомет (2,5/400)</w:t>
            </w:r>
          </w:p>
          <w:p w:rsidR="00D27BC6" w:rsidRDefault="004D5071">
            <w:pPr>
              <w:numPr>
                <w:ilvl w:val="0"/>
                <w:numId w:val="346"/>
              </w:numPr>
              <w:spacing w:after="0" w:line="259" w:lineRule="auto"/>
              <w:ind w:right="0" w:hanging="170"/>
              <w:jc w:val="left"/>
            </w:pPr>
            <w:r>
              <w:t>Глюкованс (2,5/500; 5/500)</w:t>
            </w:r>
          </w:p>
          <w:p w:rsidR="00D27BC6" w:rsidRDefault="004D5071">
            <w:pPr>
              <w:numPr>
                <w:ilvl w:val="0"/>
                <w:numId w:val="346"/>
              </w:numPr>
              <w:spacing w:after="0" w:line="259" w:lineRule="auto"/>
              <w:ind w:right="0" w:hanging="170"/>
              <w:jc w:val="left"/>
            </w:pPr>
            <w:r>
              <w:t>Глюконорм (2,5/400)</w:t>
            </w:r>
          </w:p>
          <w:p w:rsidR="00D27BC6" w:rsidRDefault="004D5071">
            <w:pPr>
              <w:numPr>
                <w:ilvl w:val="0"/>
                <w:numId w:val="346"/>
              </w:numPr>
              <w:spacing w:after="0" w:line="259" w:lineRule="auto"/>
              <w:ind w:right="0" w:hanging="170"/>
              <w:jc w:val="left"/>
            </w:pPr>
            <w:r>
              <w:t>Глюконорм Плюс (2,5/500; 5/500)</w:t>
            </w:r>
          </w:p>
          <w:p w:rsidR="00D27BC6" w:rsidRDefault="004D5071">
            <w:pPr>
              <w:numPr>
                <w:ilvl w:val="0"/>
                <w:numId w:val="346"/>
              </w:numPr>
              <w:spacing w:after="0" w:line="259" w:lineRule="auto"/>
              <w:ind w:right="0" w:hanging="170"/>
              <w:jc w:val="left"/>
            </w:pPr>
            <w:r>
              <w:t>Метглиб (2,5/400)</w:t>
            </w:r>
          </w:p>
          <w:p w:rsidR="00D27BC6" w:rsidRDefault="004D5071">
            <w:pPr>
              <w:numPr>
                <w:ilvl w:val="0"/>
                <w:numId w:val="346"/>
              </w:numPr>
              <w:spacing w:after="0" w:line="259" w:lineRule="auto"/>
              <w:ind w:right="0" w:hanging="170"/>
              <w:jc w:val="left"/>
            </w:pPr>
            <w:r>
              <w:t>Метглиб Форс (2,5/500; 5/500)</w:t>
            </w:r>
          </w:p>
          <w:p w:rsidR="00D27BC6" w:rsidRDefault="004D5071">
            <w:pPr>
              <w:numPr>
                <w:ilvl w:val="0"/>
                <w:numId w:val="346"/>
              </w:numPr>
              <w:spacing w:after="0" w:line="259" w:lineRule="auto"/>
              <w:ind w:right="0" w:hanging="170"/>
              <w:jc w:val="left"/>
            </w:pPr>
            <w:r>
              <w:t>Глибенфаж (2,5/500; 5/500)</w:t>
            </w:r>
          </w:p>
          <w:p w:rsidR="00D27BC6" w:rsidRDefault="004D5071">
            <w:pPr>
              <w:numPr>
                <w:ilvl w:val="0"/>
                <w:numId w:val="346"/>
              </w:numPr>
              <w:spacing w:after="0" w:line="216" w:lineRule="auto"/>
              <w:ind w:right="0" w:hanging="170"/>
              <w:jc w:val="left"/>
            </w:pPr>
            <w:r>
              <w:t>Глибенкламид + Метформин (2,5/400; 2,5/500; 5/500)</w:t>
            </w:r>
          </w:p>
          <w:p w:rsidR="00D27BC6" w:rsidRDefault="004D5071">
            <w:pPr>
              <w:numPr>
                <w:ilvl w:val="0"/>
                <w:numId w:val="346"/>
              </w:numPr>
              <w:spacing w:after="0" w:line="259" w:lineRule="auto"/>
              <w:ind w:right="0" w:hanging="170"/>
              <w:jc w:val="left"/>
            </w:pPr>
            <w:r>
              <w:t>Глибенфор (2,5/500; 5/500)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1–2</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16–24</w:t>
            </w:r>
          </w:p>
        </w:tc>
      </w:tr>
      <w:tr w:rsidR="00D27BC6">
        <w:trPr>
          <w:trHeight w:val="497"/>
        </w:trPr>
        <w:tc>
          <w:tcPr>
            <w:tcW w:w="1675" w:type="dxa"/>
            <w:vMerge w:val="restart"/>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Комбинированные препараты</w:t>
            </w: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457" w:firstLine="0"/>
              <w:jc w:val="left"/>
            </w:pPr>
            <w:r>
              <w:rPr>
                <w:b/>
              </w:rPr>
              <w:t>Гликлазид + Метформин</w:t>
            </w:r>
          </w:p>
        </w:tc>
        <w:tc>
          <w:tcPr>
            <w:tcW w:w="358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Глимекомб (40/500)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1–2</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16–24</w:t>
            </w:r>
          </w:p>
        </w:tc>
      </w:tr>
      <w:tr w:rsidR="00D27BC6">
        <w:trPr>
          <w:trHeight w:val="54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318" w:firstLine="0"/>
              <w:jc w:val="left"/>
            </w:pPr>
            <w:r>
              <w:rPr>
                <w:b/>
              </w:rPr>
              <w:t>Глимепирид + Метформин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47"/>
              </w:numPr>
              <w:spacing w:after="0" w:line="259" w:lineRule="auto"/>
              <w:ind w:right="0" w:hanging="170"/>
              <w:jc w:val="left"/>
            </w:pPr>
            <w:r>
              <w:t>Амарил М (2/500)</w:t>
            </w:r>
          </w:p>
          <w:p w:rsidR="00D27BC6" w:rsidRDefault="004D5071">
            <w:pPr>
              <w:numPr>
                <w:ilvl w:val="0"/>
                <w:numId w:val="347"/>
              </w:numPr>
              <w:spacing w:after="0" w:line="259" w:lineRule="auto"/>
              <w:ind w:right="0" w:hanging="170"/>
              <w:jc w:val="left"/>
            </w:pPr>
            <w:r>
              <w:t>Глидика М (1/250; 2/500)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1–2</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24</w:t>
            </w:r>
          </w:p>
        </w:tc>
      </w:tr>
      <w:tr w:rsidR="00D27BC6">
        <w:trPr>
          <w:trHeight w:val="230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176" w:firstLine="0"/>
              <w:jc w:val="left"/>
            </w:pPr>
            <w:r>
              <w:rPr>
                <w:b/>
              </w:rPr>
              <w:t>Вилдаглиптин + Метформин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48"/>
              </w:numPr>
              <w:spacing w:after="0" w:line="259" w:lineRule="auto"/>
              <w:ind w:right="0" w:hanging="170"/>
              <w:jc w:val="left"/>
            </w:pPr>
            <w:r>
              <w:t>Галвус Мет (50/500; 50/850; 50/1000)</w:t>
            </w:r>
          </w:p>
          <w:p w:rsidR="00D27BC6" w:rsidRDefault="004D5071">
            <w:pPr>
              <w:numPr>
                <w:ilvl w:val="0"/>
                <w:numId w:val="348"/>
              </w:numPr>
              <w:spacing w:after="0" w:line="259" w:lineRule="auto"/>
              <w:ind w:right="0" w:hanging="170"/>
              <w:jc w:val="left"/>
            </w:pPr>
            <w:r>
              <w:t>Метаглиптин Медисорб (50/500; 50/850; 50/1000)</w:t>
            </w:r>
          </w:p>
          <w:p w:rsidR="00D27BC6" w:rsidRDefault="004D5071">
            <w:pPr>
              <w:numPr>
                <w:ilvl w:val="0"/>
                <w:numId w:val="348"/>
              </w:numPr>
              <w:spacing w:after="0" w:line="216" w:lineRule="auto"/>
              <w:ind w:right="0" w:hanging="170"/>
              <w:jc w:val="left"/>
            </w:pPr>
            <w:r>
              <w:t>Вилдаглиптин + Метформин Реневал (50/500; 50/850; 50/1000)</w:t>
            </w:r>
          </w:p>
          <w:p w:rsidR="00D27BC6" w:rsidRDefault="004D5071">
            <w:pPr>
              <w:numPr>
                <w:ilvl w:val="0"/>
                <w:numId w:val="348"/>
              </w:numPr>
              <w:spacing w:after="0" w:line="216" w:lineRule="auto"/>
              <w:ind w:right="0" w:hanging="170"/>
              <w:jc w:val="left"/>
            </w:pPr>
            <w:r>
              <w:t xml:space="preserve">Вилдаглиптин + Метформин ВЕРТЕКС (50/500; </w:t>
            </w:r>
            <w:r>
              <w:t>50/850; 50/1000)</w:t>
            </w:r>
          </w:p>
          <w:p w:rsidR="00D27BC6" w:rsidRDefault="004D5071">
            <w:pPr>
              <w:numPr>
                <w:ilvl w:val="0"/>
                <w:numId w:val="348"/>
              </w:numPr>
              <w:spacing w:after="0" w:line="259" w:lineRule="auto"/>
              <w:ind w:right="0" w:hanging="170"/>
              <w:jc w:val="left"/>
            </w:pPr>
            <w:r>
              <w:t>ВЕЛГИМЕТ (50/500; 50/850; 50/1000)</w:t>
            </w:r>
          </w:p>
          <w:p w:rsidR="00D27BC6" w:rsidRDefault="004D5071">
            <w:pPr>
              <w:numPr>
                <w:ilvl w:val="0"/>
                <w:numId w:val="348"/>
              </w:numPr>
              <w:spacing w:after="0" w:line="259" w:lineRule="auto"/>
              <w:ind w:right="0" w:hanging="170"/>
              <w:jc w:val="left"/>
            </w:pPr>
            <w:r>
              <w:t>Глипвило Мет (50/850; 50/1000)</w:t>
            </w:r>
          </w:p>
          <w:p w:rsidR="00D27BC6" w:rsidRDefault="004D5071">
            <w:pPr>
              <w:numPr>
                <w:ilvl w:val="0"/>
                <w:numId w:val="348"/>
              </w:numPr>
              <w:spacing w:after="0" w:line="259" w:lineRule="auto"/>
              <w:ind w:right="0" w:hanging="170"/>
              <w:jc w:val="left"/>
            </w:pPr>
            <w:r>
              <w:t>Агарта Мет (50/500; 50/850; 50/1000)</w:t>
            </w:r>
          </w:p>
          <w:p w:rsidR="00D27BC6" w:rsidRDefault="004D5071">
            <w:pPr>
              <w:numPr>
                <w:ilvl w:val="0"/>
                <w:numId w:val="348"/>
              </w:numPr>
              <w:spacing w:after="0" w:line="259" w:lineRule="auto"/>
              <w:ind w:right="0" w:hanging="170"/>
              <w:jc w:val="left"/>
            </w:pPr>
            <w:r>
              <w:t>ВИЛМИТРЕКС МЕТ(50/500; 50/850; 50/1000)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1–2</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16–24</w:t>
            </w:r>
          </w:p>
        </w:tc>
      </w:tr>
      <w:tr w:rsidR="00D27BC6">
        <w:trPr>
          <w:trHeight w:val="186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308" w:firstLine="0"/>
              <w:jc w:val="left"/>
            </w:pPr>
            <w:r>
              <w:rPr>
                <w:b/>
              </w:rPr>
              <w:t>Ситаглиптин + Метформин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49"/>
              </w:numPr>
              <w:spacing w:after="0" w:line="259" w:lineRule="auto"/>
              <w:ind w:right="0" w:hanging="170"/>
              <w:jc w:val="left"/>
            </w:pPr>
            <w:r>
              <w:t>Велметия (50/850; 50/1000)</w:t>
            </w:r>
          </w:p>
          <w:p w:rsidR="00D27BC6" w:rsidRDefault="004D5071">
            <w:pPr>
              <w:numPr>
                <w:ilvl w:val="0"/>
                <w:numId w:val="349"/>
              </w:numPr>
              <w:spacing w:after="0" w:line="259" w:lineRule="auto"/>
              <w:ind w:right="0" w:hanging="170"/>
              <w:jc w:val="left"/>
            </w:pPr>
            <w:r>
              <w:t>Форсиглекс (50/500; 50/850; 50/1000)</w:t>
            </w:r>
          </w:p>
          <w:p w:rsidR="00D27BC6" w:rsidRDefault="004D5071">
            <w:pPr>
              <w:numPr>
                <w:ilvl w:val="0"/>
                <w:numId w:val="349"/>
              </w:numPr>
              <w:spacing w:after="0" w:line="259" w:lineRule="auto"/>
              <w:ind w:right="0" w:hanging="170"/>
              <w:jc w:val="left"/>
            </w:pPr>
            <w:r>
              <w:t>Асиглия Мет (50/850; 50/1000)</w:t>
            </w:r>
          </w:p>
          <w:p w:rsidR="00D27BC6" w:rsidRDefault="004D5071">
            <w:pPr>
              <w:numPr>
                <w:ilvl w:val="0"/>
                <w:numId w:val="349"/>
              </w:numPr>
              <w:spacing w:after="0" w:line="259" w:lineRule="auto"/>
              <w:ind w:right="0" w:hanging="170"/>
              <w:jc w:val="left"/>
            </w:pPr>
            <w:r>
              <w:t>Ситамет Медисорб (50/500; 50/850)</w:t>
            </w:r>
          </w:p>
          <w:p w:rsidR="00D27BC6" w:rsidRDefault="004D5071">
            <w:pPr>
              <w:numPr>
                <w:ilvl w:val="0"/>
                <w:numId w:val="349"/>
              </w:numPr>
              <w:spacing w:after="0" w:line="259" w:lineRule="auto"/>
              <w:ind w:right="0" w:hanging="170"/>
              <w:jc w:val="left"/>
            </w:pPr>
            <w:r>
              <w:t>СИТАДИАБ МЕТ (50/850; 50/1000)</w:t>
            </w:r>
          </w:p>
          <w:p w:rsidR="00D27BC6" w:rsidRDefault="004D5071">
            <w:pPr>
              <w:numPr>
                <w:ilvl w:val="0"/>
                <w:numId w:val="349"/>
              </w:numPr>
              <w:spacing w:after="0" w:line="259" w:lineRule="auto"/>
              <w:ind w:right="0" w:hanging="170"/>
              <w:jc w:val="left"/>
            </w:pPr>
            <w:r>
              <w:t>СИТАГЛИКС МЕТ (500+1000)</w:t>
            </w:r>
          </w:p>
          <w:p w:rsidR="00D27BC6" w:rsidRDefault="004D5071">
            <w:pPr>
              <w:numPr>
                <w:ilvl w:val="0"/>
                <w:numId w:val="349"/>
              </w:numPr>
              <w:spacing w:after="0" w:line="259" w:lineRule="auto"/>
              <w:ind w:right="0" w:hanging="170"/>
              <w:jc w:val="left"/>
            </w:pPr>
            <w:r>
              <w:t>Глиптозан плюс (50/850; 50/1000)</w:t>
            </w:r>
          </w:p>
          <w:p w:rsidR="00D27BC6" w:rsidRDefault="004D5071">
            <w:pPr>
              <w:numPr>
                <w:ilvl w:val="0"/>
                <w:numId w:val="349"/>
              </w:numPr>
              <w:spacing w:after="0" w:line="259" w:lineRule="auto"/>
              <w:ind w:right="0" w:hanging="170"/>
              <w:jc w:val="left"/>
            </w:pPr>
            <w:r>
              <w:t>СелгиМет ПРО (50/500; 50/850; 50/1000)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1–2</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24</w:t>
            </w:r>
          </w:p>
        </w:tc>
      </w:tr>
      <w:tr w:rsidR="00D27BC6">
        <w:trPr>
          <w:trHeight w:val="72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89" w:firstLine="0"/>
              <w:jc w:val="left"/>
            </w:pPr>
            <w:r>
              <w:rPr>
                <w:b/>
              </w:rPr>
              <w:t>Ситаглиптин + метформин с пролонгированным высвобождением</w:t>
            </w:r>
          </w:p>
        </w:tc>
        <w:tc>
          <w:tcPr>
            <w:tcW w:w="358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Форсиглекс Лонг (100/1000)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24</w:t>
            </w:r>
          </w:p>
        </w:tc>
      </w:tr>
      <w:tr w:rsidR="00D27BC6">
        <w:trPr>
          <w:trHeight w:val="72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116" w:firstLine="0"/>
              <w:jc w:val="left"/>
            </w:pPr>
            <w:r>
              <w:rPr>
                <w:b/>
              </w:rPr>
              <w:t>Саксаглиптин + метформин с пролонгированным высвобождением</w:t>
            </w:r>
          </w:p>
        </w:tc>
        <w:tc>
          <w:tcPr>
            <w:tcW w:w="358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Комбоглиз Пролонг (2,5/1000; 5/500; 5/1000)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1</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24</w:t>
            </w:r>
          </w:p>
        </w:tc>
      </w:tr>
      <w:tr w:rsidR="00D27BC6">
        <w:trPr>
          <w:trHeight w:val="51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Алоглиптин + метформин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50"/>
              </w:numPr>
              <w:spacing w:after="0" w:line="259" w:lineRule="auto"/>
              <w:ind w:right="0" w:hanging="170"/>
              <w:jc w:val="left"/>
            </w:pPr>
            <w:r>
              <w:t>Випдомет (12,5/500; 12,5/1000)</w:t>
            </w:r>
          </w:p>
          <w:p w:rsidR="00D27BC6" w:rsidRDefault="004D5071">
            <w:pPr>
              <w:numPr>
                <w:ilvl w:val="0"/>
                <w:numId w:val="350"/>
              </w:numPr>
              <w:spacing w:after="0" w:line="259" w:lineRule="auto"/>
              <w:ind w:right="0" w:hanging="170"/>
              <w:jc w:val="left"/>
            </w:pPr>
            <w:r>
              <w:t>Випдомет 850 (12,5/850)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2</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8" w:firstLine="0"/>
              <w:jc w:val="center"/>
            </w:pPr>
            <w:r>
              <w:t>24</w:t>
            </w:r>
          </w:p>
        </w:tc>
      </w:tr>
      <w:tr w:rsidR="00D27BC6">
        <w:trPr>
          <w:trHeight w:val="32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Гозоглиптин + метформин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Сатерекс Мет (30/500; 30/1000)</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8" w:firstLine="0"/>
              <w:jc w:val="center"/>
            </w:pPr>
            <w:r>
              <w:t>-</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24</w:t>
            </w:r>
          </w:p>
        </w:tc>
      </w:tr>
      <w:tr w:rsidR="00D27BC6">
        <w:trPr>
          <w:trHeight w:val="529"/>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pPr>
            <w:r>
              <w:rPr>
                <w:b/>
              </w:rPr>
              <w:t>Эмпаглифлозин + метформин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hanging="170"/>
              <w:jc w:val="left"/>
            </w:pPr>
            <w:r>
              <w:t>• Синджарди (5/500; 5/850; 5/1000; 12,5/500; 12,5/850; 12,5/1000)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2</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24</w:t>
            </w:r>
          </w:p>
        </w:tc>
      </w:tr>
      <w:tr w:rsidR="00D27BC6">
        <w:trPr>
          <w:trHeight w:val="72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Дапаглифлозин + метформин с пролонгированным высвобождением</w:t>
            </w:r>
          </w:p>
        </w:tc>
        <w:tc>
          <w:tcPr>
            <w:tcW w:w="358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Сигдуо Лонг (5/1000, 10/1000)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24</w:t>
            </w:r>
          </w:p>
        </w:tc>
      </w:tr>
      <w:tr w:rsidR="00D27BC6">
        <w:trPr>
          <w:trHeight w:val="49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Линаглиптин + эмпаглифлозин</w:t>
            </w:r>
          </w:p>
        </w:tc>
        <w:tc>
          <w:tcPr>
            <w:tcW w:w="358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Гликсамби (5/10; 5/25)</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24</w:t>
            </w:r>
          </w:p>
        </w:tc>
      </w:tr>
      <w:tr w:rsidR="00D27BC6">
        <w:trPr>
          <w:trHeight w:val="49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Саксаглиптин + дапаглифлозин</w:t>
            </w:r>
          </w:p>
        </w:tc>
        <w:tc>
          <w:tcPr>
            <w:tcW w:w="358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Кутерн (5/10)</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24</w:t>
            </w:r>
          </w:p>
        </w:tc>
      </w:tr>
      <w:tr w:rsidR="00D27BC6">
        <w:trPr>
          <w:trHeight w:val="320"/>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Алоглиптин + пиоглитазон</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 </w:t>
            </w:r>
            <w:r>
              <w:t>Инкресинк (25/15; 25/30)</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w:t>
            </w:r>
          </w:p>
        </w:tc>
        <w:tc>
          <w:tcPr>
            <w:tcW w:w="87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7" w:firstLine="0"/>
              <w:jc w:val="center"/>
            </w:pPr>
            <w:r>
              <w:t>24</w:t>
            </w:r>
          </w:p>
        </w:tc>
      </w:tr>
      <w:tr w:rsidR="00D27BC6">
        <w:trPr>
          <w:trHeight w:val="517"/>
        </w:trPr>
        <w:tc>
          <w:tcPr>
            <w:tcW w:w="0" w:type="auto"/>
            <w:vMerge/>
            <w:tcBorders>
              <w:top w:val="nil"/>
              <w:left w:val="single" w:sz="6" w:space="0" w:color="000000"/>
              <w:bottom w:val="nil"/>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Инсулин деглудек + лираглутид</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hanging="170"/>
              <w:jc w:val="left"/>
            </w:pPr>
            <w:r>
              <w:t>• Сультофай (100 ЕД/мл + 1,8 мг/мл), для п/к инъекций</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24</w:t>
            </w:r>
          </w:p>
        </w:tc>
      </w:tr>
      <w:tr w:rsidR="00D27BC6">
        <w:trPr>
          <w:trHeight w:val="517"/>
        </w:trPr>
        <w:tc>
          <w:tcPr>
            <w:tcW w:w="0" w:type="auto"/>
            <w:vMerge/>
            <w:tcBorders>
              <w:top w:val="nil"/>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3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Инсулин гларгин 100 ЕД/мл + ликсисенатид</w:t>
            </w:r>
          </w:p>
        </w:tc>
        <w:tc>
          <w:tcPr>
            <w:tcW w:w="3581"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116" w:hanging="170"/>
              <w:jc w:val="left"/>
            </w:pPr>
            <w:r>
              <w:t>• Соликва (100 ЕД/мл + 33 мкг/мл; 100 ЕД/мл + 50 мкг/мл), для п/к инъекций</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w:t>
            </w:r>
          </w:p>
        </w:tc>
        <w:tc>
          <w:tcPr>
            <w:tcW w:w="871"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1</w:t>
            </w:r>
          </w:p>
        </w:tc>
        <w:tc>
          <w:tcPr>
            <w:tcW w:w="86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27" w:firstLine="0"/>
              <w:jc w:val="center"/>
            </w:pPr>
            <w:r>
              <w:t>24</w:t>
            </w:r>
          </w:p>
        </w:tc>
      </w:tr>
    </w:tbl>
    <w:p w:rsidR="00D27BC6" w:rsidRDefault="004D5071">
      <w:pPr>
        <w:spacing w:after="226"/>
        <w:ind w:left="290" w:right="278"/>
        <w:jc w:val="center"/>
      </w:pPr>
      <w:r>
        <w:rPr>
          <w:b/>
        </w:rPr>
        <w:t xml:space="preserve">ПРИЛОЖЕНИЕ 6. </w:t>
      </w:r>
    </w:p>
    <w:p w:rsidR="00D27BC6" w:rsidRDefault="004D5071">
      <w:pPr>
        <w:spacing w:after="229"/>
        <w:ind w:left="162" w:right="152"/>
        <w:jc w:val="center"/>
      </w:pPr>
      <w:r>
        <w:rPr>
          <w:b/>
          <w:color w:val="1E5D99"/>
        </w:rPr>
        <w:t>Есть ли у вас предиабет или сахарный диабет 2 типа?</w:t>
      </w:r>
    </w:p>
    <w:p w:rsidR="00D27BC6" w:rsidRDefault="004D5071">
      <w:pPr>
        <w:pStyle w:val="Heading2"/>
        <w:spacing w:after="10" w:line="248" w:lineRule="auto"/>
        <w:ind w:left="162" w:right="153"/>
        <w:jc w:val="center"/>
      </w:pPr>
      <w:r>
        <w:rPr>
          <w:color w:val="1E5D99"/>
        </w:rPr>
        <w:t>Опросник FINDRISC</w:t>
      </w:r>
    </w:p>
    <w:p w:rsidR="00D27BC6" w:rsidRDefault="004D5071">
      <w:pPr>
        <w:spacing w:after="226"/>
        <w:ind w:left="293" w:right="283"/>
        <w:jc w:val="center"/>
      </w:pPr>
      <w:r>
        <w:t>(www.idf.org/type-2-diabetes-risk-assessment/)</w:t>
      </w:r>
    </w:p>
    <w:p w:rsidR="00D27BC6" w:rsidRDefault="004D5071">
      <w:pPr>
        <w:ind w:left="281" w:right="51"/>
        <w:jc w:val="left"/>
      </w:pPr>
      <w:r>
        <w:rPr>
          <w:b/>
        </w:rPr>
        <w:t>Инструкция</w:t>
      </w:r>
    </w:p>
    <w:p w:rsidR="00D27BC6" w:rsidRDefault="004D5071">
      <w:pPr>
        <w:numPr>
          <w:ilvl w:val="0"/>
          <w:numId w:val="175"/>
        </w:numPr>
        <w:ind w:right="0" w:hanging="283"/>
      </w:pPr>
      <w:r>
        <w:t>Ответьте на все 8 вопросов опросника.</w:t>
      </w:r>
    </w:p>
    <w:p w:rsidR="00D27BC6" w:rsidRDefault="004D5071">
      <w:pPr>
        <w:numPr>
          <w:ilvl w:val="0"/>
          <w:numId w:val="175"/>
        </w:numPr>
        <w:ind w:right="0" w:hanging="283"/>
      </w:pPr>
      <w:r>
        <w:t>Для каждого вопроса выберите 1 правильный ответ и отметьте его в соответствующем квадратике.</w:t>
      </w:r>
    </w:p>
    <w:p w:rsidR="00D27BC6" w:rsidRDefault="004D5071">
      <w:pPr>
        <w:numPr>
          <w:ilvl w:val="0"/>
          <w:numId w:val="175"/>
        </w:numPr>
        <w:ind w:right="0" w:hanging="283"/>
      </w:pPr>
      <w:r>
        <w:t>Сложите все баллы, соответствующие Вашим ответам на вопросы</w:t>
      </w:r>
    </w:p>
    <w:p w:rsidR="00D27BC6" w:rsidRDefault="004D5071">
      <w:pPr>
        <w:numPr>
          <w:ilvl w:val="0"/>
          <w:numId w:val="175"/>
        </w:numPr>
        <w:ind w:right="0" w:hanging="283"/>
      </w:pPr>
      <w:r>
        <w:t>Используйте Ваш суммарный балл для определения Вашего риска развития сахарного диабета 2 типа или преди</w:t>
      </w:r>
      <w:r>
        <w:t>абета.</w:t>
      </w:r>
    </w:p>
    <w:p w:rsidR="00D27BC6" w:rsidRDefault="004D5071">
      <w:pPr>
        <w:numPr>
          <w:ilvl w:val="0"/>
          <w:numId w:val="175"/>
        </w:numPr>
        <w:spacing w:after="226"/>
        <w:ind w:right="0" w:hanging="283"/>
      </w:pPr>
      <w:r>
        <w:t>Передайте заполненный опросник Вашему врачу/медсестре и попросите их объяснить Вам результаты опросника.</w:t>
      </w:r>
    </w:p>
    <w:p w:rsidR="00D27BC6" w:rsidRDefault="004D5071">
      <w:pPr>
        <w:numPr>
          <w:ilvl w:val="0"/>
          <w:numId w:val="176"/>
        </w:numPr>
        <w:spacing w:after="109"/>
        <w:ind w:right="0" w:hanging="283"/>
      </w:pPr>
      <w:r>
        <w:rPr>
          <w:b/>
        </w:rPr>
        <w:t>Возраст</w:t>
      </w:r>
    </w:p>
    <w:p w:rsidR="00D27BC6" w:rsidRDefault="004D5071">
      <w:pPr>
        <w:tabs>
          <w:tab w:val="center" w:pos="341"/>
          <w:tab w:val="center" w:pos="945"/>
          <w:tab w:val="center" w:pos="2598"/>
          <w:tab w:val="center" w:pos="4713"/>
          <w:tab w:val="center" w:pos="6246"/>
        </w:tabs>
        <w:spacing w:after="156"/>
        <w:ind w:left="-11" w:right="0" w:firstLine="0"/>
        <w:jc w:val="left"/>
      </w:pPr>
      <w:r>
        <w:rPr>
          <w:noProof/>
          <w:sz w:val="22"/>
        </w:rPr>
        <mc:AlternateContent>
          <mc:Choice Requires="wpg">
            <w:drawing>
              <wp:anchor distT="0" distB="0" distL="114300" distR="114300" simplePos="0" relativeHeight="251669504" behindDoc="0" locked="0" layoutInCell="1" allowOverlap="1">
                <wp:simplePos x="0" y="0"/>
                <wp:positionH relativeFrom="column">
                  <wp:posOffset>40970</wp:posOffset>
                </wp:positionH>
                <wp:positionV relativeFrom="paragraph">
                  <wp:posOffset>-16608</wp:posOffset>
                </wp:positionV>
                <wp:extent cx="171006" cy="431406"/>
                <wp:effectExtent l="0" t="0" r="0" b="0"/>
                <wp:wrapSquare wrapText="bothSides"/>
                <wp:docPr id="311460" name="Group 311460"/>
                <wp:cNvGraphicFramePr/>
                <a:graphic xmlns:a="http://schemas.openxmlformats.org/drawingml/2006/main">
                  <a:graphicData uri="http://schemas.microsoft.com/office/word/2010/wordprocessingGroup">
                    <wpg:wgp>
                      <wpg:cNvGrpSpPr/>
                      <wpg:grpSpPr>
                        <a:xfrm>
                          <a:off x="0" y="0"/>
                          <a:ext cx="171006" cy="431406"/>
                          <a:chOff x="0" y="0"/>
                          <a:chExt cx="171006" cy="431406"/>
                        </a:xfrm>
                      </wpg:grpSpPr>
                      <wps:wsp>
                        <wps:cNvPr id="381092" name="Shape 381092"/>
                        <wps:cNvSpPr/>
                        <wps:spPr>
                          <a:xfrm>
                            <a:off x="0" y="0"/>
                            <a:ext cx="171006" cy="170853"/>
                          </a:xfrm>
                          <a:custGeom>
                            <a:avLst/>
                            <a:gdLst/>
                            <a:ahLst/>
                            <a:cxnLst/>
                            <a:rect l="0" t="0" r="0" b="0"/>
                            <a:pathLst>
                              <a:path w="171006" h="170853">
                                <a:moveTo>
                                  <a:pt x="0" y="0"/>
                                </a:moveTo>
                                <a:lnTo>
                                  <a:pt x="171006" y="0"/>
                                </a:lnTo>
                                <a:lnTo>
                                  <a:pt x="171006" y="170853"/>
                                </a:lnTo>
                                <a:lnTo>
                                  <a:pt x="0" y="170853"/>
                                </a:lnTo>
                                <a:lnTo>
                                  <a:pt x="0" y="0"/>
                                </a:lnTo>
                              </a:path>
                            </a:pathLst>
                          </a:custGeom>
                          <a:ln w="0" cap="flat">
                            <a:miter lim="127000"/>
                          </a:ln>
                        </wps:spPr>
                        <wps:style>
                          <a:lnRef idx="0">
                            <a:srgbClr val="000000">
                              <a:alpha val="0"/>
                            </a:srgbClr>
                          </a:lnRef>
                          <a:fillRef idx="1">
                            <a:srgbClr val="DADAD9"/>
                          </a:fillRef>
                          <a:effectRef idx="0">
                            <a:scrgbClr r="0" g="0" b="0"/>
                          </a:effectRef>
                          <a:fontRef idx="none"/>
                        </wps:style>
                        <wps:bodyPr/>
                      </wps:wsp>
                      <wps:wsp>
                        <wps:cNvPr id="30459" name="Shape 30459"/>
                        <wps:cNvSpPr/>
                        <wps:spPr>
                          <a:xfrm>
                            <a:off x="0" y="0"/>
                            <a:ext cx="171006" cy="170853"/>
                          </a:xfrm>
                          <a:custGeom>
                            <a:avLst/>
                            <a:gdLst/>
                            <a:ahLst/>
                            <a:cxnLst/>
                            <a:rect l="0" t="0" r="0" b="0"/>
                            <a:pathLst>
                              <a:path w="171006" h="170853">
                                <a:moveTo>
                                  <a:pt x="0" y="170853"/>
                                </a:moveTo>
                                <a:lnTo>
                                  <a:pt x="171006" y="170853"/>
                                </a:lnTo>
                                <a:lnTo>
                                  <a:pt x="171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1093" name="Shape 381093"/>
                        <wps:cNvSpPr/>
                        <wps:spPr>
                          <a:xfrm>
                            <a:off x="0" y="260553"/>
                            <a:ext cx="171006" cy="170853"/>
                          </a:xfrm>
                          <a:custGeom>
                            <a:avLst/>
                            <a:gdLst/>
                            <a:ahLst/>
                            <a:cxnLst/>
                            <a:rect l="0" t="0" r="0" b="0"/>
                            <a:pathLst>
                              <a:path w="171006" h="170853">
                                <a:moveTo>
                                  <a:pt x="0" y="0"/>
                                </a:moveTo>
                                <a:lnTo>
                                  <a:pt x="171006" y="0"/>
                                </a:lnTo>
                                <a:lnTo>
                                  <a:pt x="171006"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464" name="Shape 30464"/>
                        <wps:cNvSpPr/>
                        <wps:spPr>
                          <a:xfrm>
                            <a:off x="0" y="260553"/>
                            <a:ext cx="171006" cy="170853"/>
                          </a:xfrm>
                          <a:custGeom>
                            <a:avLst/>
                            <a:gdLst/>
                            <a:ahLst/>
                            <a:cxnLst/>
                            <a:rect l="0" t="0" r="0" b="0"/>
                            <a:pathLst>
                              <a:path w="171006" h="170853">
                                <a:moveTo>
                                  <a:pt x="0" y="170853"/>
                                </a:moveTo>
                                <a:lnTo>
                                  <a:pt x="171006" y="170853"/>
                                </a:lnTo>
                                <a:lnTo>
                                  <a:pt x="171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1460" style="width:13.465pt;height:33.969pt;position:absolute;mso-position-horizontal-relative:text;mso-position-horizontal:absolute;margin-left:3.226pt;mso-position-vertical-relative:text;margin-top:-1.3078pt;" coordsize="1710,4314">
                <v:shape id="Shape 381094" style="position:absolute;width:1710;height:1708;left:0;top:0;" coordsize="171006,170853" path="m0,0l171006,0l171006,170853l0,170853l0,0">
                  <v:stroke weight="0pt" endcap="flat" joinstyle="miter" miterlimit="10" on="false" color="#000000" opacity="0"/>
                  <v:fill on="true" color="#dadad9"/>
                </v:shape>
                <v:shape id="Shape 30459" style="position:absolute;width:1710;height:1708;left:0;top:0;" coordsize="171006,170853" path="m0,170853l171006,170853l171006,0l0,0x">
                  <v:stroke weight="0.709pt" endcap="flat" joinstyle="miter" miterlimit="4" on="true" color="#000000"/>
                  <v:fill on="false" color="#000000" opacity="0"/>
                </v:shape>
                <v:shape id="Shape 381095" style="position:absolute;width:1710;height:1708;left:0;top:2605;" coordsize="171006,170853" path="m0,0l171006,0l171006,170853l0,170853l0,0">
                  <v:stroke weight="0pt" endcap="flat" joinstyle="miter" miterlimit="4" on="false" color="#000000" opacity="0"/>
                  <v:fill on="true" color="#dadad9"/>
                </v:shape>
                <v:shape id="Shape 30464" style="position:absolute;width:1710;height:1708;left:0;top:2605;" coordsize="171006,170853" path="m0,170853l171006,170853l171006,0l0,0x">
                  <v:stroke weight="0.709pt" endcap="flat" joinstyle="miter" miterlimit="4" on="true" color="#000000"/>
                  <v:fill on="false" color="#000000" opacity="0"/>
                </v:shape>
                <w10:wrap type="square"/>
              </v:group>
            </w:pict>
          </mc:Fallback>
        </mc:AlternateContent>
      </w:r>
      <w:r>
        <w:rPr>
          <w:noProof/>
          <w:sz w:val="22"/>
        </w:rPr>
        <mc:AlternateContent>
          <mc:Choice Requires="wpg">
            <w:drawing>
              <wp:anchor distT="0" distB="0" distL="114300" distR="114300" simplePos="0" relativeHeight="251670528" behindDoc="0" locked="0" layoutInCell="1" allowOverlap="1">
                <wp:simplePos x="0" y="0"/>
                <wp:positionH relativeFrom="column">
                  <wp:posOffset>2393010</wp:posOffset>
                </wp:positionH>
                <wp:positionV relativeFrom="paragraph">
                  <wp:posOffset>-16608</wp:posOffset>
                </wp:positionV>
                <wp:extent cx="171005" cy="431406"/>
                <wp:effectExtent l="0" t="0" r="0" b="0"/>
                <wp:wrapSquare wrapText="bothSides"/>
                <wp:docPr id="311461" name="Group 311461"/>
                <wp:cNvGraphicFramePr/>
                <a:graphic xmlns:a="http://schemas.openxmlformats.org/drawingml/2006/main">
                  <a:graphicData uri="http://schemas.microsoft.com/office/word/2010/wordprocessingGroup">
                    <wpg:wgp>
                      <wpg:cNvGrpSpPr/>
                      <wpg:grpSpPr>
                        <a:xfrm>
                          <a:off x="0" y="0"/>
                          <a:ext cx="171005" cy="431406"/>
                          <a:chOff x="0" y="0"/>
                          <a:chExt cx="171005" cy="431406"/>
                        </a:xfrm>
                      </wpg:grpSpPr>
                      <wps:wsp>
                        <wps:cNvPr id="381096" name="Shape 381096"/>
                        <wps:cNvSpPr/>
                        <wps:spPr>
                          <a:xfrm>
                            <a:off x="0" y="0"/>
                            <a:ext cx="171005" cy="170853"/>
                          </a:xfrm>
                          <a:custGeom>
                            <a:avLst/>
                            <a:gdLst/>
                            <a:ahLst/>
                            <a:cxnLst/>
                            <a:rect l="0" t="0" r="0" b="0"/>
                            <a:pathLst>
                              <a:path w="171005" h="170853">
                                <a:moveTo>
                                  <a:pt x="0" y="0"/>
                                </a:moveTo>
                                <a:lnTo>
                                  <a:pt x="171005" y="0"/>
                                </a:lnTo>
                                <a:lnTo>
                                  <a:pt x="171005"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469" name="Shape 30469"/>
                        <wps:cNvSpPr/>
                        <wps:spPr>
                          <a:xfrm>
                            <a:off x="0" y="0"/>
                            <a:ext cx="171005" cy="170853"/>
                          </a:xfrm>
                          <a:custGeom>
                            <a:avLst/>
                            <a:gdLst/>
                            <a:ahLst/>
                            <a:cxnLst/>
                            <a:rect l="0" t="0" r="0" b="0"/>
                            <a:pathLst>
                              <a:path w="171005" h="170853">
                                <a:moveTo>
                                  <a:pt x="0" y="170853"/>
                                </a:moveTo>
                                <a:lnTo>
                                  <a:pt x="171005" y="170853"/>
                                </a:lnTo>
                                <a:lnTo>
                                  <a:pt x="1710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1097" name="Shape 381097"/>
                        <wps:cNvSpPr/>
                        <wps:spPr>
                          <a:xfrm>
                            <a:off x="0" y="260553"/>
                            <a:ext cx="171005" cy="170853"/>
                          </a:xfrm>
                          <a:custGeom>
                            <a:avLst/>
                            <a:gdLst/>
                            <a:ahLst/>
                            <a:cxnLst/>
                            <a:rect l="0" t="0" r="0" b="0"/>
                            <a:pathLst>
                              <a:path w="171005" h="170853">
                                <a:moveTo>
                                  <a:pt x="0" y="0"/>
                                </a:moveTo>
                                <a:lnTo>
                                  <a:pt x="171005" y="0"/>
                                </a:lnTo>
                                <a:lnTo>
                                  <a:pt x="171005"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474" name="Shape 30474"/>
                        <wps:cNvSpPr/>
                        <wps:spPr>
                          <a:xfrm>
                            <a:off x="0" y="260553"/>
                            <a:ext cx="171005" cy="170853"/>
                          </a:xfrm>
                          <a:custGeom>
                            <a:avLst/>
                            <a:gdLst/>
                            <a:ahLst/>
                            <a:cxnLst/>
                            <a:rect l="0" t="0" r="0" b="0"/>
                            <a:pathLst>
                              <a:path w="171005" h="170853">
                                <a:moveTo>
                                  <a:pt x="0" y="170853"/>
                                </a:moveTo>
                                <a:lnTo>
                                  <a:pt x="171005" y="170853"/>
                                </a:lnTo>
                                <a:lnTo>
                                  <a:pt x="1710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1461" style="width:13.465pt;height:33.969pt;position:absolute;mso-position-horizontal-relative:text;mso-position-horizontal:absolute;margin-left:188.426pt;mso-position-vertical-relative:text;margin-top:-1.3078pt;" coordsize="1710,4314">
                <v:shape id="Shape 381098" style="position:absolute;width:1710;height:1708;left:0;top:0;" coordsize="171005,170853" path="m0,0l171005,0l171005,170853l0,170853l0,0">
                  <v:stroke weight="0pt" endcap="flat" joinstyle="miter" miterlimit="4" on="false" color="#000000" opacity="0"/>
                  <v:fill on="true" color="#dadad9"/>
                </v:shape>
                <v:shape id="Shape 30469" style="position:absolute;width:1710;height:1708;left:0;top:0;" coordsize="171005,170853" path="m0,170853l171005,170853l171005,0l0,0x">
                  <v:stroke weight="0.709pt" endcap="flat" joinstyle="miter" miterlimit="4" on="true" color="#000000"/>
                  <v:fill on="false" color="#000000" opacity="0"/>
                </v:shape>
                <v:shape id="Shape 381099" style="position:absolute;width:1710;height:1708;left:0;top:2605;" coordsize="171005,170853" path="m0,0l171005,0l171005,170853l0,170853l0,0">
                  <v:stroke weight="0pt" endcap="flat" joinstyle="miter" miterlimit="4" on="false" color="#000000" opacity="0"/>
                  <v:fill on="true" color="#dadad9"/>
                </v:shape>
                <v:shape id="Shape 30474" style="position:absolute;width:1710;height:1708;left:0;top:2605;" coordsize="171005,170853" path="m0,170853l171005,170853l171005,0l0,0x">
                  <v:stroke weight="0.709pt" endcap="flat" joinstyle="miter" miterlimit="4" on="true" color="#000000"/>
                  <v:fill on="false" color="#000000" opacity="0"/>
                </v:shape>
                <w10:wrap type="square"/>
              </v:group>
            </w:pict>
          </mc:Fallback>
        </mc:AlternateContent>
      </w:r>
      <w:r>
        <w:rPr>
          <w:sz w:val="22"/>
        </w:rPr>
        <w:tab/>
      </w:r>
      <w:r>
        <w:t xml:space="preserve"> </w:t>
      </w:r>
      <w:r>
        <w:tab/>
        <w:t xml:space="preserve">До 45 лет  </w:t>
      </w:r>
      <w:r>
        <w:tab/>
        <w:t xml:space="preserve">0 баллов </w:t>
      </w:r>
      <w:r>
        <w:tab/>
        <w:t xml:space="preserve">55–64 года  </w:t>
      </w:r>
      <w:r>
        <w:tab/>
        <w:t>3 балла</w:t>
      </w:r>
    </w:p>
    <w:p w:rsidR="00D27BC6" w:rsidRDefault="004D5071">
      <w:pPr>
        <w:tabs>
          <w:tab w:val="center" w:pos="341"/>
          <w:tab w:val="center" w:pos="1009"/>
          <w:tab w:val="center" w:pos="2542"/>
          <w:tab w:val="center" w:pos="4855"/>
          <w:tab w:val="center" w:pos="6246"/>
        </w:tabs>
        <w:spacing w:after="172"/>
        <w:ind w:left="-11" w:right="0" w:firstLine="0"/>
        <w:jc w:val="left"/>
      </w:pPr>
      <w:r>
        <w:rPr>
          <w:sz w:val="22"/>
        </w:rPr>
        <w:tab/>
      </w:r>
      <w:r>
        <w:t xml:space="preserve"> </w:t>
      </w:r>
      <w:r>
        <w:tab/>
        <w:t xml:space="preserve">45–54 года  </w:t>
      </w:r>
      <w:r>
        <w:tab/>
        <w:t xml:space="preserve">2 балла </w:t>
      </w:r>
      <w:r>
        <w:tab/>
        <w:t xml:space="preserve">Старше 65 лет </w:t>
      </w:r>
      <w:r>
        <w:tab/>
        <w:t>4 балла</w:t>
      </w:r>
    </w:p>
    <w:p w:rsidR="00D27BC6" w:rsidRDefault="004D5071">
      <w:pPr>
        <w:numPr>
          <w:ilvl w:val="0"/>
          <w:numId w:val="176"/>
        </w:numPr>
        <w:ind w:right="0" w:hanging="283"/>
      </w:pPr>
      <w:r>
        <w:rPr>
          <w:b/>
        </w:rPr>
        <w:t>Индекс массы тела</w:t>
      </w:r>
    </w:p>
    <w:p w:rsidR="00D27BC6" w:rsidRDefault="004D5071">
      <w:pPr>
        <w:spacing w:after="228"/>
        <w:ind w:left="-11" w:right="0" w:firstLine="283"/>
      </w:pPr>
      <w:r>
        <w:t>Индекс массы тела позволяет выявить наличие у Вас избыточного веса или ожирения. Вы можете подсчитать свой индекс массы тела сами:</w:t>
      </w:r>
    </w:p>
    <w:p w:rsidR="00D27BC6" w:rsidRDefault="004D5071">
      <w:pPr>
        <w:tabs>
          <w:tab w:val="center" w:pos="553"/>
          <w:tab w:val="center" w:pos="1797"/>
          <w:tab w:val="center" w:pos="3135"/>
          <w:tab w:val="center" w:pos="4068"/>
        </w:tabs>
        <w:spacing w:after="327"/>
        <w:ind w:left="0" w:right="0" w:firstLine="0"/>
        <w:jc w:val="left"/>
      </w:pPr>
      <w:r>
        <w:rPr>
          <w:noProof/>
          <w:sz w:val="22"/>
        </w:rPr>
        <mc:AlternateContent>
          <mc:Choice Requires="wpg">
            <w:drawing>
              <wp:anchor distT="0" distB="0" distL="114300" distR="114300" simplePos="0" relativeHeight="251671552" behindDoc="0" locked="0" layoutInCell="1" allowOverlap="1">
                <wp:simplePos x="0" y="0"/>
                <wp:positionH relativeFrom="column">
                  <wp:posOffset>1366976</wp:posOffset>
                </wp:positionH>
                <wp:positionV relativeFrom="paragraph">
                  <wp:posOffset>135039</wp:posOffset>
                </wp:positionV>
                <wp:extent cx="462293" cy="6350"/>
                <wp:effectExtent l="0" t="0" r="0" b="0"/>
                <wp:wrapNone/>
                <wp:docPr id="311459" name="Group 311459"/>
                <wp:cNvGraphicFramePr/>
                <a:graphic xmlns:a="http://schemas.openxmlformats.org/drawingml/2006/main">
                  <a:graphicData uri="http://schemas.microsoft.com/office/word/2010/wordprocessingGroup">
                    <wpg:wgp>
                      <wpg:cNvGrpSpPr/>
                      <wpg:grpSpPr>
                        <a:xfrm>
                          <a:off x="0" y="0"/>
                          <a:ext cx="462293" cy="6350"/>
                          <a:chOff x="0" y="0"/>
                          <a:chExt cx="462293" cy="6350"/>
                        </a:xfrm>
                      </wpg:grpSpPr>
                      <wps:wsp>
                        <wps:cNvPr id="30438" name="Shape 30438"/>
                        <wps:cNvSpPr/>
                        <wps:spPr>
                          <a:xfrm>
                            <a:off x="0" y="0"/>
                            <a:ext cx="462293" cy="0"/>
                          </a:xfrm>
                          <a:custGeom>
                            <a:avLst/>
                            <a:gdLst/>
                            <a:ahLst/>
                            <a:cxnLst/>
                            <a:rect l="0" t="0" r="0" b="0"/>
                            <a:pathLst>
                              <a:path w="462293">
                                <a:moveTo>
                                  <a:pt x="0" y="0"/>
                                </a:moveTo>
                                <a:lnTo>
                                  <a:pt x="462293" y="0"/>
                                </a:lnTo>
                              </a:path>
                            </a:pathLst>
                          </a:custGeom>
                          <a:ln w="6350"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1459" style="width:36.401pt;height:0.5pt;position:absolute;z-index:8;mso-position-horizontal-relative:text;mso-position-horizontal:absolute;margin-left:107.636pt;mso-position-vertical-relative:text;margin-top:10.633pt;" coordsize="4622,63">
                <v:shape id="Shape 30438" style="position:absolute;width:4622;height:0;left:0;top:0;" coordsize="462293,0" path="m0,0l462293,0">
                  <v:stroke weight="0.5pt" endcap="flat" joinstyle="miter" miterlimit="10" on="true" color="#000000"/>
                  <v:fill on="false" color="#000000" opacity="0"/>
                </v:shape>
              </v:group>
            </w:pict>
          </mc:Fallback>
        </mc:AlternateContent>
      </w:r>
      <w:r>
        <w:rPr>
          <w:sz w:val="22"/>
        </w:rPr>
        <w:tab/>
      </w:r>
      <w:r>
        <w:t>Вес</w:t>
      </w:r>
      <w:r>
        <w:rPr>
          <w:b/>
        </w:rPr>
        <w:t xml:space="preserve">  _ </w:t>
      </w:r>
      <w:r>
        <w:rPr>
          <w:b/>
        </w:rPr>
        <w:tab/>
      </w:r>
      <w:r>
        <w:t>кг: (рост</w:t>
      </w:r>
      <w:r>
        <w:rPr>
          <w:b/>
        </w:rPr>
        <w:t xml:space="preserve">  </w:t>
      </w:r>
      <w:r>
        <w:rPr>
          <w:b/>
        </w:rPr>
        <w:tab/>
        <w:t>_</w:t>
      </w:r>
      <w:r>
        <w:t>м)</w:t>
      </w:r>
      <w:r>
        <w:rPr>
          <w:b/>
          <w:sz w:val="18"/>
          <w:vertAlign w:val="superscript"/>
        </w:rPr>
        <w:t>2</w:t>
      </w:r>
      <w:r>
        <w:rPr>
          <w:b/>
        </w:rPr>
        <w:t xml:space="preserve"> </w:t>
      </w:r>
      <w:r>
        <w:t>=</w:t>
      </w:r>
      <w:r>
        <w:rPr>
          <w:b/>
        </w:rPr>
        <w:t xml:space="preserve"> </w:t>
      </w:r>
      <w:r>
        <w:rPr>
          <w:b/>
          <w:u w:val="single" w:color="000000"/>
        </w:rPr>
        <w:t xml:space="preserve"> </w:t>
      </w:r>
      <w:r>
        <w:rPr>
          <w:b/>
          <w:u w:val="single" w:color="000000"/>
        </w:rPr>
        <w:tab/>
        <w:t>_____</w:t>
      </w:r>
      <w:r>
        <w:t>кг/м</w:t>
      </w:r>
      <w:r>
        <w:rPr>
          <w:b/>
          <w:sz w:val="18"/>
          <w:vertAlign w:val="superscript"/>
        </w:rPr>
        <w:t>2</w:t>
      </w:r>
    </w:p>
    <w:p w:rsidR="00D27BC6" w:rsidRDefault="004D5071">
      <w:pPr>
        <w:tabs>
          <w:tab w:val="center" w:pos="341"/>
          <w:tab w:val="center" w:pos="1186"/>
          <w:tab w:val="center" w:pos="2598"/>
          <w:tab w:val="center" w:pos="3975"/>
          <w:tab w:val="center" w:pos="4865"/>
          <w:tab w:val="center" w:pos="6245"/>
        </w:tabs>
        <w:spacing w:after="154"/>
        <w:ind w:left="0" w:right="0" w:firstLine="0"/>
        <w:jc w:val="left"/>
      </w:pPr>
      <w:r>
        <w:rPr>
          <w:noProof/>
          <w:sz w:val="22"/>
        </w:rPr>
        <mc:AlternateContent>
          <mc:Choice Requires="wpg">
            <w:drawing>
              <wp:anchor distT="0" distB="0" distL="114300" distR="114300" simplePos="0" relativeHeight="251672576" behindDoc="1" locked="0" layoutInCell="1" allowOverlap="1">
                <wp:simplePos x="0" y="0"/>
                <wp:positionH relativeFrom="column">
                  <wp:posOffset>40970</wp:posOffset>
                </wp:positionH>
                <wp:positionV relativeFrom="paragraph">
                  <wp:posOffset>-249854</wp:posOffset>
                </wp:positionV>
                <wp:extent cx="873895" cy="664396"/>
                <wp:effectExtent l="0" t="0" r="0" b="0"/>
                <wp:wrapNone/>
                <wp:docPr id="311458" name="Group 311458"/>
                <wp:cNvGraphicFramePr/>
                <a:graphic xmlns:a="http://schemas.openxmlformats.org/drawingml/2006/main">
                  <a:graphicData uri="http://schemas.microsoft.com/office/word/2010/wordprocessingGroup">
                    <wpg:wgp>
                      <wpg:cNvGrpSpPr/>
                      <wpg:grpSpPr>
                        <a:xfrm>
                          <a:off x="0" y="0"/>
                          <a:ext cx="873895" cy="664396"/>
                          <a:chOff x="0" y="0"/>
                          <a:chExt cx="873895" cy="664396"/>
                        </a:xfrm>
                      </wpg:grpSpPr>
                      <wps:wsp>
                        <wps:cNvPr id="30437" name="Shape 30437"/>
                        <wps:cNvSpPr/>
                        <wps:spPr>
                          <a:xfrm>
                            <a:off x="329230" y="0"/>
                            <a:ext cx="544665" cy="0"/>
                          </a:xfrm>
                          <a:custGeom>
                            <a:avLst/>
                            <a:gdLst/>
                            <a:ahLst/>
                            <a:cxnLst/>
                            <a:rect l="0" t="0" r="0" b="0"/>
                            <a:pathLst>
                              <a:path w="544665">
                                <a:moveTo>
                                  <a:pt x="0" y="0"/>
                                </a:moveTo>
                                <a:lnTo>
                                  <a:pt x="544665" y="0"/>
                                </a:lnTo>
                              </a:path>
                            </a:pathLst>
                          </a:custGeom>
                          <a:ln w="6350" cap="flat">
                            <a:miter lim="127000"/>
                          </a:ln>
                        </wps:spPr>
                        <wps:style>
                          <a:lnRef idx="1">
                            <a:srgbClr val="000000"/>
                          </a:lnRef>
                          <a:fillRef idx="0">
                            <a:srgbClr val="000000">
                              <a:alpha val="0"/>
                            </a:srgbClr>
                          </a:fillRef>
                          <a:effectRef idx="0">
                            <a:scrgbClr r="0" g="0" b="0"/>
                          </a:effectRef>
                          <a:fontRef idx="none"/>
                        </wps:style>
                        <wps:bodyPr/>
                      </wps:wsp>
                      <wps:wsp>
                        <wps:cNvPr id="381100" name="Shape 381100"/>
                        <wps:cNvSpPr/>
                        <wps:spPr>
                          <a:xfrm>
                            <a:off x="0" y="232989"/>
                            <a:ext cx="171006" cy="170853"/>
                          </a:xfrm>
                          <a:custGeom>
                            <a:avLst/>
                            <a:gdLst/>
                            <a:ahLst/>
                            <a:cxnLst/>
                            <a:rect l="0" t="0" r="0" b="0"/>
                            <a:pathLst>
                              <a:path w="171006" h="170853">
                                <a:moveTo>
                                  <a:pt x="0" y="0"/>
                                </a:moveTo>
                                <a:lnTo>
                                  <a:pt x="171006" y="0"/>
                                </a:lnTo>
                                <a:lnTo>
                                  <a:pt x="171006"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496" name="Shape 30496"/>
                        <wps:cNvSpPr/>
                        <wps:spPr>
                          <a:xfrm>
                            <a:off x="0" y="232989"/>
                            <a:ext cx="171006" cy="170853"/>
                          </a:xfrm>
                          <a:custGeom>
                            <a:avLst/>
                            <a:gdLst/>
                            <a:ahLst/>
                            <a:cxnLst/>
                            <a:rect l="0" t="0" r="0" b="0"/>
                            <a:pathLst>
                              <a:path w="171006" h="170853">
                                <a:moveTo>
                                  <a:pt x="0" y="170853"/>
                                </a:moveTo>
                                <a:lnTo>
                                  <a:pt x="171006" y="170853"/>
                                </a:lnTo>
                                <a:lnTo>
                                  <a:pt x="171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1101" name="Shape 381101"/>
                        <wps:cNvSpPr/>
                        <wps:spPr>
                          <a:xfrm>
                            <a:off x="0" y="493542"/>
                            <a:ext cx="171006" cy="170853"/>
                          </a:xfrm>
                          <a:custGeom>
                            <a:avLst/>
                            <a:gdLst/>
                            <a:ahLst/>
                            <a:cxnLst/>
                            <a:rect l="0" t="0" r="0" b="0"/>
                            <a:pathLst>
                              <a:path w="171006" h="170853">
                                <a:moveTo>
                                  <a:pt x="0" y="0"/>
                                </a:moveTo>
                                <a:lnTo>
                                  <a:pt x="171006" y="0"/>
                                </a:lnTo>
                                <a:lnTo>
                                  <a:pt x="171006"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503" name="Shape 30503"/>
                        <wps:cNvSpPr/>
                        <wps:spPr>
                          <a:xfrm>
                            <a:off x="0" y="493542"/>
                            <a:ext cx="171006" cy="170853"/>
                          </a:xfrm>
                          <a:custGeom>
                            <a:avLst/>
                            <a:gdLst/>
                            <a:ahLst/>
                            <a:cxnLst/>
                            <a:rect l="0" t="0" r="0" b="0"/>
                            <a:pathLst>
                              <a:path w="171006" h="170853">
                                <a:moveTo>
                                  <a:pt x="0" y="170853"/>
                                </a:moveTo>
                                <a:lnTo>
                                  <a:pt x="171006" y="170853"/>
                                </a:lnTo>
                                <a:lnTo>
                                  <a:pt x="171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1458" style="width:68.8106pt;height:52.3146pt;position:absolute;z-index:-2147483583;mso-position-horizontal-relative:text;mso-position-horizontal:absolute;margin-left:3.226pt;mso-position-vertical-relative:text;margin-top:-19.6736pt;" coordsize="8738,6643">
                <v:shape id="Shape 30437" style="position:absolute;width:5446;height:0;left:3292;top:0;" coordsize="544665,0" path="m0,0l544665,0">
                  <v:stroke weight="0.5pt" endcap="flat" joinstyle="miter" miterlimit="10" on="true" color="#000000"/>
                  <v:fill on="false" color="#000000" opacity="0"/>
                </v:shape>
                <v:shape id="Shape 381102" style="position:absolute;width:1710;height:1708;left:0;top:2329;" coordsize="171006,170853" path="m0,0l171006,0l171006,170853l0,170853l0,0">
                  <v:stroke weight="0pt" endcap="flat" joinstyle="miter" miterlimit="4" on="false" color="#000000" opacity="0"/>
                  <v:fill on="true" color="#dadad9"/>
                </v:shape>
                <v:shape id="Shape 30496" style="position:absolute;width:1710;height:1708;left:0;top:2329;" coordsize="171006,170853" path="m0,170853l171006,170853l171006,0l0,0x">
                  <v:stroke weight="0.709pt" endcap="flat" joinstyle="miter" miterlimit="4" on="true" color="#000000"/>
                  <v:fill on="false" color="#000000" opacity="0"/>
                </v:shape>
                <v:shape id="Shape 381103" style="position:absolute;width:1710;height:1708;left:0;top:4935;" coordsize="171006,170853" path="m0,0l171006,0l171006,170853l0,170853l0,0">
                  <v:stroke weight="0pt" endcap="flat" joinstyle="miter" miterlimit="4" on="false" color="#000000" opacity="0"/>
                  <v:fill on="true" color="#dadad9"/>
                </v:shape>
                <v:shape id="Shape 30503" style="position:absolute;width:1710;height:1708;left:0;top:4935;" coordsize="171006,170853" path="m0,170853l171006,170853l171006,0l0,0x">
                  <v:stroke weight="0.709pt" endcap="flat" joinstyle="miter" miterlimit="4" on="true" color="#000000"/>
                  <v:fill on="false" color="#000000" opacity="0"/>
                </v:shape>
              </v:group>
            </w:pict>
          </mc:Fallback>
        </mc:AlternateContent>
      </w:r>
      <w:r>
        <w:rPr>
          <w:sz w:val="22"/>
        </w:rPr>
        <w:tab/>
      </w:r>
      <w:r>
        <w:t xml:space="preserve"> </w:t>
      </w:r>
      <w:r>
        <w:tab/>
        <w:t>Менее 25 кг/м</w:t>
      </w:r>
      <w:r>
        <w:rPr>
          <w:sz w:val="18"/>
          <w:vertAlign w:val="superscript"/>
        </w:rPr>
        <w:t>2</w:t>
      </w:r>
      <w:r>
        <w:t xml:space="preserve"> </w:t>
      </w:r>
      <w:r>
        <w:tab/>
        <w:t>0 баллов</w:t>
      </w:r>
      <w:r>
        <w:tab/>
      </w:r>
      <w:r>
        <w:rPr>
          <w:noProof/>
          <w:sz w:val="22"/>
        </w:rPr>
        <mc:AlternateContent>
          <mc:Choice Requires="wpg">
            <w:drawing>
              <wp:inline distT="0" distB="0" distL="0" distR="0">
                <wp:extent cx="171005" cy="170853"/>
                <wp:effectExtent l="0" t="0" r="0" b="0"/>
                <wp:docPr id="311462" name="Group 311462"/>
                <wp:cNvGraphicFramePr/>
                <a:graphic xmlns:a="http://schemas.openxmlformats.org/drawingml/2006/main">
                  <a:graphicData uri="http://schemas.microsoft.com/office/word/2010/wordprocessingGroup">
                    <wpg:wgp>
                      <wpg:cNvGrpSpPr/>
                      <wpg:grpSpPr>
                        <a:xfrm>
                          <a:off x="0" y="0"/>
                          <a:ext cx="171005" cy="170853"/>
                          <a:chOff x="0" y="0"/>
                          <a:chExt cx="171005" cy="170853"/>
                        </a:xfrm>
                      </wpg:grpSpPr>
                      <wps:wsp>
                        <wps:cNvPr id="381104" name="Shape 381104"/>
                        <wps:cNvSpPr/>
                        <wps:spPr>
                          <a:xfrm>
                            <a:off x="0" y="0"/>
                            <a:ext cx="171005" cy="170853"/>
                          </a:xfrm>
                          <a:custGeom>
                            <a:avLst/>
                            <a:gdLst/>
                            <a:ahLst/>
                            <a:cxnLst/>
                            <a:rect l="0" t="0" r="0" b="0"/>
                            <a:pathLst>
                              <a:path w="171005" h="170853">
                                <a:moveTo>
                                  <a:pt x="0" y="0"/>
                                </a:moveTo>
                                <a:lnTo>
                                  <a:pt x="171005" y="0"/>
                                </a:lnTo>
                                <a:lnTo>
                                  <a:pt x="171005"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510" name="Shape 30510"/>
                        <wps:cNvSpPr/>
                        <wps:spPr>
                          <a:xfrm>
                            <a:off x="0" y="0"/>
                            <a:ext cx="171005" cy="170853"/>
                          </a:xfrm>
                          <a:custGeom>
                            <a:avLst/>
                            <a:gdLst/>
                            <a:ahLst/>
                            <a:cxnLst/>
                            <a:rect l="0" t="0" r="0" b="0"/>
                            <a:pathLst>
                              <a:path w="171005" h="170853">
                                <a:moveTo>
                                  <a:pt x="0" y="170853"/>
                                </a:moveTo>
                                <a:lnTo>
                                  <a:pt x="171005" y="170853"/>
                                </a:lnTo>
                                <a:lnTo>
                                  <a:pt x="1710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11462" style="width:13.465pt;height:13.453pt;mso-position-horizontal-relative:char;mso-position-vertical-relative:line" coordsize="1710,1708">
                <v:shape id="Shape 381105" style="position:absolute;width:1710;height:1708;left:0;top:0;" coordsize="171005,170853" path="m0,0l171005,0l171005,170853l0,170853l0,0">
                  <v:stroke weight="0pt" endcap="flat" joinstyle="miter" miterlimit="4" on="false" color="#000000" opacity="0"/>
                  <v:fill on="true" color="#dadad9"/>
                </v:shape>
                <v:shape id="Shape 30510" style="position:absolute;width:1710;height:1708;left:0;top:0;" coordsize="171005,170853" path="m0,170853l171005,170853l171005,0l0,0x">
                  <v:stroke weight="0.709pt" endcap="flat" joinstyle="miter" miterlimit="4" on="true" color="#000000"/>
                  <v:fill on="false" color="#000000" opacity="0"/>
                </v:shape>
              </v:group>
            </w:pict>
          </mc:Fallback>
        </mc:AlternateContent>
      </w:r>
      <w:r>
        <w:t xml:space="preserve"> </w:t>
      </w:r>
      <w:r>
        <w:tab/>
        <w:t>Более 30 кг/м</w:t>
      </w:r>
      <w:r>
        <w:rPr>
          <w:sz w:val="18"/>
          <w:vertAlign w:val="superscript"/>
        </w:rPr>
        <w:t>2</w:t>
      </w:r>
      <w:r>
        <w:t xml:space="preserve"> </w:t>
      </w:r>
      <w:r>
        <w:tab/>
        <w:t>3 балла</w:t>
      </w:r>
    </w:p>
    <w:p w:rsidR="00D27BC6" w:rsidRDefault="004D5071">
      <w:pPr>
        <w:tabs>
          <w:tab w:val="center" w:pos="341"/>
          <w:tab w:val="center" w:pos="1032"/>
          <w:tab w:val="center" w:pos="2493"/>
        </w:tabs>
        <w:spacing w:after="183"/>
        <w:ind w:left="0" w:right="0" w:firstLine="0"/>
        <w:jc w:val="left"/>
      </w:pPr>
      <w:r>
        <w:rPr>
          <w:sz w:val="22"/>
        </w:rPr>
        <w:tab/>
      </w:r>
      <w:r>
        <w:t xml:space="preserve"> </w:t>
      </w:r>
      <w:r>
        <w:tab/>
        <w:t>25–30 кг/м</w:t>
      </w:r>
      <w:r>
        <w:rPr>
          <w:sz w:val="18"/>
          <w:vertAlign w:val="superscript"/>
        </w:rPr>
        <w:t>2</w:t>
      </w:r>
      <w:r>
        <w:t xml:space="preserve"> </w:t>
      </w:r>
      <w:r>
        <w:tab/>
        <w:t>1 балл</w:t>
      </w:r>
    </w:p>
    <w:p w:rsidR="00D27BC6" w:rsidRDefault="004D5071">
      <w:pPr>
        <w:numPr>
          <w:ilvl w:val="0"/>
          <w:numId w:val="176"/>
        </w:numPr>
        <w:ind w:right="0" w:hanging="283"/>
      </w:pPr>
      <w:r>
        <w:rPr>
          <w:b/>
        </w:rPr>
        <w:t>Окру</w:t>
      </w:r>
      <w:r>
        <w:rPr>
          <w:b/>
        </w:rPr>
        <w:t>жность талии</w:t>
      </w:r>
    </w:p>
    <w:p w:rsidR="00D27BC6" w:rsidRDefault="004D5071">
      <w:pPr>
        <w:spacing w:after="32"/>
        <w:ind w:left="294" w:right="0"/>
      </w:pPr>
      <w:r>
        <w:t>Окружность талии также указывает на наличие у Вас избыточного веса или ожирения.</w:t>
      </w:r>
    </w:p>
    <w:p w:rsidR="00D27BC6" w:rsidRDefault="004D5071">
      <w:pPr>
        <w:tabs>
          <w:tab w:val="center" w:pos="1849"/>
          <w:tab w:val="center" w:pos="4797"/>
        </w:tabs>
        <w:spacing w:after="147"/>
        <w:ind w:left="0" w:right="0" w:firstLine="0"/>
        <w:jc w:val="left"/>
      </w:pPr>
      <w:r>
        <w:rPr>
          <w:sz w:val="22"/>
        </w:rPr>
        <w:tab/>
      </w:r>
      <w:r>
        <w:rPr>
          <w:b/>
        </w:rPr>
        <w:t>Мужчины</w:t>
      </w:r>
      <w:r>
        <w:rPr>
          <w:b/>
        </w:rPr>
        <w:tab/>
        <w:t>Женщины</w:t>
      </w:r>
    </w:p>
    <w:p w:rsidR="00D27BC6" w:rsidRDefault="004D5071">
      <w:pPr>
        <w:tabs>
          <w:tab w:val="center" w:pos="341"/>
          <w:tab w:val="center" w:pos="854"/>
          <w:tab w:val="center" w:pos="4551"/>
          <w:tab w:val="center" w:pos="6334"/>
        </w:tabs>
        <w:spacing w:after="154"/>
        <w:ind w:left="-11" w:right="0" w:firstLine="0"/>
        <w:jc w:val="left"/>
      </w:pPr>
      <w:r>
        <w:rPr>
          <w:noProof/>
          <w:sz w:val="22"/>
        </w:rPr>
        <mc:AlternateContent>
          <mc:Choice Requires="wpg">
            <w:drawing>
              <wp:anchor distT="0" distB="0" distL="114300" distR="114300" simplePos="0" relativeHeight="251673600" behindDoc="0" locked="0" layoutInCell="1" allowOverlap="1">
                <wp:simplePos x="0" y="0"/>
                <wp:positionH relativeFrom="column">
                  <wp:posOffset>40970</wp:posOffset>
                </wp:positionH>
                <wp:positionV relativeFrom="paragraph">
                  <wp:posOffset>-14151</wp:posOffset>
                </wp:positionV>
                <wp:extent cx="171006" cy="1186650"/>
                <wp:effectExtent l="0" t="0" r="0" b="0"/>
                <wp:wrapSquare wrapText="bothSides"/>
                <wp:docPr id="311463" name="Group 311463"/>
                <wp:cNvGraphicFramePr/>
                <a:graphic xmlns:a="http://schemas.openxmlformats.org/drawingml/2006/main">
                  <a:graphicData uri="http://schemas.microsoft.com/office/word/2010/wordprocessingGroup">
                    <wpg:wgp>
                      <wpg:cNvGrpSpPr/>
                      <wpg:grpSpPr>
                        <a:xfrm>
                          <a:off x="0" y="0"/>
                          <a:ext cx="171006" cy="1186650"/>
                          <a:chOff x="0" y="0"/>
                          <a:chExt cx="171006" cy="1186650"/>
                        </a:xfrm>
                      </wpg:grpSpPr>
                      <wps:wsp>
                        <wps:cNvPr id="381106" name="Shape 381106"/>
                        <wps:cNvSpPr/>
                        <wps:spPr>
                          <a:xfrm>
                            <a:off x="0" y="0"/>
                            <a:ext cx="171006" cy="170853"/>
                          </a:xfrm>
                          <a:custGeom>
                            <a:avLst/>
                            <a:gdLst/>
                            <a:ahLst/>
                            <a:cxnLst/>
                            <a:rect l="0" t="0" r="0" b="0"/>
                            <a:pathLst>
                              <a:path w="171006" h="170853">
                                <a:moveTo>
                                  <a:pt x="0" y="0"/>
                                </a:moveTo>
                                <a:lnTo>
                                  <a:pt x="171006" y="0"/>
                                </a:lnTo>
                                <a:lnTo>
                                  <a:pt x="171006"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522" name="Shape 30522"/>
                        <wps:cNvSpPr/>
                        <wps:spPr>
                          <a:xfrm>
                            <a:off x="0" y="0"/>
                            <a:ext cx="171006" cy="170853"/>
                          </a:xfrm>
                          <a:custGeom>
                            <a:avLst/>
                            <a:gdLst/>
                            <a:ahLst/>
                            <a:cxnLst/>
                            <a:rect l="0" t="0" r="0" b="0"/>
                            <a:pathLst>
                              <a:path w="171006" h="170853">
                                <a:moveTo>
                                  <a:pt x="0" y="170853"/>
                                </a:moveTo>
                                <a:lnTo>
                                  <a:pt x="171006" y="170853"/>
                                </a:lnTo>
                                <a:lnTo>
                                  <a:pt x="171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1107" name="Shape 381107"/>
                        <wps:cNvSpPr/>
                        <wps:spPr>
                          <a:xfrm>
                            <a:off x="0" y="252019"/>
                            <a:ext cx="171006" cy="170853"/>
                          </a:xfrm>
                          <a:custGeom>
                            <a:avLst/>
                            <a:gdLst/>
                            <a:ahLst/>
                            <a:cxnLst/>
                            <a:rect l="0" t="0" r="0" b="0"/>
                            <a:pathLst>
                              <a:path w="171006" h="170853">
                                <a:moveTo>
                                  <a:pt x="0" y="0"/>
                                </a:moveTo>
                                <a:lnTo>
                                  <a:pt x="171006" y="0"/>
                                </a:lnTo>
                                <a:lnTo>
                                  <a:pt x="171006"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531" name="Shape 30531"/>
                        <wps:cNvSpPr/>
                        <wps:spPr>
                          <a:xfrm>
                            <a:off x="0" y="252019"/>
                            <a:ext cx="171006" cy="170853"/>
                          </a:xfrm>
                          <a:custGeom>
                            <a:avLst/>
                            <a:gdLst/>
                            <a:ahLst/>
                            <a:cxnLst/>
                            <a:rect l="0" t="0" r="0" b="0"/>
                            <a:pathLst>
                              <a:path w="171006" h="170853">
                                <a:moveTo>
                                  <a:pt x="0" y="170853"/>
                                </a:moveTo>
                                <a:lnTo>
                                  <a:pt x="171006" y="170853"/>
                                </a:lnTo>
                                <a:lnTo>
                                  <a:pt x="171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1108" name="Shape 381108"/>
                        <wps:cNvSpPr/>
                        <wps:spPr>
                          <a:xfrm>
                            <a:off x="0" y="503834"/>
                            <a:ext cx="171006" cy="170853"/>
                          </a:xfrm>
                          <a:custGeom>
                            <a:avLst/>
                            <a:gdLst/>
                            <a:ahLst/>
                            <a:cxnLst/>
                            <a:rect l="0" t="0" r="0" b="0"/>
                            <a:pathLst>
                              <a:path w="171006" h="170853">
                                <a:moveTo>
                                  <a:pt x="0" y="0"/>
                                </a:moveTo>
                                <a:lnTo>
                                  <a:pt x="171006" y="0"/>
                                </a:lnTo>
                                <a:lnTo>
                                  <a:pt x="171006"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540" name="Shape 30540"/>
                        <wps:cNvSpPr/>
                        <wps:spPr>
                          <a:xfrm>
                            <a:off x="0" y="503834"/>
                            <a:ext cx="171006" cy="170853"/>
                          </a:xfrm>
                          <a:custGeom>
                            <a:avLst/>
                            <a:gdLst/>
                            <a:ahLst/>
                            <a:cxnLst/>
                            <a:rect l="0" t="0" r="0" b="0"/>
                            <a:pathLst>
                              <a:path w="171006" h="170853">
                                <a:moveTo>
                                  <a:pt x="0" y="170853"/>
                                </a:moveTo>
                                <a:lnTo>
                                  <a:pt x="171006" y="170853"/>
                                </a:lnTo>
                                <a:lnTo>
                                  <a:pt x="171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1109" name="Shape 381109"/>
                        <wps:cNvSpPr/>
                        <wps:spPr>
                          <a:xfrm>
                            <a:off x="0" y="1015797"/>
                            <a:ext cx="171006" cy="170853"/>
                          </a:xfrm>
                          <a:custGeom>
                            <a:avLst/>
                            <a:gdLst/>
                            <a:ahLst/>
                            <a:cxnLst/>
                            <a:rect l="0" t="0" r="0" b="0"/>
                            <a:pathLst>
                              <a:path w="171006" h="170853">
                                <a:moveTo>
                                  <a:pt x="0" y="0"/>
                                </a:moveTo>
                                <a:lnTo>
                                  <a:pt x="171006" y="0"/>
                                </a:lnTo>
                                <a:lnTo>
                                  <a:pt x="171006"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551" name="Shape 30551"/>
                        <wps:cNvSpPr/>
                        <wps:spPr>
                          <a:xfrm>
                            <a:off x="0" y="1015797"/>
                            <a:ext cx="171006" cy="170853"/>
                          </a:xfrm>
                          <a:custGeom>
                            <a:avLst/>
                            <a:gdLst/>
                            <a:ahLst/>
                            <a:cxnLst/>
                            <a:rect l="0" t="0" r="0" b="0"/>
                            <a:pathLst>
                              <a:path w="171006" h="170853">
                                <a:moveTo>
                                  <a:pt x="0" y="170853"/>
                                </a:moveTo>
                                <a:lnTo>
                                  <a:pt x="171006" y="170853"/>
                                </a:lnTo>
                                <a:lnTo>
                                  <a:pt x="171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1463" style="width:13.465pt;height:93.437pt;position:absolute;mso-position-horizontal-relative:text;mso-position-horizontal:absolute;margin-left:3.226pt;mso-position-vertical-relative:text;margin-top:-1.11435pt;" coordsize="1710,11866">
                <v:shape id="Shape 381110" style="position:absolute;width:1710;height:1708;left:0;top:0;" coordsize="171006,170853" path="m0,0l171006,0l171006,170853l0,170853l0,0">
                  <v:stroke weight="0pt" endcap="flat" joinstyle="miter" miterlimit="4" on="false" color="#000000" opacity="0"/>
                  <v:fill on="true" color="#dadad9"/>
                </v:shape>
                <v:shape id="Shape 30522" style="position:absolute;width:1710;height:1708;left:0;top:0;" coordsize="171006,170853" path="m0,170853l171006,170853l171006,0l0,0x">
                  <v:stroke weight="0.709pt" endcap="flat" joinstyle="miter" miterlimit="4" on="true" color="#000000"/>
                  <v:fill on="false" color="#000000" opacity="0"/>
                </v:shape>
                <v:shape id="Shape 381111" style="position:absolute;width:1710;height:1708;left:0;top:2520;" coordsize="171006,170853" path="m0,0l171006,0l171006,170853l0,170853l0,0">
                  <v:stroke weight="0pt" endcap="flat" joinstyle="miter" miterlimit="4" on="false" color="#000000" opacity="0"/>
                  <v:fill on="true" color="#dadad9"/>
                </v:shape>
                <v:shape id="Shape 30531" style="position:absolute;width:1710;height:1708;left:0;top:2520;" coordsize="171006,170853" path="m0,170853l171006,170853l171006,0l0,0x">
                  <v:stroke weight="0.709pt" endcap="flat" joinstyle="miter" miterlimit="4" on="true" color="#000000"/>
                  <v:fill on="false" color="#000000" opacity="0"/>
                </v:shape>
                <v:shape id="Shape 381112" style="position:absolute;width:1710;height:1708;left:0;top:5038;" coordsize="171006,170853" path="m0,0l171006,0l171006,170853l0,170853l0,0">
                  <v:stroke weight="0pt" endcap="flat" joinstyle="miter" miterlimit="4" on="false" color="#000000" opacity="0"/>
                  <v:fill on="true" color="#dadad9"/>
                </v:shape>
                <v:shape id="Shape 30540" style="position:absolute;width:1710;height:1708;left:0;top:5038;" coordsize="171006,170853" path="m0,170853l171006,170853l171006,0l0,0x">
                  <v:stroke weight="0.709pt" endcap="flat" joinstyle="miter" miterlimit="4" on="true" color="#000000"/>
                  <v:fill on="false" color="#000000" opacity="0"/>
                </v:shape>
                <v:shape id="Shape 381113" style="position:absolute;width:1710;height:1708;left:0;top:10157;" coordsize="171006,170853" path="m0,0l171006,0l171006,170853l0,170853l0,0">
                  <v:stroke weight="0pt" endcap="flat" joinstyle="miter" miterlimit="4" on="false" color="#000000" opacity="0"/>
                  <v:fill on="true" color="#dadad9"/>
                </v:shape>
                <v:shape id="Shape 30551" style="position:absolute;width:1710;height:1708;left:0;top:10157;" coordsize="171006,170853" path="m0,170853l171006,170853l171006,0l0,0x">
                  <v:stroke weight="0.709pt" endcap="flat" joinstyle="miter" miterlimit="4" on="true" color="#000000"/>
                  <v:fill on="false" color="#000000" opacity="0"/>
                </v:shape>
                <w10:wrap type="square"/>
              </v:group>
            </w:pict>
          </mc:Fallback>
        </mc:AlternateContent>
      </w:r>
      <w:r>
        <w:rPr>
          <w:noProof/>
          <w:sz w:val="22"/>
        </w:rPr>
        <mc:AlternateContent>
          <mc:Choice Requires="wpg">
            <w:drawing>
              <wp:anchor distT="0" distB="0" distL="114300" distR="114300" simplePos="0" relativeHeight="251674624" behindDoc="0" locked="0" layoutInCell="1" allowOverlap="1">
                <wp:simplePos x="0" y="0"/>
                <wp:positionH relativeFrom="column">
                  <wp:posOffset>2388172</wp:posOffset>
                </wp:positionH>
                <wp:positionV relativeFrom="paragraph">
                  <wp:posOffset>-14151</wp:posOffset>
                </wp:positionV>
                <wp:extent cx="175844" cy="1186650"/>
                <wp:effectExtent l="0" t="0" r="0" b="0"/>
                <wp:wrapSquare wrapText="bothSides"/>
                <wp:docPr id="311464" name="Group 311464"/>
                <wp:cNvGraphicFramePr/>
                <a:graphic xmlns:a="http://schemas.openxmlformats.org/drawingml/2006/main">
                  <a:graphicData uri="http://schemas.microsoft.com/office/word/2010/wordprocessingGroup">
                    <wpg:wgp>
                      <wpg:cNvGrpSpPr/>
                      <wpg:grpSpPr>
                        <a:xfrm>
                          <a:off x="0" y="0"/>
                          <a:ext cx="175844" cy="1186650"/>
                          <a:chOff x="0" y="0"/>
                          <a:chExt cx="175844" cy="1186650"/>
                        </a:xfrm>
                      </wpg:grpSpPr>
                      <wps:wsp>
                        <wps:cNvPr id="381114" name="Shape 381114"/>
                        <wps:cNvSpPr/>
                        <wps:spPr>
                          <a:xfrm>
                            <a:off x="0" y="0"/>
                            <a:ext cx="171005" cy="170853"/>
                          </a:xfrm>
                          <a:custGeom>
                            <a:avLst/>
                            <a:gdLst/>
                            <a:ahLst/>
                            <a:cxnLst/>
                            <a:rect l="0" t="0" r="0" b="0"/>
                            <a:pathLst>
                              <a:path w="171005" h="170853">
                                <a:moveTo>
                                  <a:pt x="0" y="0"/>
                                </a:moveTo>
                                <a:lnTo>
                                  <a:pt x="171005" y="0"/>
                                </a:lnTo>
                                <a:lnTo>
                                  <a:pt x="171005"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526" name="Shape 30526"/>
                        <wps:cNvSpPr/>
                        <wps:spPr>
                          <a:xfrm>
                            <a:off x="0" y="0"/>
                            <a:ext cx="171005" cy="170853"/>
                          </a:xfrm>
                          <a:custGeom>
                            <a:avLst/>
                            <a:gdLst/>
                            <a:ahLst/>
                            <a:cxnLst/>
                            <a:rect l="0" t="0" r="0" b="0"/>
                            <a:pathLst>
                              <a:path w="171005" h="170853">
                                <a:moveTo>
                                  <a:pt x="0" y="170853"/>
                                </a:moveTo>
                                <a:lnTo>
                                  <a:pt x="171005" y="170853"/>
                                </a:lnTo>
                                <a:lnTo>
                                  <a:pt x="1710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1115" name="Shape 381115"/>
                        <wps:cNvSpPr/>
                        <wps:spPr>
                          <a:xfrm>
                            <a:off x="0" y="252019"/>
                            <a:ext cx="171005" cy="170853"/>
                          </a:xfrm>
                          <a:custGeom>
                            <a:avLst/>
                            <a:gdLst/>
                            <a:ahLst/>
                            <a:cxnLst/>
                            <a:rect l="0" t="0" r="0" b="0"/>
                            <a:pathLst>
                              <a:path w="171005" h="170853">
                                <a:moveTo>
                                  <a:pt x="0" y="0"/>
                                </a:moveTo>
                                <a:lnTo>
                                  <a:pt x="171005" y="0"/>
                                </a:lnTo>
                                <a:lnTo>
                                  <a:pt x="171005"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535" name="Shape 30535"/>
                        <wps:cNvSpPr/>
                        <wps:spPr>
                          <a:xfrm>
                            <a:off x="0" y="252019"/>
                            <a:ext cx="171005" cy="170853"/>
                          </a:xfrm>
                          <a:custGeom>
                            <a:avLst/>
                            <a:gdLst/>
                            <a:ahLst/>
                            <a:cxnLst/>
                            <a:rect l="0" t="0" r="0" b="0"/>
                            <a:pathLst>
                              <a:path w="171005" h="170853">
                                <a:moveTo>
                                  <a:pt x="0" y="170853"/>
                                </a:moveTo>
                                <a:lnTo>
                                  <a:pt x="171005" y="170853"/>
                                </a:lnTo>
                                <a:lnTo>
                                  <a:pt x="1710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1116" name="Shape 381116"/>
                        <wps:cNvSpPr/>
                        <wps:spPr>
                          <a:xfrm>
                            <a:off x="0" y="503834"/>
                            <a:ext cx="171005" cy="170853"/>
                          </a:xfrm>
                          <a:custGeom>
                            <a:avLst/>
                            <a:gdLst/>
                            <a:ahLst/>
                            <a:cxnLst/>
                            <a:rect l="0" t="0" r="0" b="0"/>
                            <a:pathLst>
                              <a:path w="171005" h="170853">
                                <a:moveTo>
                                  <a:pt x="0" y="0"/>
                                </a:moveTo>
                                <a:lnTo>
                                  <a:pt x="171005" y="0"/>
                                </a:lnTo>
                                <a:lnTo>
                                  <a:pt x="171005"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544" name="Shape 30544"/>
                        <wps:cNvSpPr/>
                        <wps:spPr>
                          <a:xfrm>
                            <a:off x="0" y="503834"/>
                            <a:ext cx="171005" cy="170853"/>
                          </a:xfrm>
                          <a:custGeom>
                            <a:avLst/>
                            <a:gdLst/>
                            <a:ahLst/>
                            <a:cxnLst/>
                            <a:rect l="0" t="0" r="0" b="0"/>
                            <a:pathLst>
                              <a:path w="171005" h="170853">
                                <a:moveTo>
                                  <a:pt x="0" y="170853"/>
                                </a:moveTo>
                                <a:lnTo>
                                  <a:pt x="171005" y="170853"/>
                                </a:lnTo>
                                <a:lnTo>
                                  <a:pt x="1710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1117" name="Shape 381117"/>
                        <wps:cNvSpPr/>
                        <wps:spPr>
                          <a:xfrm>
                            <a:off x="4839" y="1015797"/>
                            <a:ext cx="171005" cy="170853"/>
                          </a:xfrm>
                          <a:custGeom>
                            <a:avLst/>
                            <a:gdLst/>
                            <a:ahLst/>
                            <a:cxnLst/>
                            <a:rect l="0" t="0" r="0" b="0"/>
                            <a:pathLst>
                              <a:path w="171005" h="170853">
                                <a:moveTo>
                                  <a:pt x="0" y="0"/>
                                </a:moveTo>
                                <a:lnTo>
                                  <a:pt x="171005" y="0"/>
                                </a:lnTo>
                                <a:lnTo>
                                  <a:pt x="171005"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556" name="Shape 30556"/>
                        <wps:cNvSpPr/>
                        <wps:spPr>
                          <a:xfrm>
                            <a:off x="4839" y="1015797"/>
                            <a:ext cx="171005" cy="170853"/>
                          </a:xfrm>
                          <a:custGeom>
                            <a:avLst/>
                            <a:gdLst/>
                            <a:ahLst/>
                            <a:cxnLst/>
                            <a:rect l="0" t="0" r="0" b="0"/>
                            <a:pathLst>
                              <a:path w="171005" h="170853">
                                <a:moveTo>
                                  <a:pt x="0" y="170853"/>
                                </a:moveTo>
                                <a:lnTo>
                                  <a:pt x="171005" y="170853"/>
                                </a:lnTo>
                                <a:lnTo>
                                  <a:pt x="1710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1464" style="width:13.846pt;height:93.437pt;position:absolute;mso-position-horizontal-relative:text;mso-position-horizontal:absolute;margin-left:188.045pt;mso-position-vertical-relative:text;margin-top:-1.11435pt;" coordsize="1758,11866">
                <v:shape id="Shape 381118" style="position:absolute;width:1710;height:1708;left:0;top:0;" coordsize="171005,170853" path="m0,0l171005,0l171005,170853l0,170853l0,0">
                  <v:stroke weight="0pt" endcap="flat" joinstyle="miter" miterlimit="4" on="false" color="#000000" opacity="0"/>
                  <v:fill on="true" color="#dadad9"/>
                </v:shape>
                <v:shape id="Shape 30526" style="position:absolute;width:1710;height:1708;left:0;top:0;" coordsize="171005,170853" path="m0,170853l171005,170853l171005,0l0,0x">
                  <v:stroke weight="0.709pt" endcap="flat" joinstyle="miter" miterlimit="4" on="true" color="#000000"/>
                  <v:fill on="false" color="#000000" opacity="0"/>
                </v:shape>
                <v:shape id="Shape 381119" style="position:absolute;width:1710;height:1708;left:0;top:2520;" coordsize="171005,170853" path="m0,0l171005,0l171005,170853l0,170853l0,0">
                  <v:stroke weight="0pt" endcap="flat" joinstyle="miter" miterlimit="4" on="false" color="#000000" opacity="0"/>
                  <v:fill on="true" color="#dadad9"/>
                </v:shape>
                <v:shape id="Shape 30535" style="position:absolute;width:1710;height:1708;left:0;top:2520;" coordsize="171005,170853" path="m0,170853l171005,170853l171005,0l0,0x">
                  <v:stroke weight="0.709pt" endcap="flat" joinstyle="miter" miterlimit="4" on="true" color="#000000"/>
                  <v:fill on="false" color="#000000" opacity="0"/>
                </v:shape>
                <v:shape id="Shape 381120" style="position:absolute;width:1710;height:1708;left:0;top:5038;" coordsize="171005,170853" path="m0,0l171005,0l171005,170853l0,170853l0,0">
                  <v:stroke weight="0pt" endcap="flat" joinstyle="miter" miterlimit="4" on="false" color="#000000" opacity="0"/>
                  <v:fill on="true" color="#dadad9"/>
                </v:shape>
                <v:shape id="Shape 30544" style="position:absolute;width:1710;height:1708;left:0;top:5038;" coordsize="171005,170853" path="m0,170853l171005,170853l171005,0l0,0x">
                  <v:stroke weight="0.709pt" endcap="flat" joinstyle="miter" miterlimit="4" on="true" color="#000000"/>
                  <v:fill on="false" color="#000000" opacity="0"/>
                </v:shape>
                <v:shape id="Shape 381121" style="position:absolute;width:1710;height:1708;left:48;top:10157;" coordsize="171005,170853" path="m0,0l171005,0l171005,170853l0,170853l0,0">
                  <v:stroke weight="0pt" endcap="flat" joinstyle="miter" miterlimit="4" on="false" color="#000000" opacity="0"/>
                  <v:fill on="true" color="#dadad9"/>
                </v:shape>
                <v:shape id="Shape 30556" style="position:absolute;width:1710;height:1708;left:48;top:10157;" coordsize="171005,170853" path="m0,170853l171005,170853l171005,0l0,0x">
                  <v:stroke weight="0.709pt" endcap="flat" joinstyle="miter" miterlimit="4" on="true" color="#000000"/>
                  <v:fill on="false" color="#000000" opacity="0"/>
                </v:shape>
                <w10:wrap type="square"/>
              </v:group>
            </w:pict>
          </mc:Fallback>
        </mc:AlternateContent>
      </w:r>
      <w:r>
        <w:rPr>
          <w:sz w:val="22"/>
        </w:rPr>
        <w:tab/>
      </w:r>
      <w:r>
        <w:t xml:space="preserve"> </w:t>
      </w:r>
      <w:r>
        <w:tab/>
        <w:t xml:space="preserve">&lt; 94 см </w:t>
      </w:r>
      <w:r>
        <w:tab/>
        <w:t>&lt; 80 см</w:t>
      </w:r>
      <w:r>
        <w:tab/>
        <w:t>0 баллов</w:t>
      </w:r>
    </w:p>
    <w:p w:rsidR="00D27BC6" w:rsidRDefault="004D5071">
      <w:pPr>
        <w:tabs>
          <w:tab w:val="center" w:pos="341"/>
          <w:tab w:val="center" w:pos="977"/>
          <w:tab w:val="center" w:pos="4622"/>
          <w:tab w:val="center" w:pos="6278"/>
        </w:tabs>
        <w:spacing w:after="152"/>
        <w:ind w:left="-11" w:right="0" w:firstLine="0"/>
        <w:jc w:val="left"/>
      </w:pPr>
      <w:r>
        <w:rPr>
          <w:sz w:val="22"/>
        </w:rPr>
        <w:tab/>
      </w:r>
      <w:r>
        <w:t xml:space="preserve"> </w:t>
      </w:r>
      <w:r>
        <w:tab/>
        <w:t xml:space="preserve">94–102 см </w:t>
      </w:r>
      <w:r>
        <w:tab/>
        <w:t>80–88 см</w:t>
      </w:r>
      <w:r>
        <w:tab/>
        <w:t>3 балла</w:t>
      </w:r>
    </w:p>
    <w:p w:rsidR="00D27BC6" w:rsidRDefault="004D5071">
      <w:pPr>
        <w:tabs>
          <w:tab w:val="center" w:pos="341"/>
          <w:tab w:val="center" w:pos="905"/>
          <w:tab w:val="center" w:pos="4551"/>
          <w:tab w:val="center" w:pos="6278"/>
        </w:tabs>
        <w:spacing w:after="194"/>
        <w:ind w:left="-11" w:right="0" w:firstLine="0"/>
        <w:jc w:val="left"/>
      </w:pPr>
      <w:r>
        <w:rPr>
          <w:sz w:val="22"/>
        </w:rPr>
        <w:tab/>
      </w:r>
      <w:r>
        <w:t xml:space="preserve"> </w:t>
      </w:r>
      <w:r>
        <w:tab/>
        <w:t xml:space="preserve">&gt; 102 см </w:t>
      </w:r>
      <w:r>
        <w:tab/>
        <w:t>&gt; 88 см</w:t>
      </w:r>
      <w:r>
        <w:tab/>
        <w:t>4 балла</w:t>
      </w:r>
    </w:p>
    <w:p w:rsidR="00D27BC6" w:rsidRDefault="004D5071">
      <w:pPr>
        <w:numPr>
          <w:ilvl w:val="0"/>
          <w:numId w:val="176"/>
        </w:numPr>
        <w:spacing w:after="109"/>
        <w:ind w:right="0" w:hanging="283"/>
      </w:pPr>
      <w:r>
        <w:rPr>
          <w:b/>
        </w:rPr>
        <w:t>Как часто Вы едите овощи, фрукты или ягоды?</w:t>
      </w:r>
    </w:p>
    <w:p w:rsidR="00D27BC6" w:rsidRDefault="004D5071">
      <w:pPr>
        <w:tabs>
          <w:tab w:val="center" w:pos="341"/>
          <w:tab w:val="center" w:pos="1117"/>
          <w:tab w:val="center" w:pos="2598"/>
          <w:tab w:val="center" w:pos="4951"/>
          <w:tab w:val="center" w:pos="6197"/>
        </w:tabs>
        <w:spacing w:after="102"/>
        <w:ind w:left="-11" w:right="0" w:firstLine="0"/>
        <w:jc w:val="left"/>
      </w:pPr>
      <w:r>
        <w:rPr>
          <w:sz w:val="22"/>
        </w:rPr>
        <w:tab/>
      </w:r>
      <w:r>
        <w:t xml:space="preserve"> </w:t>
      </w:r>
      <w:r>
        <w:tab/>
      </w:r>
      <w:r>
        <w:t xml:space="preserve">Каждый день </w:t>
      </w:r>
      <w:r>
        <w:tab/>
        <w:t xml:space="preserve">0 баллов </w:t>
      </w:r>
      <w:r>
        <w:tab/>
        <w:t xml:space="preserve">Не каждый день </w:t>
      </w:r>
      <w:r>
        <w:tab/>
        <w:t>1 балл</w:t>
      </w:r>
    </w:p>
    <w:p w:rsidR="00D27BC6" w:rsidRDefault="004D5071">
      <w:pPr>
        <w:numPr>
          <w:ilvl w:val="0"/>
          <w:numId w:val="176"/>
        </w:numPr>
        <w:ind w:right="0" w:hanging="283"/>
      </w:pPr>
      <w:r>
        <w:rPr>
          <w:b/>
        </w:rPr>
        <w:t>Занимаетесь ли Вы физическими упражнениями регулярно?</w:t>
      </w:r>
    </w:p>
    <w:p w:rsidR="00D27BC6" w:rsidRDefault="004D5071">
      <w:pPr>
        <w:spacing w:after="109"/>
        <w:ind w:left="294" w:right="0"/>
      </w:pPr>
      <w:r>
        <w:t>Делаете ли вы физические упражнения по 30 минут каждый день или 3 часа в течение недели?</w:t>
      </w:r>
    </w:p>
    <w:p w:rsidR="00D27BC6" w:rsidRDefault="004D5071">
      <w:pPr>
        <w:tabs>
          <w:tab w:val="center" w:pos="341"/>
          <w:tab w:val="center" w:pos="653"/>
          <w:tab w:val="center" w:pos="1497"/>
          <w:tab w:val="center" w:pos="2598"/>
          <w:tab w:val="center" w:pos="4401"/>
          <w:tab w:val="center" w:pos="5201"/>
          <w:tab w:val="center" w:pos="6246"/>
        </w:tabs>
        <w:spacing w:after="102"/>
        <w:ind w:left="0" w:right="0" w:firstLine="0"/>
        <w:jc w:val="left"/>
      </w:pPr>
      <w:r>
        <w:rPr>
          <w:sz w:val="22"/>
        </w:rPr>
        <w:tab/>
      </w:r>
      <w:r>
        <w:t xml:space="preserve"> </w:t>
      </w:r>
      <w:r>
        <w:tab/>
        <w:t xml:space="preserve">Да  </w:t>
      </w:r>
      <w:r>
        <w:tab/>
        <w:t xml:space="preserve"> </w:t>
      </w:r>
      <w:r>
        <w:tab/>
        <w:t xml:space="preserve">0 баллов </w:t>
      </w:r>
      <w:r>
        <w:tab/>
        <w:t xml:space="preserve">Нет  </w:t>
      </w:r>
      <w:r>
        <w:tab/>
        <w:t xml:space="preserve"> </w:t>
      </w:r>
      <w:r>
        <w:tab/>
        <w:t>2 балла</w:t>
      </w:r>
    </w:p>
    <w:p w:rsidR="00D27BC6" w:rsidRDefault="004D5071">
      <w:pPr>
        <w:numPr>
          <w:ilvl w:val="0"/>
          <w:numId w:val="176"/>
        </w:numPr>
        <w:spacing w:after="109"/>
        <w:ind w:right="0" w:hanging="283"/>
      </w:pPr>
      <w:r>
        <w:rPr>
          <w:noProof/>
          <w:sz w:val="22"/>
        </w:rPr>
        <mc:AlternateContent>
          <mc:Choice Requires="wpg">
            <w:drawing>
              <wp:anchor distT="0" distB="0" distL="114300" distR="114300" simplePos="0" relativeHeight="251675648" behindDoc="1" locked="0" layoutInCell="1" allowOverlap="1">
                <wp:simplePos x="0" y="0"/>
                <wp:positionH relativeFrom="column">
                  <wp:posOffset>40970</wp:posOffset>
                </wp:positionH>
                <wp:positionV relativeFrom="paragraph">
                  <wp:posOffset>-238350</wp:posOffset>
                </wp:positionV>
                <wp:extent cx="171006" cy="628053"/>
                <wp:effectExtent l="0" t="0" r="0" b="0"/>
                <wp:wrapNone/>
                <wp:docPr id="311465" name="Group 311465"/>
                <wp:cNvGraphicFramePr/>
                <a:graphic xmlns:a="http://schemas.openxmlformats.org/drawingml/2006/main">
                  <a:graphicData uri="http://schemas.microsoft.com/office/word/2010/wordprocessingGroup">
                    <wpg:wgp>
                      <wpg:cNvGrpSpPr/>
                      <wpg:grpSpPr>
                        <a:xfrm>
                          <a:off x="0" y="0"/>
                          <a:ext cx="171006" cy="628053"/>
                          <a:chOff x="0" y="0"/>
                          <a:chExt cx="171006" cy="628053"/>
                        </a:xfrm>
                      </wpg:grpSpPr>
                      <wps:wsp>
                        <wps:cNvPr id="381122" name="Shape 381122"/>
                        <wps:cNvSpPr/>
                        <wps:spPr>
                          <a:xfrm>
                            <a:off x="0" y="0"/>
                            <a:ext cx="171006" cy="170853"/>
                          </a:xfrm>
                          <a:custGeom>
                            <a:avLst/>
                            <a:gdLst/>
                            <a:ahLst/>
                            <a:cxnLst/>
                            <a:rect l="0" t="0" r="0" b="0"/>
                            <a:pathLst>
                              <a:path w="171006" h="170853">
                                <a:moveTo>
                                  <a:pt x="0" y="0"/>
                                </a:moveTo>
                                <a:lnTo>
                                  <a:pt x="171006" y="0"/>
                                </a:lnTo>
                                <a:lnTo>
                                  <a:pt x="171006"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564" name="Shape 30564"/>
                        <wps:cNvSpPr/>
                        <wps:spPr>
                          <a:xfrm>
                            <a:off x="0" y="0"/>
                            <a:ext cx="171006" cy="170853"/>
                          </a:xfrm>
                          <a:custGeom>
                            <a:avLst/>
                            <a:gdLst/>
                            <a:ahLst/>
                            <a:cxnLst/>
                            <a:rect l="0" t="0" r="0" b="0"/>
                            <a:pathLst>
                              <a:path w="171006" h="170853">
                                <a:moveTo>
                                  <a:pt x="0" y="170853"/>
                                </a:moveTo>
                                <a:lnTo>
                                  <a:pt x="171006" y="170853"/>
                                </a:lnTo>
                                <a:lnTo>
                                  <a:pt x="171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1123" name="Shape 381123"/>
                        <wps:cNvSpPr/>
                        <wps:spPr>
                          <a:xfrm>
                            <a:off x="0" y="457200"/>
                            <a:ext cx="171006" cy="170853"/>
                          </a:xfrm>
                          <a:custGeom>
                            <a:avLst/>
                            <a:gdLst/>
                            <a:ahLst/>
                            <a:cxnLst/>
                            <a:rect l="0" t="0" r="0" b="0"/>
                            <a:pathLst>
                              <a:path w="171006" h="170853">
                                <a:moveTo>
                                  <a:pt x="0" y="0"/>
                                </a:moveTo>
                                <a:lnTo>
                                  <a:pt x="171006" y="0"/>
                                </a:lnTo>
                                <a:lnTo>
                                  <a:pt x="171006"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576" name="Shape 30576"/>
                        <wps:cNvSpPr/>
                        <wps:spPr>
                          <a:xfrm>
                            <a:off x="0" y="457200"/>
                            <a:ext cx="171006" cy="170853"/>
                          </a:xfrm>
                          <a:custGeom>
                            <a:avLst/>
                            <a:gdLst/>
                            <a:ahLst/>
                            <a:cxnLst/>
                            <a:rect l="0" t="0" r="0" b="0"/>
                            <a:pathLst>
                              <a:path w="171006" h="170853">
                                <a:moveTo>
                                  <a:pt x="0" y="170853"/>
                                </a:moveTo>
                                <a:lnTo>
                                  <a:pt x="171006" y="170853"/>
                                </a:lnTo>
                                <a:lnTo>
                                  <a:pt x="171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1465" style="width:13.465pt;height:49.453pt;position:absolute;z-index:-2147483510;mso-position-horizontal-relative:text;mso-position-horizontal:absolute;margin-left:3.226pt;mso-position-vertical-relative:text;margin-top:-18.7678pt;" coordsize="1710,6280">
                <v:shape id="Shape 381124" style="position:absolute;width:1710;height:1708;left:0;top:0;" coordsize="171006,170853" path="m0,0l171006,0l171006,170853l0,170853l0,0">
                  <v:stroke weight="0pt" endcap="flat" joinstyle="miter" miterlimit="4" on="false" color="#000000" opacity="0"/>
                  <v:fill on="true" color="#dadad9"/>
                </v:shape>
                <v:shape id="Shape 30564" style="position:absolute;width:1710;height:1708;left:0;top:0;" coordsize="171006,170853" path="m0,170853l171006,170853l171006,0l0,0x">
                  <v:stroke weight="0.709pt" endcap="flat" joinstyle="miter" miterlimit="4" on="true" color="#000000"/>
                  <v:fill on="false" color="#000000" opacity="0"/>
                </v:shape>
                <v:shape id="Shape 381125" style="position:absolute;width:1710;height:1708;left:0;top:4572;" coordsize="171006,170853" path="m0,0l171006,0l171006,170853l0,170853l0,0">
                  <v:stroke weight="0pt" endcap="flat" joinstyle="miter" miterlimit="4" on="false" color="#000000" opacity="0"/>
                  <v:fill on="true" color="#dadad9"/>
                </v:shape>
                <v:shape id="Shape 30576" style="position:absolute;width:1710;height:1708;left:0;top:4572;" coordsize="171006,170853" path="m0,170853l171006,170853l171006,0l0,0x">
                  <v:stroke weight="0.709pt" endcap="flat" joinstyle="miter" miterlimit="4" on="true" color="#000000"/>
                  <v:fill on="false" color="#000000" opacity="0"/>
                </v:shape>
              </v:group>
            </w:pict>
          </mc:Fallback>
        </mc:AlternateContent>
      </w:r>
      <w:r>
        <w:rPr>
          <w:noProof/>
          <w:sz w:val="22"/>
        </w:rPr>
        <mc:AlternateContent>
          <mc:Choice Requires="wpg">
            <w:drawing>
              <wp:anchor distT="0" distB="0" distL="114300" distR="114300" simplePos="0" relativeHeight="251676672" behindDoc="1" locked="0" layoutInCell="1" allowOverlap="1">
                <wp:simplePos x="0" y="0"/>
                <wp:positionH relativeFrom="column">
                  <wp:posOffset>2393010</wp:posOffset>
                </wp:positionH>
                <wp:positionV relativeFrom="paragraph">
                  <wp:posOffset>-238350</wp:posOffset>
                </wp:positionV>
                <wp:extent cx="171005" cy="628053"/>
                <wp:effectExtent l="0" t="0" r="0" b="0"/>
                <wp:wrapNone/>
                <wp:docPr id="311466" name="Group 311466"/>
                <wp:cNvGraphicFramePr/>
                <a:graphic xmlns:a="http://schemas.openxmlformats.org/drawingml/2006/main">
                  <a:graphicData uri="http://schemas.microsoft.com/office/word/2010/wordprocessingGroup">
                    <wpg:wgp>
                      <wpg:cNvGrpSpPr/>
                      <wpg:grpSpPr>
                        <a:xfrm>
                          <a:off x="0" y="0"/>
                          <a:ext cx="171005" cy="628053"/>
                          <a:chOff x="0" y="0"/>
                          <a:chExt cx="171005" cy="628053"/>
                        </a:xfrm>
                      </wpg:grpSpPr>
                      <wps:wsp>
                        <wps:cNvPr id="381126" name="Shape 381126"/>
                        <wps:cNvSpPr/>
                        <wps:spPr>
                          <a:xfrm>
                            <a:off x="0" y="0"/>
                            <a:ext cx="171005" cy="170853"/>
                          </a:xfrm>
                          <a:custGeom>
                            <a:avLst/>
                            <a:gdLst/>
                            <a:ahLst/>
                            <a:cxnLst/>
                            <a:rect l="0" t="0" r="0" b="0"/>
                            <a:pathLst>
                              <a:path w="171005" h="170853">
                                <a:moveTo>
                                  <a:pt x="0" y="0"/>
                                </a:moveTo>
                                <a:lnTo>
                                  <a:pt x="171005" y="0"/>
                                </a:lnTo>
                                <a:lnTo>
                                  <a:pt x="171005"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569" name="Shape 30569"/>
                        <wps:cNvSpPr/>
                        <wps:spPr>
                          <a:xfrm>
                            <a:off x="0" y="0"/>
                            <a:ext cx="171005" cy="170853"/>
                          </a:xfrm>
                          <a:custGeom>
                            <a:avLst/>
                            <a:gdLst/>
                            <a:ahLst/>
                            <a:cxnLst/>
                            <a:rect l="0" t="0" r="0" b="0"/>
                            <a:pathLst>
                              <a:path w="171005" h="170853">
                                <a:moveTo>
                                  <a:pt x="0" y="170853"/>
                                </a:moveTo>
                                <a:lnTo>
                                  <a:pt x="171005" y="170853"/>
                                </a:lnTo>
                                <a:lnTo>
                                  <a:pt x="1710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1127" name="Shape 381127"/>
                        <wps:cNvSpPr/>
                        <wps:spPr>
                          <a:xfrm>
                            <a:off x="0" y="457200"/>
                            <a:ext cx="171005" cy="170853"/>
                          </a:xfrm>
                          <a:custGeom>
                            <a:avLst/>
                            <a:gdLst/>
                            <a:ahLst/>
                            <a:cxnLst/>
                            <a:rect l="0" t="0" r="0" b="0"/>
                            <a:pathLst>
                              <a:path w="171005" h="170853">
                                <a:moveTo>
                                  <a:pt x="0" y="0"/>
                                </a:moveTo>
                                <a:lnTo>
                                  <a:pt x="171005" y="0"/>
                                </a:lnTo>
                                <a:lnTo>
                                  <a:pt x="171005"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581" name="Shape 30581"/>
                        <wps:cNvSpPr/>
                        <wps:spPr>
                          <a:xfrm>
                            <a:off x="0" y="457200"/>
                            <a:ext cx="171005" cy="170853"/>
                          </a:xfrm>
                          <a:custGeom>
                            <a:avLst/>
                            <a:gdLst/>
                            <a:ahLst/>
                            <a:cxnLst/>
                            <a:rect l="0" t="0" r="0" b="0"/>
                            <a:pathLst>
                              <a:path w="171005" h="170853">
                                <a:moveTo>
                                  <a:pt x="0" y="170853"/>
                                </a:moveTo>
                                <a:lnTo>
                                  <a:pt x="171005" y="170853"/>
                                </a:lnTo>
                                <a:lnTo>
                                  <a:pt x="1710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1466" style="width:13.465pt;height:49.453pt;position:absolute;z-index:-2147483505;mso-position-horizontal-relative:text;mso-position-horizontal:absolute;margin-left:188.426pt;mso-position-vertical-relative:text;margin-top:-18.7678pt;" coordsize="1710,6280">
                <v:shape id="Shape 381128" style="position:absolute;width:1710;height:1708;left:0;top:0;" coordsize="171005,170853" path="m0,0l171005,0l171005,170853l0,170853l0,0">
                  <v:stroke weight="0pt" endcap="flat" joinstyle="miter" miterlimit="4" on="false" color="#000000" opacity="0"/>
                  <v:fill on="true" color="#dadad9"/>
                </v:shape>
                <v:shape id="Shape 30569" style="position:absolute;width:1710;height:1708;left:0;top:0;" coordsize="171005,170853" path="m0,170853l171005,170853l171005,0l0,0x">
                  <v:stroke weight="0.709pt" endcap="flat" joinstyle="miter" miterlimit="4" on="true" color="#000000"/>
                  <v:fill on="false" color="#000000" opacity="0"/>
                </v:shape>
                <v:shape id="Shape 381129" style="position:absolute;width:1710;height:1708;left:0;top:4572;" coordsize="171005,170853" path="m0,0l171005,0l171005,170853l0,170853l0,0">
                  <v:stroke weight="0pt" endcap="flat" joinstyle="miter" miterlimit="4" on="false" color="#000000" opacity="0"/>
                  <v:fill on="true" color="#dadad9"/>
                </v:shape>
                <v:shape id="Shape 30581" style="position:absolute;width:1710;height:1708;left:0;top:4572;" coordsize="171005,170853" path="m0,170853l171005,170853l171005,0l0,0x">
                  <v:stroke weight="0.709pt" endcap="flat" joinstyle="miter" miterlimit="4" on="true" color="#000000"/>
                  <v:fill on="false" color="#000000" opacity="0"/>
                </v:shape>
              </v:group>
            </w:pict>
          </mc:Fallback>
        </mc:AlternateContent>
      </w:r>
      <w:r>
        <w:rPr>
          <w:b/>
        </w:rPr>
        <w:t>Принимали ли Вы когда-либо ре</w:t>
      </w:r>
      <w:r>
        <w:rPr>
          <w:b/>
        </w:rPr>
        <w:t>гулярно лекарства для снижения артериального давления?</w:t>
      </w:r>
    </w:p>
    <w:p w:rsidR="00D27BC6" w:rsidRDefault="004D5071">
      <w:pPr>
        <w:tabs>
          <w:tab w:val="center" w:pos="341"/>
          <w:tab w:val="center" w:pos="697"/>
          <w:tab w:val="center" w:pos="1497"/>
          <w:tab w:val="center" w:pos="2598"/>
          <w:tab w:val="center" w:pos="4357"/>
          <w:tab w:val="center" w:pos="5201"/>
          <w:tab w:val="center" w:pos="6246"/>
        </w:tabs>
        <w:spacing w:after="102"/>
        <w:ind w:left="0" w:right="0" w:firstLine="0"/>
        <w:jc w:val="left"/>
      </w:pPr>
      <w:r>
        <w:rPr>
          <w:sz w:val="22"/>
        </w:rPr>
        <w:tab/>
      </w:r>
      <w:r>
        <w:t xml:space="preserve"> </w:t>
      </w:r>
      <w:r>
        <w:tab/>
        <w:t xml:space="preserve">Нет  </w:t>
      </w:r>
      <w:r>
        <w:tab/>
        <w:t xml:space="preserve"> </w:t>
      </w:r>
      <w:r>
        <w:tab/>
        <w:t xml:space="preserve">0 баллов </w:t>
      </w:r>
      <w:r>
        <w:tab/>
        <w:t xml:space="preserve">Да  </w:t>
      </w:r>
      <w:r>
        <w:tab/>
        <w:t xml:space="preserve"> </w:t>
      </w:r>
      <w:r>
        <w:tab/>
        <w:t>2 балла</w:t>
      </w:r>
    </w:p>
    <w:p w:rsidR="00D27BC6" w:rsidRDefault="004D5071">
      <w:pPr>
        <w:numPr>
          <w:ilvl w:val="0"/>
          <w:numId w:val="176"/>
        </w:numPr>
        <w:spacing w:after="88"/>
        <w:ind w:right="0" w:hanging="283"/>
      </w:pPr>
      <w:r>
        <w:rPr>
          <w:b/>
        </w:rPr>
        <w:t xml:space="preserve">Обнаруживали ли у Вас когда-либо уровень глюкозы (сахара) крови выше нормы </w:t>
      </w:r>
      <w:r>
        <w:t>(во время диспансеризации, профосмотра, во время болезни или беременности)?</w:t>
      </w:r>
    </w:p>
    <w:p w:rsidR="00D27BC6" w:rsidRDefault="004D5071">
      <w:pPr>
        <w:tabs>
          <w:tab w:val="center" w:pos="341"/>
          <w:tab w:val="center" w:pos="697"/>
          <w:tab w:val="center" w:pos="1497"/>
          <w:tab w:val="center" w:pos="2598"/>
          <w:tab w:val="center" w:pos="3975"/>
          <w:tab w:val="center" w:pos="4357"/>
          <w:tab w:val="center" w:pos="5201"/>
          <w:tab w:val="center" w:pos="6302"/>
        </w:tabs>
        <w:spacing w:after="100"/>
        <w:ind w:left="-11" w:right="0" w:firstLine="0"/>
        <w:jc w:val="left"/>
      </w:pPr>
      <w:r>
        <w:rPr>
          <w:sz w:val="22"/>
        </w:rPr>
        <w:tab/>
      </w:r>
      <w:r>
        <w:t xml:space="preserve"> </w:t>
      </w:r>
      <w:r>
        <w:tab/>
      </w:r>
      <w:r>
        <w:t xml:space="preserve">Нет  </w:t>
      </w:r>
      <w:r>
        <w:tab/>
        <w:t xml:space="preserve"> </w:t>
      </w:r>
      <w:r>
        <w:tab/>
        <w:t>0 баллов</w:t>
      </w:r>
      <w:r>
        <w:tab/>
      </w:r>
      <w:r>
        <w:rPr>
          <w:noProof/>
          <w:sz w:val="22"/>
        </w:rPr>
        <mc:AlternateContent>
          <mc:Choice Requires="wpg">
            <w:drawing>
              <wp:inline distT="0" distB="0" distL="0" distR="0">
                <wp:extent cx="171005" cy="170853"/>
                <wp:effectExtent l="0" t="0" r="0" b="0"/>
                <wp:docPr id="311469" name="Group 311469"/>
                <wp:cNvGraphicFramePr/>
                <a:graphic xmlns:a="http://schemas.openxmlformats.org/drawingml/2006/main">
                  <a:graphicData uri="http://schemas.microsoft.com/office/word/2010/wordprocessingGroup">
                    <wpg:wgp>
                      <wpg:cNvGrpSpPr/>
                      <wpg:grpSpPr>
                        <a:xfrm>
                          <a:off x="0" y="0"/>
                          <a:ext cx="171005" cy="170853"/>
                          <a:chOff x="0" y="0"/>
                          <a:chExt cx="171005" cy="170853"/>
                        </a:xfrm>
                      </wpg:grpSpPr>
                      <wps:wsp>
                        <wps:cNvPr id="381130" name="Shape 381130"/>
                        <wps:cNvSpPr/>
                        <wps:spPr>
                          <a:xfrm>
                            <a:off x="0" y="0"/>
                            <a:ext cx="171005" cy="170853"/>
                          </a:xfrm>
                          <a:custGeom>
                            <a:avLst/>
                            <a:gdLst/>
                            <a:ahLst/>
                            <a:cxnLst/>
                            <a:rect l="0" t="0" r="0" b="0"/>
                            <a:pathLst>
                              <a:path w="171005" h="170853">
                                <a:moveTo>
                                  <a:pt x="0" y="0"/>
                                </a:moveTo>
                                <a:lnTo>
                                  <a:pt x="171005" y="0"/>
                                </a:lnTo>
                                <a:lnTo>
                                  <a:pt x="171005"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594" name="Shape 30594"/>
                        <wps:cNvSpPr/>
                        <wps:spPr>
                          <a:xfrm>
                            <a:off x="0" y="0"/>
                            <a:ext cx="171005" cy="170853"/>
                          </a:xfrm>
                          <a:custGeom>
                            <a:avLst/>
                            <a:gdLst/>
                            <a:ahLst/>
                            <a:cxnLst/>
                            <a:rect l="0" t="0" r="0" b="0"/>
                            <a:pathLst>
                              <a:path w="171005" h="170853">
                                <a:moveTo>
                                  <a:pt x="0" y="170853"/>
                                </a:moveTo>
                                <a:lnTo>
                                  <a:pt x="171005" y="170853"/>
                                </a:lnTo>
                                <a:lnTo>
                                  <a:pt x="171005"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11469" style="width:13.465pt;height:13.453pt;mso-position-horizontal-relative:char;mso-position-vertical-relative:line" coordsize="1710,1708">
                <v:shape id="Shape 381131" style="position:absolute;width:1710;height:1708;left:0;top:0;" coordsize="171005,170853" path="m0,0l171005,0l171005,170853l0,170853l0,0">
                  <v:stroke weight="0pt" endcap="flat" joinstyle="miter" miterlimit="4" on="false" color="#000000" opacity="0"/>
                  <v:fill on="true" color="#dadad9"/>
                </v:shape>
                <v:shape id="Shape 30594" style="position:absolute;width:1710;height:1708;left:0;top:0;" coordsize="171005,170853" path="m0,170853l171005,170853l171005,0l0,0x">
                  <v:stroke weight="0.709pt" endcap="flat" joinstyle="miter" miterlimit="4" on="true" color="#000000"/>
                  <v:fill on="false" color="#000000" opacity="0"/>
                </v:shape>
              </v:group>
            </w:pict>
          </mc:Fallback>
        </mc:AlternateContent>
      </w:r>
      <w:r>
        <w:t xml:space="preserve"> </w:t>
      </w:r>
      <w:r>
        <w:tab/>
        <w:t xml:space="preserve">Да  </w:t>
      </w:r>
      <w:r>
        <w:tab/>
        <w:t xml:space="preserve"> </w:t>
      </w:r>
      <w:r>
        <w:tab/>
        <w:t>5 баллов</w:t>
      </w:r>
    </w:p>
    <w:p w:rsidR="00D27BC6" w:rsidRDefault="004D5071">
      <w:pPr>
        <w:numPr>
          <w:ilvl w:val="0"/>
          <w:numId w:val="176"/>
        </w:numPr>
        <w:spacing w:after="110"/>
        <w:ind w:right="0" w:hanging="283"/>
      </w:pPr>
      <w:r>
        <w:rPr>
          <w:noProof/>
          <w:sz w:val="22"/>
        </w:rPr>
        <mc:AlternateContent>
          <mc:Choice Requires="wpg">
            <w:drawing>
              <wp:anchor distT="0" distB="0" distL="114300" distR="114300" simplePos="0" relativeHeight="251677696" behindDoc="0" locked="0" layoutInCell="1" allowOverlap="1">
                <wp:simplePos x="0" y="0"/>
                <wp:positionH relativeFrom="column">
                  <wp:posOffset>40970</wp:posOffset>
                </wp:positionH>
                <wp:positionV relativeFrom="paragraph">
                  <wp:posOffset>-238350</wp:posOffset>
                </wp:positionV>
                <wp:extent cx="171006" cy="1076922"/>
                <wp:effectExtent l="0" t="0" r="0" b="0"/>
                <wp:wrapSquare wrapText="bothSides"/>
                <wp:docPr id="311467" name="Group 311467"/>
                <wp:cNvGraphicFramePr/>
                <a:graphic xmlns:a="http://schemas.openxmlformats.org/drawingml/2006/main">
                  <a:graphicData uri="http://schemas.microsoft.com/office/word/2010/wordprocessingGroup">
                    <wpg:wgp>
                      <wpg:cNvGrpSpPr/>
                      <wpg:grpSpPr>
                        <a:xfrm>
                          <a:off x="0" y="0"/>
                          <a:ext cx="171006" cy="1076922"/>
                          <a:chOff x="0" y="0"/>
                          <a:chExt cx="171006" cy="1076922"/>
                        </a:xfrm>
                      </wpg:grpSpPr>
                      <wps:wsp>
                        <wps:cNvPr id="381132" name="Shape 381132"/>
                        <wps:cNvSpPr/>
                        <wps:spPr>
                          <a:xfrm>
                            <a:off x="0" y="0"/>
                            <a:ext cx="171006" cy="170853"/>
                          </a:xfrm>
                          <a:custGeom>
                            <a:avLst/>
                            <a:gdLst/>
                            <a:ahLst/>
                            <a:cxnLst/>
                            <a:rect l="0" t="0" r="0" b="0"/>
                            <a:pathLst>
                              <a:path w="171006" h="170853">
                                <a:moveTo>
                                  <a:pt x="0" y="0"/>
                                </a:moveTo>
                                <a:lnTo>
                                  <a:pt x="171006" y="0"/>
                                </a:lnTo>
                                <a:lnTo>
                                  <a:pt x="171006"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589" name="Shape 30589"/>
                        <wps:cNvSpPr/>
                        <wps:spPr>
                          <a:xfrm>
                            <a:off x="0" y="0"/>
                            <a:ext cx="171006" cy="170853"/>
                          </a:xfrm>
                          <a:custGeom>
                            <a:avLst/>
                            <a:gdLst/>
                            <a:ahLst/>
                            <a:cxnLst/>
                            <a:rect l="0" t="0" r="0" b="0"/>
                            <a:pathLst>
                              <a:path w="171006" h="170853">
                                <a:moveTo>
                                  <a:pt x="0" y="170853"/>
                                </a:moveTo>
                                <a:lnTo>
                                  <a:pt x="171006" y="170853"/>
                                </a:lnTo>
                                <a:lnTo>
                                  <a:pt x="171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1133" name="Shape 381133"/>
                        <wps:cNvSpPr/>
                        <wps:spPr>
                          <a:xfrm>
                            <a:off x="0" y="457200"/>
                            <a:ext cx="171006" cy="170853"/>
                          </a:xfrm>
                          <a:custGeom>
                            <a:avLst/>
                            <a:gdLst/>
                            <a:ahLst/>
                            <a:cxnLst/>
                            <a:rect l="0" t="0" r="0" b="0"/>
                            <a:pathLst>
                              <a:path w="171006" h="170853">
                                <a:moveTo>
                                  <a:pt x="0" y="0"/>
                                </a:moveTo>
                                <a:lnTo>
                                  <a:pt x="171006" y="0"/>
                                </a:lnTo>
                                <a:lnTo>
                                  <a:pt x="171006"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601" name="Shape 30601"/>
                        <wps:cNvSpPr/>
                        <wps:spPr>
                          <a:xfrm>
                            <a:off x="0" y="457200"/>
                            <a:ext cx="171006" cy="170853"/>
                          </a:xfrm>
                          <a:custGeom>
                            <a:avLst/>
                            <a:gdLst/>
                            <a:ahLst/>
                            <a:cxnLst/>
                            <a:rect l="0" t="0" r="0" b="0"/>
                            <a:pathLst>
                              <a:path w="171006" h="170853">
                                <a:moveTo>
                                  <a:pt x="0" y="170853"/>
                                </a:moveTo>
                                <a:lnTo>
                                  <a:pt x="171006" y="170853"/>
                                </a:lnTo>
                                <a:lnTo>
                                  <a:pt x="171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1134" name="Shape 381134"/>
                        <wps:cNvSpPr/>
                        <wps:spPr>
                          <a:xfrm>
                            <a:off x="0" y="681634"/>
                            <a:ext cx="171006" cy="170853"/>
                          </a:xfrm>
                          <a:custGeom>
                            <a:avLst/>
                            <a:gdLst/>
                            <a:ahLst/>
                            <a:cxnLst/>
                            <a:rect l="0" t="0" r="0" b="0"/>
                            <a:pathLst>
                              <a:path w="171006" h="170853">
                                <a:moveTo>
                                  <a:pt x="0" y="0"/>
                                </a:moveTo>
                                <a:lnTo>
                                  <a:pt x="171006" y="0"/>
                                </a:lnTo>
                                <a:lnTo>
                                  <a:pt x="171006"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604" name="Shape 30604"/>
                        <wps:cNvSpPr/>
                        <wps:spPr>
                          <a:xfrm>
                            <a:off x="0" y="681634"/>
                            <a:ext cx="171006" cy="170853"/>
                          </a:xfrm>
                          <a:custGeom>
                            <a:avLst/>
                            <a:gdLst/>
                            <a:ahLst/>
                            <a:cxnLst/>
                            <a:rect l="0" t="0" r="0" b="0"/>
                            <a:pathLst>
                              <a:path w="171006" h="170853">
                                <a:moveTo>
                                  <a:pt x="0" y="170853"/>
                                </a:moveTo>
                                <a:lnTo>
                                  <a:pt x="171006" y="170853"/>
                                </a:lnTo>
                                <a:lnTo>
                                  <a:pt x="171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s:wsp>
                        <wps:cNvPr id="381135" name="Shape 381135"/>
                        <wps:cNvSpPr/>
                        <wps:spPr>
                          <a:xfrm>
                            <a:off x="0" y="906069"/>
                            <a:ext cx="171006" cy="170853"/>
                          </a:xfrm>
                          <a:custGeom>
                            <a:avLst/>
                            <a:gdLst/>
                            <a:ahLst/>
                            <a:cxnLst/>
                            <a:rect l="0" t="0" r="0" b="0"/>
                            <a:pathLst>
                              <a:path w="171006" h="170853">
                                <a:moveTo>
                                  <a:pt x="0" y="0"/>
                                </a:moveTo>
                                <a:lnTo>
                                  <a:pt x="171006" y="0"/>
                                </a:lnTo>
                                <a:lnTo>
                                  <a:pt x="171006" y="170853"/>
                                </a:lnTo>
                                <a:lnTo>
                                  <a:pt x="0" y="170853"/>
                                </a:lnTo>
                                <a:lnTo>
                                  <a:pt x="0" y="0"/>
                                </a:lnTo>
                              </a:path>
                            </a:pathLst>
                          </a:custGeom>
                          <a:ln w="0" cap="flat">
                            <a:miter lim="100000"/>
                          </a:ln>
                        </wps:spPr>
                        <wps:style>
                          <a:lnRef idx="0">
                            <a:srgbClr val="000000">
                              <a:alpha val="0"/>
                            </a:srgbClr>
                          </a:lnRef>
                          <a:fillRef idx="1">
                            <a:srgbClr val="DADAD9"/>
                          </a:fillRef>
                          <a:effectRef idx="0">
                            <a:scrgbClr r="0" g="0" b="0"/>
                          </a:effectRef>
                          <a:fontRef idx="none"/>
                        </wps:style>
                        <wps:bodyPr/>
                      </wps:wsp>
                      <wps:wsp>
                        <wps:cNvPr id="30608" name="Shape 30608"/>
                        <wps:cNvSpPr/>
                        <wps:spPr>
                          <a:xfrm>
                            <a:off x="0" y="906069"/>
                            <a:ext cx="171006" cy="170853"/>
                          </a:xfrm>
                          <a:custGeom>
                            <a:avLst/>
                            <a:gdLst/>
                            <a:ahLst/>
                            <a:cxnLst/>
                            <a:rect l="0" t="0" r="0" b="0"/>
                            <a:pathLst>
                              <a:path w="171006" h="170853">
                                <a:moveTo>
                                  <a:pt x="0" y="170853"/>
                                </a:moveTo>
                                <a:lnTo>
                                  <a:pt x="171006" y="170853"/>
                                </a:lnTo>
                                <a:lnTo>
                                  <a:pt x="171006" y="0"/>
                                </a:lnTo>
                                <a:lnTo>
                                  <a:pt x="0" y="0"/>
                                </a:lnTo>
                                <a:close/>
                              </a:path>
                            </a:pathLst>
                          </a:custGeom>
                          <a:ln w="9004"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11467" style="width:13.465pt;height:84.797pt;position:absolute;mso-position-horizontal-relative:text;mso-position-horizontal:absolute;margin-left:3.226pt;mso-position-vertical-relative:text;margin-top:-18.7678pt;" coordsize="1710,10769">
                <v:shape id="Shape 381136" style="position:absolute;width:1710;height:1708;left:0;top:0;" coordsize="171006,170853" path="m0,0l171006,0l171006,170853l0,170853l0,0">
                  <v:stroke weight="0pt" endcap="flat" joinstyle="miter" miterlimit="4" on="false" color="#000000" opacity="0"/>
                  <v:fill on="true" color="#dadad9"/>
                </v:shape>
                <v:shape id="Shape 30589" style="position:absolute;width:1710;height:1708;left:0;top:0;" coordsize="171006,170853" path="m0,170853l171006,170853l171006,0l0,0x">
                  <v:stroke weight="0.709pt" endcap="flat" joinstyle="miter" miterlimit="4" on="true" color="#000000"/>
                  <v:fill on="false" color="#000000" opacity="0"/>
                </v:shape>
                <v:shape id="Shape 381137" style="position:absolute;width:1710;height:1708;left:0;top:4572;" coordsize="171006,170853" path="m0,0l171006,0l171006,170853l0,170853l0,0">
                  <v:stroke weight="0pt" endcap="flat" joinstyle="miter" miterlimit="4" on="false" color="#000000" opacity="0"/>
                  <v:fill on="true" color="#dadad9"/>
                </v:shape>
                <v:shape id="Shape 30601" style="position:absolute;width:1710;height:1708;left:0;top:4572;" coordsize="171006,170853" path="m0,170853l171006,170853l171006,0l0,0x">
                  <v:stroke weight="0.709pt" endcap="flat" joinstyle="miter" miterlimit="4" on="true" color="#000000"/>
                  <v:fill on="false" color="#000000" opacity="0"/>
                </v:shape>
                <v:shape id="Shape 381138" style="position:absolute;width:1710;height:1708;left:0;top:6816;" coordsize="171006,170853" path="m0,0l171006,0l171006,170853l0,170853l0,0">
                  <v:stroke weight="0pt" endcap="flat" joinstyle="miter" miterlimit="4" on="false" color="#000000" opacity="0"/>
                  <v:fill on="true" color="#dadad9"/>
                </v:shape>
                <v:shape id="Shape 30604" style="position:absolute;width:1710;height:1708;left:0;top:6816;" coordsize="171006,170853" path="m0,170853l171006,170853l171006,0l0,0x">
                  <v:stroke weight="0.709pt" endcap="flat" joinstyle="miter" miterlimit="4" on="true" color="#000000"/>
                  <v:fill on="false" color="#000000" opacity="0"/>
                </v:shape>
                <v:shape id="Shape 381139" style="position:absolute;width:1710;height:1708;left:0;top:9060;" coordsize="171006,170853" path="m0,0l171006,0l171006,170853l0,170853l0,0">
                  <v:stroke weight="0pt" endcap="flat" joinstyle="miter" miterlimit="4" on="false" color="#000000" opacity="0"/>
                  <v:fill on="true" color="#dadad9"/>
                </v:shape>
                <v:shape id="Shape 30608" style="position:absolute;width:1710;height:1708;left:0;top:9060;" coordsize="171006,170853" path="m0,170853l171006,170853l171006,0l0,0x">
                  <v:stroke weight="0.709pt" endcap="flat" joinstyle="miter" miterlimit="4" on="true" color="#000000"/>
                  <v:fill on="false" color="#000000" opacity="0"/>
                </v:shape>
                <w10:wrap type="square"/>
              </v:group>
            </w:pict>
          </mc:Fallback>
        </mc:AlternateContent>
      </w:r>
      <w:r>
        <w:rPr>
          <w:b/>
        </w:rPr>
        <w:t>Был ли у Ваших родственников сахарный диабет 1 или 2 типа?</w:t>
      </w:r>
    </w:p>
    <w:p w:rsidR="00D27BC6" w:rsidRDefault="004D5071">
      <w:pPr>
        <w:tabs>
          <w:tab w:val="center" w:pos="341"/>
          <w:tab w:val="center" w:pos="697"/>
          <w:tab w:val="center" w:pos="6334"/>
        </w:tabs>
        <w:spacing w:after="115"/>
        <w:ind w:left="-11" w:right="0" w:firstLine="0"/>
        <w:jc w:val="left"/>
      </w:pPr>
      <w:r>
        <w:rPr>
          <w:sz w:val="22"/>
        </w:rPr>
        <w:tab/>
      </w:r>
      <w:r>
        <w:t xml:space="preserve"> </w:t>
      </w:r>
      <w:r>
        <w:tab/>
        <w:t xml:space="preserve">Нет </w:t>
      </w:r>
      <w:r>
        <w:tab/>
        <w:t>0 баллов</w:t>
      </w:r>
    </w:p>
    <w:p w:rsidR="00D27BC6" w:rsidRDefault="004D5071">
      <w:pPr>
        <w:tabs>
          <w:tab w:val="center" w:pos="341"/>
          <w:tab w:val="center" w:pos="3143"/>
          <w:tab w:val="center" w:pos="6278"/>
        </w:tabs>
        <w:spacing w:after="109"/>
        <w:ind w:left="-11" w:right="0" w:firstLine="0"/>
        <w:jc w:val="left"/>
      </w:pPr>
      <w:r>
        <w:rPr>
          <w:sz w:val="22"/>
        </w:rPr>
        <w:tab/>
      </w:r>
      <w:r>
        <w:t xml:space="preserve"> </w:t>
      </w:r>
      <w:r>
        <w:tab/>
        <w:t xml:space="preserve">Да: дедушка/бабушка, тетя/дядя, двоюродные братья/сестры </w:t>
      </w:r>
      <w:r>
        <w:tab/>
        <w:t>3 балла</w:t>
      </w:r>
    </w:p>
    <w:p w:rsidR="00D27BC6" w:rsidRDefault="004D5071">
      <w:pPr>
        <w:tabs>
          <w:tab w:val="center" w:pos="341"/>
          <w:tab w:val="center" w:pos="2833"/>
          <w:tab w:val="center" w:pos="6334"/>
        </w:tabs>
        <w:ind w:left="-11" w:right="0" w:firstLine="0"/>
        <w:jc w:val="left"/>
      </w:pPr>
      <w:r>
        <w:rPr>
          <w:sz w:val="22"/>
        </w:rPr>
        <w:tab/>
      </w:r>
      <w:r>
        <w:t xml:space="preserve"> </w:t>
      </w:r>
      <w:r>
        <w:tab/>
        <w:t xml:space="preserve">Да: родители, брат/сестра или собственный ребенок </w:t>
      </w:r>
      <w:r>
        <w:tab/>
        <w:t>5 баллов</w:t>
      </w:r>
    </w:p>
    <w:p w:rsidR="00D27BC6" w:rsidRDefault="004D5071">
      <w:pPr>
        <w:ind w:left="281" w:right="51"/>
        <w:jc w:val="left"/>
      </w:pPr>
      <w:r>
        <w:rPr>
          <w:b/>
        </w:rPr>
        <w:t>Результаты:</w:t>
      </w:r>
    </w:p>
    <w:p w:rsidR="00D27BC6" w:rsidRDefault="004D5071">
      <w:pPr>
        <w:spacing w:after="226"/>
        <w:ind w:left="294" w:right="0"/>
      </w:pPr>
      <w:r>
        <w:t>Сумма баллов _______</w:t>
      </w:r>
    </w:p>
    <w:p w:rsidR="00D27BC6" w:rsidRDefault="004D5071">
      <w:pPr>
        <w:ind w:left="281" w:right="51"/>
        <w:jc w:val="left"/>
      </w:pPr>
      <w:r>
        <w:rPr>
          <w:b/>
        </w:rPr>
        <w:t>Ваш риск развития сахарного диабета в течение 10 лет составит:</w:t>
      </w:r>
    </w:p>
    <w:tbl>
      <w:tblPr>
        <w:tblStyle w:val="TableGrid"/>
        <w:tblW w:w="10190" w:type="dxa"/>
        <w:tblInd w:w="8" w:type="dxa"/>
        <w:tblCellMar>
          <w:top w:w="8" w:type="dxa"/>
          <w:left w:w="57" w:type="dxa"/>
          <w:bottom w:w="0" w:type="dxa"/>
          <w:right w:w="115" w:type="dxa"/>
        </w:tblCellMar>
        <w:tblLook w:val="04A0" w:firstRow="1" w:lastRow="0" w:firstColumn="1" w:lastColumn="0" w:noHBand="0" w:noVBand="1"/>
      </w:tblPr>
      <w:tblGrid>
        <w:gridCol w:w="3397"/>
        <w:gridCol w:w="3397"/>
        <w:gridCol w:w="3397"/>
      </w:tblGrid>
      <w:tr w:rsidR="00D27BC6">
        <w:trPr>
          <w:trHeight w:val="320"/>
        </w:trPr>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Общее количество баллов</w:t>
            </w:r>
          </w:p>
        </w:tc>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Уровень риска СД 2 типа</w:t>
            </w:r>
          </w:p>
        </w:tc>
        <w:tc>
          <w:tcPr>
            <w:tcW w:w="33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129" w:right="0" w:firstLine="0"/>
              <w:jc w:val="left"/>
            </w:pPr>
            <w:r>
              <w:rPr>
                <w:b/>
              </w:rPr>
              <w:t>Вероятность развития СД 2 типа</w:t>
            </w:r>
          </w:p>
        </w:tc>
      </w:tr>
      <w:tr w:rsidR="00D27BC6">
        <w:trPr>
          <w:trHeight w:val="320"/>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Менее 7</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Низкий риск</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 из 100, или 1%</w:t>
            </w:r>
          </w:p>
        </w:tc>
      </w:tr>
      <w:tr w:rsidR="00D27BC6">
        <w:trPr>
          <w:trHeight w:val="320"/>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7–11</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Слегка повышен</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1 из 25, или 4%</w:t>
            </w:r>
          </w:p>
        </w:tc>
      </w:tr>
      <w:tr w:rsidR="00D27BC6">
        <w:trPr>
          <w:trHeight w:val="320"/>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12–14</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Умеренный</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1 из 6, или 17%</w:t>
            </w:r>
          </w:p>
        </w:tc>
      </w:tr>
      <w:tr w:rsidR="00D27BC6">
        <w:trPr>
          <w:trHeight w:val="320"/>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15–20</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Высокий</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1 из 3, или 33%</w:t>
            </w:r>
          </w:p>
        </w:tc>
      </w:tr>
      <w:tr w:rsidR="00D27BC6">
        <w:trPr>
          <w:trHeight w:val="320"/>
        </w:trPr>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Более 20</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Очень высокий</w:t>
            </w:r>
          </w:p>
        </w:tc>
        <w:tc>
          <w:tcPr>
            <w:tcW w:w="33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1 из 2, или 50%</w:t>
            </w:r>
          </w:p>
        </w:tc>
      </w:tr>
    </w:tbl>
    <w:p w:rsidR="00D27BC6" w:rsidRDefault="004D5071">
      <w:pPr>
        <w:numPr>
          <w:ilvl w:val="0"/>
          <w:numId w:val="177"/>
        </w:numPr>
        <w:ind w:right="38" w:hanging="283"/>
      </w:pPr>
      <w:r>
        <w:rPr>
          <w:b/>
        </w:rPr>
        <w:t>Если Вы набрали менее 12 баллов:</w:t>
      </w:r>
      <w:r>
        <w:t xml:space="preserve">  у Вас хорошее здоровье и Вы должны продолжать вести здоровый образ жизни.</w:t>
      </w:r>
    </w:p>
    <w:p w:rsidR="00D27BC6" w:rsidRDefault="004D5071">
      <w:pPr>
        <w:numPr>
          <w:ilvl w:val="0"/>
          <w:numId w:val="177"/>
        </w:numPr>
        <w:ind w:right="38" w:hanging="283"/>
      </w:pPr>
      <w:r>
        <w:rPr>
          <w:b/>
        </w:rPr>
        <w:t>Если Вы набрали 12–14 баллов:</w:t>
      </w:r>
      <w:r>
        <w:t xml:space="preserve">  </w:t>
      </w:r>
      <w:r>
        <w:t>возможно, у вас предиабет. Вы должны посоветоваться со своим врачом, как Вам следует изменить образ жизни.</w:t>
      </w:r>
    </w:p>
    <w:p w:rsidR="00D27BC6" w:rsidRDefault="004D5071">
      <w:pPr>
        <w:numPr>
          <w:ilvl w:val="0"/>
          <w:numId w:val="177"/>
        </w:numPr>
        <w:ind w:right="38" w:hanging="283"/>
      </w:pPr>
      <w:r>
        <w:rPr>
          <w:b/>
        </w:rPr>
        <w:t>Если Вы набрали 15–20 баллов:</w:t>
      </w:r>
      <w:r>
        <w:t xml:space="preserve">  </w:t>
      </w:r>
    </w:p>
    <w:p w:rsidR="00D27BC6" w:rsidRDefault="004D5071">
      <w:pPr>
        <w:spacing w:after="8" w:line="231" w:lineRule="auto"/>
        <w:ind w:left="294" w:right="168"/>
        <w:jc w:val="left"/>
      </w:pPr>
      <w:r>
        <w:t>возможно, у Вас предиабет или сахарный диабет 2 типа. Вам желательно проверить уровень глюкозы (сахара) в крови. Вы д</w:t>
      </w:r>
      <w:r>
        <w:t>олжны изменить свой образ жизни. Не исключено, что Вам понадобятся и лекарства для снижения уровня глюкозы (сахара) в крови.</w:t>
      </w:r>
    </w:p>
    <w:p w:rsidR="00D27BC6" w:rsidRDefault="004D5071">
      <w:pPr>
        <w:numPr>
          <w:ilvl w:val="0"/>
          <w:numId w:val="177"/>
        </w:numPr>
        <w:ind w:right="38" w:hanging="283"/>
      </w:pPr>
      <w:r>
        <w:rPr>
          <w:b/>
        </w:rPr>
        <w:t>Если Вы набрали более 20 баллов:</w:t>
      </w:r>
      <w:r>
        <w:t xml:space="preserve">  </w:t>
      </w:r>
    </w:p>
    <w:p w:rsidR="00D27BC6" w:rsidRDefault="004D5071">
      <w:pPr>
        <w:spacing w:after="244" w:line="231" w:lineRule="auto"/>
        <w:ind w:left="294" w:right="0"/>
        <w:jc w:val="left"/>
      </w:pPr>
      <w:r>
        <w:t>по всей вероятности, у Вас есть сахарный диабет 2 типа. Вы должны проверить уровень глюкозы (сах</w:t>
      </w:r>
      <w:r>
        <w:t>ара) в крови и постараться его нормализовать. Вы должны изменить свой образ жизни и Вам понадобятся и лекарства для контроля за уровнем глюкозы (сахара) в крови.</w:t>
      </w:r>
    </w:p>
    <w:p w:rsidR="00D27BC6" w:rsidRDefault="004D5071">
      <w:pPr>
        <w:ind w:left="281" w:right="51"/>
        <w:jc w:val="left"/>
      </w:pPr>
      <w:r>
        <w:rPr>
          <w:b/>
        </w:rPr>
        <w:t>Снижение риска возникновения предиабета или сахарного диабета 2 типа</w:t>
      </w:r>
    </w:p>
    <w:p w:rsidR="00D27BC6" w:rsidRDefault="004D5071">
      <w:pPr>
        <w:ind w:left="-11" w:right="0" w:firstLine="283"/>
      </w:pPr>
      <w:r>
        <w:t xml:space="preserve">Вы не можете повлиять на </w:t>
      </w:r>
      <w:r>
        <w:t>свой возраст или наследственную предрасположенность к предиабету и сахарному диабету, но Вы можете изменить Ваш образ жизни и снизить тем самым риск развития этих заболеваний.</w:t>
      </w:r>
    </w:p>
    <w:p w:rsidR="00D27BC6" w:rsidRDefault="004D5071">
      <w:pPr>
        <w:ind w:left="-11" w:right="0" w:firstLine="283"/>
      </w:pPr>
      <w:r>
        <w:t xml:space="preserve">Вы можете снизить массу тела, стать более активным физически и потреблять более </w:t>
      </w:r>
      <w:r>
        <w:t>здоровую пищу. Эти изменения образа жизни особенно необходимы по мере увеличения возраста или при наличии у Вас наследственной отягощенности по сахарному диабету.</w:t>
      </w:r>
    </w:p>
    <w:p w:rsidR="00D27BC6" w:rsidRDefault="004D5071">
      <w:pPr>
        <w:ind w:left="-11" w:right="0" w:firstLine="283"/>
      </w:pPr>
      <w:r>
        <w:t>Здоровый образ жизни необходим и в том случае, если у Вас уже диагностировали предиабет или с</w:t>
      </w:r>
      <w:r>
        <w:t>ахарный диабет 2 типа.</w:t>
      </w:r>
    </w:p>
    <w:p w:rsidR="00D27BC6" w:rsidRDefault="004D5071">
      <w:pPr>
        <w:ind w:left="-11" w:right="0" w:firstLine="283"/>
      </w:pPr>
      <w:r>
        <w:t>Для снижения уровня глюкозы (сахара) в крови, массы тела и уменьшения неблагоприятного прогноза заболевания может понадобиться лекарственная терапия.</w:t>
      </w:r>
    </w:p>
    <w:p w:rsidR="00D27BC6" w:rsidRDefault="004D5071">
      <w:pPr>
        <w:spacing w:after="12"/>
        <w:ind w:left="290" w:right="278"/>
        <w:jc w:val="center"/>
      </w:pPr>
      <w:r>
        <w:rPr>
          <w:b/>
        </w:rPr>
        <w:t xml:space="preserve">ПРИЛОЖЕНИЕ 7.  </w:t>
      </w:r>
    </w:p>
    <w:p w:rsidR="00D27BC6" w:rsidRDefault="004D5071">
      <w:pPr>
        <w:ind w:left="1920" w:right="0"/>
      </w:pPr>
      <w:r>
        <w:rPr>
          <w:b/>
        </w:rPr>
        <w:t>КЛАССИФИКАЦИЯ ДИАБЕТИЧЕСКОЙ РЕТИНОПАТИИ ETDRS (1991 г).</w:t>
      </w:r>
    </w:p>
    <w:tbl>
      <w:tblPr>
        <w:tblStyle w:val="TableGrid"/>
        <w:tblW w:w="10191" w:type="dxa"/>
        <w:tblInd w:w="8" w:type="dxa"/>
        <w:tblCellMar>
          <w:top w:w="9" w:type="dxa"/>
          <w:left w:w="55" w:type="dxa"/>
          <w:bottom w:w="0" w:type="dxa"/>
          <w:right w:w="99" w:type="dxa"/>
        </w:tblCellMar>
        <w:tblLook w:val="04A0" w:firstRow="1" w:lastRow="0" w:firstColumn="1" w:lastColumn="0" w:noHBand="0" w:noVBand="1"/>
      </w:tblPr>
      <w:tblGrid>
        <w:gridCol w:w="1134"/>
        <w:gridCol w:w="2128"/>
        <w:gridCol w:w="6928"/>
      </w:tblGrid>
      <w:tr w:rsidR="00D27BC6">
        <w:trPr>
          <w:trHeight w:val="800"/>
        </w:trPr>
        <w:tc>
          <w:tcPr>
            <w:tcW w:w="113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36" w:lineRule="auto"/>
              <w:ind w:left="2" w:right="0" w:firstLine="0"/>
              <w:jc w:val="center"/>
            </w:pPr>
            <w:r>
              <w:rPr>
                <w:b/>
              </w:rPr>
              <w:t xml:space="preserve">Уровень по ETDRS </w:t>
            </w:r>
          </w:p>
          <w:p w:rsidR="00D27BC6" w:rsidRDefault="004D5071">
            <w:pPr>
              <w:spacing w:after="0" w:line="259" w:lineRule="auto"/>
              <w:ind w:left="150" w:right="0" w:firstLine="0"/>
              <w:jc w:val="left"/>
            </w:pPr>
            <w:r>
              <w:rPr>
                <w:b/>
              </w:rPr>
              <w:t>(баллы)</w:t>
            </w:r>
          </w:p>
        </w:tc>
        <w:tc>
          <w:tcPr>
            <w:tcW w:w="2128"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53" w:right="0" w:firstLine="0"/>
              <w:jc w:val="left"/>
            </w:pPr>
            <w:r>
              <w:rPr>
                <w:b/>
              </w:rPr>
              <w:t>Стадия ретинопатии</w:t>
            </w:r>
          </w:p>
        </w:tc>
        <w:tc>
          <w:tcPr>
            <w:tcW w:w="6928"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44" w:right="0" w:firstLine="0"/>
              <w:jc w:val="center"/>
            </w:pPr>
            <w:r>
              <w:rPr>
                <w:b/>
              </w:rPr>
              <w:t>Офтальмоскопическая картина</w:t>
            </w:r>
          </w:p>
        </w:tc>
      </w:tr>
      <w:tr w:rsidR="00D27BC6">
        <w:trPr>
          <w:trHeight w:val="320"/>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45" w:right="0" w:firstLine="0"/>
              <w:jc w:val="center"/>
            </w:pPr>
            <w:r>
              <w:rPr>
                <w:b/>
              </w:rPr>
              <w:t>Непролиферативная диабетическая ретинопатия</w:t>
            </w:r>
          </w:p>
        </w:tc>
      </w:tr>
      <w:tr w:rsidR="00D27BC6">
        <w:trPr>
          <w:trHeight w:val="550"/>
        </w:trPr>
        <w:tc>
          <w:tcPr>
            <w:tcW w:w="113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44" w:right="0" w:firstLine="0"/>
              <w:jc w:val="center"/>
            </w:pPr>
            <w:r>
              <w:t>10</w:t>
            </w:r>
          </w:p>
        </w:tc>
        <w:tc>
          <w:tcPr>
            <w:tcW w:w="212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нет ретинопатии</w:t>
            </w:r>
          </w:p>
        </w:tc>
        <w:tc>
          <w:tcPr>
            <w:tcW w:w="692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1634" w:firstLine="0"/>
              <w:jc w:val="left"/>
            </w:pPr>
            <w:r>
              <w:t>Микроаневризмы и другие изменения отсутствуют.  Может быть расширение венул сетчатки.</w:t>
            </w:r>
          </w:p>
        </w:tc>
      </w:tr>
      <w:tr w:rsidR="00D27BC6">
        <w:trPr>
          <w:trHeight w:val="550"/>
        </w:trPr>
        <w:tc>
          <w:tcPr>
            <w:tcW w:w="113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44" w:right="0" w:firstLine="0"/>
              <w:jc w:val="center"/>
            </w:pPr>
            <w:r>
              <w:t>14–35</w:t>
            </w:r>
          </w:p>
        </w:tc>
        <w:tc>
          <w:tcPr>
            <w:tcW w:w="212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начальная</w:t>
            </w:r>
          </w:p>
        </w:tc>
        <w:tc>
          <w:tcPr>
            <w:tcW w:w="692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407" w:firstLine="0"/>
              <w:jc w:val="left"/>
            </w:pPr>
            <w:r>
              <w:t>Незначительное количество микроаневризм и микрогеморрагий.  Могут выявляться «твердые» и «мягкие» экссудаты.</w:t>
            </w:r>
          </w:p>
        </w:tc>
      </w:tr>
      <w:tr w:rsidR="00D27BC6">
        <w:trPr>
          <w:trHeight w:val="1067"/>
        </w:trPr>
        <w:tc>
          <w:tcPr>
            <w:tcW w:w="113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44" w:right="0" w:firstLine="0"/>
              <w:jc w:val="center"/>
            </w:pPr>
            <w:r>
              <w:t>43</w:t>
            </w:r>
          </w:p>
        </w:tc>
        <w:tc>
          <w:tcPr>
            <w:tcW w:w="212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 xml:space="preserve">умеренная </w:t>
            </w:r>
          </w:p>
        </w:tc>
        <w:tc>
          <w:tcPr>
            <w:tcW w:w="692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Один из признаков:</w:t>
            </w:r>
          </w:p>
          <w:p w:rsidR="00D27BC6" w:rsidRDefault="004D5071">
            <w:pPr>
              <w:numPr>
                <w:ilvl w:val="0"/>
                <w:numId w:val="351"/>
              </w:numPr>
              <w:spacing w:after="23" w:line="259" w:lineRule="auto"/>
              <w:ind w:right="0" w:hanging="170"/>
              <w:jc w:val="left"/>
            </w:pPr>
            <w:r>
              <w:t>умеренное количество микроаневризм и микрогеморрагий;</w:t>
            </w:r>
          </w:p>
          <w:p w:rsidR="00D27BC6" w:rsidRDefault="004D5071">
            <w:pPr>
              <w:numPr>
                <w:ilvl w:val="0"/>
                <w:numId w:val="351"/>
              </w:numPr>
              <w:spacing w:after="0" w:line="259" w:lineRule="auto"/>
              <w:ind w:right="0" w:hanging="170"/>
              <w:jc w:val="left"/>
            </w:pPr>
            <w:r>
              <w:t>умеренно выраженные интраретинальные микрососудистые аномалии (ИРМА) в одном квадранте.</w:t>
            </w:r>
          </w:p>
        </w:tc>
      </w:tr>
      <w:tr w:rsidR="00D27BC6">
        <w:trPr>
          <w:trHeight w:val="1353"/>
        </w:trPr>
        <w:tc>
          <w:tcPr>
            <w:tcW w:w="113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44" w:right="0" w:firstLine="0"/>
              <w:jc w:val="center"/>
            </w:pPr>
            <w:r>
              <w:t>47</w:t>
            </w:r>
          </w:p>
        </w:tc>
        <w:tc>
          <w:tcPr>
            <w:tcW w:w="212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выраженная</w:t>
            </w:r>
          </w:p>
        </w:tc>
        <w:tc>
          <w:tcPr>
            <w:tcW w:w="692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Оба признака 43 уровня или один из признаков:</w:t>
            </w:r>
          </w:p>
          <w:p w:rsidR="00D27BC6" w:rsidRDefault="004D5071">
            <w:pPr>
              <w:numPr>
                <w:ilvl w:val="0"/>
                <w:numId w:val="352"/>
              </w:numPr>
              <w:spacing w:after="57" w:line="226" w:lineRule="auto"/>
              <w:ind w:right="0" w:hanging="170"/>
              <w:jc w:val="left"/>
            </w:pPr>
            <w:r>
              <w:t xml:space="preserve">множественные микроаневризмы и микрогеморрагии в двух-трех квадрантах; </w:t>
            </w:r>
          </w:p>
          <w:p w:rsidR="00D27BC6" w:rsidRDefault="004D5071">
            <w:pPr>
              <w:numPr>
                <w:ilvl w:val="0"/>
                <w:numId w:val="352"/>
              </w:numPr>
              <w:spacing w:after="23" w:line="259" w:lineRule="auto"/>
              <w:ind w:right="0" w:hanging="170"/>
              <w:jc w:val="left"/>
            </w:pPr>
            <w:r>
              <w:t xml:space="preserve">множественные зоны ИРМА в одном-трех квадрантах; </w:t>
            </w:r>
          </w:p>
          <w:p w:rsidR="00D27BC6" w:rsidRDefault="004D5071">
            <w:pPr>
              <w:numPr>
                <w:ilvl w:val="0"/>
                <w:numId w:val="352"/>
              </w:numPr>
              <w:spacing w:after="0" w:line="259" w:lineRule="auto"/>
              <w:ind w:right="0" w:hanging="170"/>
              <w:jc w:val="left"/>
            </w:pPr>
            <w:r>
              <w:t xml:space="preserve">четкообразность венул хотя бы в одном квадранте </w:t>
            </w:r>
          </w:p>
        </w:tc>
      </w:tr>
      <w:tr w:rsidR="00D27BC6">
        <w:trPr>
          <w:trHeight w:val="1123"/>
        </w:trPr>
        <w:tc>
          <w:tcPr>
            <w:tcW w:w="113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44" w:right="0" w:firstLine="0"/>
              <w:jc w:val="center"/>
            </w:pPr>
            <w:r>
              <w:t>53</w:t>
            </w:r>
          </w:p>
        </w:tc>
        <w:tc>
          <w:tcPr>
            <w:tcW w:w="212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тяжелая</w:t>
            </w:r>
          </w:p>
        </w:tc>
        <w:tc>
          <w:tcPr>
            <w:tcW w:w="692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Сочетание двух-трех признаков 47 уровня или один из признаков:</w:t>
            </w:r>
          </w:p>
          <w:p w:rsidR="00D27BC6" w:rsidRDefault="004D5071">
            <w:pPr>
              <w:numPr>
                <w:ilvl w:val="0"/>
                <w:numId w:val="353"/>
              </w:numPr>
              <w:spacing w:after="0" w:line="282" w:lineRule="auto"/>
              <w:ind w:right="0" w:firstLine="0"/>
              <w:jc w:val="left"/>
            </w:pPr>
            <w:r>
              <w:t xml:space="preserve">множественные микроаневризмы и микрогеморрагии во всех квадрантах; – </w:t>
            </w:r>
            <w:r>
              <w:t xml:space="preserve">выраженные ИРМА хотя бы в одном квадранте; </w:t>
            </w:r>
          </w:p>
          <w:p w:rsidR="00D27BC6" w:rsidRDefault="004D5071">
            <w:pPr>
              <w:numPr>
                <w:ilvl w:val="0"/>
                <w:numId w:val="353"/>
              </w:numPr>
              <w:spacing w:after="0" w:line="259" w:lineRule="auto"/>
              <w:ind w:right="0" w:firstLine="0"/>
              <w:jc w:val="left"/>
            </w:pPr>
            <w:r>
              <w:t>четкообразность венул в двух и более квадрантах.</w:t>
            </w:r>
          </w:p>
        </w:tc>
      </w:tr>
      <w:tr w:rsidR="00D27BC6">
        <w:trPr>
          <w:trHeight w:val="320"/>
        </w:trPr>
        <w:tc>
          <w:tcPr>
            <w:tcW w:w="10191"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43" w:right="0" w:firstLine="0"/>
              <w:jc w:val="center"/>
            </w:pPr>
            <w:r>
              <w:rPr>
                <w:b/>
              </w:rPr>
              <w:t>Пролиферативная диабетическая ретинопатия</w:t>
            </w:r>
          </w:p>
        </w:tc>
      </w:tr>
      <w:tr w:rsidR="00D27BC6">
        <w:trPr>
          <w:trHeight w:val="1067"/>
        </w:trPr>
        <w:tc>
          <w:tcPr>
            <w:tcW w:w="113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43" w:right="0" w:firstLine="0"/>
              <w:jc w:val="center"/>
            </w:pPr>
            <w:r>
              <w:t>61</w:t>
            </w:r>
          </w:p>
        </w:tc>
        <w:tc>
          <w:tcPr>
            <w:tcW w:w="212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начальная</w:t>
            </w:r>
          </w:p>
        </w:tc>
        <w:tc>
          <w:tcPr>
            <w:tcW w:w="692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Один из признаков:</w:t>
            </w:r>
          </w:p>
          <w:p w:rsidR="00D27BC6" w:rsidRDefault="004D5071">
            <w:pPr>
              <w:numPr>
                <w:ilvl w:val="0"/>
                <w:numId w:val="354"/>
              </w:numPr>
              <w:spacing w:after="57" w:line="226" w:lineRule="auto"/>
              <w:ind w:right="731" w:hanging="170"/>
              <w:jc w:val="left"/>
            </w:pPr>
            <w:r>
              <w:t>фиброз на диске зрительного нерва (ДЗН) или сетчатке без неоваскуляризации;</w:t>
            </w:r>
          </w:p>
          <w:p w:rsidR="00D27BC6" w:rsidRDefault="004D5071">
            <w:pPr>
              <w:numPr>
                <w:ilvl w:val="0"/>
                <w:numId w:val="354"/>
              </w:numPr>
              <w:spacing w:after="0" w:line="259" w:lineRule="auto"/>
              <w:ind w:right="731" w:hanging="170"/>
              <w:jc w:val="left"/>
            </w:pPr>
            <w:r>
              <w:t>неоваскуляризация сетчатки меньше половины площади ДЗН.</w:t>
            </w:r>
          </w:p>
        </w:tc>
      </w:tr>
      <w:tr w:rsidR="00D27BC6">
        <w:trPr>
          <w:trHeight w:val="1583"/>
        </w:trPr>
        <w:tc>
          <w:tcPr>
            <w:tcW w:w="113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43" w:right="0" w:firstLine="0"/>
              <w:jc w:val="center"/>
            </w:pPr>
            <w:r>
              <w:t>65</w:t>
            </w:r>
          </w:p>
        </w:tc>
        <w:tc>
          <w:tcPr>
            <w:tcW w:w="212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выраженная</w:t>
            </w:r>
          </w:p>
        </w:tc>
        <w:tc>
          <w:tcPr>
            <w:tcW w:w="692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Один из признаков:</w:t>
            </w:r>
          </w:p>
          <w:p w:rsidR="00D27BC6" w:rsidRDefault="004D5071">
            <w:pPr>
              <w:numPr>
                <w:ilvl w:val="0"/>
                <w:numId w:val="355"/>
              </w:numPr>
              <w:spacing w:after="23" w:line="259" w:lineRule="auto"/>
              <w:ind w:right="0" w:hanging="170"/>
              <w:jc w:val="left"/>
            </w:pPr>
            <w:r>
              <w:t>неоваскуляризация сетчатки более половины площади ДЗН;</w:t>
            </w:r>
          </w:p>
          <w:p w:rsidR="00D27BC6" w:rsidRDefault="004D5071">
            <w:pPr>
              <w:numPr>
                <w:ilvl w:val="0"/>
                <w:numId w:val="355"/>
              </w:numPr>
              <w:spacing w:after="23" w:line="259" w:lineRule="auto"/>
              <w:ind w:right="0" w:hanging="170"/>
              <w:jc w:val="left"/>
            </w:pPr>
            <w:r>
              <w:t xml:space="preserve">неоваскуляризация ДЗН менее трети его площади; </w:t>
            </w:r>
          </w:p>
          <w:p w:rsidR="00D27BC6" w:rsidRDefault="004D5071">
            <w:pPr>
              <w:numPr>
                <w:ilvl w:val="0"/>
                <w:numId w:val="355"/>
              </w:numPr>
              <w:spacing w:after="0" w:line="259" w:lineRule="auto"/>
              <w:ind w:right="0" w:hanging="170"/>
              <w:jc w:val="left"/>
            </w:pPr>
            <w:r>
              <w:t>неоваскуляризация сетчатки менее половины площади ДЗН без неоваскуляризации ДЗН, но при наличии преретинальной или витреальной геморрагии площадью менее 1,5 ДЗН.</w:t>
            </w:r>
          </w:p>
        </w:tc>
      </w:tr>
      <w:tr w:rsidR="00D27BC6">
        <w:trPr>
          <w:trHeight w:val="1870"/>
        </w:trPr>
        <w:tc>
          <w:tcPr>
            <w:tcW w:w="113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42" w:right="0" w:firstLine="0"/>
              <w:jc w:val="center"/>
            </w:pPr>
            <w:r>
              <w:t>71</w:t>
            </w:r>
          </w:p>
        </w:tc>
        <w:tc>
          <w:tcPr>
            <w:tcW w:w="212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 xml:space="preserve">тяжелая </w:t>
            </w:r>
          </w:p>
          <w:p w:rsidR="00D27BC6" w:rsidRDefault="004D5071">
            <w:pPr>
              <w:spacing w:after="0" w:line="259" w:lineRule="auto"/>
              <w:ind w:left="0" w:right="0" w:firstLine="0"/>
              <w:jc w:val="left"/>
            </w:pPr>
            <w:r>
              <w:t xml:space="preserve">(высокого риска 1) </w:t>
            </w:r>
          </w:p>
        </w:tc>
        <w:tc>
          <w:tcPr>
            <w:tcW w:w="692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Один из признаков:</w:t>
            </w:r>
          </w:p>
          <w:p w:rsidR="00D27BC6" w:rsidRDefault="004D5071">
            <w:pPr>
              <w:numPr>
                <w:ilvl w:val="0"/>
                <w:numId w:val="356"/>
              </w:numPr>
              <w:spacing w:after="23" w:line="259" w:lineRule="auto"/>
              <w:ind w:right="8" w:hanging="170"/>
              <w:jc w:val="left"/>
            </w:pPr>
            <w:r>
              <w:t>преретинальная или витреальная геморрагия площадью более 1,5 ДЗН;</w:t>
            </w:r>
          </w:p>
          <w:p w:rsidR="00D27BC6" w:rsidRDefault="004D5071">
            <w:pPr>
              <w:numPr>
                <w:ilvl w:val="0"/>
                <w:numId w:val="356"/>
              </w:numPr>
              <w:spacing w:after="57" w:line="226" w:lineRule="auto"/>
              <w:ind w:right="8" w:hanging="170"/>
              <w:jc w:val="left"/>
            </w:pPr>
            <w:r>
              <w:t>преретинальная или витреальная геморрагия площадью менее 1,5 ДЗН в сочетание с неоваскуляризацией сетчатки более половины площади ДЗН;</w:t>
            </w:r>
          </w:p>
          <w:p w:rsidR="00D27BC6" w:rsidRDefault="004D5071">
            <w:pPr>
              <w:numPr>
                <w:ilvl w:val="0"/>
                <w:numId w:val="356"/>
              </w:numPr>
              <w:spacing w:after="0" w:line="259" w:lineRule="auto"/>
              <w:ind w:right="8" w:hanging="170"/>
              <w:jc w:val="left"/>
            </w:pPr>
            <w:r>
              <w:t>преретинальная или витреальная геморрагия площадью менее 1,5 ДЗН в сочетании с неоваскуляризация ДЗН менее трети его площади; – неоваскуляризация ДЗН более трети его площади.</w:t>
            </w:r>
          </w:p>
        </w:tc>
      </w:tr>
      <w:tr w:rsidR="00D27BC6">
        <w:trPr>
          <w:trHeight w:val="560"/>
        </w:trPr>
        <w:tc>
          <w:tcPr>
            <w:tcW w:w="113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42" w:right="0" w:firstLine="0"/>
              <w:jc w:val="center"/>
            </w:pPr>
            <w:r>
              <w:t>75</w:t>
            </w:r>
          </w:p>
        </w:tc>
        <w:tc>
          <w:tcPr>
            <w:tcW w:w="212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тяжелая </w:t>
            </w:r>
          </w:p>
          <w:p w:rsidR="00D27BC6" w:rsidRDefault="004D5071">
            <w:pPr>
              <w:spacing w:after="0" w:line="259" w:lineRule="auto"/>
              <w:ind w:left="0" w:right="0" w:firstLine="0"/>
              <w:jc w:val="left"/>
            </w:pPr>
            <w:r>
              <w:t>(высокого риска 2)</w:t>
            </w:r>
          </w:p>
        </w:tc>
        <w:tc>
          <w:tcPr>
            <w:tcW w:w="692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Неоваскуляризация ДЗН более трети его площади и преретинальная или витреальная геморрагия площадью более 1,5 ДЗН.</w:t>
            </w:r>
          </w:p>
        </w:tc>
      </w:tr>
      <w:tr w:rsidR="00D27BC6">
        <w:trPr>
          <w:trHeight w:val="1870"/>
        </w:trPr>
        <w:tc>
          <w:tcPr>
            <w:tcW w:w="113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42" w:right="0" w:firstLine="0"/>
              <w:jc w:val="center"/>
            </w:pPr>
            <w:r>
              <w:t>81–85</w:t>
            </w:r>
          </w:p>
        </w:tc>
        <w:tc>
          <w:tcPr>
            <w:tcW w:w="2128"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далеко зашедшая</w:t>
            </w:r>
          </w:p>
        </w:tc>
        <w:tc>
          <w:tcPr>
            <w:tcW w:w="692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Один и более признаков:</w:t>
            </w:r>
          </w:p>
          <w:p w:rsidR="00D27BC6" w:rsidRDefault="004D5071">
            <w:pPr>
              <w:numPr>
                <w:ilvl w:val="0"/>
                <w:numId w:val="357"/>
              </w:numPr>
              <w:spacing w:after="23" w:line="259" w:lineRule="auto"/>
              <w:ind w:right="0" w:hanging="170"/>
              <w:jc w:val="left"/>
            </w:pPr>
            <w:r>
              <w:t>невозможно оценить площадь неоваскуляризации;</w:t>
            </w:r>
          </w:p>
          <w:p w:rsidR="00D27BC6" w:rsidRDefault="004D5071">
            <w:pPr>
              <w:numPr>
                <w:ilvl w:val="0"/>
                <w:numId w:val="357"/>
              </w:numPr>
              <w:spacing w:after="57" w:line="226" w:lineRule="auto"/>
              <w:ind w:right="0" w:hanging="170"/>
              <w:jc w:val="left"/>
            </w:pPr>
            <w:r>
              <w:t xml:space="preserve">глазное дно офтальмоскопируется частично или не офтальмоскопируется в заднем полюсе; </w:t>
            </w:r>
          </w:p>
          <w:p w:rsidR="00D27BC6" w:rsidRDefault="004D5071">
            <w:pPr>
              <w:numPr>
                <w:ilvl w:val="0"/>
                <w:numId w:val="357"/>
              </w:numPr>
              <w:spacing w:after="57" w:line="226" w:lineRule="auto"/>
              <w:ind w:right="0" w:hanging="170"/>
              <w:jc w:val="left"/>
            </w:pPr>
            <w:r>
              <w:t>преретинальная или витреальная геморрагия в заднем полюсе площадью более 4 ДЗН;</w:t>
            </w:r>
          </w:p>
          <w:p w:rsidR="00D27BC6" w:rsidRDefault="004D5071">
            <w:pPr>
              <w:numPr>
                <w:ilvl w:val="0"/>
                <w:numId w:val="357"/>
              </w:numPr>
              <w:spacing w:after="0" w:line="259" w:lineRule="auto"/>
              <w:ind w:right="0" w:hanging="170"/>
              <w:jc w:val="left"/>
            </w:pPr>
            <w:r>
              <w:t>ретиношизис в макулярной зоне.</w:t>
            </w:r>
          </w:p>
        </w:tc>
      </w:tr>
      <w:tr w:rsidR="00D27BC6">
        <w:trPr>
          <w:trHeight w:val="320"/>
        </w:trPr>
        <w:tc>
          <w:tcPr>
            <w:tcW w:w="113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42" w:right="0" w:firstLine="0"/>
              <w:jc w:val="center"/>
            </w:pPr>
            <w:r>
              <w:t>90</w:t>
            </w:r>
          </w:p>
        </w:tc>
        <w:tc>
          <w:tcPr>
            <w:tcW w:w="212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градация невозможна</w:t>
            </w:r>
          </w:p>
        </w:tc>
        <w:tc>
          <w:tcPr>
            <w:tcW w:w="692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Глазное дно не офтальмоскопируется даже фрагментарно.</w:t>
            </w:r>
          </w:p>
        </w:tc>
      </w:tr>
    </w:tbl>
    <w:p w:rsidR="00D27BC6" w:rsidRDefault="004D5071">
      <w:pPr>
        <w:ind w:left="293" w:right="0"/>
      </w:pPr>
      <w:r>
        <w:rPr>
          <w:b/>
        </w:rPr>
        <w:t>Пример диагноза:</w:t>
      </w:r>
      <w:r>
        <w:t xml:space="preserve"> ОU – выраженная пролиферативная диабетическая ретинопатия (ETDRS-65) </w:t>
      </w:r>
      <w:r>
        <w:rPr>
          <w:b/>
        </w:rPr>
        <w:t xml:space="preserve">ПРИЛОЖЕНИЕ 8.  </w:t>
      </w:r>
    </w:p>
    <w:p w:rsidR="00D27BC6" w:rsidRDefault="004D5071">
      <w:pPr>
        <w:spacing w:after="226"/>
        <w:ind w:left="290" w:right="280"/>
        <w:jc w:val="center"/>
      </w:pPr>
      <w:r>
        <w:rPr>
          <w:b/>
        </w:rPr>
        <w:t>СОДЕРЖАНИЕ БЕЛКА В ПРОДУКТАХ ПИТАНИЯ</w:t>
      </w:r>
    </w:p>
    <w:p w:rsidR="00D27BC6" w:rsidRDefault="004D5071">
      <w:pPr>
        <w:ind w:left="-11" w:right="0" w:firstLine="283"/>
      </w:pPr>
      <w:r>
        <w:t>Для того, чтобы поддержать почки в хорошем состоянии, при сниж</w:t>
      </w:r>
      <w:r>
        <w:t>ении их функции необходимо соблюдать ограничение в питании белковой пищи.</w:t>
      </w:r>
    </w:p>
    <w:p w:rsidR="00D27BC6" w:rsidRDefault="004D5071">
      <w:pPr>
        <w:numPr>
          <w:ilvl w:val="0"/>
          <w:numId w:val="178"/>
        </w:numPr>
        <w:ind w:right="0" w:hanging="283"/>
      </w:pPr>
      <w:r>
        <w:t>Животные белки содержатся в мясе, рыбе, птице, молочных и морских продуктах, яйцах.</w:t>
      </w:r>
    </w:p>
    <w:p w:rsidR="00D27BC6" w:rsidRDefault="004D5071">
      <w:pPr>
        <w:numPr>
          <w:ilvl w:val="0"/>
          <w:numId w:val="178"/>
        </w:numPr>
        <w:spacing w:after="230"/>
        <w:ind w:right="0" w:hanging="283"/>
      </w:pPr>
      <w:r>
        <w:t>Животные белки наиболее ценные и должны составлять около 0,8 г/кг массы тела/сут. Более полную инф</w:t>
      </w:r>
      <w:r>
        <w:t>ормацию Вам даст Ваш лечащий врач.</w:t>
      </w:r>
    </w:p>
    <w:p w:rsidR="00D27BC6" w:rsidRDefault="004D5071">
      <w:pPr>
        <w:pStyle w:val="Heading2"/>
        <w:ind w:left="-3"/>
      </w:pPr>
      <w:r>
        <w:t>Содержание белка в продуктах животного происхождения</w:t>
      </w:r>
    </w:p>
    <w:tbl>
      <w:tblPr>
        <w:tblStyle w:val="TableGrid"/>
        <w:tblW w:w="10191" w:type="dxa"/>
        <w:tblInd w:w="8" w:type="dxa"/>
        <w:tblCellMar>
          <w:top w:w="9" w:type="dxa"/>
          <w:left w:w="26" w:type="dxa"/>
          <w:bottom w:w="0" w:type="dxa"/>
          <w:right w:w="115" w:type="dxa"/>
        </w:tblCellMar>
        <w:tblLook w:val="04A0" w:firstRow="1" w:lastRow="0" w:firstColumn="1" w:lastColumn="0" w:noHBand="0" w:noVBand="1"/>
      </w:tblPr>
      <w:tblGrid>
        <w:gridCol w:w="5443"/>
        <w:gridCol w:w="1981"/>
        <w:gridCol w:w="2767"/>
      </w:tblGrid>
      <w:tr w:rsidR="00D27BC6">
        <w:trPr>
          <w:trHeight w:val="320"/>
        </w:trPr>
        <w:tc>
          <w:tcPr>
            <w:tcW w:w="5443"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89" w:right="0" w:firstLine="0"/>
              <w:jc w:val="center"/>
            </w:pPr>
            <w:r>
              <w:rPr>
                <w:b/>
              </w:rPr>
              <w:t xml:space="preserve">Продукт (вес в граммах или объем) </w:t>
            </w:r>
          </w:p>
        </w:tc>
        <w:tc>
          <w:tcPr>
            <w:tcW w:w="1981" w:type="dxa"/>
            <w:tcBorders>
              <w:top w:val="single" w:sz="6" w:space="0" w:color="000000"/>
              <w:left w:val="single" w:sz="6" w:space="0" w:color="000000"/>
              <w:bottom w:val="single" w:sz="6" w:space="0" w:color="000000"/>
              <w:right w:val="nil"/>
            </w:tcBorders>
            <w:shd w:val="clear" w:color="auto" w:fill="DADAD9"/>
          </w:tcPr>
          <w:p w:rsidR="00D27BC6" w:rsidRDefault="00D27BC6">
            <w:pPr>
              <w:spacing w:after="160" w:line="259" w:lineRule="auto"/>
              <w:ind w:left="0" w:right="0" w:firstLine="0"/>
              <w:jc w:val="left"/>
            </w:pPr>
          </w:p>
        </w:tc>
        <w:tc>
          <w:tcPr>
            <w:tcW w:w="2767" w:type="dxa"/>
            <w:tcBorders>
              <w:top w:val="single" w:sz="6" w:space="0" w:color="000000"/>
              <w:left w:val="nil"/>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Белок, г</w:t>
            </w:r>
          </w:p>
        </w:tc>
      </w:tr>
      <w:tr w:rsidR="00D27BC6">
        <w:trPr>
          <w:trHeight w:val="320"/>
        </w:trPr>
        <w:tc>
          <w:tcPr>
            <w:tcW w:w="544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30" w:right="0" w:firstLine="0"/>
              <w:jc w:val="left"/>
            </w:pPr>
            <w:r>
              <w:t>Мясо (100 г или 1 жареный антрекот)</w:t>
            </w:r>
          </w:p>
        </w:tc>
        <w:tc>
          <w:tcPr>
            <w:tcW w:w="198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2767" w:type="dxa"/>
            <w:tcBorders>
              <w:top w:val="single" w:sz="6" w:space="0" w:color="000000"/>
              <w:left w:val="nil"/>
              <w:bottom w:val="single" w:sz="6" w:space="0" w:color="000000"/>
              <w:right w:val="single" w:sz="6" w:space="0" w:color="000000"/>
            </w:tcBorders>
          </w:tcPr>
          <w:p w:rsidR="00D27BC6" w:rsidRDefault="004D5071">
            <w:pPr>
              <w:spacing w:after="0" w:line="259" w:lineRule="auto"/>
              <w:ind w:left="264" w:right="0" w:firstLine="0"/>
              <w:jc w:val="left"/>
            </w:pPr>
            <w:r>
              <w:t>30</w:t>
            </w:r>
          </w:p>
        </w:tc>
      </w:tr>
      <w:tr w:rsidR="00D27BC6">
        <w:trPr>
          <w:trHeight w:val="320"/>
        </w:trPr>
        <w:tc>
          <w:tcPr>
            <w:tcW w:w="544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30" w:right="0" w:firstLine="0"/>
              <w:jc w:val="left"/>
            </w:pPr>
            <w:r>
              <w:t>Птица (100 г или ¼ курицы весом в сыром виде 1 кг)</w:t>
            </w:r>
          </w:p>
        </w:tc>
        <w:tc>
          <w:tcPr>
            <w:tcW w:w="198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2767" w:type="dxa"/>
            <w:tcBorders>
              <w:top w:val="single" w:sz="6" w:space="0" w:color="000000"/>
              <w:left w:val="nil"/>
              <w:bottom w:val="single" w:sz="6" w:space="0" w:color="000000"/>
              <w:right w:val="single" w:sz="6" w:space="0" w:color="000000"/>
            </w:tcBorders>
          </w:tcPr>
          <w:p w:rsidR="00D27BC6" w:rsidRDefault="004D5071">
            <w:pPr>
              <w:spacing w:after="0" w:line="259" w:lineRule="auto"/>
              <w:ind w:left="264" w:right="0" w:firstLine="0"/>
              <w:jc w:val="left"/>
            </w:pPr>
            <w:r>
              <w:t>30</w:t>
            </w:r>
          </w:p>
        </w:tc>
      </w:tr>
      <w:tr w:rsidR="00D27BC6">
        <w:trPr>
          <w:trHeight w:val="320"/>
        </w:trPr>
        <w:tc>
          <w:tcPr>
            <w:tcW w:w="544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30" w:right="0" w:firstLine="0"/>
              <w:jc w:val="left"/>
            </w:pPr>
            <w:r>
              <w:t>Рыба (100 г)</w:t>
            </w:r>
          </w:p>
        </w:tc>
        <w:tc>
          <w:tcPr>
            <w:tcW w:w="198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2767" w:type="dxa"/>
            <w:tcBorders>
              <w:top w:val="single" w:sz="6" w:space="0" w:color="000000"/>
              <w:left w:val="nil"/>
              <w:bottom w:val="single" w:sz="6" w:space="0" w:color="000000"/>
              <w:right w:val="single" w:sz="6" w:space="0" w:color="000000"/>
            </w:tcBorders>
          </w:tcPr>
          <w:p w:rsidR="00D27BC6" w:rsidRDefault="004D5071">
            <w:pPr>
              <w:spacing w:after="0" w:line="259" w:lineRule="auto"/>
              <w:ind w:left="264" w:right="0" w:firstLine="0"/>
              <w:jc w:val="left"/>
            </w:pPr>
            <w:r>
              <w:t>25</w:t>
            </w:r>
          </w:p>
        </w:tc>
      </w:tr>
      <w:tr w:rsidR="00D27BC6">
        <w:trPr>
          <w:trHeight w:val="320"/>
        </w:trPr>
        <w:tc>
          <w:tcPr>
            <w:tcW w:w="7423" w:type="dxa"/>
            <w:gridSpan w:val="2"/>
            <w:tcBorders>
              <w:top w:val="single" w:sz="6" w:space="0" w:color="000000"/>
              <w:left w:val="single" w:sz="6" w:space="0" w:color="000000"/>
              <w:bottom w:val="single" w:sz="6" w:space="0" w:color="000000"/>
              <w:right w:val="nil"/>
            </w:tcBorders>
            <w:shd w:val="clear" w:color="auto" w:fill="ECECEC"/>
          </w:tcPr>
          <w:p w:rsidR="00D27BC6" w:rsidRDefault="004D5071">
            <w:pPr>
              <w:spacing w:after="0" w:line="259" w:lineRule="auto"/>
              <w:ind w:left="4162" w:right="0" w:firstLine="0"/>
              <w:jc w:val="left"/>
            </w:pPr>
            <w:r>
              <w:rPr>
                <w:b/>
              </w:rPr>
              <w:t>Субпродукты (100 г)</w:t>
            </w:r>
          </w:p>
        </w:tc>
        <w:tc>
          <w:tcPr>
            <w:tcW w:w="2767" w:type="dxa"/>
            <w:tcBorders>
              <w:top w:val="single" w:sz="6" w:space="0" w:color="000000"/>
              <w:left w:val="nil"/>
              <w:bottom w:val="single" w:sz="6" w:space="0" w:color="000000"/>
              <w:right w:val="single" w:sz="6" w:space="0" w:color="000000"/>
            </w:tcBorders>
            <w:shd w:val="clear" w:color="auto" w:fill="ECECEC"/>
          </w:tcPr>
          <w:p w:rsidR="00D27BC6" w:rsidRDefault="00D27BC6">
            <w:pPr>
              <w:spacing w:after="160" w:line="259" w:lineRule="auto"/>
              <w:ind w:left="0" w:right="0" w:firstLine="0"/>
              <w:jc w:val="left"/>
            </w:pPr>
          </w:p>
        </w:tc>
      </w:tr>
      <w:tr w:rsidR="00D27BC6">
        <w:trPr>
          <w:trHeight w:val="320"/>
        </w:trPr>
        <w:tc>
          <w:tcPr>
            <w:tcW w:w="544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200" w:right="0" w:firstLine="0"/>
              <w:jc w:val="left"/>
            </w:pPr>
            <w:r>
              <w:t>– почки</w:t>
            </w:r>
          </w:p>
        </w:tc>
        <w:tc>
          <w:tcPr>
            <w:tcW w:w="198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2767" w:type="dxa"/>
            <w:tcBorders>
              <w:top w:val="single" w:sz="6" w:space="0" w:color="000000"/>
              <w:left w:val="nil"/>
              <w:bottom w:val="single" w:sz="6" w:space="0" w:color="000000"/>
              <w:right w:val="single" w:sz="6" w:space="0" w:color="000000"/>
            </w:tcBorders>
          </w:tcPr>
          <w:p w:rsidR="00D27BC6" w:rsidRDefault="004D5071">
            <w:pPr>
              <w:spacing w:after="0" w:line="259" w:lineRule="auto"/>
              <w:ind w:left="264" w:right="0" w:firstLine="0"/>
              <w:jc w:val="left"/>
            </w:pPr>
            <w:r>
              <w:t>35</w:t>
            </w:r>
          </w:p>
        </w:tc>
      </w:tr>
      <w:tr w:rsidR="00D27BC6">
        <w:trPr>
          <w:trHeight w:val="320"/>
        </w:trPr>
        <w:tc>
          <w:tcPr>
            <w:tcW w:w="544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200" w:right="0" w:firstLine="0"/>
              <w:jc w:val="left"/>
            </w:pPr>
            <w:r>
              <w:t xml:space="preserve">– сердце, язык </w:t>
            </w:r>
          </w:p>
        </w:tc>
        <w:tc>
          <w:tcPr>
            <w:tcW w:w="198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2767" w:type="dxa"/>
            <w:tcBorders>
              <w:top w:val="single" w:sz="6" w:space="0" w:color="000000"/>
              <w:left w:val="nil"/>
              <w:bottom w:val="single" w:sz="6" w:space="0" w:color="000000"/>
              <w:right w:val="single" w:sz="6" w:space="0" w:color="000000"/>
            </w:tcBorders>
          </w:tcPr>
          <w:p w:rsidR="00D27BC6" w:rsidRDefault="004D5071">
            <w:pPr>
              <w:spacing w:after="0" w:line="259" w:lineRule="auto"/>
              <w:ind w:left="264" w:right="0" w:firstLine="0"/>
              <w:jc w:val="left"/>
            </w:pPr>
            <w:r>
              <w:t>12</w:t>
            </w:r>
          </w:p>
        </w:tc>
      </w:tr>
      <w:tr w:rsidR="00D27BC6">
        <w:trPr>
          <w:trHeight w:val="320"/>
        </w:trPr>
        <w:tc>
          <w:tcPr>
            <w:tcW w:w="7423" w:type="dxa"/>
            <w:gridSpan w:val="2"/>
            <w:tcBorders>
              <w:top w:val="single" w:sz="6" w:space="0" w:color="000000"/>
              <w:left w:val="single" w:sz="6" w:space="0" w:color="000000"/>
              <w:bottom w:val="single" w:sz="6" w:space="0" w:color="000000"/>
              <w:right w:val="nil"/>
            </w:tcBorders>
            <w:shd w:val="clear" w:color="auto" w:fill="ECECEC"/>
          </w:tcPr>
          <w:p w:rsidR="00D27BC6" w:rsidRDefault="004D5071">
            <w:pPr>
              <w:spacing w:after="0" w:line="259" w:lineRule="auto"/>
              <w:ind w:left="4122" w:right="0" w:firstLine="0"/>
              <w:jc w:val="left"/>
            </w:pPr>
            <w:r>
              <w:rPr>
                <w:b/>
              </w:rPr>
              <w:t>Молочные продукты</w:t>
            </w:r>
          </w:p>
        </w:tc>
        <w:tc>
          <w:tcPr>
            <w:tcW w:w="2767" w:type="dxa"/>
            <w:tcBorders>
              <w:top w:val="single" w:sz="6" w:space="0" w:color="000000"/>
              <w:left w:val="nil"/>
              <w:bottom w:val="single" w:sz="6" w:space="0" w:color="000000"/>
              <w:right w:val="single" w:sz="6" w:space="0" w:color="000000"/>
            </w:tcBorders>
            <w:shd w:val="clear" w:color="auto" w:fill="ECECEC"/>
          </w:tcPr>
          <w:p w:rsidR="00D27BC6" w:rsidRDefault="00D27BC6">
            <w:pPr>
              <w:spacing w:after="160" w:line="259" w:lineRule="auto"/>
              <w:ind w:left="0" w:right="0" w:firstLine="0"/>
              <w:jc w:val="left"/>
            </w:pPr>
          </w:p>
        </w:tc>
      </w:tr>
      <w:tr w:rsidR="00D27BC6">
        <w:trPr>
          <w:trHeight w:val="320"/>
        </w:trPr>
        <w:tc>
          <w:tcPr>
            <w:tcW w:w="544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200" w:right="0" w:firstLine="0"/>
              <w:jc w:val="left"/>
            </w:pPr>
            <w:r>
              <w:t>– творог 100 г</w:t>
            </w:r>
          </w:p>
        </w:tc>
        <w:tc>
          <w:tcPr>
            <w:tcW w:w="198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2767" w:type="dxa"/>
            <w:tcBorders>
              <w:top w:val="single" w:sz="6" w:space="0" w:color="000000"/>
              <w:left w:val="nil"/>
              <w:bottom w:val="single" w:sz="6" w:space="0" w:color="000000"/>
              <w:right w:val="single" w:sz="6" w:space="0" w:color="000000"/>
            </w:tcBorders>
          </w:tcPr>
          <w:p w:rsidR="00D27BC6" w:rsidRDefault="004D5071">
            <w:pPr>
              <w:spacing w:after="0" w:line="259" w:lineRule="auto"/>
              <w:ind w:left="264" w:right="0" w:firstLine="0"/>
              <w:jc w:val="left"/>
            </w:pPr>
            <w:r>
              <w:t>16</w:t>
            </w:r>
          </w:p>
        </w:tc>
      </w:tr>
      <w:tr w:rsidR="00D27BC6">
        <w:trPr>
          <w:trHeight w:val="320"/>
        </w:trPr>
        <w:tc>
          <w:tcPr>
            <w:tcW w:w="544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200" w:right="0" w:firstLine="0"/>
              <w:jc w:val="left"/>
            </w:pPr>
            <w:r>
              <w:t>– сырок творожный (100 г или 1 шт.)</w:t>
            </w:r>
          </w:p>
        </w:tc>
        <w:tc>
          <w:tcPr>
            <w:tcW w:w="198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2767" w:type="dxa"/>
            <w:tcBorders>
              <w:top w:val="single" w:sz="6" w:space="0" w:color="000000"/>
              <w:left w:val="nil"/>
              <w:bottom w:val="single" w:sz="6" w:space="0" w:color="000000"/>
              <w:right w:val="single" w:sz="6" w:space="0" w:color="000000"/>
            </w:tcBorders>
          </w:tcPr>
          <w:p w:rsidR="00D27BC6" w:rsidRDefault="004D5071">
            <w:pPr>
              <w:spacing w:after="0" w:line="259" w:lineRule="auto"/>
              <w:ind w:left="315" w:right="0" w:firstLine="0"/>
              <w:jc w:val="left"/>
            </w:pPr>
            <w:r>
              <w:t>7</w:t>
            </w:r>
          </w:p>
        </w:tc>
      </w:tr>
      <w:tr w:rsidR="00D27BC6">
        <w:trPr>
          <w:trHeight w:val="320"/>
        </w:trPr>
        <w:tc>
          <w:tcPr>
            <w:tcW w:w="544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66" w:right="0" w:firstLine="0"/>
              <w:jc w:val="center"/>
            </w:pPr>
            <w:r>
              <w:t>– молоко, кисломолочные продукты – напитки (1 стакан)</w:t>
            </w:r>
          </w:p>
        </w:tc>
        <w:tc>
          <w:tcPr>
            <w:tcW w:w="198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2767" w:type="dxa"/>
            <w:tcBorders>
              <w:top w:val="single" w:sz="6" w:space="0" w:color="000000"/>
              <w:left w:val="nil"/>
              <w:bottom w:val="single" w:sz="6" w:space="0" w:color="000000"/>
              <w:right w:val="single" w:sz="6" w:space="0" w:color="000000"/>
            </w:tcBorders>
          </w:tcPr>
          <w:p w:rsidR="00D27BC6" w:rsidRDefault="004D5071">
            <w:pPr>
              <w:spacing w:after="0" w:line="259" w:lineRule="auto"/>
              <w:ind w:left="315" w:right="0" w:firstLine="0"/>
              <w:jc w:val="left"/>
            </w:pPr>
            <w:r>
              <w:t>7</w:t>
            </w:r>
          </w:p>
        </w:tc>
      </w:tr>
      <w:tr w:rsidR="00D27BC6">
        <w:trPr>
          <w:trHeight w:val="320"/>
        </w:trPr>
        <w:tc>
          <w:tcPr>
            <w:tcW w:w="544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200" w:right="0" w:firstLine="0"/>
              <w:jc w:val="left"/>
            </w:pPr>
            <w:r>
              <w:t>– брынза вымоченная (25 г)</w:t>
            </w:r>
          </w:p>
        </w:tc>
        <w:tc>
          <w:tcPr>
            <w:tcW w:w="198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2767" w:type="dxa"/>
            <w:tcBorders>
              <w:top w:val="single" w:sz="6" w:space="0" w:color="000000"/>
              <w:left w:val="nil"/>
              <w:bottom w:val="single" w:sz="6" w:space="0" w:color="000000"/>
              <w:right w:val="single" w:sz="6" w:space="0" w:color="000000"/>
            </w:tcBorders>
          </w:tcPr>
          <w:p w:rsidR="00D27BC6" w:rsidRDefault="004D5071">
            <w:pPr>
              <w:spacing w:after="0" w:line="259" w:lineRule="auto"/>
              <w:ind w:left="315" w:right="0" w:firstLine="0"/>
              <w:jc w:val="left"/>
            </w:pPr>
            <w:r>
              <w:t>6</w:t>
            </w:r>
          </w:p>
        </w:tc>
      </w:tr>
      <w:tr w:rsidR="00D27BC6">
        <w:trPr>
          <w:trHeight w:val="320"/>
        </w:trPr>
        <w:tc>
          <w:tcPr>
            <w:tcW w:w="544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200" w:right="0" w:firstLine="0"/>
              <w:jc w:val="left"/>
            </w:pPr>
            <w:r>
              <w:t>– мороженое (100 г или 1 пачка)</w:t>
            </w:r>
          </w:p>
        </w:tc>
        <w:tc>
          <w:tcPr>
            <w:tcW w:w="198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2767" w:type="dxa"/>
            <w:tcBorders>
              <w:top w:val="single" w:sz="6" w:space="0" w:color="000000"/>
              <w:left w:val="nil"/>
              <w:bottom w:val="single" w:sz="6" w:space="0" w:color="000000"/>
              <w:right w:val="single" w:sz="6" w:space="0" w:color="000000"/>
            </w:tcBorders>
          </w:tcPr>
          <w:p w:rsidR="00D27BC6" w:rsidRDefault="004D5071">
            <w:pPr>
              <w:spacing w:after="0" w:line="259" w:lineRule="auto"/>
              <w:ind w:left="315" w:right="0" w:firstLine="0"/>
              <w:jc w:val="left"/>
            </w:pPr>
            <w:r>
              <w:t>3</w:t>
            </w:r>
          </w:p>
        </w:tc>
      </w:tr>
      <w:tr w:rsidR="00D27BC6">
        <w:trPr>
          <w:trHeight w:val="320"/>
        </w:trPr>
        <w:tc>
          <w:tcPr>
            <w:tcW w:w="544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200" w:right="0" w:firstLine="0"/>
              <w:jc w:val="left"/>
            </w:pPr>
            <w:r>
              <w:t>– сметана (100 г или ½ стакана)</w:t>
            </w:r>
          </w:p>
        </w:tc>
        <w:tc>
          <w:tcPr>
            <w:tcW w:w="198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2767" w:type="dxa"/>
            <w:tcBorders>
              <w:top w:val="single" w:sz="6" w:space="0" w:color="000000"/>
              <w:left w:val="nil"/>
              <w:bottom w:val="single" w:sz="6" w:space="0" w:color="000000"/>
              <w:right w:val="single" w:sz="6" w:space="0" w:color="000000"/>
            </w:tcBorders>
          </w:tcPr>
          <w:p w:rsidR="00D27BC6" w:rsidRDefault="004D5071">
            <w:pPr>
              <w:spacing w:after="0" w:line="259" w:lineRule="auto"/>
              <w:ind w:left="315" w:right="0" w:firstLine="0"/>
              <w:jc w:val="left"/>
            </w:pPr>
            <w:r>
              <w:t>3</w:t>
            </w:r>
          </w:p>
        </w:tc>
      </w:tr>
      <w:tr w:rsidR="00D27BC6">
        <w:trPr>
          <w:trHeight w:val="320"/>
        </w:trPr>
        <w:tc>
          <w:tcPr>
            <w:tcW w:w="5443"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30" w:right="0" w:firstLine="0"/>
              <w:jc w:val="left"/>
            </w:pPr>
            <w:r>
              <w:t>Яйца (1 шт.)</w:t>
            </w:r>
          </w:p>
        </w:tc>
        <w:tc>
          <w:tcPr>
            <w:tcW w:w="1981" w:type="dxa"/>
            <w:tcBorders>
              <w:top w:val="single" w:sz="6" w:space="0" w:color="000000"/>
              <w:left w:val="single" w:sz="6" w:space="0" w:color="000000"/>
              <w:bottom w:val="single" w:sz="6" w:space="0" w:color="000000"/>
              <w:right w:val="nil"/>
            </w:tcBorders>
          </w:tcPr>
          <w:p w:rsidR="00D27BC6" w:rsidRDefault="00D27BC6">
            <w:pPr>
              <w:spacing w:after="160" w:line="259" w:lineRule="auto"/>
              <w:ind w:left="0" w:right="0" w:firstLine="0"/>
              <w:jc w:val="left"/>
            </w:pPr>
          </w:p>
        </w:tc>
        <w:tc>
          <w:tcPr>
            <w:tcW w:w="2767" w:type="dxa"/>
            <w:tcBorders>
              <w:top w:val="single" w:sz="6" w:space="0" w:color="000000"/>
              <w:left w:val="nil"/>
              <w:bottom w:val="single" w:sz="6" w:space="0" w:color="000000"/>
              <w:right w:val="single" w:sz="6" w:space="0" w:color="000000"/>
            </w:tcBorders>
          </w:tcPr>
          <w:p w:rsidR="00D27BC6" w:rsidRDefault="004D5071">
            <w:pPr>
              <w:spacing w:after="0" w:line="259" w:lineRule="auto"/>
              <w:ind w:left="315" w:right="0" w:firstLine="0"/>
              <w:jc w:val="left"/>
            </w:pPr>
            <w:r>
              <w:t>5</w:t>
            </w:r>
          </w:p>
        </w:tc>
      </w:tr>
    </w:tbl>
    <w:p w:rsidR="00D27BC6" w:rsidRDefault="004D5071">
      <w:pPr>
        <w:pStyle w:val="Heading2"/>
        <w:ind w:left="-3"/>
      </w:pPr>
      <w:r>
        <w:t>Содержание белка в крахмалистых продуктах</w:t>
      </w:r>
    </w:p>
    <w:tbl>
      <w:tblPr>
        <w:tblStyle w:val="TableGrid"/>
        <w:tblW w:w="10195" w:type="dxa"/>
        <w:tblInd w:w="8" w:type="dxa"/>
        <w:tblCellMar>
          <w:top w:w="9" w:type="dxa"/>
          <w:left w:w="57" w:type="dxa"/>
          <w:bottom w:w="0" w:type="dxa"/>
          <w:right w:w="115" w:type="dxa"/>
        </w:tblCellMar>
        <w:tblLook w:val="04A0" w:firstRow="1" w:lastRow="0" w:firstColumn="1" w:lastColumn="0" w:noHBand="0" w:noVBand="1"/>
      </w:tblPr>
      <w:tblGrid>
        <w:gridCol w:w="5386"/>
        <w:gridCol w:w="4809"/>
      </w:tblGrid>
      <w:tr w:rsidR="00D27BC6">
        <w:trPr>
          <w:trHeight w:val="320"/>
        </w:trPr>
        <w:tc>
          <w:tcPr>
            <w:tcW w:w="5386"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Продукт (вес в граммах или объем)</w:t>
            </w:r>
          </w:p>
        </w:tc>
        <w:tc>
          <w:tcPr>
            <w:tcW w:w="4809"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Белок, г</w:t>
            </w:r>
          </w:p>
        </w:tc>
      </w:tr>
      <w:tr w:rsidR="00D27BC6">
        <w:trPr>
          <w:trHeight w:val="320"/>
        </w:trPr>
        <w:tc>
          <w:tcPr>
            <w:tcW w:w="538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Хлеб 25 г или 1 кусок</w:t>
            </w:r>
          </w:p>
        </w:tc>
        <w:tc>
          <w:tcPr>
            <w:tcW w:w="480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2</w:t>
            </w:r>
          </w:p>
        </w:tc>
      </w:tr>
      <w:tr w:rsidR="00D27BC6">
        <w:trPr>
          <w:trHeight w:val="320"/>
        </w:trPr>
        <w:tc>
          <w:tcPr>
            <w:tcW w:w="538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Каши (1 стакан)</w:t>
            </w:r>
          </w:p>
        </w:tc>
        <w:tc>
          <w:tcPr>
            <w:tcW w:w="4809"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320"/>
        </w:trPr>
        <w:tc>
          <w:tcPr>
            <w:tcW w:w="538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firstLine="0"/>
              <w:jc w:val="left"/>
            </w:pPr>
            <w:r>
              <w:t>– овсяная, манная, гречневая</w:t>
            </w:r>
          </w:p>
        </w:tc>
        <w:tc>
          <w:tcPr>
            <w:tcW w:w="480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4</w:t>
            </w:r>
          </w:p>
        </w:tc>
      </w:tr>
      <w:tr w:rsidR="00D27BC6">
        <w:trPr>
          <w:trHeight w:val="320"/>
        </w:trPr>
        <w:tc>
          <w:tcPr>
            <w:tcW w:w="538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70" w:right="0" w:firstLine="0"/>
              <w:jc w:val="left"/>
            </w:pPr>
            <w:r>
              <w:t xml:space="preserve">– рисовая, пшенная </w:t>
            </w:r>
          </w:p>
        </w:tc>
        <w:tc>
          <w:tcPr>
            <w:tcW w:w="480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6</w:t>
            </w:r>
          </w:p>
        </w:tc>
      </w:tr>
      <w:tr w:rsidR="00D27BC6">
        <w:trPr>
          <w:trHeight w:val="320"/>
        </w:trPr>
        <w:tc>
          <w:tcPr>
            <w:tcW w:w="538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Макаронные изделия (1 стакан)</w:t>
            </w:r>
          </w:p>
        </w:tc>
        <w:tc>
          <w:tcPr>
            <w:tcW w:w="480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6</w:t>
            </w:r>
          </w:p>
        </w:tc>
      </w:tr>
      <w:tr w:rsidR="00D27BC6">
        <w:trPr>
          <w:trHeight w:val="320"/>
        </w:trPr>
        <w:tc>
          <w:tcPr>
            <w:tcW w:w="538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Картофель (100 г или 1 средняя картофелина)</w:t>
            </w:r>
          </w:p>
        </w:tc>
        <w:tc>
          <w:tcPr>
            <w:tcW w:w="480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2</w:t>
            </w:r>
          </w:p>
        </w:tc>
      </w:tr>
      <w:tr w:rsidR="00D27BC6">
        <w:trPr>
          <w:trHeight w:val="320"/>
        </w:trPr>
        <w:tc>
          <w:tcPr>
            <w:tcW w:w="538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Фасоль (100 г)</w:t>
            </w:r>
          </w:p>
        </w:tc>
        <w:tc>
          <w:tcPr>
            <w:tcW w:w="480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21</w:t>
            </w:r>
          </w:p>
        </w:tc>
      </w:tr>
      <w:tr w:rsidR="00D27BC6">
        <w:trPr>
          <w:trHeight w:val="320"/>
        </w:trPr>
        <w:tc>
          <w:tcPr>
            <w:tcW w:w="5386"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Чечевица (100 г)</w:t>
            </w:r>
          </w:p>
        </w:tc>
        <w:tc>
          <w:tcPr>
            <w:tcW w:w="4809"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24</w:t>
            </w:r>
          </w:p>
        </w:tc>
      </w:tr>
    </w:tbl>
    <w:p w:rsidR="00D27BC6" w:rsidRDefault="004D5071">
      <w:pPr>
        <w:ind w:left="281" w:right="51"/>
        <w:jc w:val="left"/>
      </w:pPr>
      <w:r>
        <w:rPr>
          <w:b/>
        </w:rPr>
        <w:t xml:space="preserve">Обязательными мерами, кроме ограничения белка, могут быть: </w:t>
      </w:r>
    </w:p>
    <w:p w:rsidR="00D27BC6" w:rsidRDefault="004D5071">
      <w:pPr>
        <w:numPr>
          <w:ilvl w:val="0"/>
          <w:numId w:val="179"/>
        </w:numPr>
        <w:spacing w:after="8" w:line="231" w:lineRule="auto"/>
        <w:ind w:right="0" w:hanging="283"/>
        <w:jc w:val="left"/>
      </w:pPr>
      <w:r>
        <w:t>Ограничение продуктов, богатых калием, таких, как: орехи, горох желтый, капуста брюссельская, краснокочанная, картофель, ревень, редька, шпинат, щавель, изюм, курага чернослив, персики, абрикосы, ананас, бананы, кизил, финики, шелковица, смородина черная.</w:t>
      </w:r>
    </w:p>
    <w:p w:rsidR="00D27BC6" w:rsidRDefault="004D5071">
      <w:pPr>
        <w:numPr>
          <w:ilvl w:val="0"/>
          <w:numId w:val="179"/>
        </w:numPr>
        <w:spacing w:after="0" w:line="259" w:lineRule="auto"/>
        <w:ind w:right="0" w:hanging="283"/>
        <w:jc w:val="left"/>
      </w:pPr>
      <w:r>
        <w:t xml:space="preserve">Ограничение </w:t>
      </w:r>
      <w:r>
        <w:rPr>
          <w:u w:val="single" w:color="000000"/>
        </w:rPr>
        <w:t>поваренной соли!</w:t>
      </w:r>
      <w:r>
        <w:rPr>
          <w:b/>
        </w:rPr>
        <w:t xml:space="preserve">  </w:t>
      </w:r>
    </w:p>
    <w:p w:rsidR="00D27BC6" w:rsidRDefault="004D5071">
      <w:pPr>
        <w:spacing w:after="226"/>
        <w:ind w:left="294" w:right="0"/>
      </w:pPr>
      <w:r>
        <w:rPr>
          <w:b/>
        </w:rPr>
        <w:t xml:space="preserve">Общее количество соли на день – не более 5 г, то есть неполная чайная ложка. </w:t>
      </w:r>
    </w:p>
    <w:p w:rsidR="00D27BC6" w:rsidRDefault="004D5071">
      <w:pPr>
        <w:ind w:left="-11" w:right="0" w:firstLine="283"/>
      </w:pPr>
      <w:r>
        <w:t>По возможности следует исключить из питания продукты, богатые солью: соленья (огурцы, помидоры, капуста), маринады, сельдь, консервы любые, готовые соусы.</w:t>
      </w:r>
    </w:p>
    <w:p w:rsidR="00D27BC6" w:rsidRDefault="004D5071">
      <w:pPr>
        <w:spacing w:after="12"/>
        <w:ind w:left="290" w:right="278"/>
        <w:jc w:val="center"/>
      </w:pPr>
      <w:r>
        <w:rPr>
          <w:b/>
        </w:rPr>
        <w:t xml:space="preserve">ПРИЛОЖЕНИЕ 9.  </w:t>
      </w:r>
    </w:p>
    <w:p w:rsidR="00D27BC6" w:rsidRDefault="004D5071">
      <w:pPr>
        <w:spacing w:after="226"/>
        <w:ind w:left="290" w:right="280"/>
        <w:jc w:val="center"/>
      </w:pPr>
      <w:r>
        <w:rPr>
          <w:b/>
        </w:rPr>
        <w:t>ТЕСТ MINI-COG ДЛЯ ЭКСПРЕСС-СКРИНИНГА ДЛЯ РАННЕГО ВЫЯВЛЕНИЯ ДЕМЕНЦИИ (MINI-COG.COM)</w:t>
      </w:r>
    </w:p>
    <w:p w:rsidR="00D27BC6" w:rsidRDefault="004D5071">
      <w:pPr>
        <w:spacing w:after="233"/>
        <w:ind w:left="281" w:right="51"/>
        <w:jc w:val="left"/>
      </w:pPr>
      <w:r>
        <w:rPr>
          <w:b/>
        </w:rPr>
        <w:t>По</w:t>
      </w:r>
      <w:r>
        <w:rPr>
          <w:b/>
        </w:rPr>
        <w:t xml:space="preserve">рядок проведения </w:t>
      </w:r>
    </w:p>
    <w:p w:rsidR="00D27BC6" w:rsidRDefault="004D5071">
      <w:pPr>
        <w:spacing w:after="237"/>
        <w:ind w:left="-11" w:right="0" w:firstLine="283"/>
      </w:pPr>
      <w:r>
        <w:rPr>
          <w:b/>
        </w:rPr>
        <w:t xml:space="preserve">Шаг 1. </w:t>
      </w:r>
      <w:r>
        <w:t>Посмотрите прямо на пациента и скажите: «Пожалуйста, послушайте внимательно. Я сейчас произнесу три слова, которые нужно повторить за мной и постараться запомнить. Это слова: лимон, ключ, шар (вариант – стакан, яблоко, ключ). Пожал</w:t>
      </w:r>
      <w:r>
        <w:t xml:space="preserve">уйста, повторите их теперь». Если пациент не в состоянии повторить эти три слова с трех попыток, переходите к шагу 2 (рисованию часов). </w:t>
      </w:r>
    </w:p>
    <w:p w:rsidR="00D27BC6" w:rsidRDefault="004D5071">
      <w:pPr>
        <w:ind w:left="294" w:right="0"/>
      </w:pPr>
      <w:r>
        <w:rPr>
          <w:b/>
        </w:rPr>
        <w:t>Шаг 2.</w:t>
      </w:r>
      <w:r>
        <w:t xml:space="preserve"> Дайте пациенту лист бумаги и скажите: «Теперь я хочу, чтобы вы нарисовали круглые часы. Сначала рас-</w:t>
      </w:r>
    </w:p>
    <w:p w:rsidR="00D27BC6" w:rsidRDefault="004D5071">
      <w:pPr>
        <w:spacing w:after="251" w:line="231" w:lineRule="auto"/>
        <w:ind w:left="-3" w:right="0"/>
        <w:jc w:val="left"/>
      </w:pPr>
      <w:r>
        <w:t xml:space="preserve">ставьте по </w:t>
      </w:r>
      <w:r>
        <w:t xml:space="preserve">порядку цифры внутри круга». Дождитесь выполнения, затем скажите: «Нарисуйте стрелки так, чтобы они показывали десять минут двенадцатого». Если необходимо, повторите инструкцию. Если часы не нарисованы в течение трех минут, переходите к шагу 3. </w:t>
      </w:r>
    </w:p>
    <w:p w:rsidR="00D27BC6" w:rsidRDefault="004D5071">
      <w:pPr>
        <w:spacing w:after="230"/>
        <w:ind w:left="-11" w:right="0" w:firstLine="283"/>
      </w:pPr>
      <w:r>
        <w:rPr>
          <w:b/>
        </w:rPr>
        <w:t xml:space="preserve">Шаг 3. </w:t>
      </w:r>
      <w:r>
        <w:t>Пре</w:t>
      </w:r>
      <w:r>
        <w:t>дложите пациенту вспомнить слова, которые вы произнесли в задании Шага 1. Скажите: «Какие три слова я попросил Вас запомнить?»</w:t>
      </w:r>
    </w:p>
    <w:p w:rsidR="00D27BC6" w:rsidRDefault="004D5071">
      <w:pPr>
        <w:ind w:left="281" w:right="51"/>
        <w:jc w:val="left"/>
      </w:pPr>
      <w:r>
        <w:rPr>
          <w:b/>
        </w:rPr>
        <w:t xml:space="preserve">Подсчет баллов: </w:t>
      </w:r>
    </w:p>
    <w:tbl>
      <w:tblPr>
        <w:tblStyle w:val="TableGrid"/>
        <w:tblW w:w="10185" w:type="dxa"/>
        <w:tblInd w:w="8" w:type="dxa"/>
        <w:tblCellMar>
          <w:top w:w="9" w:type="dxa"/>
          <w:left w:w="57" w:type="dxa"/>
          <w:bottom w:w="0" w:type="dxa"/>
          <w:right w:w="115" w:type="dxa"/>
        </w:tblCellMar>
        <w:tblLook w:val="04A0" w:firstRow="1" w:lastRow="0" w:firstColumn="1" w:lastColumn="0" w:noHBand="0" w:noVBand="1"/>
      </w:tblPr>
      <w:tblGrid>
        <w:gridCol w:w="1570"/>
        <w:gridCol w:w="8615"/>
      </w:tblGrid>
      <w:tr w:rsidR="00D27BC6">
        <w:trPr>
          <w:trHeight w:val="560"/>
        </w:trPr>
        <w:tc>
          <w:tcPr>
            <w:tcW w:w="1570"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Запоминание слов:</w:t>
            </w:r>
          </w:p>
        </w:tc>
        <w:tc>
          <w:tcPr>
            <w:tcW w:w="861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 __________ (0–3 балла) </w:t>
            </w:r>
          </w:p>
          <w:p w:rsidR="00D27BC6" w:rsidRDefault="004D5071">
            <w:pPr>
              <w:spacing w:after="0" w:line="259" w:lineRule="auto"/>
              <w:ind w:left="0" w:right="0" w:firstLine="0"/>
              <w:jc w:val="left"/>
            </w:pPr>
            <w:r>
              <w:t xml:space="preserve">По одному баллу за каждое слово, повторенное без подсказки. </w:t>
            </w:r>
          </w:p>
        </w:tc>
      </w:tr>
      <w:tr w:rsidR="00D27BC6">
        <w:trPr>
          <w:trHeight w:val="1620"/>
        </w:trPr>
        <w:tc>
          <w:tcPr>
            <w:tcW w:w="1570" w:type="dxa"/>
            <w:tcBorders>
              <w:top w:val="single" w:sz="6" w:space="0" w:color="000000"/>
              <w:left w:val="single" w:sz="6" w:space="0" w:color="000000"/>
              <w:bottom w:val="single" w:sz="6" w:space="0" w:color="000000"/>
              <w:right w:val="single" w:sz="6" w:space="0" w:color="000000"/>
            </w:tcBorders>
            <w:shd w:val="clear" w:color="auto" w:fill="DADAD9"/>
            <w:vAlign w:val="center"/>
          </w:tcPr>
          <w:p w:rsidR="00D27BC6" w:rsidRDefault="004D5071">
            <w:pPr>
              <w:spacing w:after="0" w:line="259" w:lineRule="auto"/>
              <w:ind w:left="0" w:right="0" w:firstLine="0"/>
              <w:jc w:val="left"/>
            </w:pPr>
            <w:r>
              <w:rPr>
                <w:b/>
              </w:rPr>
              <w:t>Рисование часов:</w:t>
            </w:r>
          </w:p>
        </w:tc>
        <w:tc>
          <w:tcPr>
            <w:tcW w:w="8615" w:type="dxa"/>
            <w:tcBorders>
              <w:top w:val="single" w:sz="6" w:space="0" w:color="000000"/>
              <w:left w:val="single" w:sz="6" w:space="0" w:color="000000"/>
              <w:bottom w:val="single" w:sz="6" w:space="0" w:color="000000"/>
              <w:right w:val="single" w:sz="6" w:space="0" w:color="000000"/>
            </w:tcBorders>
          </w:tcPr>
          <w:p w:rsidR="00D27BC6" w:rsidRDefault="004D5071">
            <w:pPr>
              <w:spacing w:after="90" w:line="259" w:lineRule="auto"/>
              <w:ind w:left="0" w:right="0" w:firstLine="0"/>
              <w:jc w:val="left"/>
            </w:pPr>
            <w:r>
              <w:t xml:space="preserve"> __________ (0–2 балла) </w:t>
            </w:r>
          </w:p>
          <w:p w:rsidR="00D27BC6" w:rsidRDefault="004D5071">
            <w:pPr>
              <w:spacing w:after="113" w:line="236" w:lineRule="auto"/>
              <w:ind w:left="0" w:right="0" w:firstLine="0"/>
              <w:jc w:val="left"/>
            </w:pPr>
            <w:r>
              <w:t>1 балл – все цифры расставлены в правильном порядке и приблизительно на то место, которое они занимают на циферблате</w:t>
            </w:r>
          </w:p>
          <w:p w:rsidR="00D27BC6" w:rsidRDefault="004D5071">
            <w:pPr>
              <w:spacing w:after="90" w:line="259" w:lineRule="auto"/>
              <w:ind w:left="0" w:right="0" w:firstLine="0"/>
              <w:jc w:val="left"/>
            </w:pPr>
            <w:r>
              <w:t>1 балл – стрелки указывают на 11 и на 2; длина стрелок (часовая, минутная) не оценивается.</w:t>
            </w:r>
          </w:p>
          <w:p w:rsidR="00D27BC6" w:rsidRDefault="004D5071">
            <w:pPr>
              <w:spacing w:after="0" w:line="259" w:lineRule="auto"/>
              <w:ind w:left="0" w:right="0" w:firstLine="0"/>
              <w:jc w:val="left"/>
            </w:pPr>
            <w:r>
              <w:t>Неспос</w:t>
            </w:r>
            <w:r>
              <w:t xml:space="preserve">обность или отказ нарисовать часы – 0 баллов. </w:t>
            </w:r>
          </w:p>
        </w:tc>
      </w:tr>
      <w:tr w:rsidR="00D27BC6">
        <w:trPr>
          <w:trHeight w:val="560"/>
        </w:trPr>
        <w:tc>
          <w:tcPr>
            <w:tcW w:w="1570"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0" w:right="0" w:firstLine="0"/>
              <w:jc w:val="left"/>
            </w:pPr>
            <w:r>
              <w:rPr>
                <w:b/>
              </w:rPr>
              <w:t>Общий результат:</w:t>
            </w:r>
          </w:p>
        </w:tc>
        <w:tc>
          <w:tcPr>
            <w:tcW w:w="861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 __________(0–5 баллов) </w:t>
            </w:r>
          </w:p>
          <w:p w:rsidR="00D27BC6" w:rsidRDefault="004D5071">
            <w:pPr>
              <w:spacing w:after="0" w:line="259" w:lineRule="auto"/>
              <w:ind w:left="0" w:right="0" w:firstLine="0"/>
              <w:jc w:val="left"/>
            </w:pPr>
            <w:r>
              <w:t>Сумма результатов двух заданий: «Запоминания слов» и «Рисования часов».</w:t>
            </w:r>
          </w:p>
        </w:tc>
      </w:tr>
    </w:tbl>
    <w:p w:rsidR="00D27BC6" w:rsidRDefault="004D5071">
      <w:pPr>
        <w:ind w:left="281" w:right="51"/>
        <w:jc w:val="left"/>
      </w:pPr>
      <w:r>
        <w:rPr>
          <w:b/>
        </w:rPr>
        <w:t>Интерпретация результатов:</w:t>
      </w:r>
    </w:p>
    <w:p w:rsidR="00D27BC6" w:rsidRDefault="004D5071">
      <w:pPr>
        <w:ind w:left="294" w:right="0"/>
      </w:pPr>
      <w:r>
        <w:t xml:space="preserve">Если набрано менее 3 баллов, это основание предположить деменцию. </w:t>
      </w:r>
    </w:p>
    <w:p w:rsidR="00D27BC6" w:rsidRDefault="004D5071">
      <w:pPr>
        <w:ind w:left="294" w:right="0"/>
      </w:pPr>
      <w:r>
        <w:t xml:space="preserve">Результат менее 4 баллов указывает на необходимость более глубокого обследования </w:t>
      </w:r>
    </w:p>
    <w:p w:rsidR="00D27BC6" w:rsidRDefault="004D5071">
      <w:pPr>
        <w:spacing w:after="12"/>
        <w:ind w:left="290" w:right="278"/>
        <w:jc w:val="center"/>
      </w:pPr>
      <w:r>
        <w:rPr>
          <w:b/>
        </w:rPr>
        <w:t xml:space="preserve">ПРИЛОЖЕНИЕ 10.  </w:t>
      </w:r>
    </w:p>
    <w:p w:rsidR="00D27BC6" w:rsidRDefault="004D5071">
      <w:pPr>
        <w:spacing w:after="226"/>
        <w:ind w:left="2449" w:right="0"/>
      </w:pPr>
      <w:r>
        <w:rPr>
          <w:b/>
        </w:rPr>
        <w:t>ПРАВИЛА УХОДА ЗА НОГАМИ ПРИ САХАРНОМ ДИАБЕТЕ.</w:t>
      </w:r>
    </w:p>
    <w:p w:rsidR="00D27BC6" w:rsidRDefault="004D5071">
      <w:pPr>
        <w:numPr>
          <w:ilvl w:val="0"/>
          <w:numId w:val="180"/>
        </w:numPr>
        <w:spacing w:after="230"/>
        <w:ind w:right="940" w:hanging="283"/>
        <w:jc w:val="left"/>
      </w:pPr>
      <w:r>
        <w:rPr>
          <w:b/>
        </w:rPr>
        <w:t>Ежедневно самостоятельно или с участием членов семьи осматривайте стопы, состояние кожи, включая промежутки ме</w:t>
      </w:r>
      <w:r>
        <w:rPr>
          <w:b/>
        </w:rPr>
        <w:t xml:space="preserve">жду пальцами. </w:t>
      </w:r>
    </w:p>
    <w:p w:rsidR="00D27BC6" w:rsidRDefault="004D5071">
      <w:pPr>
        <w:numPr>
          <w:ilvl w:val="0"/>
          <w:numId w:val="180"/>
        </w:numPr>
        <w:spacing w:after="217"/>
        <w:ind w:right="940" w:hanging="283"/>
        <w:jc w:val="left"/>
      </w:pPr>
      <w:r>
        <w:rPr>
          <w:b/>
        </w:rPr>
        <w:t xml:space="preserve">Немедленно сообщите лечащему врачу о наличии потертостей, порезов, трещин, царапин, ран и других повреждений кожи. </w:t>
      </w:r>
    </w:p>
    <w:p w:rsidR="00D27BC6" w:rsidRDefault="004D5071">
      <w:pPr>
        <w:numPr>
          <w:ilvl w:val="0"/>
          <w:numId w:val="180"/>
        </w:numPr>
        <w:spacing w:after="228"/>
        <w:ind w:right="940" w:hanging="283"/>
        <w:jc w:val="left"/>
      </w:pPr>
      <w:r>
        <w:rPr>
          <w:b/>
        </w:rPr>
        <w:t xml:space="preserve">Ежедневно мойте ноги теплой водой (температура ниже 37 </w:t>
      </w:r>
      <w:r>
        <w:rPr>
          <w:b/>
          <w:sz w:val="18"/>
          <w:vertAlign w:val="superscript"/>
        </w:rPr>
        <w:t>0</w:t>
      </w:r>
      <w:r>
        <w:rPr>
          <w:b/>
        </w:rPr>
        <w:t>С), просушивайте стопы аккуратно, мягким полотенцем, не забывая о меж</w:t>
      </w:r>
      <w:r>
        <w:rPr>
          <w:b/>
        </w:rPr>
        <w:t>пальцевых промежутках.</w:t>
      </w:r>
    </w:p>
    <w:p w:rsidR="00D27BC6" w:rsidRDefault="004D5071">
      <w:pPr>
        <w:numPr>
          <w:ilvl w:val="0"/>
          <w:numId w:val="180"/>
        </w:numPr>
        <w:spacing w:after="230"/>
        <w:ind w:right="940" w:hanging="283"/>
        <w:jc w:val="left"/>
      </w:pPr>
      <w:r>
        <w:rPr>
          <w:b/>
        </w:rPr>
        <w:t>При наличии ороговевшей кожи обработайте эти участки пемзой или специальной пилкой для кожи (не металлической). Не пользуйтесь для этих целей лезвием или ножницами.</w:t>
      </w:r>
    </w:p>
    <w:p w:rsidR="00D27BC6" w:rsidRDefault="004D5071">
      <w:pPr>
        <w:numPr>
          <w:ilvl w:val="0"/>
          <w:numId w:val="180"/>
        </w:numPr>
        <w:spacing w:after="226"/>
        <w:ind w:right="940" w:hanging="283"/>
        <w:jc w:val="left"/>
      </w:pPr>
      <w:r>
        <w:rPr>
          <w:b/>
        </w:rPr>
        <w:t>Не используйте химические препараты или пластыри для удаления мозоле</w:t>
      </w:r>
      <w:r>
        <w:rPr>
          <w:b/>
        </w:rPr>
        <w:t>й и ороговевшей кожи.</w:t>
      </w:r>
    </w:p>
    <w:p w:rsidR="00D27BC6" w:rsidRDefault="004D5071">
      <w:pPr>
        <w:numPr>
          <w:ilvl w:val="0"/>
          <w:numId w:val="180"/>
        </w:numPr>
        <w:spacing w:after="230"/>
        <w:ind w:right="940" w:hanging="283"/>
        <w:jc w:val="left"/>
      </w:pPr>
      <w:r>
        <w:rPr>
          <w:b/>
        </w:rPr>
        <w:t>При сухой коже стоп после мытья смажьте их кремом, содержащим мочевину, кроме межпальцевых промежутков.</w:t>
      </w:r>
    </w:p>
    <w:p w:rsidR="00D27BC6" w:rsidRDefault="004D5071">
      <w:pPr>
        <w:numPr>
          <w:ilvl w:val="0"/>
          <w:numId w:val="180"/>
        </w:numPr>
        <w:spacing w:after="230"/>
        <w:ind w:right="940" w:hanging="283"/>
        <w:jc w:val="left"/>
      </w:pPr>
      <w:r>
        <w:rPr>
          <w:b/>
        </w:rPr>
        <w:t>Осторожно обрабатывайте ногти, не закругляя уголки, используя пилочку, а не острые и режущие инструменты.</w:t>
      </w:r>
    </w:p>
    <w:p w:rsidR="00D27BC6" w:rsidRDefault="004D5071">
      <w:pPr>
        <w:numPr>
          <w:ilvl w:val="0"/>
          <w:numId w:val="180"/>
        </w:numPr>
        <w:spacing w:after="230"/>
        <w:ind w:right="940" w:hanging="283"/>
        <w:jc w:val="left"/>
      </w:pPr>
      <w:r>
        <w:rPr>
          <w:b/>
        </w:rPr>
        <w:t>Для согревания ног польз</w:t>
      </w:r>
      <w:r>
        <w:rPr>
          <w:b/>
        </w:rPr>
        <w:t>уйтесь теплыми носками, а не грелкой или горячей водой, которые могут вызвать ожог из-за снижения чувствительности.</w:t>
      </w:r>
    </w:p>
    <w:p w:rsidR="00D27BC6" w:rsidRDefault="004D5071">
      <w:pPr>
        <w:numPr>
          <w:ilvl w:val="0"/>
          <w:numId w:val="180"/>
        </w:numPr>
        <w:spacing w:after="226"/>
        <w:ind w:right="940" w:hanging="283"/>
        <w:jc w:val="left"/>
      </w:pPr>
      <w:r>
        <w:rPr>
          <w:b/>
        </w:rPr>
        <w:t>Носите бесшовные (или со швами наружу) носки/колготы, меняйте их ежедневно.</w:t>
      </w:r>
    </w:p>
    <w:p w:rsidR="00D27BC6" w:rsidRDefault="004D5071">
      <w:pPr>
        <w:numPr>
          <w:ilvl w:val="0"/>
          <w:numId w:val="180"/>
        </w:numPr>
        <w:spacing w:after="226"/>
        <w:ind w:right="940" w:hanging="283"/>
        <w:jc w:val="left"/>
      </w:pPr>
      <w:r>
        <w:rPr>
          <w:b/>
        </w:rPr>
        <w:t>Не ходите без обуви дома и на улице, не надевайте обувь на босую</w:t>
      </w:r>
      <w:r>
        <w:rPr>
          <w:b/>
        </w:rPr>
        <w:t xml:space="preserve"> ногу.</w:t>
      </w:r>
    </w:p>
    <w:p w:rsidR="00D27BC6" w:rsidRDefault="004D5071">
      <w:pPr>
        <w:numPr>
          <w:ilvl w:val="0"/>
          <w:numId w:val="180"/>
        </w:numPr>
        <w:spacing w:after="230"/>
        <w:ind w:right="940" w:hanging="283"/>
        <w:jc w:val="left"/>
      </w:pPr>
      <w:r>
        <w:rPr>
          <w:b/>
        </w:rPr>
        <w:t>Проконсультируйтесь со специалистом кабинета «Диабетическая стопа» или ортопедом, нужно ли вам носить профилактическую или сложную ортопедическую обувь.</w:t>
      </w:r>
    </w:p>
    <w:p w:rsidR="00D27BC6" w:rsidRDefault="004D5071">
      <w:pPr>
        <w:numPr>
          <w:ilvl w:val="0"/>
          <w:numId w:val="180"/>
        </w:numPr>
        <w:spacing w:after="230"/>
        <w:ind w:right="940" w:hanging="283"/>
        <w:jc w:val="left"/>
      </w:pPr>
      <w:r>
        <w:rPr>
          <w:b/>
        </w:rPr>
        <w:t>Ежедневно осматривайте обувь: нет ли в ней инородного предмета, не завернулась ли стелька, так к</w:t>
      </w:r>
      <w:r>
        <w:rPr>
          <w:b/>
        </w:rPr>
        <w:t>ак это может привести к потертости кожи стоп.</w:t>
      </w:r>
    </w:p>
    <w:p w:rsidR="00D27BC6" w:rsidRDefault="004D5071">
      <w:pPr>
        <w:numPr>
          <w:ilvl w:val="0"/>
          <w:numId w:val="180"/>
        </w:numPr>
        <w:ind w:right="940" w:hanging="283"/>
        <w:jc w:val="left"/>
      </w:pPr>
      <w:r>
        <w:rPr>
          <w:b/>
        </w:rPr>
        <w:t>При повреждении кожи (трещина, царапина, порез) не используйте спиртосодержащие и красящие растворы. Используйте для обработки бесцветные водные антисептические растворы.</w:t>
      </w:r>
    </w:p>
    <w:p w:rsidR="00D27BC6" w:rsidRDefault="004D5071">
      <w:pPr>
        <w:spacing w:after="12"/>
        <w:ind w:left="290" w:right="278"/>
        <w:jc w:val="center"/>
      </w:pPr>
      <w:r>
        <w:rPr>
          <w:b/>
        </w:rPr>
        <w:t xml:space="preserve">ПРИЛОЖЕНИЕ 11.  </w:t>
      </w:r>
    </w:p>
    <w:p w:rsidR="00D27BC6" w:rsidRDefault="004D5071">
      <w:pPr>
        <w:spacing w:after="226"/>
        <w:ind w:left="290" w:right="278"/>
        <w:jc w:val="center"/>
      </w:pPr>
      <w:r>
        <w:rPr>
          <w:b/>
        </w:rPr>
        <w:t xml:space="preserve">ОРТОПЕДИЧЕСКАЯ ОБУВЬ ДЛЯ ПАЦИЕНТОВ С САХАРНЫМ ДИАБЕТОМ. </w:t>
      </w:r>
    </w:p>
    <w:p w:rsidR="00D27BC6" w:rsidRDefault="004D5071">
      <w:pPr>
        <w:spacing w:after="227"/>
        <w:ind w:left="281" w:right="51"/>
        <w:jc w:val="left"/>
      </w:pPr>
      <w:r>
        <w:rPr>
          <w:b/>
        </w:rPr>
        <w:t>Главная задача:</w:t>
      </w:r>
    </w:p>
    <w:p w:rsidR="00D27BC6" w:rsidRDefault="004D5071">
      <w:pPr>
        <w:numPr>
          <w:ilvl w:val="0"/>
          <w:numId w:val="181"/>
        </w:numPr>
        <w:ind w:right="0" w:hanging="283"/>
      </w:pPr>
      <w:r>
        <w:t xml:space="preserve">снижать давление на перегруженные участки подошвенной поверхности (на которых уже могут быть предъязвенные изменения). </w:t>
      </w:r>
    </w:p>
    <w:p w:rsidR="00D27BC6" w:rsidRDefault="004D5071">
      <w:pPr>
        <w:spacing w:after="226"/>
        <w:ind w:left="294" w:right="0"/>
      </w:pPr>
      <w:r>
        <w:t>Именно для реализации этого пункта и необходима специальная кон</w:t>
      </w:r>
      <w:r>
        <w:t xml:space="preserve">струкция ортопедической обуви и стелек. </w:t>
      </w:r>
    </w:p>
    <w:p w:rsidR="00D27BC6" w:rsidRDefault="004D5071">
      <w:pPr>
        <w:spacing w:after="227"/>
        <w:ind w:left="281" w:right="51"/>
        <w:jc w:val="left"/>
      </w:pPr>
      <w:r>
        <w:rPr>
          <w:b/>
        </w:rPr>
        <w:t>Прочие задачи ортопедической обуви:</w:t>
      </w:r>
    </w:p>
    <w:p w:rsidR="00D27BC6" w:rsidRDefault="004D5071">
      <w:pPr>
        <w:numPr>
          <w:ilvl w:val="0"/>
          <w:numId w:val="181"/>
        </w:numPr>
        <w:ind w:right="0" w:hanging="283"/>
      </w:pPr>
      <w:r>
        <w:t>Предотвращать горизонтальное трение на подошвенной поверхности стопы.</w:t>
      </w:r>
    </w:p>
    <w:p w:rsidR="00D27BC6" w:rsidRDefault="004D5071">
      <w:pPr>
        <w:numPr>
          <w:ilvl w:val="0"/>
          <w:numId w:val="181"/>
        </w:numPr>
        <w:ind w:right="0" w:hanging="283"/>
      </w:pPr>
      <w:r>
        <w:t>Не сдавливать стопу сбоку и сверху (даже при деформациях), не травмировать жестким верхом передний отдел стоп</w:t>
      </w:r>
      <w:r>
        <w:t>ы (пальцы).</w:t>
      </w:r>
    </w:p>
    <w:p w:rsidR="00D27BC6" w:rsidRDefault="004D5071">
      <w:pPr>
        <w:numPr>
          <w:ilvl w:val="0"/>
          <w:numId w:val="181"/>
        </w:numPr>
        <w:ind w:right="0" w:hanging="283"/>
      </w:pPr>
      <w:r>
        <w:t>Фиксировать, стабилизировать суставы стопы и, при необходимости, голеностопный сустав.</w:t>
      </w:r>
    </w:p>
    <w:p w:rsidR="00D27BC6" w:rsidRDefault="004D5071">
      <w:pPr>
        <w:numPr>
          <w:ilvl w:val="0"/>
          <w:numId w:val="181"/>
        </w:numPr>
        <w:ind w:right="0" w:hanging="283"/>
      </w:pPr>
      <w:r>
        <w:t>Защищать стопу от травматизации и неблагоприятных факторов внешней среды.</w:t>
      </w:r>
    </w:p>
    <w:p w:rsidR="00D27BC6" w:rsidRDefault="004D5071">
      <w:pPr>
        <w:numPr>
          <w:ilvl w:val="0"/>
          <w:numId w:val="181"/>
        </w:numPr>
        <w:spacing w:after="230"/>
        <w:ind w:right="0" w:hanging="283"/>
      </w:pPr>
      <w:r>
        <w:t>Обеспечивать достаточную вентиляцию стопы, комфорт, удобство при одевании и снятии,</w:t>
      </w:r>
      <w:r>
        <w:t xml:space="preserve"> возможность регулировки объема в течение дня.</w:t>
      </w:r>
    </w:p>
    <w:p w:rsidR="00D27BC6" w:rsidRDefault="004D5071">
      <w:pPr>
        <w:spacing w:after="226"/>
        <w:ind w:left="281" w:right="51"/>
        <w:jc w:val="left"/>
      </w:pPr>
      <w:r>
        <w:rPr>
          <w:b/>
        </w:rPr>
        <w:t>Особенности конструкции:</w:t>
      </w:r>
    </w:p>
    <w:p w:rsidR="00D27BC6" w:rsidRDefault="004D5071">
      <w:pPr>
        <w:ind w:left="-13" w:right="0" w:firstLine="283"/>
      </w:pPr>
      <w:r>
        <w:rPr>
          <w:b/>
        </w:rPr>
        <w:t>Общие требования для всех категорий пациентов c СД без учёта вида (сложности) ортопедической обуви, степени риска синдрома диабетической стопы (СДС) и отдельных клинических ситуаций:</w:t>
      </w:r>
    </w:p>
    <w:p w:rsidR="00D27BC6" w:rsidRDefault="004D5071">
      <w:pPr>
        <w:numPr>
          <w:ilvl w:val="0"/>
          <w:numId w:val="182"/>
        </w:numPr>
        <w:ind w:right="0" w:hanging="283"/>
      </w:pPr>
      <w:r>
        <w:t>Ригидная (жёсткая, не сгибаемая) подошва с искусственным перекатом.</w:t>
      </w:r>
    </w:p>
    <w:p w:rsidR="00D27BC6" w:rsidRDefault="004D5071">
      <w:pPr>
        <w:numPr>
          <w:ilvl w:val="0"/>
          <w:numId w:val="182"/>
        </w:numPr>
        <w:ind w:right="0" w:hanging="283"/>
      </w:pPr>
      <w:r>
        <w:t>Минимальное количество швов на подкладке («бесшовность»).</w:t>
      </w:r>
    </w:p>
    <w:p w:rsidR="00D27BC6" w:rsidRDefault="004D5071">
      <w:pPr>
        <w:numPr>
          <w:ilvl w:val="0"/>
          <w:numId w:val="182"/>
        </w:numPr>
        <w:ind w:right="0" w:hanging="283"/>
      </w:pPr>
      <w:r>
        <w:t xml:space="preserve">Отсутствие подноска: эластичный (растяжимый) материал верха и подкладки в носочной части обуви. </w:t>
      </w:r>
    </w:p>
    <w:p w:rsidR="00D27BC6" w:rsidRDefault="004D5071">
      <w:pPr>
        <w:numPr>
          <w:ilvl w:val="0"/>
          <w:numId w:val="182"/>
        </w:numPr>
        <w:ind w:right="0" w:hanging="283"/>
      </w:pPr>
      <w:r>
        <w:t>Увеличенная полнота и дополнитель</w:t>
      </w:r>
      <w:r>
        <w:t>ный объем в носочной части обуви.</w:t>
      </w:r>
    </w:p>
    <w:p w:rsidR="00D27BC6" w:rsidRDefault="004D5071">
      <w:pPr>
        <w:numPr>
          <w:ilvl w:val="0"/>
          <w:numId w:val="182"/>
        </w:numPr>
        <w:ind w:right="0" w:hanging="283"/>
      </w:pPr>
      <w:r>
        <w:t>Возможность регулировать внутренний объем обуви (шнурки/застежки «липучки»).</w:t>
      </w:r>
    </w:p>
    <w:p w:rsidR="00D27BC6" w:rsidRDefault="004D5071">
      <w:pPr>
        <w:numPr>
          <w:ilvl w:val="0"/>
          <w:numId w:val="182"/>
        </w:numPr>
        <w:ind w:right="0" w:hanging="283"/>
      </w:pPr>
      <w:r>
        <w:t>Плотный (твёрдый) задник, с дополнительным смягчением со стороны подкладки.</w:t>
      </w:r>
    </w:p>
    <w:p w:rsidR="00D27BC6" w:rsidRDefault="004D5071">
      <w:pPr>
        <w:numPr>
          <w:ilvl w:val="0"/>
          <w:numId w:val="182"/>
        </w:numPr>
        <w:spacing w:after="226"/>
        <w:ind w:right="0" w:hanging="283"/>
      </w:pPr>
      <w:r>
        <w:t>Каблук со скошенным передним краем или сплошная подошва без каблука.</w:t>
      </w:r>
    </w:p>
    <w:p w:rsidR="00D27BC6" w:rsidRDefault="004D5071">
      <w:pPr>
        <w:spacing w:after="226"/>
        <w:ind w:left="281" w:right="51"/>
        <w:jc w:val="left"/>
      </w:pPr>
      <w:r>
        <w:rPr>
          <w:b/>
        </w:rPr>
        <w:t>Выбор обуви в зависимости от риска СДС:</w:t>
      </w:r>
    </w:p>
    <w:p w:rsidR="00D27BC6" w:rsidRDefault="004D5071">
      <w:pPr>
        <w:spacing w:after="228"/>
        <w:ind w:left="294" w:right="0"/>
      </w:pPr>
      <w:r>
        <w:rPr>
          <w:b/>
        </w:rPr>
        <w:t>Низкий риск СДС</w:t>
      </w:r>
    </w:p>
    <w:p w:rsidR="00D27BC6" w:rsidRDefault="004D5071">
      <w:pPr>
        <w:tabs>
          <w:tab w:val="center" w:pos="344"/>
          <w:tab w:val="center" w:pos="3058"/>
        </w:tabs>
        <w:ind w:left="0" w:right="0" w:firstLine="0"/>
        <w:jc w:val="left"/>
      </w:pPr>
      <w:r>
        <w:rPr>
          <w:sz w:val="22"/>
        </w:rPr>
        <w:tab/>
      </w:r>
      <w:r>
        <w:rPr>
          <w:rFonts w:ascii="Courier New" w:eastAsia="Courier New" w:hAnsi="Courier New" w:cs="Courier New"/>
        </w:rPr>
        <w:t>○</w:t>
      </w:r>
      <w:r>
        <w:rPr>
          <w:b/>
        </w:rPr>
        <w:t xml:space="preserve"> </w:t>
      </w:r>
      <w:r>
        <w:rPr>
          <w:b/>
        </w:rPr>
        <w:tab/>
        <w:t>Чувствительность сохранена, стопа без деформации:</w:t>
      </w:r>
    </w:p>
    <w:p w:rsidR="00D27BC6" w:rsidRDefault="004D5071">
      <w:pPr>
        <w:numPr>
          <w:ilvl w:val="1"/>
          <w:numId w:val="182"/>
        </w:numPr>
        <w:spacing w:after="227"/>
        <w:ind w:right="191" w:hanging="283"/>
      </w:pPr>
      <w:r>
        <w:t xml:space="preserve">ношение готовой обуви, купленной в обычном магазине, но с соблюдением правил подбора обуви. </w:t>
      </w:r>
    </w:p>
    <w:p w:rsidR="00D27BC6" w:rsidRDefault="004D5071">
      <w:pPr>
        <w:ind w:left="567" w:right="0" w:hanging="283"/>
      </w:pPr>
      <w:r>
        <w:rPr>
          <w:rFonts w:ascii="Courier New" w:eastAsia="Courier New" w:hAnsi="Courier New" w:cs="Courier New"/>
        </w:rPr>
        <w:t>○</w:t>
      </w:r>
      <w:r>
        <w:rPr>
          <w:b/>
        </w:rPr>
        <w:t xml:space="preserve"> </w:t>
      </w:r>
      <w:r>
        <w:rPr>
          <w:b/>
        </w:rPr>
        <w:t>Чувствительность снижена или отсутствует, стопа без деформации + размеры ее укладываются в имеющиеся колодки:</w:t>
      </w:r>
    </w:p>
    <w:p w:rsidR="00D27BC6" w:rsidRDefault="004D5071">
      <w:pPr>
        <w:numPr>
          <w:ilvl w:val="1"/>
          <w:numId w:val="182"/>
        </w:numPr>
        <w:spacing w:after="226"/>
        <w:ind w:right="191" w:hanging="283"/>
      </w:pPr>
      <w:r>
        <w:t xml:space="preserve">«обувь по готовой колодке» с типовой амортизирующей стелькой (подбор совместно с ортопедом). </w:t>
      </w:r>
    </w:p>
    <w:p w:rsidR="00D27BC6" w:rsidRDefault="004D5071">
      <w:pPr>
        <w:spacing w:after="227"/>
        <w:ind w:left="294" w:right="0"/>
      </w:pPr>
      <w:r>
        <w:rPr>
          <w:b/>
        </w:rPr>
        <w:t xml:space="preserve">Умеренный риск СДС </w:t>
      </w:r>
    </w:p>
    <w:p w:rsidR="00D27BC6" w:rsidRDefault="004D5071">
      <w:pPr>
        <w:ind w:left="567" w:right="0" w:hanging="283"/>
      </w:pPr>
      <w:r>
        <w:rPr>
          <w:rFonts w:ascii="Courier New" w:eastAsia="Courier New" w:hAnsi="Courier New" w:cs="Courier New"/>
        </w:rPr>
        <w:t>○</w:t>
      </w:r>
      <w:r>
        <w:rPr>
          <w:b/>
        </w:rPr>
        <w:t xml:space="preserve"> </w:t>
      </w:r>
      <w:r>
        <w:rPr>
          <w:b/>
        </w:rPr>
        <w:t xml:space="preserve">умеренные деформации (Hallux valgus I-II степени), умеренно выраженные клювовидные и молоткообразные пальцы, плоскостопие, нерезко выраженный пролапс головок плюсневых костей и др.): </w:t>
      </w:r>
    </w:p>
    <w:p w:rsidR="00D27BC6" w:rsidRDefault="004D5071">
      <w:pPr>
        <w:numPr>
          <w:ilvl w:val="1"/>
          <w:numId w:val="182"/>
        </w:numPr>
        <w:spacing w:after="230"/>
        <w:ind w:right="191" w:hanging="283"/>
      </w:pPr>
      <w:r>
        <w:t>Готовая (серийно изготовленная) обувь – «Обувь по готовой колодке»* (обы</w:t>
      </w:r>
      <w:r>
        <w:t>чно повышенной глубины) с индивидуально изготовленной стелькой (подбор совместно с ортопедом)</w:t>
      </w:r>
    </w:p>
    <w:p w:rsidR="00D27BC6" w:rsidRDefault="004D5071">
      <w:pPr>
        <w:spacing w:after="227"/>
        <w:ind w:left="294" w:right="0"/>
      </w:pPr>
      <w:r>
        <w:rPr>
          <w:b/>
        </w:rPr>
        <w:t xml:space="preserve">Высокий и очень высокий риск СДС </w:t>
      </w:r>
    </w:p>
    <w:p w:rsidR="00D27BC6" w:rsidRDefault="004D5071">
      <w:pPr>
        <w:ind w:left="567" w:right="0" w:hanging="283"/>
      </w:pPr>
      <w:r>
        <w:rPr>
          <w:rFonts w:ascii="Courier New" w:eastAsia="Courier New" w:hAnsi="Courier New" w:cs="Courier New"/>
        </w:rPr>
        <w:t>○</w:t>
      </w:r>
      <w:r>
        <w:rPr>
          <w:b/>
        </w:rPr>
        <w:t xml:space="preserve"> Тяжелые деформации (Hallux valgus III-IV степени и др.), деформации вследствие диабетической нейроостеоартропатии, предъязвенн</w:t>
      </w:r>
      <w:r>
        <w:rPr>
          <w:b/>
        </w:rPr>
        <w:t>ые изменения кожи, трофические раны в анамнезе (связанные с перегрузкой стоп при ходьбе), перенесенные ампутации в пределах стопы.</w:t>
      </w:r>
    </w:p>
    <w:p w:rsidR="00D27BC6" w:rsidRDefault="004D5071">
      <w:pPr>
        <w:numPr>
          <w:ilvl w:val="1"/>
          <w:numId w:val="182"/>
        </w:numPr>
        <w:spacing w:after="112"/>
        <w:ind w:right="191" w:hanging="283"/>
      </w:pPr>
      <w:r>
        <w:t>Обувь по индивидуальной колодке с индивидуально изготовленной стелькой (подбор совместно с ортопедом)</w:t>
      </w:r>
    </w:p>
    <w:p w:rsidR="00D27BC6" w:rsidRDefault="004D5071">
      <w:pPr>
        <w:spacing w:after="155"/>
        <w:ind w:left="-3" w:right="0"/>
      </w:pPr>
      <w:r>
        <w:rPr>
          <w:sz w:val="16"/>
        </w:rPr>
        <w:t>* Стопа без тяжелых деф</w:t>
      </w:r>
      <w:r>
        <w:rPr>
          <w:sz w:val="16"/>
        </w:rPr>
        <w:t>ормаций + размеры укладываются в имеющиеся колодки (с учетом их различных размеров и полноты).</w:t>
      </w:r>
    </w:p>
    <w:p w:rsidR="00D27BC6" w:rsidRDefault="004D5071">
      <w:pPr>
        <w:ind w:left="-13" w:right="0" w:firstLine="283"/>
      </w:pPr>
      <w:r>
        <w:rPr>
          <w:b/>
        </w:rPr>
        <w:t>! Выраженные нарушения чувствительности и большая двигательная активность (а также признаки неэффективности изготовленной обуви) часто требуют отнесения пациента</w:t>
      </w:r>
      <w:r>
        <w:rPr>
          <w:b/>
        </w:rPr>
        <w:t xml:space="preserve"> к более высокой категории.</w:t>
      </w:r>
    </w:p>
    <w:p w:rsidR="00D27BC6" w:rsidRDefault="004D5071">
      <w:pPr>
        <w:ind w:left="281" w:right="51"/>
        <w:jc w:val="left"/>
      </w:pPr>
      <w:r>
        <w:rPr>
          <w:b/>
        </w:rPr>
        <w:t>ПРАВИЛА ношения обуви:</w:t>
      </w:r>
    </w:p>
    <w:p w:rsidR="00D27BC6" w:rsidRDefault="004D5071">
      <w:pPr>
        <w:numPr>
          <w:ilvl w:val="0"/>
          <w:numId w:val="183"/>
        </w:numPr>
        <w:ind w:right="0" w:hanging="283"/>
      </w:pPr>
      <w:r>
        <w:t>Она приносит пользу лишь при ежедневном рутинном использовании.</w:t>
      </w:r>
    </w:p>
    <w:p w:rsidR="00D27BC6" w:rsidRDefault="004D5071">
      <w:pPr>
        <w:numPr>
          <w:ilvl w:val="0"/>
          <w:numId w:val="183"/>
        </w:numPr>
        <w:ind w:right="0" w:hanging="283"/>
      </w:pPr>
      <w:r>
        <w:t>Обувь и стелька – единое целое: нельзя перекладывать ортопедические стельки в обычную стандартную обувь.</w:t>
      </w:r>
    </w:p>
    <w:p w:rsidR="00D27BC6" w:rsidRDefault="004D5071">
      <w:pPr>
        <w:numPr>
          <w:ilvl w:val="0"/>
          <w:numId w:val="183"/>
        </w:numPr>
        <w:ind w:right="0" w:hanging="283"/>
      </w:pPr>
      <w:r>
        <w:t>Не реже 2 раз в год необходимо изгот</w:t>
      </w:r>
      <w:r>
        <w:t>овление новых стелек (или частичная замена материалов используемой стельки) и оценка износа подошвы.</w:t>
      </w:r>
    </w:p>
    <w:p w:rsidR="00D27BC6" w:rsidRDefault="004D5071">
      <w:pPr>
        <w:numPr>
          <w:ilvl w:val="0"/>
          <w:numId w:val="183"/>
        </w:numPr>
        <w:spacing w:after="226"/>
        <w:ind w:right="0" w:hanging="283"/>
      </w:pPr>
      <w:r>
        <w:t>Обязательно носить ортопедическую обувь не только на улице, но и в домашних условиях.</w:t>
      </w:r>
    </w:p>
    <w:p w:rsidR="00D27BC6" w:rsidRDefault="004D5071">
      <w:pPr>
        <w:ind w:left="281" w:right="51"/>
        <w:jc w:val="left"/>
      </w:pPr>
      <w:r>
        <w:rPr>
          <w:b/>
        </w:rPr>
        <w:t>Оценка эффективности ортопедической обуви.</w:t>
      </w:r>
    </w:p>
    <w:p w:rsidR="00D27BC6" w:rsidRDefault="004D5071">
      <w:pPr>
        <w:spacing w:after="230"/>
        <w:ind w:left="-11" w:right="0" w:firstLine="283"/>
      </w:pPr>
      <w:r>
        <w:t>Эффективность обуви – это ее способность предотвращать развитие или рецидивирование раневых дефектов, связанных с травматизацией стоп при ходьбе.</w:t>
      </w:r>
    </w:p>
    <w:p w:rsidR="00D27BC6" w:rsidRDefault="004D5071">
      <w:pPr>
        <w:ind w:left="281" w:right="51"/>
        <w:jc w:val="left"/>
      </w:pPr>
      <w:r>
        <w:rPr>
          <w:b/>
        </w:rPr>
        <w:t>Эффективность обуви можно оценить следующими методами:</w:t>
      </w:r>
    </w:p>
    <w:p w:rsidR="00D27BC6" w:rsidRDefault="004D5071">
      <w:pPr>
        <w:numPr>
          <w:ilvl w:val="0"/>
          <w:numId w:val="184"/>
        </w:numPr>
        <w:ind w:right="0" w:hanging="283"/>
      </w:pPr>
      <w:r>
        <w:t xml:space="preserve">C помощью педобарографии внутри обуви. </w:t>
      </w:r>
    </w:p>
    <w:p w:rsidR="00D27BC6" w:rsidRDefault="004D5071">
      <w:pPr>
        <w:numPr>
          <w:ilvl w:val="0"/>
          <w:numId w:val="184"/>
        </w:numPr>
        <w:ind w:right="0" w:hanging="283"/>
      </w:pPr>
      <w:r>
        <w:t>По уменьшению п</w:t>
      </w:r>
      <w:r>
        <w:t>редъязвенных изменений в «зонах риска».</w:t>
      </w:r>
    </w:p>
    <w:p w:rsidR="00D27BC6" w:rsidRDefault="004D5071">
      <w:pPr>
        <w:numPr>
          <w:ilvl w:val="0"/>
          <w:numId w:val="184"/>
        </w:numPr>
        <w:ind w:right="0" w:hanging="283"/>
      </w:pPr>
      <w:r>
        <w:t xml:space="preserve">По снижению частоты новых язв (исключая не связанные с обувью) при условии постоянного ее ношения. </w:t>
      </w:r>
      <w:r>
        <w:br w:type="page"/>
      </w:r>
    </w:p>
    <w:p w:rsidR="00D27BC6" w:rsidRDefault="004D5071">
      <w:pPr>
        <w:spacing w:after="12"/>
        <w:ind w:left="290" w:right="278"/>
        <w:jc w:val="center"/>
      </w:pPr>
      <w:r>
        <w:rPr>
          <w:b/>
        </w:rPr>
        <w:t xml:space="preserve">ПРИЛОЖЕНИЕ 12. </w:t>
      </w:r>
    </w:p>
    <w:p w:rsidR="00D27BC6" w:rsidRDefault="004D5071">
      <w:pPr>
        <w:spacing w:after="0" w:line="259" w:lineRule="auto"/>
        <w:ind w:left="10" w:right="835"/>
        <w:jc w:val="right"/>
      </w:pPr>
      <w:r>
        <w:rPr>
          <w:b/>
        </w:rPr>
        <w:t>ШКАЛА БАЛЛЬНОЙ ОЦЕНКИ СИМПТОМОВ НЕЙРОПАТИИ (NEUROPATHY SYMPTOM SCORE).</w:t>
      </w:r>
    </w:p>
    <w:tbl>
      <w:tblPr>
        <w:tblStyle w:val="TableGrid"/>
        <w:tblW w:w="10195" w:type="dxa"/>
        <w:tblInd w:w="8" w:type="dxa"/>
        <w:tblCellMar>
          <w:top w:w="9" w:type="dxa"/>
          <w:left w:w="56" w:type="dxa"/>
          <w:bottom w:w="63" w:type="dxa"/>
          <w:right w:w="115" w:type="dxa"/>
        </w:tblCellMar>
        <w:tblLook w:val="04A0" w:firstRow="1" w:lastRow="0" w:firstColumn="1" w:lastColumn="0" w:noHBand="0" w:noVBand="1"/>
      </w:tblPr>
      <w:tblGrid>
        <w:gridCol w:w="5097"/>
        <w:gridCol w:w="5097"/>
      </w:tblGrid>
      <w:tr w:rsidR="00D27BC6">
        <w:trPr>
          <w:trHeight w:val="320"/>
        </w:trPr>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Название симптома</w:t>
            </w:r>
          </w:p>
        </w:tc>
        <w:tc>
          <w:tcPr>
            <w:tcW w:w="5097"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Баллы</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Жжение, онемение, покалывание</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2</w:t>
            </w:r>
          </w:p>
        </w:tc>
      </w:tr>
      <w:tr w:rsidR="00D27BC6">
        <w:trPr>
          <w:trHeight w:val="32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Утомляемость, судороги, боли</w:t>
            </w:r>
          </w:p>
        </w:tc>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9" w:right="0" w:firstLine="0"/>
              <w:jc w:val="center"/>
            </w:pPr>
            <w:r>
              <w:t>1</w:t>
            </w:r>
          </w:p>
        </w:tc>
      </w:tr>
      <w:tr w:rsidR="00D27BC6">
        <w:trPr>
          <w:trHeight w:val="1153"/>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 xml:space="preserve">Локализация: </w:t>
            </w:r>
          </w:p>
          <w:p w:rsidR="00D27BC6" w:rsidRDefault="004D5071">
            <w:pPr>
              <w:numPr>
                <w:ilvl w:val="0"/>
                <w:numId w:val="358"/>
              </w:numPr>
              <w:spacing w:after="33" w:line="259" w:lineRule="auto"/>
              <w:ind w:right="0" w:hanging="170"/>
              <w:jc w:val="left"/>
            </w:pPr>
            <w:r>
              <w:t xml:space="preserve">стопы </w:t>
            </w:r>
          </w:p>
          <w:p w:rsidR="00D27BC6" w:rsidRDefault="004D5071">
            <w:pPr>
              <w:numPr>
                <w:ilvl w:val="0"/>
                <w:numId w:val="358"/>
              </w:numPr>
              <w:spacing w:after="33" w:line="259" w:lineRule="auto"/>
              <w:ind w:right="0" w:hanging="170"/>
              <w:jc w:val="left"/>
            </w:pPr>
            <w:r>
              <w:t>икры</w:t>
            </w:r>
          </w:p>
          <w:p w:rsidR="00D27BC6" w:rsidRDefault="004D5071">
            <w:pPr>
              <w:numPr>
                <w:ilvl w:val="0"/>
                <w:numId w:val="358"/>
              </w:numPr>
              <w:spacing w:after="0" w:line="259" w:lineRule="auto"/>
              <w:ind w:right="0" w:hanging="170"/>
              <w:jc w:val="left"/>
            </w:pPr>
            <w:r>
              <w:t>другая</w:t>
            </w:r>
          </w:p>
        </w:tc>
        <w:tc>
          <w:tcPr>
            <w:tcW w:w="5097" w:type="dxa"/>
            <w:tcBorders>
              <w:top w:val="single" w:sz="6" w:space="0" w:color="000000"/>
              <w:left w:val="single" w:sz="6" w:space="0" w:color="000000"/>
              <w:bottom w:val="single" w:sz="6" w:space="0" w:color="000000"/>
              <w:right w:val="single" w:sz="6" w:space="0" w:color="000000"/>
            </w:tcBorders>
            <w:vAlign w:val="bottom"/>
          </w:tcPr>
          <w:p w:rsidR="00D27BC6" w:rsidRDefault="004D5071">
            <w:pPr>
              <w:spacing w:after="33" w:line="259" w:lineRule="auto"/>
              <w:ind w:left="59" w:right="0" w:firstLine="0"/>
              <w:jc w:val="center"/>
            </w:pPr>
            <w:r>
              <w:t>2</w:t>
            </w:r>
          </w:p>
          <w:p w:rsidR="00D27BC6" w:rsidRDefault="004D5071">
            <w:pPr>
              <w:spacing w:after="33" w:line="259" w:lineRule="auto"/>
              <w:ind w:left="59" w:right="0" w:firstLine="0"/>
              <w:jc w:val="center"/>
            </w:pPr>
            <w:r>
              <w:t>1</w:t>
            </w:r>
          </w:p>
          <w:p w:rsidR="00D27BC6" w:rsidRDefault="004D5071">
            <w:pPr>
              <w:spacing w:after="0" w:line="259" w:lineRule="auto"/>
              <w:ind w:left="59" w:right="0" w:firstLine="0"/>
              <w:jc w:val="center"/>
            </w:pPr>
            <w:r>
              <w:t>0</w:t>
            </w:r>
          </w:p>
        </w:tc>
      </w:tr>
      <w:tr w:rsidR="00D27BC6">
        <w:trPr>
          <w:trHeight w:val="1450"/>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Время возникновения:</w:t>
            </w:r>
          </w:p>
          <w:p w:rsidR="00D27BC6" w:rsidRDefault="004D5071">
            <w:pPr>
              <w:numPr>
                <w:ilvl w:val="0"/>
                <w:numId w:val="359"/>
              </w:numPr>
              <w:spacing w:after="33" w:line="259" w:lineRule="auto"/>
              <w:ind w:right="0" w:hanging="170"/>
              <w:jc w:val="left"/>
            </w:pPr>
            <w:r>
              <w:t xml:space="preserve">только ночью </w:t>
            </w:r>
          </w:p>
          <w:p w:rsidR="00D27BC6" w:rsidRDefault="004D5071">
            <w:pPr>
              <w:numPr>
                <w:ilvl w:val="0"/>
                <w:numId w:val="359"/>
              </w:numPr>
              <w:spacing w:after="33" w:line="259" w:lineRule="auto"/>
              <w:ind w:right="0" w:hanging="170"/>
              <w:jc w:val="left"/>
            </w:pPr>
            <w:r>
              <w:t>ночью и днем</w:t>
            </w:r>
          </w:p>
          <w:p w:rsidR="00D27BC6" w:rsidRDefault="004D5071">
            <w:pPr>
              <w:numPr>
                <w:ilvl w:val="0"/>
                <w:numId w:val="359"/>
              </w:numPr>
              <w:spacing w:after="33" w:line="259" w:lineRule="auto"/>
              <w:ind w:right="0" w:hanging="170"/>
              <w:jc w:val="left"/>
            </w:pPr>
            <w:r>
              <w:t>днем</w:t>
            </w:r>
          </w:p>
          <w:p w:rsidR="00D27BC6" w:rsidRDefault="004D5071">
            <w:pPr>
              <w:numPr>
                <w:ilvl w:val="0"/>
                <w:numId w:val="359"/>
              </w:numPr>
              <w:spacing w:after="0" w:line="259" w:lineRule="auto"/>
              <w:ind w:right="0" w:hanging="170"/>
              <w:jc w:val="left"/>
            </w:pPr>
            <w:r>
              <w:t>сразу после пробуждения</w:t>
            </w:r>
          </w:p>
        </w:tc>
        <w:tc>
          <w:tcPr>
            <w:tcW w:w="5097" w:type="dxa"/>
            <w:tcBorders>
              <w:top w:val="single" w:sz="6" w:space="0" w:color="000000"/>
              <w:left w:val="single" w:sz="6" w:space="0" w:color="000000"/>
              <w:bottom w:val="single" w:sz="6" w:space="0" w:color="000000"/>
              <w:right w:val="single" w:sz="6" w:space="0" w:color="000000"/>
            </w:tcBorders>
            <w:vAlign w:val="bottom"/>
          </w:tcPr>
          <w:p w:rsidR="00D27BC6" w:rsidRDefault="004D5071">
            <w:pPr>
              <w:spacing w:after="33" w:line="259" w:lineRule="auto"/>
              <w:ind w:left="58" w:right="0" w:firstLine="0"/>
              <w:jc w:val="center"/>
            </w:pPr>
            <w:r>
              <w:t>2</w:t>
            </w:r>
          </w:p>
          <w:p w:rsidR="00D27BC6" w:rsidRDefault="004D5071">
            <w:pPr>
              <w:spacing w:after="33" w:line="259" w:lineRule="auto"/>
              <w:ind w:left="58" w:right="0" w:firstLine="0"/>
              <w:jc w:val="center"/>
            </w:pPr>
            <w:r>
              <w:t>1</w:t>
            </w:r>
          </w:p>
          <w:p w:rsidR="00D27BC6" w:rsidRDefault="004D5071">
            <w:pPr>
              <w:spacing w:after="33" w:line="259" w:lineRule="auto"/>
              <w:ind w:left="58" w:right="0" w:firstLine="0"/>
              <w:jc w:val="center"/>
            </w:pPr>
            <w:r>
              <w:t>0</w:t>
            </w:r>
          </w:p>
          <w:p w:rsidR="00D27BC6" w:rsidRDefault="004D5071">
            <w:pPr>
              <w:spacing w:after="0" w:line="259" w:lineRule="auto"/>
              <w:ind w:left="58" w:right="0" w:firstLine="0"/>
              <w:jc w:val="center"/>
            </w:pPr>
            <w:r>
              <w:t>1</w:t>
            </w:r>
          </w:p>
        </w:tc>
      </w:tr>
      <w:tr w:rsidR="00D27BC6">
        <w:trPr>
          <w:trHeight w:val="1153"/>
        </w:trPr>
        <w:tc>
          <w:tcPr>
            <w:tcW w:w="509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Уменьшение симптоматики:</w:t>
            </w:r>
          </w:p>
          <w:p w:rsidR="00D27BC6" w:rsidRDefault="004D5071">
            <w:pPr>
              <w:numPr>
                <w:ilvl w:val="0"/>
                <w:numId w:val="360"/>
              </w:numPr>
              <w:spacing w:after="33" w:line="259" w:lineRule="auto"/>
              <w:ind w:right="0" w:hanging="170"/>
              <w:jc w:val="left"/>
            </w:pPr>
            <w:r>
              <w:t xml:space="preserve">при ходьбе </w:t>
            </w:r>
          </w:p>
          <w:p w:rsidR="00D27BC6" w:rsidRDefault="004D5071">
            <w:pPr>
              <w:numPr>
                <w:ilvl w:val="0"/>
                <w:numId w:val="360"/>
              </w:numPr>
              <w:spacing w:after="33" w:line="259" w:lineRule="auto"/>
              <w:ind w:right="0" w:hanging="170"/>
              <w:jc w:val="left"/>
            </w:pPr>
            <w:r>
              <w:t>стоя</w:t>
            </w:r>
          </w:p>
          <w:p w:rsidR="00D27BC6" w:rsidRDefault="004D5071">
            <w:pPr>
              <w:numPr>
                <w:ilvl w:val="0"/>
                <w:numId w:val="360"/>
              </w:numPr>
              <w:spacing w:after="0" w:line="259" w:lineRule="auto"/>
              <w:ind w:right="0" w:hanging="170"/>
              <w:jc w:val="left"/>
            </w:pPr>
            <w:r>
              <w:t>лежа</w:t>
            </w:r>
          </w:p>
        </w:tc>
        <w:tc>
          <w:tcPr>
            <w:tcW w:w="5097" w:type="dxa"/>
            <w:tcBorders>
              <w:top w:val="single" w:sz="6" w:space="0" w:color="000000"/>
              <w:left w:val="single" w:sz="6" w:space="0" w:color="000000"/>
              <w:bottom w:val="single" w:sz="6" w:space="0" w:color="000000"/>
              <w:right w:val="single" w:sz="6" w:space="0" w:color="000000"/>
            </w:tcBorders>
            <w:vAlign w:val="bottom"/>
          </w:tcPr>
          <w:p w:rsidR="00D27BC6" w:rsidRDefault="004D5071">
            <w:pPr>
              <w:spacing w:after="33" w:line="259" w:lineRule="auto"/>
              <w:ind w:left="58" w:right="0" w:firstLine="0"/>
              <w:jc w:val="center"/>
            </w:pPr>
            <w:r>
              <w:t>2</w:t>
            </w:r>
          </w:p>
          <w:p w:rsidR="00D27BC6" w:rsidRDefault="004D5071">
            <w:pPr>
              <w:spacing w:after="33" w:line="259" w:lineRule="auto"/>
              <w:ind w:left="58" w:right="0" w:firstLine="0"/>
              <w:jc w:val="center"/>
            </w:pPr>
            <w:r>
              <w:t>1</w:t>
            </w:r>
          </w:p>
          <w:p w:rsidR="00D27BC6" w:rsidRDefault="004D5071">
            <w:pPr>
              <w:spacing w:after="0" w:line="259" w:lineRule="auto"/>
              <w:ind w:left="58" w:right="0" w:firstLine="0"/>
              <w:jc w:val="center"/>
            </w:pPr>
            <w:r>
              <w:t>0</w:t>
            </w:r>
          </w:p>
        </w:tc>
      </w:tr>
      <w:tr w:rsidR="00D27BC6">
        <w:trPr>
          <w:trHeight w:val="567"/>
        </w:trPr>
        <w:tc>
          <w:tcPr>
            <w:tcW w:w="5097"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rPr>
                <w:b/>
              </w:rPr>
              <w:t>Сумма баллов</w:t>
            </w:r>
          </w:p>
        </w:tc>
        <w:tc>
          <w:tcPr>
            <w:tcW w:w="5097"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bl>
    <w:p w:rsidR="00D27BC6" w:rsidRDefault="004D5071">
      <w:pPr>
        <w:ind w:left="281" w:right="51"/>
        <w:jc w:val="left"/>
      </w:pPr>
      <w:r>
        <w:rPr>
          <w:b/>
        </w:rPr>
        <w:t>Интерпретация результата:</w:t>
      </w:r>
    </w:p>
    <w:p w:rsidR="00D27BC6" w:rsidRDefault="004D5071">
      <w:pPr>
        <w:ind w:left="293" w:right="0"/>
      </w:pPr>
      <w:r>
        <w:t>3–4 балла – умеренная нейропатия</w:t>
      </w:r>
    </w:p>
    <w:p w:rsidR="00D27BC6" w:rsidRDefault="004D5071">
      <w:pPr>
        <w:ind w:left="293" w:right="6297"/>
      </w:pPr>
      <w:r>
        <w:t>5–6 баллов – выраженная нейропатия 7–9 баллов – тяжелая нейропатия.</w:t>
      </w:r>
      <w:r>
        <w:br w:type="page"/>
      </w:r>
    </w:p>
    <w:p w:rsidR="00D27BC6" w:rsidRDefault="004D5071">
      <w:pPr>
        <w:spacing w:after="12"/>
        <w:ind w:left="290" w:right="278"/>
        <w:jc w:val="center"/>
      </w:pPr>
      <w:r>
        <w:rPr>
          <w:b/>
        </w:rPr>
        <w:t xml:space="preserve">ПРИЛОЖЕНИЕ 13.  </w:t>
      </w:r>
    </w:p>
    <w:p w:rsidR="00D27BC6" w:rsidRDefault="004D5071">
      <w:pPr>
        <w:spacing w:after="12"/>
        <w:ind w:left="2095" w:right="2003"/>
        <w:jc w:val="center"/>
      </w:pPr>
      <w:r>
        <w:rPr>
          <w:b/>
        </w:rPr>
        <w:t>МИЧИГАНСКИЙ ОПРОСНИК ДЛЯ СКРИНИНГА НЕЙРОПАТИИ  (THE MICHIGAN NEUROPATH SCREENING INSTRUMENT, MNSI).</w:t>
      </w:r>
    </w:p>
    <w:tbl>
      <w:tblPr>
        <w:tblStyle w:val="TableGrid"/>
        <w:tblW w:w="10191" w:type="dxa"/>
        <w:tblInd w:w="8" w:type="dxa"/>
        <w:tblCellMar>
          <w:top w:w="9" w:type="dxa"/>
          <w:left w:w="57" w:type="dxa"/>
          <w:bottom w:w="0" w:type="dxa"/>
          <w:right w:w="79" w:type="dxa"/>
        </w:tblCellMar>
        <w:tblLook w:val="04A0" w:firstRow="1" w:lastRow="0" w:firstColumn="1" w:lastColumn="0" w:noHBand="0" w:noVBand="1"/>
      </w:tblPr>
      <w:tblGrid>
        <w:gridCol w:w="8865"/>
        <w:gridCol w:w="663"/>
        <w:gridCol w:w="663"/>
      </w:tblGrid>
      <w:tr w:rsidR="00D27BC6">
        <w:trPr>
          <w:trHeight w:val="320"/>
        </w:trPr>
        <w:tc>
          <w:tcPr>
            <w:tcW w:w="8865" w:type="dxa"/>
            <w:tcBorders>
              <w:top w:val="single" w:sz="6" w:space="0" w:color="000000"/>
              <w:left w:val="single" w:sz="6" w:space="0" w:color="000000"/>
              <w:bottom w:val="single" w:sz="6" w:space="0" w:color="000000"/>
              <w:right w:val="nil"/>
            </w:tcBorders>
            <w:shd w:val="clear" w:color="auto" w:fill="DADAD9"/>
          </w:tcPr>
          <w:p w:rsidR="00D27BC6" w:rsidRDefault="004D5071">
            <w:pPr>
              <w:spacing w:after="0" w:line="259" w:lineRule="auto"/>
              <w:ind w:left="1348" w:right="0" w:firstLine="0"/>
              <w:jc w:val="center"/>
            </w:pPr>
            <w:r>
              <w:rPr>
                <w:b/>
              </w:rPr>
              <w:t>А. Анамнез</w:t>
            </w:r>
          </w:p>
        </w:tc>
        <w:tc>
          <w:tcPr>
            <w:tcW w:w="663" w:type="dxa"/>
            <w:tcBorders>
              <w:top w:val="single" w:sz="6" w:space="0" w:color="000000"/>
              <w:left w:val="nil"/>
              <w:bottom w:val="single" w:sz="6" w:space="0" w:color="000000"/>
              <w:right w:val="nil"/>
            </w:tcBorders>
            <w:shd w:val="clear" w:color="auto" w:fill="DADAD9"/>
          </w:tcPr>
          <w:p w:rsidR="00D27BC6" w:rsidRDefault="00D27BC6">
            <w:pPr>
              <w:spacing w:after="160" w:line="259" w:lineRule="auto"/>
              <w:ind w:left="0" w:right="0" w:firstLine="0"/>
              <w:jc w:val="left"/>
            </w:pPr>
          </w:p>
        </w:tc>
        <w:tc>
          <w:tcPr>
            <w:tcW w:w="663" w:type="dxa"/>
            <w:tcBorders>
              <w:top w:val="single" w:sz="6" w:space="0" w:color="000000"/>
              <w:left w:val="nil"/>
              <w:bottom w:val="single" w:sz="6" w:space="0" w:color="000000"/>
              <w:right w:val="single" w:sz="6" w:space="0" w:color="000000"/>
            </w:tcBorders>
            <w:shd w:val="clear" w:color="auto" w:fill="DADAD9"/>
          </w:tcPr>
          <w:p w:rsidR="00D27BC6" w:rsidRDefault="00D27BC6">
            <w:pPr>
              <w:spacing w:after="160" w:line="259" w:lineRule="auto"/>
              <w:ind w:left="0" w:right="0" w:firstLine="0"/>
              <w:jc w:val="left"/>
            </w:pPr>
          </w:p>
        </w:tc>
      </w:tr>
      <w:tr w:rsidR="00D27BC6">
        <w:trPr>
          <w:trHeight w:val="800"/>
        </w:trPr>
        <w:tc>
          <w:tcPr>
            <w:tcW w:w="8865" w:type="dxa"/>
            <w:tcBorders>
              <w:top w:val="single" w:sz="6" w:space="0" w:color="000000"/>
              <w:left w:val="single" w:sz="6" w:space="0" w:color="000000"/>
              <w:bottom w:val="single" w:sz="6" w:space="0" w:color="000000"/>
              <w:right w:val="nil"/>
            </w:tcBorders>
          </w:tcPr>
          <w:p w:rsidR="00D27BC6" w:rsidRDefault="004D5071">
            <w:pPr>
              <w:spacing w:after="0" w:line="236" w:lineRule="auto"/>
              <w:ind w:left="3091" w:right="1662" w:firstLine="0"/>
              <w:jc w:val="center"/>
            </w:pPr>
            <w:r>
              <w:rPr>
                <w:b/>
              </w:rPr>
              <w:t xml:space="preserve">Ответьте на следующие вопросы,  отметив «да=1» или «нет=0»  </w:t>
            </w:r>
          </w:p>
          <w:p w:rsidR="00D27BC6" w:rsidRDefault="004D5071">
            <w:pPr>
              <w:spacing w:after="0" w:line="259" w:lineRule="auto"/>
              <w:ind w:left="1348" w:right="0" w:firstLine="0"/>
              <w:jc w:val="center"/>
            </w:pPr>
            <w:r>
              <w:rPr>
                <w:b/>
              </w:rPr>
              <w:t>на основании своих обычных ощущений</w:t>
            </w:r>
          </w:p>
        </w:tc>
        <w:tc>
          <w:tcPr>
            <w:tcW w:w="663"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663"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6855"/>
        </w:trPr>
        <w:tc>
          <w:tcPr>
            <w:tcW w:w="8865" w:type="dxa"/>
            <w:tcBorders>
              <w:top w:val="single" w:sz="6" w:space="0" w:color="000000"/>
              <w:left w:val="single" w:sz="6" w:space="0" w:color="000000"/>
              <w:bottom w:val="single" w:sz="6" w:space="0" w:color="000000"/>
              <w:right w:val="single" w:sz="6" w:space="0" w:color="000000"/>
            </w:tcBorders>
          </w:tcPr>
          <w:p w:rsidR="00D27BC6" w:rsidRDefault="004D5071">
            <w:pPr>
              <w:numPr>
                <w:ilvl w:val="0"/>
                <w:numId w:val="361"/>
              </w:numPr>
              <w:spacing w:after="203" w:line="259" w:lineRule="auto"/>
              <w:ind w:right="0" w:hanging="289"/>
              <w:jc w:val="left"/>
            </w:pPr>
            <w:r>
              <w:t>Бывает ли у вас ощущение онемения в ногах и стопах?</w:t>
            </w:r>
          </w:p>
          <w:p w:rsidR="00D27BC6" w:rsidRDefault="004D5071">
            <w:pPr>
              <w:numPr>
                <w:ilvl w:val="0"/>
                <w:numId w:val="361"/>
              </w:numPr>
              <w:spacing w:after="203" w:line="259" w:lineRule="auto"/>
              <w:ind w:right="0" w:hanging="289"/>
              <w:jc w:val="left"/>
            </w:pPr>
            <w:r>
              <w:t>Испытывали ли вы когда-либо жгучую боль в ногах или стопах?</w:t>
            </w:r>
          </w:p>
          <w:p w:rsidR="00D27BC6" w:rsidRDefault="004D5071">
            <w:pPr>
              <w:numPr>
                <w:ilvl w:val="0"/>
                <w:numId w:val="361"/>
              </w:numPr>
              <w:spacing w:after="203" w:line="259" w:lineRule="auto"/>
              <w:ind w:right="0" w:hanging="289"/>
              <w:jc w:val="left"/>
            </w:pPr>
            <w:r>
              <w:t>Ваши стопы очень чувствительны к прикосновению?</w:t>
            </w:r>
          </w:p>
          <w:p w:rsidR="00D27BC6" w:rsidRDefault="004D5071">
            <w:pPr>
              <w:numPr>
                <w:ilvl w:val="0"/>
                <w:numId w:val="361"/>
              </w:numPr>
              <w:spacing w:after="203" w:line="259" w:lineRule="auto"/>
              <w:ind w:right="0" w:hanging="289"/>
              <w:jc w:val="left"/>
            </w:pPr>
            <w:r>
              <w:t>У вас были судороги мышц ног или стоп?</w:t>
            </w:r>
          </w:p>
          <w:p w:rsidR="00D27BC6" w:rsidRDefault="004D5071">
            <w:pPr>
              <w:numPr>
                <w:ilvl w:val="0"/>
                <w:numId w:val="361"/>
              </w:numPr>
              <w:spacing w:after="203" w:line="259" w:lineRule="auto"/>
              <w:ind w:right="0" w:hanging="289"/>
              <w:jc w:val="left"/>
            </w:pPr>
            <w:r>
              <w:t>Вы отмечали когда-либо ощущение покалывания в ногах или с</w:t>
            </w:r>
            <w:r>
              <w:t>топах?</w:t>
            </w:r>
          </w:p>
          <w:p w:rsidR="00D27BC6" w:rsidRDefault="004D5071">
            <w:pPr>
              <w:numPr>
                <w:ilvl w:val="0"/>
                <w:numId w:val="361"/>
              </w:numPr>
              <w:spacing w:after="203" w:line="259" w:lineRule="auto"/>
              <w:ind w:right="0" w:hanging="289"/>
              <w:jc w:val="left"/>
            </w:pPr>
            <w:r>
              <w:t>Вызывает ли у вас болезненные ощущения прикосновение постельного белья или одеяла к коже?</w:t>
            </w:r>
          </w:p>
          <w:p w:rsidR="00D27BC6" w:rsidRDefault="004D5071">
            <w:pPr>
              <w:numPr>
                <w:ilvl w:val="0"/>
                <w:numId w:val="361"/>
              </w:numPr>
              <w:spacing w:after="203" w:line="259" w:lineRule="auto"/>
              <w:ind w:right="0" w:hanging="289"/>
              <w:jc w:val="left"/>
            </w:pPr>
            <w:r>
              <w:t>Когда вы входите в ванну или в душ, можете определить холодная вода или горячая?</w:t>
            </w:r>
          </w:p>
          <w:p w:rsidR="00D27BC6" w:rsidRDefault="004D5071">
            <w:pPr>
              <w:numPr>
                <w:ilvl w:val="0"/>
                <w:numId w:val="361"/>
              </w:numPr>
              <w:spacing w:after="203" w:line="259" w:lineRule="auto"/>
              <w:ind w:right="0" w:hanging="289"/>
              <w:jc w:val="left"/>
            </w:pPr>
            <w:r>
              <w:t>Была ли у вас когда-либо незаживающая рана на коже стоп?</w:t>
            </w:r>
          </w:p>
          <w:p w:rsidR="00D27BC6" w:rsidRDefault="004D5071">
            <w:pPr>
              <w:numPr>
                <w:ilvl w:val="0"/>
                <w:numId w:val="361"/>
              </w:numPr>
              <w:spacing w:after="203" w:line="259" w:lineRule="auto"/>
              <w:ind w:right="0" w:hanging="289"/>
              <w:jc w:val="left"/>
            </w:pPr>
            <w:r>
              <w:t>Говорил ли вам когда-</w:t>
            </w:r>
            <w:r>
              <w:t>либо лечащий врач, что у вас диабетическая нейропатия?</w:t>
            </w:r>
          </w:p>
          <w:p w:rsidR="00D27BC6" w:rsidRDefault="004D5071">
            <w:pPr>
              <w:numPr>
                <w:ilvl w:val="0"/>
                <w:numId w:val="361"/>
              </w:numPr>
              <w:spacing w:after="203" w:line="259" w:lineRule="auto"/>
              <w:ind w:right="0" w:hanging="289"/>
              <w:jc w:val="left"/>
            </w:pPr>
            <w:r>
              <w:t>Ощущаете ли вы общую слабость большую часть времени?</w:t>
            </w:r>
          </w:p>
          <w:p w:rsidR="00D27BC6" w:rsidRDefault="004D5071">
            <w:pPr>
              <w:numPr>
                <w:ilvl w:val="0"/>
                <w:numId w:val="361"/>
              </w:numPr>
              <w:spacing w:after="203" w:line="259" w:lineRule="auto"/>
              <w:ind w:right="0" w:hanging="289"/>
              <w:jc w:val="left"/>
            </w:pPr>
            <w:r>
              <w:t>Усиливаются ли ваши симптомы в ночное время?</w:t>
            </w:r>
          </w:p>
          <w:p w:rsidR="00D27BC6" w:rsidRDefault="004D5071">
            <w:pPr>
              <w:numPr>
                <w:ilvl w:val="0"/>
                <w:numId w:val="361"/>
              </w:numPr>
              <w:spacing w:after="203" w:line="259" w:lineRule="auto"/>
              <w:ind w:right="0" w:hanging="289"/>
              <w:jc w:val="left"/>
            </w:pPr>
            <w:r>
              <w:t>Болят ли у вас ноги во время ходьбы?</w:t>
            </w:r>
          </w:p>
          <w:p w:rsidR="00D27BC6" w:rsidRDefault="004D5071">
            <w:pPr>
              <w:numPr>
                <w:ilvl w:val="0"/>
                <w:numId w:val="361"/>
              </w:numPr>
              <w:spacing w:after="203" w:line="259" w:lineRule="auto"/>
              <w:ind w:right="0" w:hanging="289"/>
              <w:jc w:val="left"/>
            </w:pPr>
            <w:r>
              <w:t>Вы чувствуете свои стопы во время ходьбы?</w:t>
            </w:r>
          </w:p>
          <w:p w:rsidR="00D27BC6" w:rsidRDefault="004D5071">
            <w:pPr>
              <w:numPr>
                <w:ilvl w:val="0"/>
                <w:numId w:val="361"/>
              </w:numPr>
              <w:spacing w:after="203" w:line="259" w:lineRule="auto"/>
              <w:ind w:right="0" w:hanging="289"/>
              <w:jc w:val="left"/>
            </w:pPr>
            <w:r>
              <w:t>Кожа ваших стоп настольк</w:t>
            </w:r>
            <w:r>
              <w:t>о сухая, что появляются трещины?</w:t>
            </w:r>
          </w:p>
          <w:p w:rsidR="00D27BC6" w:rsidRDefault="004D5071">
            <w:pPr>
              <w:numPr>
                <w:ilvl w:val="0"/>
                <w:numId w:val="361"/>
              </w:numPr>
              <w:spacing w:after="0" w:line="259" w:lineRule="auto"/>
              <w:ind w:right="0" w:hanging="289"/>
              <w:jc w:val="left"/>
            </w:pPr>
            <w:r>
              <w:t>Были ли у вас ампутации нижних конечностей?</w:t>
            </w:r>
          </w:p>
        </w:tc>
        <w:tc>
          <w:tcPr>
            <w:tcW w:w="663" w:type="dxa"/>
            <w:tcBorders>
              <w:top w:val="single" w:sz="6" w:space="0" w:color="000000"/>
              <w:left w:val="single" w:sz="6" w:space="0" w:color="000000"/>
              <w:bottom w:val="single" w:sz="6" w:space="0" w:color="000000"/>
              <w:right w:val="single" w:sz="6" w:space="0" w:color="000000"/>
            </w:tcBorders>
          </w:tcPr>
          <w:p w:rsidR="00D27BC6" w:rsidRDefault="004D5071">
            <w:pPr>
              <w:spacing w:after="203" w:line="259" w:lineRule="auto"/>
              <w:ind w:left="23" w:right="0" w:firstLine="0"/>
              <w:jc w:val="center"/>
            </w:pPr>
            <w:r>
              <w:t xml:space="preserve">Да </w:t>
            </w:r>
          </w:p>
          <w:p w:rsidR="00D27BC6" w:rsidRDefault="004D5071">
            <w:pPr>
              <w:spacing w:after="203" w:line="259" w:lineRule="auto"/>
              <w:ind w:left="163" w:right="0" w:firstLine="0"/>
              <w:jc w:val="left"/>
            </w:pPr>
            <w:r>
              <w:t>Да</w:t>
            </w:r>
          </w:p>
          <w:p w:rsidR="00D27BC6" w:rsidRDefault="004D5071">
            <w:pPr>
              <w:spacing w:after="203" w:line="259" w:lineRule="auto"/>
              <w:ind w:left="163" w:right="0" w:firstLine="0"/>
              <w:jc w:val="left"/>
            </w:pPr>
            <w:r>
              <w:t>Да</w:t>
            </w:r>
          </w:p>
          <w:p w:rsidR="00D27BC6" w:rsidRDefault="004D5071">
            <w:pPr>
              <w:spacing w:after="203" w:line="259" w:lineRule="auto"/>
              <w:ind w:left="163" w:right="0" w:firstLine="0"/>
              <w:jc w:val="left"/>
            </w:pPr>
            <w:r>
              <w:t>Да</w:t>
            </w:r>
          </w:p>
          <w:p w:rsidR="00D27BC6" w:rsidRDefault="004D5071">
            <w:pPr>
              <w:spacing w:after="203" w:line="259" w:lineRule="auto"/>
              <w:ind w:left="163" w:right="0" w:firstLine="0"/>
              <w:jc w:val="left"/>
            </w:pPr>
            <w:r>
              <w:t>Да</w:t>
            </w:r>
          </w:p>
          <w:p w:rsidR="00D27BC6" w:rsidRDefault="004D5071">
            <w:pPr>
              <w:spacing w:after="203" w:line="259" w:lineRule="auto"/>
              <w:ind w:left="163" w:right="0" w:firstLine="0"/>
              <w:jc w:val="left"/>
            </w:pPr>
            <w:r>
              <w:t>Да</w:t>
            </w:r>
          </w:p>
          <w:p w:rsidR="00D27BC6" w:rsidRDefault="004D5071">
            <w:pPr>
              <w:spacing w:after="203" w:line="259" w:lineRule="auto"/>
              <w:ind w:left="163" w:right="0" w:firstLine="0"/>
              <w:jc w:val="left"/>
            </w:pPr>
            <w:r>
              <w:t>Да</w:t>
            </w:r>
          </w:p>
          <w:p w:rsidR="00D27BC6" w:rsidRDefault="004D5071">
            <w:pPr>
              <w:spacing w:after="203" w:line="259" w:lineRule="auto"/>
              <w:ind w:left="163" w:right="0" w:firstLine="0"/>
              <w:jc w:val="left"/>
            </w:pPr>
            <w:r>
              <w:t>Да</w:t>
            </w:r>
          </w:p>
          <w:p w:rsidR="00D27BC6" w:rsidRDefault="004D5071">
            <w:pPr>
              <w:spacing w:after="203" w:line="259" w:lineRule="auto"/>
              <w:ind w:left="163" w:right="0" w:firstLine="0"/>
              <w:jc w:val="left"/>
            </w:pPr>
            <w:r>
              <w:t>Да</w:t>
            </w:r>
          </w:p>
          <w:p w:rsidR="00D27BC6" w:rsidRDefault="004D5071">
            <w:pPr>
              <w:spacing w:after="203" w:line="259" w:lineRule="auto"/>
              <w:ind w:left="163" w:right="0" w:firstLine="0"/>
              <w:jc w:val="left"/>
            </w:pPr>
            <w:r>
              <w:t>Да</w:t>
            </w:r>
          </w:p>
          <w:p w:rsidR="00D27BC6" w:rsidRDefault="004D5071">
            <w:pPr>
              <w:spacing w:after="203" w:line="259" w:lineRule="auto"/>
              <w:ind w:left="163" w:right="0" w:firstLine="0"/>
              <w:jc w:val="left"/>
            </w:pPr>
            <w:r>
              <w:t>Да</w:t>
            </w:r>
          </w:p>
          <w:p w:rsidR="00D27BC6" w:rsidRDefault="004D5071">
            <w:pPr>
              <w:spacing w:after="203" w:line="259" w:lineRule="auto"/>
              <w:ind w:left="163" w:right="0" w:firstLine="0"/>
              <w:jc w:val="left"/>
            </w:pPr>
            <w:r>
              <w:t>Да</w:t>
            </w:r>
          </w:p>
          <w:p w:rsidR="00D27BC6" w:rsidRDefault="004D5071">
            <w:pPr>
              <w:spacing w:after="203" w:line="259" w:lineRule="auto"/>
              <w:ind w:left="163" w:right="0" w:firstLine="0"/>
              <w:jc w:val="left"/>
            </w:pPr>
            <w:r>
              <w:t>Да</w:t>
            </w:r>
          </w:p>
          <w:p w:rsidR="00D27BC6" w:rsidRDefault="004D5071">
            <w:pPr>
              <w:spacing w:after="203" w:line="259" w:lineRule="auto"/>
              <w:ind w:left="163" w:right="0" w:firstLine="0"/>
              <w:jc w:val="left"/>
            </w:pPr>
            <w:r>
              <w:t>Да</w:t>
            </w:r>
          </w:p>
          <w:p w:rsidR="00D27BC6" w:rsidRDefault="004D5071">
            <w:pPr>
              <w:spacing w:after="0" w:line="259" w:lineRule="auto"/>
              <w:ind w:left="163" w:right="0" w:firstLine="0"/>
              <w:jc w:val="left"/>
            </w:pPr>
            <w:r>
              <w:t>Да</w:t>
            </w:r>
          </w:p>
        </w:tc>
        <w:tc>
          <w:tcPr>
            <w:tcW w:w="663" w:type="dxa"/>
            <w:tcBorders>
              <w:top w:val="single" w:sz="6" w:space="0" w:color="000000"/>
              <w:left w:val="single" w:sz="6" w:space="0" w:color="000000"/>
              <w:bottom w:val="single" w:sz="6" w:space="0" w:color="000000"/>
              <w:right w:val="single" w:sz="6" w:space="0" w:color="000000"/>
            </w:tcBorders>
          </w:tcPr>
          <w:p w:rsidR="00D27BC6" w:rsidRDefault="004D5071">
            <w:pPr>
              <w:spacing w:after="203" w:line="259" w:lineRule="auto"/>
              <w:ind w:left="119" w:right="0" w:firstLine="0"/>
              <w:jc w:val="left"/>
            </w:pPr>
            <w:r>
              <w:t>Нет</w:t>
            </w:r>
          </w:p>
          <w:p w:rsidR="00D27BC6" w:rsidRDefault="004D5071">
            <w:pPr>
              <w:spacing w:after="203" w:line="259" w:lineRule="auto"/>
              <w:ind w:left="119" w:right="0" w:firstLine="0"/>
              <w:jc w:val="left"/>
            </w:pPr>
            <w:r>
              <w:t>Нет</w:t>
            </w:r>
          </w:p>
          <w:p w:rsidR="00D27BC6" w:rsidRDefault="004D5071">
            <w:pPr>
              <w:spacing w:after="203" w:line="259" w:lineRule="auto"/>
              <w:ind w:left="119" w:right="0" w:firstLine="0"/>
              <w:jc w:val="left"/>
            </w:pPr>
            <w:r>
              <w:t xml:space="preserve">Нет </w:t>
            </w:r>
          </w:p>
          <w:p w:rsidR="00D27BC6" w:rsidRDefault="004D5071">
            <w:pPr>
              <w:spacing w:after="203" w:line="259" w:lineRule="auto"/>
              <w:ind w:left="119" w:right="0" w:firstLine="0"/>
              <w:jc w:val="left"/>
            </w:pPr>
            <w:r>
              <w:t>Нет</w:t>
            </w:r>
          </w:p>
          <w:p w:rsidR="00D27BC6" w:rsidRDefault="004D5071">
            <w:pPr>
              <w:spacing w:after="203" w:line="259" w:lineRule="auto"/>
              <w:ind w:left="119" w:right="0" w:firstLine="0"/>
              <w:jc w:val="left"/>
            </w:pPr>
            <w:r>
              <w:t>Нет</w:t>
            </w:r>
          </w:p>
          <w:p w:rsidR="00D27BC6" w:rsidRDefault="004D5071">
            <w:pPr>
              <w:spacing w:after="203" w:line="259" w:lineRule="auto"/>
              <w:ind w:left="119" w:right="0" w:firstLine="0"/>
              <w:jc w:val="left"/>
            </w:pPr>
            <w:r>
              <w:t>Нет</w:t>
            </w:r>
          </w:p>
          <w:p w:rsidR="00D27BC6" w:rsidRDefault="004D5071">
            <w:pPr>
              <w:spacing w:after="203" w:line="259" w:lineRule="auto"/>
              <w:ind w:left="119" w:right="0" w:firstLine="0"/>
              <w:jc w:val="left"/>
            </w:pPr>
            <w:r>
              <w:t>Нет</w:t>
            </w:r>
          </w:p>
          <w:p w:rsidR="00D27BC6" w:rsidRDefault="004D5071">
            <w:pPr>
              <w:spacing w:after="203" w:line="259" w:lineRule="auto"/>
              <w:ind w:left="119" w:right="0" w:firstLine="0"/>
              <w:jc w:val="left"/>
            </w:pPr>
            <w:r>
              <w:t>Нет</w:t>
            </w:r>
          </w:p>
          <w:p w:rsidR="00D27BC6" w:rsidRDefault="004D5071">
            <w:pPr>
              <w:spacing w:after="203" w:line="259" w:lineRule="auto"/>
              <w:ind w:left="119" w:right="0" w:firstLine="0"/>
              <w:jc w:val="left"/>
            </w:pPr>
            <w:r>
              <w:t>Нет</w:t>
            </w:r>
          </w:p>
          <w:p w:rsidR="00D27BC6" w:rsidRDefault="004D5071">
            <w:pPr>
              <w:spacing w:after="203" w:line="259" w:lineRule="auto"/>
              <w:ind w:left="119" w:right="0" w:firstLine="0"/>
              <w:jc w:val="left"/>
            </w:pPr>
            <w:r>
              <w:t>Нет</w:t>
            </w:r>
          </w:p>
          <w:p w:rsidR="00D27BC6" w:rsidRDefault="004D5071">
            <w:pPr>
              <w:spacing w:after="203" w:line="259" w:lineRule="auto"/>
              <w:ind w:left="119" w:right="0" w:firstLine="0"/>
              <w:jc w:val="left"/>
            </w:pPr>
            <w:r>
              <w:t>Нет</w:t>
            </w:r>
          </w:p>
          <w:p w:rsidR="00D27BC6" w:rsidRDefault="004D5071">
            <w:pPr>
              <w:spacing w:after="203" w:line="259" w:lineRule="auto"/>
              <w:ind w:left="119" w:right="0" w:firstLine="0"/>
              <w:jc w:val="left"/>
            </w:pPr>
            <w:r>
              <w:t>Нет</w:t>
            </w:r>
          </w:p>
          <w:p w:rsidR="00D27BC6" w:rsidRDefault="004D5071">
            <w:pPr>
              <w:spacing w:after="203" w:line="259" w:lineRule="auto"/>
              <w:ind w:left="119" w:right="0" w:firstLine="0"/>
              <w:jc w:val="left"/>
            </w:pPr>
            <w:r>
              <w:t>Нет</w:t>
            </w:r>
          </w:p>
          <w:p w:rsidR="00D27BC6" w:rsidRDefault="004D5071">
            <w:pPr>
              <w:spacing w:after="203" w:line="259" w:lineRule="auto"/>
              <w:ind w:left="119" w:right="0" w:firstLine="0"/>
              <w:jc w:val="left"/>
            </w:pPr>
            <w:r>
              <w:t>Нет</w:t>
            </w:r>
          </w:p>
          <w:p w:rsidR="00D27BC6" w:rsidRDefault="004D5071">
            <w:pPr>
              <w:spacing w:after="0" w:line="259" w:lineRule="auto"/>
              <w:ind w:left="119" w:right="0" w:firstLine="0"/>
              <w:jc w:val="left"/>
            </w:pPr>
            <w:r>
              <w:t>Нет</w:t>
            </w:r>
          </w:p>
        </w:tc>
      </w:tr>
      <w:tr w:rsidR="00D27BC6">
        <w:trPr>
          <w:trHeight w:val="567"/>
        </w:trPr>
        <w:tc>
          <w:tcPr>
            <w:tcW w:w="8865" w:type="dxa"/>
            <w:tcBorders>
              <w:top w:val="single" w:sz="6" w:space="0" w:color="000000"/>
              <w:left w:val="single" w:sz="6" w:space="0" w:color="000000"/>
              <w:bottom w:val="single" w:sz="6" w:space="0" w:color="000000"/>
              <w:right w:val="nil"/>
            </w:tcBorders>
            <w:vAlign w:val="center"/>
          </w:tcPr>
          <w:p w:rsidR="00D27BC6" w:rsidRDefault="004D5071">
            <w:pPr>
              <w:spacing w:after="0" w:line="259" w:lineRule="auto"/>
              <w:ind w:left="0" w:right="0" w:firstLine="0"/>
              <w:jc w:val="left"/>
            </w:pPr>
            <w:r>
              <w:rPr>
                <w:b/>
              </w:rPr>
              <w:t>Сумма баллов:</w:t>
            </w:r>
          </w:p>
        </w:tc>
        <w:tc>
          <w:tcPr>
            <w:tcW w:w="663" w:type="dxa"/>
            <w:tcBorders>
              <w:top w:val="single" w:sz="6" w:space="0" w:color="000000"/>
              <w:left w:val="nil"/>
              <w:bottom w:val="single" w:sz="6" w:space="0" w:color="000000"/>
              <w:right w:val="nil"/>
            </w:tcBorders>
          </w:tcPr>
          <w:p w:rsidR="00D27BC6" w:rsidRDefault="00D27BC6">
            <w:pPr>
              <w:spacing w:after="160" w:line="259" w:lineRule="auto"/>
              <w:ind w:left="0" w:right="0" w:firstLine="0"/>
              <w:jc w:val="left"/>
            </w:pPr>
          </w:p>
        </w:tc>
        <w:tc>
          <w:tcPr>
            <w:tcW w:w="663" w:type="dxa"/>
            <w:tcBorders>
              <w:top w:val="single" w:sz="6" w:space="0" w:color="000000"/>
              <w:left w:val="nil"/>
              <w:bottom w:val="single" w:sz="6" w:space="0" w:color="000000"/>
              <w:right w:val="single" w:sz="6" w:space="0" w:color="000000"/>
            </w:tcBorders>
          </w:tcPr>
          <w:p w:rsidR="00D27BC6" w:rsidRDefault="00D27BC6">
            <w:pPr>
              <w:spacing w:after="160" w:line="259" w:lineRule="auto"/>
              <w:ind w:left="0" w:right="0" w:firstLine="0"/>
              <w:jc w:val="left"/>
            </w:pPr>
          </w:p>
        </w:tc>
      </w:tr>
    </w:tbl>
    <w:p w:rsidR="00D27BC6" w:rsidRDefault="004D5071">
      <w:pPr>
        <w:ind w:left="-11" w:right="0" w:firstLine="283"/>
      </w:pPr>
      <w:r>
        <w:t>При суммарном индексе вопросов 7 и более высока вероятность диабетической полинейропатии и рекомендовано физикальное обследование</w:t>
      </w:r>
    </w:p>
    <w:tbl>
      <w:tblPr>
        <w:tblStyle w:val="TableGrid"/>
        <w:tblW w:w="10191" w:type="dxa"/>
        <w:tblInd w:w="8" w:type="dxa"/>
        <w:tblCellMar>
          <w:top w:w="9" w:type="dxa"/>
          <w:left w:w="56" w:type="dxa"/>
          <w:bottom w:w="0" w:type="dxa"/>
          <w:right w:w="62" w:type="dxa"/>
        </w:tblCellMar>
        <w:tblLook w:val="04A0" w:firstRow="1" w:lastRow="0" w:firstColumn="1" w:lastColumn="0" w:noHBand="0" w:noVBand="1"/>
      </w:tblPr>
      <w:tblGrid>
        <w:gridCol w:w="2548"/>
        <w:gridCol w:w="1274"/>
        <w:gridCol w:w="1274"/>
        <w:gridCol w:w="1274"/>
        <w:gridCol w:w="1274"/>
        <w:gridCol w:w="1274"/>
        <w:gridCol w:w="1274"/>
      </w:tblGrid>
      <w:tr w:rsidR="00D27BC6">
        <w:trPr>
          <w:trHeight w:val="320"/>
        </w:trPr>
        <w:tc>
          <w:tcPr>
            <w:tcW w:w="10191" w:type="dxa"/>
            <w:gridSpan w:val="7"/>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6" w:right="0" w:firstLine="0"/>
              <w:jc w:val="center"/>
            </w:pPr>
            <w:r>
              <w:rPr>
                <w:b/>
              </w:rPr>
              <w:t>Б. Физикальное обследование</w:t>
            </w:r>
          </w:p>
        </w:tc>
      </w:tr>
      <w:tr w:rsidR="00D27BC6">
        <w:trPr>
          <w:trHeight w:val="320"/>
        </w:trPr>
        <w:tc>
          <w:tcPr>
            <w:tcW w:w="10191" w:type="dxa"/>
            <w:gridSpan w:val="7"/>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1. Внешний вид стоп</w:t>
            </w:r>
          </w:p>
        </w:tc>
      </w:tr>
      <w:tr w:rsidR="00D27BC6">
        <w:trPr>
          <w:trHeight w:val="408"/>
        </w:trPr>
        <w:tc>
          <w:tcPr>
            <w:tcW w:w="5095" w:type="dxa"/>
            <w:gridSpan w:val="3"/>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6" w:right="0" w:firstLine="0"/>
              <w:jc w:val="center"/>
            </w:pPr>
            <w:r>
              <w:rPr>
                <w:b/>
              </w:rPr>
              <w:t>Правая</w:t>
            </w:r>
          </w:p>
        </w:tc>
        <w:tc>
          <w:tcPr>
            <w:tcW w:w="5095" w:type="dxa"/>
            <w:gridSpan w:val="4"/>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6" w:right="0" w:firstLine="0"/>
              <w:jc w:val="center"/>
            </w:pPr>
            <w:r>
              <w:rPr>
                <w:b/>
              </w:rPr>
              <w:t>Левая</w:t>
            </w:r>
          </w:p>
        </w:tc>
      </w:tr>
      <w:tr w:rsidR="00D27BC6">
        <w:trPr>
          <w:trHeight w:val="399"/>
        </w:trPr>
        <w:tc>
          <w:tcPr>
            <w:tcW w:w="2548"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а) Нормальный</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6" w:right="0" w:firstLine="0"/>
              <w:jc w:val="center"/>
            </w:pPr>
            <w:r>
              <w:t>Да=0</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6" w:right="0" w:firstLine="0"/>
              <w:jc w:val="center"/>
            </w:pPr>
            <w:r>
              <w:t>Нет=1</w:t>
            </w:r>
          </w:p>
        </w:tc>
        <w:tc>
          <w:tcPr>
            <w:tcW w:w="2548"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а) Нормальный</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6" w:right="0" w:firstLine="0"/>
              <w:jc w:val="center"/>
            </w:pPr>
            <w:r>
              <w:t>Да=0</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6" w:right="0" w:firstLine="0"/>
              <w:jc w:val="center"/>
            </w:pPr>
            <w:r>
              <w:t>Нет=1</w:t>
            </w:r>
          </w:p>
        </w:tc>
      </w:tr>
      <w:tr w:rsidR="00D27BC6">
        <w:trPr>
          <w:trHeight w:val="688"/>
        </w:trPr>
        <w:tc>
          <w:tcPr>
            <w:tcW w:w="5095"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476" w:firstLine="0"/>
              <w:jc w:val="left"/>
            </w:pPr>
            <w:r>
              <w:t>б) Если нет, отметьте все нарушения, которые есть у пациента</w:t>
            </w:r>
          </w:p>
        </w:tc>
        <w:tc>
          <w:tcPr>
            <w:tcW w:w="5095" w:type="dxa"/>
            <w:gridSpan w:val="4"/>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476" w:firstLine="0"/>
              <w:jc w:val="left"/>
            </w:pPr>
            <w:r>
              <w:t>б) Если нет, отметьте все нарушения, которые есть у пациента</w:t>
            </w:r>
          </w:p>
        </w:tc>
      </w:tr>
      <w:tr w:rsidR="00D27BC6">
        <w:trPr>
          <w:trHeight w:val="2920"/>
        </w:trPr>
        <w:tc>
          <w:tcPr>
            <w:tcW w:w="2548" w:type="dxa"/>
            <w:tcBorders>
              <w:top w:val="single" w:sz="6" w:space="0" w:color="000000"/>
              <w:left w:val="single" w:sz="6" w:space="0" w:color="000000"/>
              <w:bottom w:val="single" w:sz="6" w:space="0" w:color="000000"/>
              <w:right w:val="single" w:sz="6" w:space="0" w:color="000000"/>
            </w:tcBorders>
          </w:tcPr>
          <w:p w:rsidR="00D27BC6" w:rsidRDefault="004D5071">
            <w:pPr>
              <w:spacing w:after="90" w:line="259" w:lineRule="auto"/>
              <w:ind w:left="1" w:right="0" w:firstLine="0"/>
              <w:jc w:val="left"/>
            </w:pPr>
            <w:r>
              <w:t>Деформации</w:t>
            </w:r>
          </w:p>
          <w:p w:rsidR="00D27BC6" w:rsidRDefault="004D5071">
            <w:pPr>
              <w:spacing w:after="90" w:line="259" w:lineRule="auto"/>
              <w:ind w:left="1" w:right="0" w:firstLine="0"/>
              <w:jc w:val="left"/>
            </w:pPr>
            <w:r>
              <w:t>Сухая кожа, омозолелости</w:t>
            </w:r>
          </w:p>
          <w:p w:rsidR="00D27BC6" w:rsidRDefault="004D5071">
            <w:pPr>
              <w:spacing w:after="90" w:line="259" w:lineRule="auto"/>
              <w:ind w:left="1" w:right="0" w:firstLine="0"/>
              <w:jc w:val="left"/>
            </w:pPr>
            <w:r>
              <w:t>Инфицирование</w:t>
            </w:r>
          </w:p>
          <w:p w:rsidR="00D27BC6" w:rsidRDefault="004D5071">
            <w:pPr>
              <w:spacing w:after="353" w:line="347" w:lineRule="auto"/>
              <w:ind w:left="1" w:right="1011" w:firstLine="0"/>
              <w:jc w:val="left"/>
            </w:pPr>
            <w:r>
              <w:t>Трещины Другое</w:t>
            </w:r>
          </w:p>
          <w:p w:rsidR="00D27BC6" w:rsidRDefault="004D5071">
            <w:pPr>
              <w:spacing w:after="0" w:line="259" w:lineRule="auto"/>
              <w:ind w:left="1" w:right="0" w:firstLine="0"/>
              <w:jc w:val="left"/>
            </w:pPr>
            <w:r>
              <w:t>Укажите, какие именно изменения отмечаются помимо, перечисленных</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90" w:line="259" w:lineRule="auto"/>
              <w:ind w:left="6" w:right="0" w:firstLine="0"/>
              <w:jc w:val="center"/>
            </w:pPr>
            <w:r>
              <w:t>Да</w:t>
            </w:r>
          </w:p>
          <w:p w:rsidR="00D27BC6" w:rsidRDefault="004D5071">
            <w:pPr>
              <w:spacing w:after="90" w:line="259" w:lineRule="auto"/>
              <w:ind w:left="6" w:right="0" w:firstLine="0"/>
              <w:jc w:val="center"/>
            </w:pPr>
            <w:r>
              <w:t>Да</w:t>
            </w:r>
          </w:p>
          <w:p w:rsidR="00D27BC6" w:rsidRDefault="004D5071">
            <w:pPr>
              <w:spacing w:after="90" w:line="259" w:lineRule="auto"/>
              <w:ind w:left="6" w:right="0" w:firstLine="0"/>
              <w:jc w:val="center"/>
            </w:pPr>
            <w:r>
              <w:t>Да</w:t>
            </w:r>
          </w:p>
          <w:p w:rsidR="00D27BC6" w:rsidRDefault="004D5071">
            <w:pPr>
              <w:spacing w:after="90" w:line="259" w:lineRule="auto"/>
              <w:ind w:left="6" w:right="0" w:firstLine="0"/>
              <w:jc w:val="center"/>
            </w:pPr>
            <w:r>
              <w:t>Да</w:t>
            </w:r>
          </w:p>
          <w:p w:rsidR="00D27BC6" w:rsidRDefault="004D5071">
            <w:pPr>
              <w:spacing w:after="0" w:line="259" w:lineRule="auto"/>
              <w:ind w:left="6" w:right="0" w:firstLine="0"/>
              <w:jc w:val="center"/>
            </w:pPr>
            <w:r>
              <w:t>Да</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90" w:line="259" w:lineRule="auto"/>
              <w:ind w:left="6" w:right="0" w:firstLine="0"/>
              <w:jc w:val="center"/>
            </w:pPr>
            <w:r>
              <w:t>Нет</w:t>
            </w:r>
          </w:p>
          <w:p w:rsidR="00D27BC6" w:rsidRDefault="004D5071">
            <w:pPr>
              <w:spacing w:after="90" w:line="259" w:lineRule="auto"/>
              <w:ind w:left="6" w:right="0" w:firstLine="0"/>
              <w:jc w:val="center"/>
            </w:pPr>
            <w:r>
              <w:t>Нет</w:t>
            </w:r>
          </w:p>
          <w:p w:rsidR="00D27BC6" w:rsidRDefault="004D5071">
            <w:pPr>
              <w:spacing w:after="90" w:line="259" w:lineRule="auto"/>
              <w:ind w:left="6" w:right="0" w:firstLine="0"/>
              <w:jc w:val="center"/>
            </w:pPr>
            <w:r>
              <w:t>Нет</w:t>
            </w:r>
          </w:p>
          <w:p w:rsidR="00D27BC6" w:rsidRDefault="004D5071">
            <w:pPr>
              <w:spacing w:after="90" w:line="259" w:lineRule="auto"/>
              <w:ind w:left="6" w:right="0" w:firstLine="0"/>
              <w:jc w:val="center"/>
            </w:pPr>
            <w:r>
              <w:t>Нет</w:t>
            </w:r>
          </w:p>
          <w:p w:rsidR="00D27BC6" w:rsidRDefault="004D5071">
            <w:pPr>
              <w:spacing w:after="0" w:line="259" w:lineRule="auto"/>
              <w:ind w:left="6" w:right="0" w:firstLine="0"/>
              <w:jc w:val="center"/>
            </w:pPr>
            <w:r>
              <w:t>Нет</w:t>
            </w:r>
          </w:p>
        </w:tc>
        <w:tc>
          <w:tcPr>
            <w:tcW w:w="2548"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90" w:line="259" w:lineRule="auto"/>
              <w:ind w:left="1" w:right="0" w:firstLine="0"/>
              <w:jc w:val="left"/>
            </w:pPr>
            <w:r>
              <w:t>Деформации</w:t>
            </w:r>
          </w:p>
          <w:p w:rsidR="00D27BC6" w:rsidRDefault="004D5071">
            <w:pPr>
              <w:spacing w:after="90" w:line="259" w:lineRule="auto"/>
              <w:ind w:left="1" w:right="0" w:firstLine="0"/>
              <w:jc w:val="left"/>
            </w:pPr>
            <w:r>
              <w:t>Сухая кожа, омозолелости</w:t>
            </w:r>
          </w:p>
          <w:p w:rsidR="00D27BC6" w:rsidRDefault="004D5071">
            <w:pPr>
              <w:spacing w:after="90" w:line="259" w:lineRule="auto"/>
              <w:ind w:left="1" w:right="0" w:firstLine="0"/>
              <w:jc w:val="left"/>
            </w:pPr>
            <w:r>
              <w:t>Инфицирование</w:t>
            </w:r>
          </w:p>
          <w:p w:rsidR="00D27BC6" w:rsidRDefault="004D5071">
            <w:pPr>
              <w:spacing w:after="353" w:line="347" w:lineRule="auto"/>
              <w:ind w:left="1" w:right="1011" w:firstLine="0"/>
              <w:jc w:val="left"/>
            </w:pPr>
            <w:r>
              <w:t>Трещины Другое</w:t>
            </w:r>
          </w:p>
          <w:p w:rsidR="00D27BC6" w:rsidRDefault="004D5071">
            <w:pPr>
              <w:spacing w:after="0" w:line="259" w:lineRule="auto"/>
              <w:ind w:left="1" w:right="0" w:firstLine="0"/>
              <w:jc w:val="left"/>
            </w:pPr>
            <w:r>
              <w:t>Укажите, какие именно изменения отмечаются помимо, перечисленных</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90" w:line="259" w:lineRule="auto"/>
              <w:ind w:left="6" w:right="0" w:firstLine="0"/>
              <w:jc w:val="center"/>
            </w:pPr>
            <w:r>
              <w:t>Да</w:t>
            </w:r>
          </w:p>
          <w:p w:rsidR="00D27BC6" w:rsidRDefault="004D5071">
            <w:pPr>
              <w:spacing w:after="90" w:line="259" w:lineRule="auto"/>
              <w:ind w:left="6" w:right="0" w:firstLine="0"/>
              <w:jc w:val="center"/>
            </w:pPr>
            <w:r>
              <w:t>Да</w:t>
            </w:r>
          </w:p>
          <w:p w:rsidR="00D27BC6" w:rsidRDefault="004D5071">
            <w:pPr>
              <w:spacing w:after="90" w:line="259" w:lineRule="auto"/>
              <w:ind w:left="6" w:right="0" w:firstLine="0"/>
              <w:jc w:val="center"/>
            </w:pPr>
            <w:r>
              <w:t>Да</w:t>
            </w:r>
          </w:p>
          <w:p w:rsidR="00D27BC6" w:rsidRDefault="004D5071">
            <w:pPr>
              <w:spacing w:after="90" w:line="259" w:lineRule="auto"/>
              <w:ind w:left="6" w:right="0" w:firstLine="0"/>
              <w:jc w:val="center"/>
            </w:pPr>
            <w:r>
              <w:t>Да</w:t>
            </w:r>
          </w:p>
          <w:p w:rsidR="00D27BC6" w:rsidRDefault="004D5071">
            <w:pPr>
              <w:spacing w:after="0" w:line="259" w:lineRule="auto"/>
              <w:ind w:left="6" w:right="0" w:firstLine="0"/>
              <w:jc w:val="center"/>
            </w:pPr>
            <w:r>
              <w:t>Да</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90" w:line="259" w:lineRule="auto"/>
              <w:ind w:left="6" w:right="0" w:firstLine="0"/>
              <w:jc w:val="center"/>
            </w:pPr>
            <w:r>
              <w:t xml:space="preserve">Нет </w:t>
            </w:r>
          </w:p>
          <w:p w:rsidR="00D27BC6" w:rsidRDefault="004D5071">
            <w:pPr>
              <w:spacing w:after="90" w:line="259" w:lineRule="auto"/>
              <w:ind w:left="6" w:right="0" w:firstLine="0"/>
              <w:jc w:val="center"/>
            </w:pPr>
            <w:r>
              <w:t xml:space="preserve">Нет </w:t>
            </w:r>
          </w:p>
          <w:p w:rsidR="00D27BC6" w:rsidRDefault="004D5071">
            <w:pPr>
              <w:spacing w:after="90" w:line="259" w:lineRule="auto"/>
              <w:ind w:left="6" w:right="0" w:firstLine="0"/>
              <w:jc w:val="center"/>
            </w:pPr>
            <w:r>
              <w:t xml:space="preserve">Нет </w:t>
            </w:r>
          </w:p>
          <w:p w:rsidR="00D27BC6" w:rsidRDefault="004D5071">
            <w:pPr>
              <w:spacing w:after="90" w:line="259" w:lineRule="auto"/>
              <w:ind w:left="6" w:right="0" w:firstLine="0"/>
              <w:jc w:val="center"/>
            </w:pPr>
            <w:r>
              <w:t xml:space="preserve">Нет </w:t>
            </w:r>
          </w:p>
          <w:p w:rsidR="00D27BC6" w:rsidRDefault="004D5071">
            <w:pPr>
              <w:spacing w:after="0" w:line="259" w:lineRule="auto"/>
              <w:ind w:left="6" w:right="0" w:firstLine="0"/>
              <w:jc w:val="center"/>
            </w:pPr>
            <w:r>
              <w:t>Нет</w:t>
            </w:r>
          </w:p>
        </w:tc>
      </w:tr>
      <w:tr w:rsidR="00D27BC6">
        <w:trPr>
          <w:trHeight w:val="447"/>
        </w:trPr>
        <w:tc>
          <w:tcPr>
            <w:tcW w:w="5095" w:type="dxa"/>
            <w:gridSpan w:val="3"/>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548" w:type="dxa"/>
            <w:gridSpan w:val="2"/>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6" w:right="0" w:firstLine="0"/>
              <w:jc w:val="center"/>
            </w:pPr>
            <w:r>
              <w:rPr>
                <w:b/>
              </w:rPr>
              <w:t>Правая</w:t>
            </w:r>
          </w:p>
        </w:tc>
        <w:tc>
          <w:tcPr>
            <w:tcW w:w="2548" w:type="dxa"/>
            <w:gridSpan w:val="2"/>
            <w:tcBorders>
              <w:top w:val="single" w:sz="6" w:space="0" w:color="000000"/>
              <w:left w:val="single" w:sz="6" w:space="0" w:color="000000"/>
              <w:bottom w:val="single" w:sz="6" w:space="0" w:color="000000"/>
              <w:right w:val="single" w:sz="6" w:space="0" w:color="000000"/>
            </w:tcBorders>
            <w:shd w:val="clear" w:color="auto" w:fill="ECECEC"/>
          </w:tcPr>
          <w:p w:rsidR="00D27BC6" w:rsidRDefault="004D5071">
            <w:pPr>
              <w:spacing w:after="0" w:line="259" w:lineRule="auto"/>
              <w:ind w:left="6" w:right="0" w:firstLine="0"/>
              <w:jc w:val="center"/>
            </w:pPr>
            <w:r>
              <w:rPr>
                <w:b/>
              </w:rPr>
              <w:t>Левая</w:t>
            </w:r>
          </w:p>
        </w:tc>
      </w:tr>
      <w:tr w:rsidR="00D27BC6">
        <w:trPr>
          <w:trHeight w:val="408"/>
        </w:trPr>
        <w:tc>
          <w:tcPr>
            <w:tcW w:w="5095" w:type="dxa"/>
            <w:gridSpan w:val="3"/>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2. Изъязвления</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Нет=0</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Есть=1</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Нет=0</w:t>
            </w:r>
          </w:p>
        </w:tc>
        <w:tc>
          <w:tcPr>
            <w:tcW w:w="127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Есть=1</w:t>
            </w:r>
          </w:p>
        </w:tc>
      </w:tr>
      <w:tr w:rsidR="00D27BC6">
        <w:trPr>
          <w:trHeight w:val="1040"/>
        </w:trPr>
        <w:tc>
          <w:tcPr>
            <w:tcW w:w="5095" w:type="dxa"/>
            <w:gridSpan w:val="3"/>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1" w:right="0" w:firstLine="0"/>
              <w:jc w:val="left"/>
            </w:pPr>
            <w:r>
              <w:t>3. Ахиллов рефлекс</w:t>
            </w:r>
          </w:p>
        </w:tc>
        <w:tc>
          <w:tcPr>
            <w:tcW w:w="2548"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 w:right="0" w:firstLine="0"/>
              <w:jc w:val="left"/>
            </w:pPr>
            <w:r>
              <w:t>Вызывается = 0</w:t>
            </w:r>
          </w:p>
          <w:p w:rsidR="00D27BC6" w:rsidRDefault="004D5071">
            <w:pPr>
              <w:spacing w:after="0" w:line="259" w:lineRule="auto"/>
              <w:ind w:left="1" w:right="0" w:firstLine="0"/>
              <w:jc w:val="left"/>
            </w:pPr>
            <w:r>
              <w:t>Вызывается при помощи приема Ендрассика = 0,5 Отсутствует = 1</w:t>
            </w:r>
          </w:p>
        </w:tc>
        <w:tc>
          <w:tcPr>
            <w:tcW w:w="2548" w:type="dxa"/>
            <w:gridSpan w:val="2"/>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Вызывается = 0</w:t>
            </w:r>
          </w:p>
          <w:p w:rsidR="00D27BC6" w:rsidRDefault="004D5071">
            <w:pPr>
              <w:spacing w:after="0" w:line="259" w:lineRule="auto"/>
              <w:ind w:left="0" w:right="0" w:firstLine="0"/>
              <w:jc w:val="left"/>
            </w:pPr>
            <w:r>
              <w:t>Вызывается при помощи приема Ендрассика = 0,5 Отсутствует = 1</w:t>
            </w:r>
          </w:p>
        </w:tc>
      </w:tr>
      <w:tr w:rsidR="00D27BC6">
        <w:trPr>
          <w:trHeight w:val="1040"/>
        </w:trPr>
        <w:tc>
          <w:tcPr>
            <w:tcW w:w="5095" w:type="dxa"/>
            <w:gridSpan w:val="3"/>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pPr>
            <w:r>
              <w:t>4. Вибрационная чувствительность у основания 1 пальца</w:t>
            </w:r>
          </w:p>
        </w:tc>
        <w:tc>
          <w:tcPr>
            <w:tcW w:w="2548"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Нормальная = 0</w:t>
            </w:r>
          </w:p>
          <w:p w:rsidR="00D27BC6" w:rsidRDefault="004D5071">
            <w:pPr>
              <w:spacing w:after="0" w:line="259" w:lineRule="auto"/>
              <w:ind w:left="0" w:right="0" w:firstLine="0"/>
              <w:jc w:val="left"/>
            </w:pPr>
            <w:r>
              <w:t>Снижена = 0,5</w:t>
            </w:r>
          </w:p>
          <w:p w:rsidR="00D27BC6" w:rsidRDefault="004D5071">
            <w:pPr>
              <w:spacing w:after="0" w:line="259" w:lineRule="auto"/>
              <w:ind w:left="0" w:right="0" w:firstLine="0"/>
              <w:jc w:val="left"/>
            </w:pPr>
            <w:r>
              <w:t>Отсутствует = 1</w:t>
            </w:r>
          </w:p>
        </w:tc>
        <w:tc>
          <w:tcPr>
            <w:tcW w:w="2548"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Нормальная = 0</w:t>
            </w:r>
          </w:p>
          <w:p w:rsidR="00D27BC6" w:rsidRDefault="004D5071">
            <w:pPr>
              <w:spacing w:after="0" w:line="259" w:lineRule="auto"/>
              <w:ind w:left="0" w:right="0" w:firstLine="0"/>
              <w:jc w:val="left"/>
            </w:pPr>
            <w:r>
              <w:t>Снижена = 0,5</w:t>
            </w:r>
          </w:p>
          <w:p w:rsidR="00D27BC6" w:rsidRDefault="004D5071">
            <w:pPr>
              <w:spacing w:after="0" w:line="259" w:lineRule="auto"/>
              <w:ind w:left="0" w:right="0" w:firstLine="0"/>
              <w:jc w:val="left"/>
            </w:pPr>
            <w:r>
              <w:t>Отсутствует = 1</w:t>
            </w:r>
          </w:p>
        </w:tc>
      </w:tr>
      <w:tr w:rsidR="00D27BC6">
        <w:trPr>
          <w:trHeight w:val="1040"/>
        </w:trPr>
        <w:tc>
          <w:tcPr>
            <w:tcW w:w="5095" w:type="dxa"/>
            <w:gridSpan w:val="3"/>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5. Тактильная чувствительность</w:t>
            </w:r>
          </w:p>
        </w:tc>
        <w:tc>
          <w:tcPr>
            <w:tcW w:w="2548"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Нормальная = 0</w:t>
            </w:r>
          </w:p>
          <w:p w:rsidR="00D27BC6" w:rsidRDefault="004D5071">
            <w:pPr>
              <w:spacing w:after="0" w:line="259" w:lineRule="auto"/>
              <w:ind w:left="0" w:right="0" w:firstLine="0"/>
              <w:jc w:val="left"/>
            </w:pPr>
            <w:r>
              <w:t>Снижена = 0,5</w:t>
            </w:r>
          </w:p>
          <w:p w:rsidR="00D27BC6" w:rsidRDefault="004D5071">
            <w:pPr>
              <w:spacing w:after="0" w:line="259" w:lineRule="auto"/>
              <w:ind w:left="0" w:right="0" w:firstLine="0"/>
              <w:jc w:val="left"/>
            </w:pPr>
            <w:r>
              <w:t>Отсутствует = 1</w:t>
            </w:r>
          </w:p>
        </w:tc>
        <w:tc>
          <w:tcPr>
            <w:tcW w:w="2548" w:type="dxa"/>
            <w:gridSpan w:val="2"/>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Нормальная = 0</w:t>
            </w:r>
          </w:p>
          <w:p w:rsidR="00D27BC6" w:rsidRDefault="004D5071">
            <w:pPr>
              <w:spacing w:after="0" w:line="259" w:lineRule="auto"/>
              <w:ind w:left="0" w:right="0" w:firstLine="0"/>
              <w:jc w:val="left"/>
            </w:pPr>
            <w:r>
              <w:t>Снижена = 0,5</w:t>
            </w:r>
          </w:p>
          <w:p w:rsidR="00D27BC6" w:rsidRDefault="004D5071">
            <w:pPr>
              <w:spacing w:after="0" w:line="259" w:lineRule="auto"/>
              <w:ind w:left="0" w:right="0" w:firstLine="0"/>
              <w:jc w:val="left"/>
            </w:pPr>
            <w:r>
              <w:t>Отсутствует = 1</w:t>
            </w:r>
          </w:p>
        </w:tc>
      </w:tr>
      <w:tr w:rsidR="00D27BC6">
        <w:trPr>
          <w:trHeight w:val="408"/>
        </w:trPr>
        <w:tc>
          <w:tcPr>
            <w:tcW w:w="10191" w:type="dxa"/>
            <w:gridSpan w:val="7"/>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rPr>
                <w:b/>
              </w:rPr>
              <w:t>Сумма баллов:</w:t>
            </w:r>
          </w:p>
        </w:tc>
      </w:tr>
    </w:tbl>
    <w:p w:rsidR="00D27BC6" w:rsidRDefault="004D5071">
      <w:pPr>
        <w:ind w:left="294" w:right="0"/>
      </w:pPr>
      <w:r>
        <w:rPr>
          <w:b/>
        </w:rPr>
        <w:t xml:space="preserve">Cумма баллов: </w:t>
      </w:r>
      <w:r>
        <w:t xml:space="preserve">Общий балл больше 2,5 подтверждает наличие диабетической полинейропатии </w:t>
      </w:r>
      <w:r>
        <w:rPr>
          <w:b/>
        </w:rPr>
        <w:t xml:space="preserve">ПРИЛОЖЕНИЕ 14.  </w:t>
      </w:r>
    </w:p>
    <w:p w:rsidR="00D27BC6" w:rsidRDefault="004D5071">
      <w:pPr>
        <w:spacing w:after="226"/>
        <w:ind w:left="290" w:right="278"/>
        <w:jc w:val="center"/>
      </w:pPr>
      <w:r>
        <w:rPr>
          <w:b/>
        </w:rPr>
        <w:t>ОПРОСНИК DN4 ДЛЯ ДИАГНОСТИКИ БОЛЕВОЙ НЕЙРОПАТИИ.</w:t>
      </w:r>
    </w:p>
    <w:p w:rsidR="00D27BC6" w:rsidRDefault="004D5071">
      <w:pPr>
        <w:spacing w:after="173" w:line="259" w:lineRule="auto"/>
        <w:ind w:left="10" w:right="1"/>
        <w:jc w:val="center"/>
      </w:pPr>
      <w:r>
        <w:rPr>
          <w:b/>
          <w:color w:val="6F6F6E"/>
          <w:sz w:val="18"/>
          <w:u w:val="single" w:color="6F6F6E"/>
        </w:rPr>
        <w:t xml:space="preserve">БЕСЕДА С ПАЦИЕНТОМ </w:t>
      </w:r>
    </w:p>
    <w:p w:rsidR="00D27BC6" w:rsidRDefault="004D5071">
      <w:pPr>
        <w:ind w:left="281" w:right="51"/>
        <w:jc w:val="left"/>
      </w:pPr>
      <w:r>
        <w:rPr>
          <w:b/>
        </w:rPr>
        <w:t>Соответствует ли боль, которую испытывает пациент, одному или нескольким из следующих определений?</w:t>
      </w:r>
    </w:p>
    <w:tbl>
      <w:tblPr>
        <w:tblStyle w:val="TableGrid"/>
        <w:tblW w:w="10191" w:type="dxa"/>
        <w:tblInd w:w="8" w:type="dxa"/>
        <w:tblCellMar>
          <w:top w:w="9" w:type="dxa"/>
          <w:left w:w="57" w:type="dxa"/>
          <w:bottom w:w="0" w:type="dxa"/>
          <w:right w:w="115" w:type="dxa"/>
        </w:tblCellMar>
        <w:tblLook w:val="04A0" w:firstRow="1" w:lastRow="0" w:firstColumn="1" w:lastColumn="0" w:noHBand="0" w:noVBand="1"/>
      </w:tblPr>
      <w:tblGrid>
        <w:gridCol w:w="567"/>
        <w:gridCol w:w="4535"/>
        <w:gridCol w:w="2544"/>
        <w:gridCol w:w="2544"/>
      </w:tblGrid>
      <w:tr w:rsidR="00D27BC6">
        <w:trPr>
          <w:trHeight w:val="320"/>
        </w:trPr>
        <w:tc>
          <w:tcPr>
            <w:tcW w:w="567" w:type="dxa"/>
            <w:tcBorders>
              <w:top w:val="nil"/>
              <w:left w:val="nil"/>
              <w:bottom w:val="single" w:sz="6" w:space="0" w:color="000000"/>
              <w:right w:val="nil"/>
            </w:tcBorders>
          </w:tcPr>
          <w:p w:rsidR="00D27BC6" w:rsidRDefault="00D27BC6">
            <w:pPr>
              <w:spacing w:after="160" w:line="259" w:lineRule="auto"/>
              <w:ind w:left="0" w:right="0" w:firstLine="0"/>
              <w:jc w:val="left"/>
            </w:pPr>
          </w:p>
        </w:tc>
        <w:tc>
          <w:tcPr>
            <w:tcW w:w="4535" w:type="dxa"/>
            <w:tcBorders>
              <w:top w:val="nil"/>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254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Да</w:t>
            </w:r>
          </w:p>
        </w:tc>
        <w:tc>
          <w:tcPr>
            <w:tcW w:w="254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Нет</w:t>
            </w:r>
          </w:p>
        </w:tc>
      </w:tr>
      <w:tr w:rsidR="00D27BC6">
        <w:trPr>
          <w:trHeight w:val="320"/>
        </w:trPr>
        <w:tc>
          <w:tcPr>
            <w:tcW w:w="56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1.</w:t>
            </w:r>
          </w:p>
        </w:tc>
        <w:tc>
          <w:tcPr>
            <w:tcW w:w="453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Ощущение жжения</w:t>
            </w: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320"/>
        </w:trPr>
        <w:tc>
          <w:tcPr>
            <w:tcW w:w="56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2.</w:t>
            </w:r>
          </w:p>
        </w:tc>
        <w:tc>
          <w:tcPr>
            <w:tcW w:w="453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Болезненное ощущение холода</w:t>
            </w: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320"/>
        </w:trPr>
        <w:tc>
          <w:tcPr>
            <w:tcW w:w="56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3.</w:t>
            </w:r>
          </w:p>
        </w:tc>
        <w:tc>
          <w:tcPr>
            <w:tcW w:w="453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Ощущение как от ударов током</w:t>
            </w: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bl>
    <w:p w:rsidR="00D27BC6" w:rsidRDefault="004D5071">
      <w:pPr>
        <w:ind w:left="281" w:right="51"/>
        <w:jc w:val="left"/>
      </w:pPr>
      <w:r>
        <w:rPr>
          <w:b/>
        </w:rPr>
        <w:t>Сопровождается ли боль одним или несколькими из следующих симптомов в области ее локализации?</w:t>
      </w:r>
    </w:p>
    <w:tbl>
      <w:tblPr>
        <w:tblStyle w:val="TableGrid"/>
        <w:tblW w:w="10191" w:type="dxa"/>
        <w:tblInd w:w="8" w:type="dxa"/>
        <w:tblCellMar>
          <w:top w:w="9" w:type="dxa"/>
          <w:left w:w="57" w:type="dxa"/>
          <w:bottom w:w="0" w:type="dxa"/>
          <w:right w:w="115" w:type="dxa"/>
        </w:tblCellMar>
        <w:tblLook w:val="04A0" w:firstRow="1" w:lastRow="0" w:firstColumn="1" w:lastColumn="0" w:noHBand="0" w:noVBand="1"/>
      </w:tblPr>
      <w:tblGrid>
        <w:gridCol w:w="567"/>
        <w:gridCol w:w="4535"/>
        <w:gridCol w:w="2544"/>
        <w:gridCol w:w="2544"/>
      </w:tblGrid>
      <w:tr w:rsidR="00D27BC6">
        <w:trPr>
          <w:trHeight w:val="320"/>
        </w:trPr>
        <w:tc>
          <w:tcPr>
            <w:tcW w:w="567" w:type="dxa"/>
            <w:tcBorders>
              <w:top w:val="nil"/>
              <w:left w:val="nil"/>
              <w:bottom w:val="single" w:sz="6" w:space="0" w:color="000000"/>
              <w:right w:val="nil"/>
            </w:tcBorders>
          </w:tcPr>
          <w:p w:rsidR="00D27BC6" w:rsidRDefault="00D27BC6">
            <w:pPr>
              <w:spacing w:after="160" w:line="259" w:lineRule="auto"/>
              <w:ind w:left="0" w:right="0" w:firstLine="0"/>
              <w:jc w:val="left"/>
            </w:pPr>
          </w:p>
        </w:tc>
        <w:tc>
          <w:tcPr>
            <w:tcW w:w="4535" w:type="dxa"/>
            <w:tcBorders>
              <w:top w:val="nil"/>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254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Да</w:t>
            </w:r>
          </w:p>
        </w:tc>
        <w:tc>
          <w:tcPr>
            <w:tcW w:w="254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Нет</w:t>
            </w:r>
          </w:p>
        </w:tc>
      </w:tr>
      <w:tr w:rsidR="00D27BC6">
        <w:trPr>
          <w:trHeight w:val="320"/>
        </w:trPr>
        <w:tc>
          <w:tcPr>
            <w:tcW w:w="56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4.</w:t>
            </w:r>
          </w:p>
        </w:tc>
        <w:tc>
          <w:tcPr>
            <w:tcW w:w="453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Пощипыванием, ощущением ползания мурашек</w:t>
            </w: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320"/>
        </w:trPr>
        <w:tc>
          <w:tcPr>
            <w:tcW w:w="56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5.</w:t>
            </w:r>
          </w:p>
        </w:tc>
        <w:tc>
          <w:tcPr>
            <w:tcW w:w="453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Покалыванием </w:t>
            </w: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320"/>
        </w:trPr>
        <w:tc>
          <w:tcPr>
            <w:tcW w:w="56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6.</w:t>
            </w:r>
          </w:p>
        </w:tc>
        <w:tc>
          <w:tcPr>
            <w:tcW w:w="453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Онемением</w:t>
            </w: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320"/>
        </w:trPr>
        <w:tc>
          <w:tcPr>
            <w:tcW w:w="56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7.</w:t>
            </w:r>
          </w:p>
        </w:tc>
        <w:tc>
          <w:tcPr>
            <w:tcW w:w="453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Зудом</w:t>
            </w: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bl>
    <w:p w:rsidR="00D27BC6" w:rsidRDefault="004D5071">
      <w:pPr>
        <w:spacing w:after="173" w:line="259" w:lineRule="auto"/>
        <w:ind w:left="10" w:right="1"/>
        <w:jc w:val="center"/>
      </w:pPr>
      <w:r>
        <w:rPr>
          <w:b/>
          <w:color w:val="6F6F6E"/>
          <w:sz w:val="18"/>
          <w:u w:val="single" w:color="6F6F6E"/>
        </w:rPr>
        <w:t xml:space="preserve">ОСМОТР ПАЦИЕНТА </w:t>
      </w:r>
    </w:p>
    <w:p w:rsidR="00D27BC6" w:rsidRDefault="004D5071">
      <w:pPr>
        <w:ind w:left="281" w:right="51"/>
        <w:jc w:val="left"/>
      </w:pPr>
      <w:r>
        <w:rPr>
          <w:b/>
        </w:rPr>
        <w:t>Локализована ли боль в той же области, где осмотр выявляет один или оба следующих симптома:</w:t>
      </w:r>
    </w:p>
    <w:tbl>
      <w:tblPr>
        <w:tblStyle w:val="TableGrid"/>
        <w:tblW w:w="10191" w:type="dxa"/>
        <w:tblInd w:w="8" w:type="dxa"/>
        <w:tblCellMar>
          <w:top w:w="9" w:type="dxa"/>
          <w:left w:w="57" w:type="dxa"/>
          <w:bottom w:w="0" w:type="dxa"/>
          <w:right w:w="115" w:type="dxa"/>
        </w:tblCellMar>
        <w:tblLook w:val="04A0" w:firstRow="1" w:lastRow="0" w:firstColumn="1" w:lastColumn="0" w:noHBand="0" w:noVBand="1"/>
      </w:tblPr>
      <w:tblGrid>
        <w:gridCol w:w="567"/>
        <w:gridCol w:w="4535"/>
        <w:gridCol w:w="2544"/>
        <w:gridCol w:w="2544"/>
      </w:tblGrid>
      <w:tr w:rsidR="00D27BC6">
        <w:trPr>
          <w:trHeight w:val="320"/>
        </w:trPr>
        <w:tc>
          <w:tcPr>
            <w:tcW w:w="567" w:type="dxa"/>
            <w:tcBorders>
              <w:top w:val="nil"/>
              <w:left w:val="nil"/>
              <w:bottom w:val="single" w:sz="6" w:space="0" w:color="000000"/>
              <w:right w:val="nil"/>
            </w:tcBorders>
          </w:tcPr>
          <w:p w:rsidR="00D27BC6" w:rsidRDefault="00D27BC6">
            <w:pPr>
              <w:spacing w:after="160" w:line="259" w:lineRule="auto"/>
              <w:ind w:left="0" w:right="0" w:firstLine="0"/>
              <w:jc w:val="left"/>
            </w:pPr>
          </w:p>
        </w:tc>
        <w:tc>
          <w:tcPr>
            <w:tcW w:w="4535" w:type="dxa"/>
            <w:tcBorders>
              <w:top w:val="nil"/>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254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Да</w:t>
            </w:r>
          </w:p>
        </w:tc>
        <w:tc>
          <w:tcPr>
            <w:tcW w:w="254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8" w:right="0" w:firstLine="0"/>
              <w:jc w:val="center"/>
            </w:pPr>
            <w:r>
              <w:rPr>
                <w:b/>
              </w:rPr>
              <w:t>Нет</w:t>
            </w:r>
          </w:p>
        </w:tc>
      </w:tr>
      <w:tr w:rsidR="00D27BC6">
        <w:trPr>
          <w:trHeight w:val="320"/>
        </w:trPr>
        <w:tc>
          <w:tcPr>
            <w:tcW w:w="56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8.</w:t>
            </w:r>
          </w:p>
        </w:tc>
        <w:tc>
          <w:tcPr>
            <w:tcW w:w="453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 xml:space="preserve">Пониженная чувствительность к прикосновению </w:t>
            </w: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r w:rsidR="00D27BC6">
        <w:trPr>
          <w:trHeight w:val="320"/>
        </w:trPr>
        <w:tc>
          <w:tcPr>
            <w:tcW w:w="56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58" w:right="0" w:firstLine="0"/>
              <w:jc w:val="center"/>
            </w:pPr>
            <w:r>
              <w:t>9.</w:t>
            </w:r>
          </w:p>
        </w:tc>
        <w:tc>
          <w:tcPr>
            <w:tcW w:w="453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Пониженная чувствительность к покалыванию</w:t>
            </w: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bl>
    <w:p w:rsidR="00D27BC6" w:rsidRDefault="004D5071">
      <w:pPr>
        <w:ind w:left="281" w:right="51"/>
        <w:jc w:val="left"/>
      </w:pPr>
      <w:r>
        <w:rPr>
          <w:b/>
        </w:rPr>
        <w:t xml:space="preserve">Можно ли вызвать или усилить боль в области ее локализации: </w:t>
      </w:r>
    </w:p>
    <w:tbl>
      <w:tblPr>
        <w:tblStyle w:val="TableGrid"/>
        <w:tblW w:w="10191" w:type="dxa"/>
        <w:tblInd w:w="8" w:type="dxa"/>
        <w:tblCellMar>
          <w:top w:w="9" w:type="dxa"/>
          <w:left w:w="56" w:type="dxa"/>
          <w:bottom w:w="0" w:type="dxa"/>
          <w:right w:w="115" w:type="dxa"/>
        </w:tblCellMar>
        <w:tblLook w:val="04A0" w:firstRow="1" w:lastRow="0" w:firstColumn="1" w:lastColumn="0" w:noHBand="0" w:noVBand="1"/>
      </w:tblPr>
      <w:tblGrid>
        <w:gridCol w:w="567"/>
        <w:gridCol w:w="4535"/>
        <w:gridCol w:w="2544"/>
        <w:gridCol w:w="2544"/>
      </w:tblGrid>
      <w:tr w:rsidR="00D27BC6">
        <w:trPr>
          <w:trHeight w:val="320"/>
        </w:trPr>
        <w:tc>
          <w:tcPr>
            <w:tcW w:w="567" w:type="dxa"/>
            <w:tcBorders>
              <w:top w:val="nil"/>
              <w:left w:val="nil"/>
              <w:bottom w:val="single" w:sz="6" w:space="0" w:color="000000"/>
              <w:right w:val="nil"/>
            </w:tcBorders>
          </w:tcPr>
          <w:p w:rsidR="00D27BC6" w:rsidRDefault="00D27BC6">
            <w:pPr>
              <w:spacing w:after="160" w:line="259" w:lineRule="auto"/>
              <w:ind w:left="0" w:right="0" w:firstLine="0"/>
              <w:jc w:val="left"/>
            </w:pPr>
          </w:p>
        </w:tc>
        <w:tc>
          <w:tcPr>
            <w:tcW w:w="4535" w:type="dxa"/>
            <w:tcBorders>
              <w:top w:val="nil"/>
              <w:left w:val="nil"/>
              <w:bottom w:val="single" w:sz="6" w:space="0" w:color="000000"/>
              <w:right w:val="single" w:sz="6" w:space="0" w:color="000000"/>
            </w:tcBorders>
          </w:tcPr>
          <w:p w:rsidR="00D27BC6" w:rsidRDefault="00D27BC6">
            <w:pPr>
              <w:spacing w:after="160" w:line="259" w:lineRule="auto"/>
              <w:ind w:left="0" w:right="0" w:firstLine="0"/>
              <w:jc w:val="left"/>
            </w:pPr>
          </w:p>
        </w:tc>
        <w:tc>
          <w:tcPr>
            <w:tcW w:w="254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Да</w:t>
            </w:r>
          </w:p>
        </w:tc>
        <w:tc>
          <w:tcPr>
            <w:tcW w:w="2544" w:type="dxa"/>
            <w:tcBorders>
              <w:top w:val="single" w:sz="6" w:space="0" w:color="000000"/>
              <w:left w:val="single" w:sz="6" w:space="0" w:color="000000"/>
              <w:bottom w:val="single" w:sz="6" w:space="0" w:color="000000"/>
              <w:right w:val="single" w:sz="6" w:space="0" w:color="000000"/>
            </w:tcBorders>
            <w:shd w:val="clear" w:color="auto" w:fill="DADAD9"/>
          </w:tcPr>
          <w:p w:rsidR="00D27BC6" w:rsidRDefault="004D5071">
            <w:pPr>
              <w:spacing w:after="0" w:line="259" w:lineRule="auto"/>
              <w:ind w:left="59" w:right="0" w:firstLine="0"/>
              <w:jc w:val="center"/>
            </w:pPr>
            <w:r>
              <w:rPr>
                <w:b/>
              </w:rPr>
              <w:t>Нет</w:t>
            </w:r>
          </w:p>
        </w:tc>
      </w:tr>
      <w:tr w:rsidR="00D27BC6">
        <w:trPr>
          <w:trHeight w:val="320"/>
        </w:trPr>
        <w:tc>
          <w:tcPr>
            <w:tcW w:w="567"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104" w:right="0" w:firstLine="0"/>
              <w:jc w:val="left"/>
            </w:pPr>
            <w:r>
              <w:t>10.</w:t>
            </w:r>
          </w:p>
        </w:tc>
        <w:tc>
          <w:tcPr>
            <w:tcW w:w="4535"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Проведя в этой области кисточкой</w:t>
            </w: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c>
          <w:tcPr>
            <w:tcW w:w="2544" w:type="dxa"/>
            <w:tcBorders>
              <w:top w:val="single" w:sz="6" w:space="0" w:color="000000"/>
              <w:left w:val="single" w:sz="6" w:space="0" w:color="000000"/>
              <w:bottom w:val="single" w:sz="6" w:space="0" w:color="000000"/>
              <w:right w:val="single" w:sz="6" w:space="0" w:color="000000"/>
            </w:tcBorders>
          </w:tcPr>
          <w:p w:rsidR="00D27BC6" w:rsidRDefault="00D27BC6">
            <w:pPr>
              <w:spacing w:after="160" w:line="259" w:lineRule="auto"/>
              <w:ind w:left="0" w:right="0" w:firstLine="0"/>
              <w:jc w:val="left"/>
            </w:pPr>
          </w:p>
        </w:tc>
      </w:tr>
    </w:tbl>
    <w:p w:rsidR="00D27BC6" w:rsidRDefault="004D5071">
      <w:pPr>
        <w:spacing w:after="226"/>
        <w:ind w:left="294" w:right="0"/>
      </w:pPr>
      <w:r>
        <w:rPr>
          <w:b/>
        </w:rPr>
        <w:t>Cумма баллов (количество ответов «Да»):</w:t>
      </w:r>
    </w:p>
    <w:p w:rsidR="00D27BC6" w:rsidRDefault="004D5071">
      <w:pPr>
        <w:ind w:left="-11" w:right="0" w:firstLine="283"/>
      </w:pPr>
      <w:r>
        <w:t>Если сумма составляет 4 и более баллов, это указывает на то, что боль у пациента является нейропатической, или имеется нейропатический компонент боли.</w:t>
      </w:r>
    </w:p>
    <w:p w:rsidR="00D27BC6" w:rsidRDefault="004D5071">
      <w:pPr>
        <w:spacing w:after="12"/>
        <w:ind w:left="290" w:right="278"/>
        <w:jc w:val="center"/>
      </w:pPr>
      <w:r>
        <w:rPr>
          <w:b/>
        </w:rPr>
        <w:t xml:space="preserve">ПРИЛОЖЕНИЕ 15.  </w:t>
      </w:r>
    </w:p>
    <w:p w:rsidR="00D27BC6" w:rsidRDefault="004D5071">
      <w:pPr>
        <w:spacing w:after="12"/>
        <w:ind w:left="290" w:right="278"/>
        <w:jc w:val="center"/>
      </w:pPr>
      <w:r>
        <w:rPr>
          <w:b/>
        </w:rPr>
        <w:t>ОПРОСНИК «ВОЗРАСТ НЕ ПОМЕХА» ДЛЯ СКРИНИНГА СИНДРОМА СТАРЧЕСКОЙ АСТЕНИИ.</w:t>
      </w:r>
    </w:p>
    <w:tbl>
      <w:tblPr>
        <w:tblStyle w:val="TableGrid"/>
        <w:tblW w:w="10191" w:type="dxa"/>
        <w:tblInd w:w="8" w:type="dxa"/>
        <w:tblCellMar>
          <w:top w:w="16" w:type="dxa"/>
          <w:left w:w="57" w:type="dxa"/>
          <w:bottom w:w="0" w:type="dxa"/>
          <w:right w:w="115" w:type="dxa"/>
        </w:tblCellMar>
        <w:tblLook w:val="04A0" w:firstRow="1" w:lastRow="0" w:firstColumn="1" w:lastColumn="0" w:noHBand="0" w:noVBand="1"/>
      </w:tblPr>
      <w:tblGrid>
        <w:gridCol w:w="6824"/>
        <w:gridCol w:w="3366"/>
      </w:tblGrid>
      <w:tr w:rsidR="00D27BC6">
        <w:trPr>
          <w:trHeight w:val="560"/>
        </w:trPr>
        <w:tc>
          <w:tcPr>
            <w:tcW w:w="68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Похудели ли Вы на 5 кг и более за последние 6 месяцев*?</w:t>
            </w:r>
          </w:p>
        </w:tc>
        <w:tc>
          <w:tcPr>
            <w:tcW w:w="336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Да / Нет</w:t>
            </w:r>
          </w:p>
        </w:tc>
      </w:tr>
      <w:tr w:rsidR="00D27BC6">
        <w:trPr>
          <w:trHeight w:val="560"/>
        </w:trPr>
        <w:tc>
          <w:tcPr>
            <w:tcW w:w="68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240" w:firstLine="0"/>
              <w:jc w:val="left"/>
            </w:pPr>
            <w:r>
              <w:t>Испытываете ли Вы какие-либо ограничения в повседневной жизни из-за ограничения зрения и слуха?</w:t>
            </w:r>
          </w:p>
        </w:tc>
        <w:tc>
          <w:tcPr>
            <w:tcW w:w="336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Да / Нет</w:t>
            </w:r>
          </w:p>
        </w:tc>
      </w:tr>
      <w:tr w:rsidR="00D27BC6">
        <w:trPr>
          <w:trHeight w:val="560"/>
        </w:trPr>
        <w:tc>
          <w:tcPr>
            <w:tcW w:w="68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Были ли у Вас в течение последнего года травмы, связанные с падением, или падения без травм?</w:t>
            </w:r>
          </w:p>
        </w:tc>
        <w:tc>
          <w:tcPr>
            <w:tcW w:w="336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Да / Нет</w:t>
            </w:r>
          </w:p>
        </w:tc>
      </w:tr>
      <w:tr w:rsidR="00D27BC6">
        <w:trPr>
          <w:trHeight w:val="560"/>
        </w:trPr>
        <w:tc>
          <w:tcPr>
            <w:tcW w:w="68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508" w:firstLine="0"/>
              <w:jc w:val="left"/>
            </w:pPr>
            <w:r>
              <w:t>Чувствуете ли Вы себя подавленным, грустным или встревоженным на протяжении нескольких недель</w:t>
            </w:r>
          </w:p>
        </w:tc>
        <w:tc>
          <w:tcPr>
            <w:tcW w:w="336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Да / Нет</w:t>
            </w:r>
          </w:p>
        </w:tc>
      </w:tr>
      <w:tr w:rsidR="00D27BC6">
        <w:trPr>
          <w:trHeight w:val="560"/>
        </w:trPr>
        <w:tc>
          <w:tcPr>
            <w:tcW w:w="68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889" w:firstLine="0"/>
              <w:jc w:val="left"/>
            </w:pPr>
            <w:r>
              <w:t>Есть ли у Вас проблемы с памятью, пониманием, ориентацией или способностью планировать?</w:t>
            </w:r>
          </w:p>
        </w:tc>
        <w:tc>
          <w:tcPr>
            <w:tcW w:w="336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Да / Нет</w:t>
            </w:r>
          </w:p>
        </w:tc>
      </w:tr>
      <w:tr w:rsidR="00D27BC6">
        <w:trPr>
          <w:trHeight w:val="560"/>
        </w:trPr>
        <w:tc>
          <w:tcPr>
            <w:tcW w:w="6824"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0" w:right="0" w:firstLine="0"/>
              <w:jc w:val="left"/>
            </w:pPr>
            <w:r>
              <w:t>Страдаете ли Вы недержанием мочи?</w:t>
            </w:r>
          </w:p>
        </w:tc>
        <w:tc>
          <w:tcPr>
            <w:tcW w:w="336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Да / Нет</w:t>
            </w:r>
          </w:p>
        </w:tc>
      </w:tr>
      <w:tr w:rsidR="00D27BC6">
        <w:trPr>
          <w:trHeight w:val="560"/>
        </w:trPr>
        <w:tc>
          <w:tcPr>
            <w:tcW w:w="6824" w:type="dxa"/>
            <w:tcBorders>
              <w:top w:val="single" w:sz="6" w:space="0" w:color="000000"/>
              <w:left w:val="single" w:sz="6" w:space="0" w:color="000000"/>
              <w:bottom w:val="single" w:sz="6" w:space="0" w:color="000000"/>
              <w:right w:val="single" w:sz="6" w:space="0" w:color="000000"/>
            </w:tcBorders>
          </w:tcPr>
          <w:p w:rsidR="00D27BC6" w:rsidRDefault="004D5071">
            <w:pPr>
              <w:spacing w:after="0" w:line="259" w:lineRule="auto"/>
              <w:ind w:left="0" w:right="0" w:firstLine="0"/>
              <w:jc w:val="left"/>
            </w:pPr>
            <w:r>
              <w:t>Испытываете ли Вы трудности в перемещении по дому или на улице? (Ходьба до 100 м или подъем на 1 лестничный пролет)</w:t>
            </w:r>
          </w:p>
        </w:tc>
        <w:tc>
          <w:tcPr>
            <w:tcW w:w="3366" w:type="dxa"/>
            <w:tcBorders>
              <w:top w:val="single" w:sz="6" w:space="0" w:color="000000"/>
              <w:left w:val="single" w:sz="6" w:space="0" w:color="000000"/>
              <w:bottom w:val="single" w:sz="6" w:space="0" w:color="000000"/>
              <w:right w:val="single" w:sz="6" w:space="0" w:color="000000"/>
            </w:tcBorders>
            <w:vAlign w:val="center"/>
          </w:tcPr>
          <w:p w:rsidR="00D27BC6" w:rsidRDefault="004D5071">
            <w:pPr>
              <w:spacing w:after="0" w:line="259" w:lineRule="auto"/>
              <w:ind w:left="59" w:right="0" w:firstLine="0"/>
              <w:jc w:val="center"/>
            </w:pPr>
            <w:r>
              <w:t>Да / Нет</w:t>
            </w:r>
          </w:p>
        </w:tc>
      </w:tr>
    </w:tbl>
    <w:p w:rsidR="00D27BC6" w:rsidRDefault="004D5071">
      <w:pPr>
        <w:spacing w:after="295"/>
        <w:ind w:left="-3" w:right="0"/>
      </w:pPr>
      <w:r>
        <w:rPr>
          <w:sz w:val="16"/>
        </w:rPr>
        <w:t>* Имеется ввиду непреднамеренное снижение веса. Если пациент похудел намеренно – за счет специальной диеты или регулярной физической активности, балл не засчитывается</w:t>
      </w:r>
    </w:p>
    <w:p w:rsidR="00D27BC6" w:rsidRDefault="004D5071">
      <w:pPr>
        <w:ind w:left="281" w:right="51"/>
        <w:jc w:val="left"/>
      </w:pPr>
      <w:r>
        <w:rPr>
          <w:b/>
        </w:rPr>
        <w:t xml:space="preserve">Ключ (интерпретация): </w:t>
      </w:r>
    </w:p>
    <w:p w:rsidR="00D27BC6" w:rsidRDefault="004D5071">
      <w:pPr>
        <w:ind w:left="294" w:right="0"/>
      </w:pPr>
      <w:r>
        <w:t xml:space="preserve">За каждый положительный ответ начисляется 1 балл. </w:t>
      </w:r>
    </w:p>
    <w:p w:rsidR="00D27BC6" w:rsidRDefault="004D5071">
      <w:pPr>
        <w:ind w:left="294" w:right="0"/>
      </w:pPr>
      <w:r>
        <w:t>Результат 2 бал</w:t>
      </w:r>
      <w:r>
        <w:t xml:space="preserve">ла и менее – нет старческой астении, </w:t>
      </w:r>
    </w:p>
    <w:p w:rsidR="00D27BC6" w:rsidRDefault="004D5071">
      <w:pPr>
        <w:ind w:left="294" w:right="0"/>
      </w:pPr>
      <w:r>
        <w:t xml:space="preserve">3–4 балла – вероятная преастения, </w:t>
      </w:r>
    </w:p>
    <w:p w:rsidR="00D27BC6" w:rsidRDefault="004D5071">
      <w:pPr>
        <w:spacing w:after="226"/>
        <w:ind w:left="294" w:right="0"/>
      </w:pPr>
      <w:r>
        <w:t>5–7 баллов – вероятная старческая астения.</w:t>
      </w:r>
    </w:p>
    <w:p w:rsidR="00D27BC6" w:rsidRDefault="004D5071">
      <w:pPr>
        <w:ind w:left="294" w:right="0"/>
      </w:pPr>
      <w:r>
        <w:t xml:space="preserve">Подробнее см. </w:t>
      </w:r>
      <w:r>
        <w:rPr>
          <w:i/>
        </w:rPr>
        <w:t>Клинические рекомендации «Старческая астения», 2024.</w:t>
      </w:r>
      <w:r>
        <w:br w:type="page"/>
      </w:r>
    </w:p>
    <w:p w:rsidR="00D27BC6" w:rsidRDefault="004D5071">
      <w:pPr>
        <w:pStyle w:val="Heading1"/>
        <w:spacing w:after="0" w:line="259" w:lineRule="auto"/>
        <w:ind w:left="4378" w:right="0" w:firstLine="0"/>
        <w:jc w:val="left"/>
      </w:pPr>
      <w:r>
        <w:t>ЛИТЕРАТУРА</w:t>
      </w:r>
    </w:p>
    <w:p w:rsidR="00D27BC6" w:rsidRDefault="00D27BC6">
      <w:pPr>
        <w:sectPr w:rsidR="00D27BC6">
          <w:headerReference w:type="even" r:id="rId94"/>
          <w:headerReference w:type="default" r:id="rId95"/>
          <w:footerReference w:type="even" r:id="rId96"/>
          <w:footerReference w:type="default" r:id="rId97"/>
          <w:headerReference w:type="first" r:id="rId98"/>
          <w:footerReference w:type="first" r:id="rId99"/>
          <w:footnotePr>
            <w:numRestart w:val="eachPage"/>
          </w:footnotePr>
          <w:pgSz w:w="11906" w:h="16724"/>
          <w:pgMar w:top="963" w:right="849" w:bottom="1244" w:left="850" w:header="429" w:footer="624" w:gutter="0"/>
          <w:cols w:space="720"/>
        </w:sectPr>
      </w:pPr>
    </w:p>
    <w:p w:rsidR="00D27BC6" w:rsidRDefault="004D5071">
      <w:pPr>
        <w:numPr>
          <w:ilvl w:val="0"/>
          <w:numId w:val="185"/>
        </w:numPr>
        <w:spacing w:after="46"/>
        <w:ind w:right="31" w:hanging="360"/>
        <w:jc w:val="left"/>
      </w:pPr>
      <w:r>
        <w:rPr>
          <w:sz w:val="16"/>
        </w:rPr>
        <w:t>Дедов И.И., Шестакова М.В. Сахарный диабет: «история болезни». Сквозь призму научных открытий. Том 1.- Москва: ООО «Медицинское информационное агентство», 2025.- Т.1-392с.: ил.</w:t>
      </w:r>
    </w:p>
    <w:p w:rsidR="00D27BC6" w:rsidRDefault="004D5071">
      <w:pPr>
        <w:numPr>
          <w:ilvl w:val="0"/>
          <w:numId w:val="185"/>
        </w:numPr>
        <w:spacing w:after="0"/>
        <w:ind w:right="31" w:hanging="360"/>
        <w:jc w:val="left"/>
      </w:pPr>
      <w:r>
        <w:rPr>
          <w:sz w:val="16"/>
        </w:rPr>
        <w:t>Дедов И.И., Мельниченко Г.А., Шестакова М.В., и др. Национ</w:t>
      </w:r>
      <w:r>
        <w:rPr>
          <w:sz w:val="16"/>
        </w:rPr>
        <w:t xml:space="preserve">альные клинические рекомендации по лечению морбидного ожирения у взрослых. 3-ий пересмотр (лечение морбидного ожирения у взрослых). // Ожирение и метаболизм. — 2018. — Т.15. — </w:t>
      </w:r>
    </w:p>
    <w:p w:rsidR="00D27BC6" w:rsidRDefault="004D5071">
      <w:pPr>
        <w:spacing w:after="46"/>
        <w:ind w:left="464" w:right="31"/>
        <w:jc w:val="left"/>
      </w:pPr>
      <w:r>
        <w:rPr>
          <w:sz w:val="16"/>
        </w:rPr>
        <w:t>№ 1 — С.53-70. doi: 10.14341/OMET2018153-70</w:t>
      </w:r>
    </w:p>
    <w:p w:rsidR="00D27BC6" w:rsidRDefault="004D5071">
      <w:pPr>
        <w:numPr>
          <w:ilvl w:val="0"/>
          <w:numId w:val="185"/>
        </w:numPr>
        <w:spacing w:after="0"/>
        <w:ind w:right="31" w:hanging="360"/>
        <w:jc w:val="left"/>
      </w:pPr>
      <w:r>
        <w:rPr>
          <w:sz w:val="16"/>
        </w:rPr>
        <w:t>Дедов И.И., Шестакова М.В., Майоров</w:t>
      </w:r>
      <w:r>
        <w:rPr>
          <w:sz w:val="16"/>
        </w:rPr>
        <w:t xml:space="preserve"> А.Ю., и др. «Алгоритмы специализированной медицинской помощи больным сахарным диабетом» (11-й выпуск). Под редакцией И.И. Дедова, М.В. Шестаковой, А.Ю. Майорова. Сахарный диабет. </w:t>
      </w:r>
    </w:p>
    <w:p w:rsidR="00D27BC6" w:rsidRDefault="004D5071">
      <w:pPr>
        <w:spacing w:after="46"/>
        <w:ind w:left="464" w:right="31"/>
        <w:jc w:val="left"/>
      </w:pPr>
      <w:r>
        <w:rPr>
          <w:sz w:val="16"/>
        </w:rPr>
        <w:t>2023;26(2S):1-157. https://doi.org/10.14341/DM13042</w:t>
      </w:r>
    </w:p>
    <w:p w:rsidR="00D27BC6" w:rsidRDefault="004D5071">
      <w:pPr>
        <w:numPr>
          <w:ilvl w:val="0"/>
          <w:numId w:val="185"/>
        </w:numPr>
        <w:spacing w:after="46"/>
        <w:ind w:right="31" w:hanging="360"/>
        <w:jc w:val="left"/>
      </w:pPr>
      <w:r>
        <w:rPr>
          <w:sz w:val="16"/>
        </w:rPr>
        <w:t>Клинические рекомендаци</w:t>
      </w:r>
      <w:r>
        <w:rPr>
          <w:sz w:val="16"/>
        </w:rPr>
        <w:t>и «Гестационный сахарный диабет», 2024. ID_841_1. https://cr.minzdrav.gov.ru/preview-cr/841_1</w:t>
      </w:r>
    </w:p>
    <w:p w:rsidR="00D27BC6" w:rsidRDefault="004D5071">
      <w:pPr>
        <w:numPr>
          <w:ilvl w:val="0"/>
          <w:numId w:val="185"/>
        </w:numPr>
        <w:spacing w:after="46"/>
        <w:ind w:right="31" w:hanging="360"/>
        <w:jc w:val="left"/>
      </w:pPr>
      <w:r>
        <w:rPr>
          <w:sz w:val="16"/>
        </w:rPr>
        <w:t>Клинические рекомендации «Неалкогольная жировая болезнь печени». ID 748_2. https://cr.minzdrav.gov.ru/preview-cr/748_2</w:t>
      </w:r>
    </w:p>
    <w:p w:rsidR="00D27BC6" w:rsidRDefault="004D5071">
      <w:pPr>
        <w:numPr>
          <w:ilvl w:val="0"/>
          <w:numId w:val="185"/>
        </w:numPr>
        <w:spacing w:after="46"/>
        <w:ind w:right="31" w:hanging="360"/>
        <w:jc w:val="left"/>
      </w:pPr>
      <w:r>
        <w:rPr>
          <w:sz w:val="16"/>
        </w:rPr>
        <w:t>Клинические рекомендации «Ожирение», 2024. ID_28_3. https://cr.minzdrav.gov.ru/preview-cr/28_3</w:t>
      </w:r>
    </w:p>
    <w:p w:rsidR="00D27BC6" w:rsidRDefault="004D5071">
      <w:pPr>
        <w:numPr>
          <w:ilvl w:val="0"/>
          <w:numId w:val="185"/>
        </w:numPr>
        <w:spacing w:after="8"/>
        <w:ind w:right="31" w:hanging="360"/>
        <w:jc w:val="left"/>
      </w:pPr>
      <w:r>
        <w:rPr>
          <w:sz w:val="16"/>
        </w:rPr>
        <w:t xml:space="preserve">Клинические рекомендации «Сахарный </w:t>
      </w:r>
    </w:p>
    <w:p w:rsidR="00D27BC6" w:rsidRDefault="004D5071">
      <w:pPr>
        <w:spacing w:after="8"/>
        <w:ind w:left="464" w:right="31"/>
        <w:jc w:val="left"/>
      </w:pPr>
      <w:r>
        <w:rPr>
          <w:sz w:val="16"/>
        </w:rPr>
        <w:t xml:space="preserve">диабет 1 типа у взрослых», 2022. ID_286_2. </w:t>
      </w:r>
    </w:p>
    <w:p w:rsidR="00D27BC6" w:rsidRDefault="004D5071">
      <w:pPr>
        <w:spacing w:after="46"/>
        <w:ind w:left="464" w:right="31"/>
        <w:jc w:val="left"/>
      </w:pPr>
      <w:r>
        <w:rPr>
          <w:sz w:val="16"/>
        </w:rPr>
        <w:t>https://cr.minzdrav.gov.ru/preview-cr/286_2</w:t>
      </w:r>
    </w:p>
    <w:p w:rsidR="00D27BC6" w:rsidRDefault="004D5071">
      <w:pPr>
        <w:numPr>
          <w:ilvl w:val="0"/>
          <w:numId w:val="185"/>
        </w:numPr>
        <w:spacing w:after="8"/>
        <w:ind w:right="31" w:hanging="360"/>
        <w:jc w:val="left"/>
      </w:pPr>
      <w:r>
        <w:rPr>
          <w:sz w:val="16"/>
        </w:rPr>
        <w:t>Клинические рекомендации «Сахарный ди</w:t>
      </w:r>
      <w:r>
        <w:rPr>
          <w:sz w:val="16"/>
        </w:rPr>
        <w:t xml:space="preserve">абет </w:t>
      </w:r>
    </w:p>
    <w:p w:rsidR="00D27BC6" w:rsidRDefault="004D5071">
      <w:pPr>
        <w:spacing w:after="8"/>
        <w:ind w:left="464" w:right="31"/>
        <w:jc w:val="left"/>
      </w:pPr>
      <w:r>
        <w:rPr>
          <w:sz w:val="16"/>
        </w:rPr>
        <w:t xml:space="preserve">1 типа у детей», 2022. ID_287_2. </w:t>
      </w:r>
    </w:p>
    <w:p w:rsidR="00D27BC6" w:rsidRDefault="004D5071">
      <w:pPr>
        <w:spacing w:after="46"/>
        <w:ind w:left="464" w:right="31"/>
        <w:jc w:val="left"/>
      </w:pPr>
      <w:r>
        <w:rPr>
          <w:sz w:val="16"/>
        </w:rPr>
        <w:t>https://cr.minzdrav.gov.ru/preview-cr/287_2. Клинические рекомендации «Сахарный диабет 2 типа у взрослых», 2022. ID_290_2. https://cr.minzdrav.gov.ru/preview-cr/290_2</w:t>
      </w:r>
    </w:p>
    <w:p w:rsidR="00D27BC6" w:rsidRDefault="004D5071">
      <w:pPr>
        <w:numPr>
          <w:ilvl w:val="0"/>
          <w:numId w:val="185"/>
        </w:numPr>
        <w:spacing w:after="8"/>
        <w:ind w:right="31" w:hanging="360"/>
        <w:jc w:val="left"/>
      </w:pPr>
      <w:r>
        <w:rPr>
          <w:sz w:val="16"/>
        </w:rPr>
        <w:t xml:space="preserve">Клинические рекомендации «Сахарный диабет 2 типа у детей», </w:t>
      </w:r>
    </w:p>
    <w:p w:rsidR="00D27BC6" w:rsidRDefault="004D5071">
      <w:pPr>
        <w:numPr>
          <w:ilvl w:val="1"/>
          <w:numId w:val="185"/>
        </w:numPr>
        <w:spacing w:after="46"/>
        <w:ind w:right="149" w:hanging="375"/>
        <w:jc w:val="left"/>
      </w:pPr>
      <w:r>
        <w:rPr>
          <w:sz w:val="16"/>
        </w:rPr>
        <w:t>ID_622_5. https://cr.minzdrav.gov.ru/preview-cr/622_5</w:t>
      </w:r>
    </w:p>
    <w:p w:rsidR="00D27BC6" w:rsidRDefault="004D5071">
      <w:pPr>
        <w:numPr>
          <w:ilvl w:val="0"/>
          <w:numId w:val="185"/>
        </w:numPr>
        <w:spacing w:after="46"/>
        <w:ind w:right="31" w:hanging="360"/>
        <w:jc w:val="left"/>
      </w:pPr>
      <w:r>
        <w:rPr>
          <w:sz w:val="16"/>
        </w:rPr>
        <w:t>Клинические рекомендации «Сахарный диабет: ретинопатия диабетическая, макулярный отек диабетический», 2023. ID_115_2. https://cr.minzdrav.gov.</w:t>
      </w:r>
      <w:r>
        <w:rPr>
          <w:sz w:val="16"/>
        </w:rPr>
        <w:t>ru/preview-cr/115_2</w:t>
      </w:r>
    </w:p>
    <w:p w:rsidR="00D27BC6" w:rsidRDefault="004D5071">
      <w:pPr>
        <w:numPr>
          <w:ilvl w:val="0"/>
          <w:numId w:val="185"/>
        </w:numPr>
        <w:spacing w:after="46"/>
        <w:ind w:right="31" w:hanging="360"/>
        <w:jc w:val="left"/>
      </w:pPr>
      <w:r>
        <w:rPr>
          <w:sz w:val="16"/>
        </w:rPr>
        <w:t>Клинические рекомендации «Старческая астения», 2024 г. ID-613_2. https://cr.minzdrav.gov.ru/preview-cr/613_2</w:t>
      </w:r>
    </w:p>
    <w:p w:rsidR="00D27BC6" w:rsidRDefault="004D5071">
      <w:pPr>
        <w:numPr>
          <w:ilvl w:val="0"/>
          <w:numId w:val="185"/>
        </w:numPr>
        <w:spacing w:after="46"/>
        <w:ind w:right="31" w:hanging="360"/>
        <w:jc w:val="left"/>
      </w:pPr>
      <w:r>
        <w:rPr>
          <w:sz w:val="16"/>
        </w:rPr>
        <w:t xml:space="preserve">Майоров А.Ю., Мельникова О.Г., Котешкова О.М., Мисникова И.В., Черникова Н.А. Техника инъекций и инфузии при лечении сахарного </w:t>
      </w:r>
      <w:r>
        <w:rPr>
          <w:sz w:val="16"/>
        </w:rPr>
        <w:t xml:space="preserve">диабета. Методическое руководство. ООО «АРТИНФО», Москва, 2018 – 64 с. </w:t>
      </w:r>
    </w:p>
    <w:p w:rsidR="00D27BC6" w:rsidRDefault="004D5071">
      <w:pPr>
        <w:numPr>
          <w:ilvl w:val="0"/>
          <w:numId w:val="185"/>
        </w:numPr>
        <w:spacing w:after="46"/>
        <w:ind w:right="31" w:hanging="360"/>
        <w:jc w:val="left"/>
      </w:pPr>
      <w:r>
        <w:rPr>
          <w:sz w:val="16"/>
        </w:rPr>
        <w:t>Мустафина СВ, Рымар ОД, Сазонова ОВ, и др. Валидизация финской шкалы риска «FINDRISC» на европеоидной популяции Сибири. Сахарный диабет. 2016;19(2):113–118. doi: 10.14341/DM200418-10</w:t>
      </w:r>
    </w:p>
    <w:p w:rsidR="00D27BC6" w:rsidRDefault="004D5071">
      <w:pPr>
        <w:numPr>
          <w:ilvl w:val="0"/>
          <w:numId w:val="185"/>
        </w:numPr>
        <w:spacing w:after="46"/>
        <w:ind w:right="31" w:hanging="360"/>
        <w:jc w:val="left"/>
      </w:pPr>
      <w:r>
        <w:rPr>
          <w:sz w:val="16"/>
        </w:rPr>
        <w:t>Н</w:t>
      </w:r>
      <w:r>
        <w:rPr>
          <w:sz w:val="16"/>
        </w:rPr>
        <w:t>ациональные медицинские критерии приемлемости методов контрацепции Адаптированный документ (2023 г.) «Медицинские критерии приемлемости использования методов контрацепции» (ВОЗ, Пятое издание, 2015 г.)</w:t>
      </w:r>
      <w:hyperlink r:id="rId100">
        <w:r>
          <w:rPr>
            <w:sz w:val="16"/>
          </w:rPr>
          <w:t xml:space="preserve"> https://drive.google.com/file/d/1eO4k </w:t>
        </w:r>
      </w:hyperlink>
      <w:hyperlink r:id="rId101">
        <w:r>
          <w:rPr>
            <w:sz w:val="16"/>
          </w:rPr>
          <w:t>z5jjSNxJzHvAklVN3CdPwOW8ZH10/view</w:t>
        </w:r>
      </w:hyperlink>
    </w:p>
    <w:p w:rsidR="00D27BC6" w:rsidRDefault="004D5071">
      <w:pPr>
        <w:numPr>
          <w:ilvl w:val="0"/>
          <w:numId w:val="185"/>
        </w:numPr>
        <w:spacing w:after="8"/>
        <w:ind w:right="31" w:hanging="360"/>
        <w:jc w:val="left"/>
      </w:pPr>
      <w:r>
        <w:rPr>
          <w:sz w:val="16"/>
        </w:rPr>
        <w:t xml:space="preserve">Осложнения сахарного диабета: лечение и профилактика / </w:t>
      </w:r>
    </w:p>
    <w:p w:rsidR="00D27BC6" w:rsidRDefault="004D5071">
      <w:pPr>
        <w:spacing w:after="8"/>
        <w:ind w:left="464" w:right="31"/>
        <w:jc w:val="left"/>
      </w:pPr>
      <w:r>
        <w:rPr>
          <w:sz w:val="16"/>
        </w:rPr>
        <w:t>По</w:t>
      </w:r>
      <w:r>
        <w:rPr>
          <w:sz w:val="16"/>
        </w:rPr>
        <w:t xml:space="preserve">д ред. И.И. Дедова, М.В. Шестаковой. – М.: ООО «Издательство </w:t>
      </w:r>
    </w:p>
    <w:p w:rsidR="00D27BC6" w:rsidRDefault="004D5071">
      <w:pPr>
        <w:spacing w:after="46"/>
        <w:ind w:left="464" w:right="31"/>
        <w:jc w:val="left"/>
      </w:pPr>
      <w:r>
        <w:rPr>
          <w:sz w:val="16"/>
        </w:rPr>
        <w:t>«Медицинское информационное агентство», 2017. [Dedov II, Shestakova MV, eds. Complications of diabetes mellitus: treatment and prevention. Moscow: Meditsinskoe informatsionnoe agentstvo; 2017].</w:t>
      </w:r>
    </w:p>
    <w:p w:rsidR="00D27BC6" w:rsidRDefault="004D5071">
      <w:pPr>
        <w:numPr>
          <w:ilvl w:val="0"/>
          <w:numId w:val="185"/>
        </w:numPr>
        <w:spacing w:after="46"/>
        <w:ind w:right="31" w:hanging="360"/>
        <w:jc w:val="left"/>
      </w:pPr>
      <w:r>
        <w:rPr>
          <w:sz w:val="16"/>
        </w:rPr>
        <w:t>Потемкин В.В., Старостина Е.Г. Руководство по неотложной эндокринологии. – М: Медицинское информационное агентство, 2008. 393 с. [Potemkin VV, Starostina EG. Rukovodstvo po neotlozhnoy endokrinologii. Moscow: Meditsinskoe informatsionnoe agentstvo; 2008. 3</w:t>
      </w:r>
      <w:r>
        <w:rPr>
          <w:sz w:val="16"/>
        </w:rPr>
        <w:t>93p.].</w:t>
      </w:r>
    </w:p>
    <w:p w:rsidR="00D27BC6" w:rsidRDefault="004D5071">
      <w:pPr>
        <w:numPr>
          <w:ilvl w:val="0"/>
          <w:numId w:val="185"/>
        </w:numPr>
        <w:spacing w:after="46"/>
        <w:ind w:right="31" w:hanging="360"/>
        <w:jc w:val="left"/>
      </w:pPr>
      <w:r>
        <w:rPr>
          <w:sz w:val="16"/>
        </w:rPr>
        <w:t>Приказ Министерства здравоохранения Российской Федерации от 20.10.2020 № 1130н»Об утверждении Порядка оказания медицинской помощи по профилю «акушерство и гинекология»(Зарегистрирован 12.11.2020 № 60869) http://publication.pravo.gov.ru/Document/View</w:t>
      </w:r>
      <w:r>
        <w:rPr>
          <w:sz w:val="16"/>
        </w:rPr>
        <w:t>/0001202011130037</w:t>
      </w:r>
    </w:p>
    <w:p w:rsidR="00D27BC6" w:rsidRDefault="004D5071">
      <w:pPr>
        <w:numPr>
          <w:ilvl w:val="0"/>
          <w:numId w:val="185"/>
        </w:numPr>
        <w:spacing w:after="0"/>
        <w:ind w:right="31" w:hanging="360"/>
        <w:jc w:val="left"/>
      </w:pPr>
      <w:r>
        <w:rPr>
          <w:sz w:val="16"/>
        </w:rPr>
        <w:t xml:space="preserve">Cахарный диабет типа 1: реалии и перспективы / Под ред. И.И. Дедова, М.В. Шестаковой. – М.: ООО «Издательство </w:t>
      </w:r>
    </w:p>
    <w:p w:rsidR="00D27BC6" w:rsidRDefault="004D5071">
      <w:pPr>
        <w:spacing w:after="46"/>
        <w:ind w:left="464" w:right="31"/>
        <w:jc w:val="left"/>
      </w:pPr>
      <w:r>
        <w:rPr>
          <w:sz w:val="16"/>
        </w:rPr>
        <w:t>«Медицинское информационное агентство», 2016. [Dedov II, Shestakova MV, eds. Diabetes mellitus Type 1: reality and perspectives</w:t>
      </w:r>
      <w:r>
        <w:rPr>
          <w:sz w:val="16"/>
        </w:rPr>
        <w:t>. Moscow: Meditsinskoe informatsionnoe agentstvo; 2016].</w:t>
      </w:r>
    </w:p>
    <w:p w:rsidR="00D27BC6" w:rsidRDefault="004D5071">
      <w:pPr>
        <w:numPr>
          <w:ilvl w:val="0"/>
          <w:numId w:val="185"/>
        </w:numPr>
        <w:spacing w:after="0"/>
        <w:ind w:right="31" w:hanging="360"/>
        <w:jc w:val="left"/>
      </w:pPr>
      <w:r>
        <w:rPr>
          <w:sz w:val="16"/>
        </w:rPr>
        <w:t xml:space="preserve">Cахарный диабет типа 2: от теории к практике / Под ред. И.И. Дедова, М.В. Шестаковой. – М.: ООО «Издательство </w:t>
      </w:r>
    </w:p>
    <w:p w:rsidR="00D27BC6" w:rsidRDefault="004D5071">
      <w:pPr>
        <w:spacing w:after="46"/>
        <w:ind w:left="370" w:right="31"/>
        <w:jc w:val="left"/>
      </w:pPr>
      <w:r>
        <w:rPr>
          <w:sz w:val="16"/>
        </w:rPr>
        <w:t>«Медицинское информационное агентство», 2016. [Dedov II, Shestakova MV, eds. Diabetes me</w:t>
      </w:r>
      <w:r>
        <w:rPr>
          <w:sz w:val="16"/>
        </w:rPr>
        <w:t>llitus Type 2: from theory to practice. Moscow: Meditsinskoe informatsionnoe agentstvo; 2016].</w:t>
      </w:r>
    </w:p>
    <w:p w:rsidR="00D27BC6" w:rsidRDefault="004D5071">
      <w:pPr>
        <w:numPr>
          <w:ilvl w:val="0"/>
          <w:numId w:val="185"/>
        </w:numPr>
        <w:spacing w:after="0"/>
        <w:ind w:right="31" w:hanging="360"/>
        <w:jc w:val="left"/>
      </w:pPr>
      <w:r>
        <w:rPr>
          <w:sz w:val="16"/>
        </w:rPr>
        <w:t xml:space="preserve">Cахарный диабет: многообразие клинических форм / Под ред. И.И. Дедова, М.В. Шестаковой. – М.: ООО «Издательство </w:t>
      </w:r>
    </w:p>
    <w:p w:rsidR="00D27BC6" w:rsidRDefault="004D5071">
      <w:pPr>
        <w:spacing w:after="46"/>
        <w:ind w:left="370" w:right="31"/>
        <w:jc w:val="left"/>
      </w:pPr>
      <w:r>
        <w:rPr>
          <w:sz w:val="16"/>
        </w:rPr>
        <w:t>«Медицинское информационное агентство», 2016. [Dedov II, Shestakova MV, eds. Diabetes mellitus: andomizedy of clinical forms. Moscow: Meditsinskoe informatsionnoe agentstvo; 2016].</w:t>
      </w:r>
    </w:p>
    <w:p w:rsidR="00D27BC6" w:rsidRDefault="004D5071">
      <w:pPr>
        <w:numPr>
          <w:ilvl w:val="0"/>
          <w:numId w:val="185"/>
        </w:numPr>
        <w:spacing w:after="0"/>
        <w:ind w:right="31" w:hanging="360"/>
        <w:jc w:val="left"/>
      </w:pPr>
      <w:r>
        <w:rPr>
          <w:sz w:val="16"/>
        </w:rPr>
        <w:t>Сахарный диабет и репродуктивная система / Под ред. И.И. Дедова, М.В. Шеста</w:t>
      </w:r>
      <w:r>
        <w:rPr>
          <w:sz w:val="16"/>
        </w:rPr>
        <w:t xml:space="preserve">ковой. – М.: ООО «Издательство </w:t>
      </w:r>
    </w:p>
    <w:p w:rsidR="00D27BC6" w:rsidRDefault="004D5071">
      <w:pPr>
        <w:spacing w:after="46"/>
        <w:ind w:left="370" w:right="31"/>
        <w:jc w:val="left"/>
      </w:pPr>
      <w:r>
        <w:rPr>
          <w:sz w:val="16"/>
        </w:rPr>
        <w:t>«Медицинское информационное агентство», 2016. [Dedov II, Shestakova MV, eds. Diabetes mellitus and reproductive system. Moscow: Meditsinskoe informatsionnoe agentstvo; 2016].</w:t>
      </w:r>
    </w:p>
    <w:p w:rsidR="00D27BC6" w:rsidRDefault="004D5071">
      <w:pPr>
        <w:numPr>
          <w:ilvl w:val="0"/>
          <w:numId w:val="185"/>
        </w:numPr>
        <w:spacing w:after="0"/>
        <w:ind w:right="31" w:hanging="360"/>
        <w:jc w:val="left"/>
      </w:pPr>
      <w:r>
        <w:rPr>
          <w:sz w:val="16"/>
        </w:rPr>
        <w:t>Шестакова М.В., Дедов И.И. Сахарный диабет и хрон</w:t>
      </w:r>
      <w:r>
        <w:rPr>
          <w:sz w:val="16"/>
        </w:rPr>
        <w:t xml:space="preserve">ическая болезнь почек. – М.: Медицинское информационное агентство, 2009. 500 с. </w:t>
      </w:r>
    </w:p>
    <w:p w:rsidR="00D27BC6" w:rsidRDefault="004D5071">
      <w:pPr>
        <w:spacing w:after="46"/>
        <w:ind w:left="370" w:right="31"/>
        <w:jc w:val="left"/>
      </w:pPr>
      <w:r>
        <w:rPr>
          <w:sz w:val="16"/>
        </w:rPr>
        <w:t>[Shestakova MV, Dedov II. Diabetes mellitus and chronic kidney disease. Moscow: Meditsinskoe informatsionnoe agentstvo; 2009. 500 p.].</w:t>
      </w:r>
    </w:p>
    <w:p w:rsidR="00D27BC6" w:rsidRDefault="004D5071">
      <w:pPr>
        <w:numPr>
          <w:ilvl w:val="0"/>
          <w:numId w:val="185"/>
        </w:numPr>
        <w:spacing w:after="0"/>
        <w:ind w:right="31" w:hanging="360"/>
        <w:jc w:val="left"/>
      </w:pPr>
      <w:r>
        <w:rPr>
          <w:sz w:val="16"/>
        </w:rPr>
        <w:t>Шляхто Е.В., Сухих Г.Т., Серов В.Н., Дед</w:t>
      </w:r>
      <w:r>
        <w:rPr>
          <w:sz w:val="16"/>
        </w:rPr>
        <w:t xml:space="preserve">ов И.И., и соавт. Российские критерии приемлемости назначения менопаузальной гормональной терапии пациенткам с сердечно-сосудистыми и метаболическими заболеваниями. Согласительный документ РКО, РОАГ, РАЭ, ЕАТ, РАФ. Проблемы Эндокринологии. </w:t>
      </w:r>
    </w:p>
    <w:p w:rsidR="00D27BC6" w:rsidRDefault="004D5071">
      <w:pPr>
        <w:spacing w:after="46"/>
        <w:ind w:left="370" w:right="31"/>
        <w:jc w:val="left"/>
      </w:pPr>
      <w:r>
        <w:rPr>
          <w:sz w:val="16"/>
        </w:rPr>
        <w:t>2023;69(5):115-</w:t>
      </w:r>
      <w:r>
        <w:rPr>
          <w:sz w:val="16"/>
        </w:rPr>
        <w:t>136. https://doi.org/10.14341/probl13394</w:t>
      </w:r>
    </w:p>
    <w:p w:rsidR="00D27BC6" w:rsidRDefault="004D5071">
      <w:pPr>
        <w:numPr>
          <w:ilvl w:val="0"/>
          <w:numId w:val="185"/>
        </w:numPr>
        <w:spacing w:after="46"/>
        <w:ind w:right="31" w:hanging="360"/>
        <w:jc w:val="left"/>
      </w:pPr>
      <w:r>
        <w:rPr>
          <w:sz w:val="16"/>
        </w:rPr>
        <w:t>Aboyans V, Ricco JB, Bartelink MEL, et al. 2017 ESC Guidelines on the Diagnosis and Treatment of Peripheral Arterial Diseases, in collaboration with the European Society for Vascular Surgery (ESVS): Document coverin</w:t>
      </w:r>
      <w:r>
        <w:rPr>
          <w:sz w:val="16"/>
        </w:rPr>
        <w:t>g atherosclerotic disease of extracranial carotid and vertebral, mesenteric, renal, upper and lower extremity arteries. Eur Heart J. 2018;39(9):763-816. doi: 10.1093/eurheartj/ehx095</w:t>
      </w:r>
    </w:p>
    <w:p w:rsidR="00D27BC6" w:rsidRDefault="004D5071">
      <w:pPr>
        <w:numPr>
          <w:ilvl w:val="0"/>
          <w:numId w:val="185"/>
        </w:numPr>
        <w:spacing w:after="46"/>
        <w:ind w:right="31" w:hanging="360"/>
        <w:jc w:val="left"/>
      </w:pPr>
      <w:r>
        <w:rPr>
          <w:sz w:val="16"/>
        </w:rPr>
        <w:t>Agarwal R, Filippatos G, Pitt B, et al.; FIDELIO-DKD and FIGARO-DKD inves</w:t>
      </w:r>
      <w:r>
        <w:rPr>
          <w:sz w:val="16"/>
        </w:rPr>
        <w:t>tigators. Cardiovascular and kidney outcomes with finerenone in patients with type 2 diabetes and chronic kidney disease: the FIDELITY pooled analysis. Eur Heart J. 2022 Feb 10;43(6):474-484. doi: 10.1093/eurheartj/ehab777.</w:t>
      </w:r>
    </w:p>
    <w:p w:rsidR="00D27BC6" w:rsidRDefault="004D5071">
      <w:pPr>
        <w:numPr>
          <w:ilvl w:val="0"/>
          <w:numId w:val="185"/>
        </w:numPr>
        <w:spacing w:after="46"/>
        <w:ind w:right="31" w:hanging="360"/>
        <w:jc w:val="left"/>
      </w:pPr>
      <w:r>
        <w:rPr>
          <w:sz w:val="16"/>
        </w:rPr>
        <w:t>American Diabetes Association. S</w:t>
      </w:r>
      <w:r>
        <w:rPr>
          <w:sz w:val="16"/>
        </w:rPr>
        <w:t>tandards of medical care in diabetes – 2025. Diabetes Care. 2025;48(Suppl 1):S1-344.</w:t>
      </w:r>
    </w:p>
    <w:p w:rsidR="00D27BC6" w:rsidRDefault="004D5071">
      <w:pPr>
        <w:numPr>
          <w:ilvl w:val="0"/>
          <w:numId w:val="185"/>
        </w:numPr>
        <w:spacing w:after="46"/>
        <w:ind w:right="31" w:hanging="360"/>
        <w:jc w:val="left"/>
      </w:pPr>
      <w:r>
        <w:rPr>
          <w:sz w:val="16"/>
        </w:rPr>
        <w:t>de Boer IH, Caramori ML, Chan JCN, et al. KDIGO 2020 Clinical Practice Guideline for Diabetes Management in Chronic Kidney Disease. Kidney Int 2020; 98: S1–S115.</w:t>
      </w:r>
    </w:p>
    <w:p w:rsidR="00D27BC6" w:rsidRDefault="004D5071">
      <w:pPr>
        <w:numPr>
          <w:ilvl w:val="0"/>
          <w:numId w:val="185"/>
        </w:numPr>
        <w:spacing w:after="46"/>
        <w:ind w:right="31" w:hanging="360"/>
        <w:jc w:val="left"/>
      </w:pPr>
      <w:r>
        <w:rPr>
          <w:sz w:val="16"/>
        </w:rPr>
        <w:t>Borson S.</w:t>
      </w:r>
      <w:r>
        <w:rPr>
          <w:sz w:val="16"/>
        </w:rPr>
        <w:t>, Scanlan J.M., Chen P.J., et al. The Mini-Cog as a screen for dementia: Validation in a population-based sample. J Am Geriatr Soc 2003; 51: c. 1451 - 1454.</w:t>
      </w:r>
    </w:p>
    <w:p w:rsidR="00D27BC6" w:rsidRDefault="004D5071">
      <w:pPr>
        <w:numPr>
          <w:ilvl w:val="0"/>
          <w:numId w:val="185"/>
        </w:numPr>
        <w:spacing w:after="46"/>
        <w:ind w:right="31" w:hanging="360"/>
        <w:jc w:val="left"/>
      </w:pPr>
      <w:r>
        <w:rPr>
          <w:sz w:val="16"/>
        </w:rPr>
        <w:t>Busetto L et al. Practical Recommendations of the Obesity Management Task Force of the European Ass</w:t>
      </w:r>
      <w:r>
        <w:rPr>
          <w:sz w:val="16"/>
        </w:rPr>
        <w:t>ociation for the Study of Obesity for the Post-Bariatric Surgery Medical Management. Obes Facts. 2017;10:597–632.</w:t>
      </w:r>
    </w:p>
    <w:p w:rsidR="00D27BC6" w:rsidRDefault="004D5071">
      <w:pPr>
        <w:numPr>
          <w:ilvl w:val="0"/>
          <w:numId w:val="185"/>
        </w:numPr>
        <w:spacing w:after="46"/>
        <w:ind w:right="31" w:hanging="360"/>
        <w:jc w:val="left"/>
      </w:pPr>
      <w:r>
        <w:rPr>
          <w:sz w:val="16"/>
        </w:rPr>
        <w:t>Classification of diabetes mellitus. World Health Organization. 2019.</w:t>
      </w:r>
    </w:p>
    <w:p w:rsidR="00D27BC6" w:rsidRDefault="004D5071">
      <w:pPr>
        <w:numPr>
          <w:ilvl w:val="0"/>
          <w:numId w:val="185"/>
        </w:numPr>
        <w:spacing w:after="0"/>
        <w:ind w:right="31" w:hanging="360"/>
        <w:jc w:val="left"/>
      </w:pPr>
      <w:r>
        <w:rPr>
          <w:sz w:val="16"/>
        </w:rPr>
        <w:t>Collet J-P, Thiele H, Barbato E, et al. 2020 ESC Guidelines for the mana</w:t>
      </w:r>
      <w:r>
        <w:rPr>
          <w:sz w:val="16"/>
        </w:rPr>
        <w:t xml:space="preserve">gement of acute coronary syndromes in patients presenting without persistent ST-segment elevation. Eur Heart </w:t>
      </w:r>
    </w:p>
    <w:p w:rsidR="00D27BC6" w:rsidRDefault="004D5071">
      <w:pPr>
        <w:spacing w:after="46"/>
        <w:ind w:left="370" w:right="31"/>
        <w:jc w:val="left"/>
      </w:pPr>
      <w:r>
        <w:rPr>
          <w:sz w:val="16"/>
        </w:rPr>
        <w:t>J. 2021;42(14):1289–1367. doi: 10.1093/eurheartj/ehaa575</w:t>
      </w:r>
    </w:p>
    <w:p w:rsidR="00D27BC6" w:rsidRDefault="004D5071">
      <w:pPr>
        <w:numPr>
          <w:ilvl w:val="0"/>
          <w:numId w:val="185"/>
        </w:numPr>
        <w:spacing w:after="46"/>
        <w:ind w:right="31" w:hanging="360"/>
        <w:jc w:val="left"/>
      </w:pPr>
      <w:r>
        <w:rPr>
          <w:sz w:val="16"/>
        </w:rPr>
        <w:t>Cosentino F, Grant PJ, Aboyans V, et al. 2019 ESC Guidelines on diabetes, pre-diabetes, a</w:t>
      </w:r>
      <w:r>
        <w:rPr>
          <w:sz w:val="16"/>
        </w:rPr>
        <w:t>nd cardiovascular diseases developed in collaboration with the EASD. Eur Heart J. 2020;41(2):255-323. doi:10.1093/eurheartj/ehz486</w:t>
      </w:r>
    </w:p>
    <w:p w:rsidR="00D27BC6" w:rsidRDefault="004D5071">
      <w:pPr>
        <w:numPr>
          <w:ilvl w:val="0"/>
          <w:numId w:val="185"/>
        </w:numPr>
        <w:spacing w:after="46"/>
        <w:ind w:right="31" w:hanging="360"/>
        <w:jc w:val="left"/>
      </w:pPr>
      <w:r>
        <w:rPr>
          <w:sz w:val="16"/>
        </w:rPr>
        <w:t>Cummings DE, Rubino F. Metabolic surgery for the treatment of type 2 diabetes in obese individuals. Diabetologia. 2018;61:257</w:t>
      </w:r>
      <w:r>
        <w:rPr>
          <w:sz w:val="16"/>
        </w:rPr>
        <w:t>–264.</w:t>
      </w:r>
    </w:p>
    <w:p w:rsidR="00D27BC6" w:rsidRDefault="004D5071">
      <w:pPr>
        <w:numPr>
          <w:ilvl w:val="0"/>
          <w:numId w:val="185"/>
        </w:numPr>
        <w:spacing w:after="46"/>
        <w:ind w:right="31" w:hanging="360"/>
        <w:jc w:val="left"/>
      </w:pPr>
      <w:r>
        <w:rPr>
          <w:sz w:val="16"/>
        </w:rPr>
        <w:t>Danne T, Nimri R, Battelino T, et al. International consensus on use of continuous glucose monitoring. Diabetes Care. 2017;40(12):1631–1640.</w:t>
      </w:r>
    </w:p>
    <w:p w:rsidR="00D27BC6" w:rsidRDefault="004D5071">
      <w:pPr>
        <w:numPr>
          <w:ilvl w:val="0"/>
          <w:numId w:val="185"/>
        </w:numPr>
        <w:spacing w:after="0"/>
        <w:ind w:right="31" w:hanging="360"/>
        <w:jc w:val="left"/>
      </w:pPr>
      <w:r>
        <w:rPr>
          <w:sz w:val="16"/>
        </w:rPr>
        <w:t>Davies MJ, Aroda VR, Collins BS, et al.</w:t>
      </w:r>
      <w:hyperlink r:id="rId102">
        <w:r>
          <w:rPr>
            <w:sz w:val="16"/>
          </w:rPr>
          <w:t xml:space="preserve"> Management of hyperglycaemia </w:t>
        </w:r>
      </w:hyperlink>
      <w:hyperlink r:id="rId103">
        <w:r>
          <w:rPr>
            <w:sz w:val="16"/>
          </w:rPr>
          <w:t xml:space="preserve">in type 2 diabetes, 2022. A consensus report by the American </w:t>
        </w:r>
      </w:hyperlink>
    </w:p>
    <w:p w:rsidR="00D27BC6" w:rsidRDefault="004D5071">
      <w:pPr>
        <w:spacing w:after="46"/>
        <w:ind w:left="370" w:right="31"/>
        <w:jc w:val="left"/>
      </w:pPr>
      <w:hyperlink r:id="rId104">
        <w:r>
          <w:rPr>
            <w:sz w:val="16"/>
          </w:rPr>
          <w:t>Diabetes Association (ADA) and the Europea</w:t>
        </w:r>
        <w:r>
          <w:rPr>
            <w:sz w:val="16"/>
          </w:rPr>
          <w:t xml:space="preserve">n Association for the </w:t>
        </w:r>
      </w:hyperlink>
      <w:hyperlink r:id="rId105">
        <w:r>
          <w:rPr>
            <w:sz w:val="16"/>
          </w:rPr>
          <w:t>Study of Diabetes (EASD).</w:t>
        </w:r>
      </w:hyperlink>
      <w:r>
        <w:rPr>
          <w:sz w:val="16"/>
        </w:rPr>
        <w:t xml:space="preserve"> Diabetologia. 2022 Dec;65(12):1925-1966.</w:t>
      </w:r>
    </w:p>
    <w:p w:rsidR="00D27BC6" w:rsidRDefault="004D5071">
      <w:pPr>
        <w:numPr>
          <w:ilvl w:val="0"/>
          <w:numId w:val="185"/>
        </w:numPr>
        <w:spacing w:after="46"/>
        <w:ind w:right="31" w:hanging="360"/>
        <w:jc w:val="left"/>
      </w:pPr>
      <w:r>
        <w:rPr>
          <w:sz w:val="16"/>
        </w:rPr>
        <w:t>Definition and diagnosis of diabetes mellitus and intermediate hyperglycemia. Report of WHO/IDF Consultati</w:t>
      </w:r>
      <w:r>
        <w:rPr>
          <w:sz w:val="16"/>
        </w:rPr>
        <w:t>on. 2006.</w:t>
      </w:r>
    </w:p>
    <w:p w:rsidR="00D27BC6" w:rsidRDefault="004D5071">
      <w:pPr>
        <w:numPr>
          <w:ilvl w:val="0"/>
          <w:numId w:val="185"/>
        </w:numPr>
        <w:spacing w:after="8"/>
        <w:ind w:right="31" w:hanging="360"/>
        <w:jc w:val="left"/>
      </w:pPr>
      <w:r>
        <w:rPr>
          <w:sz w:val="16"/>
        </w:rPr>
        <w:t xml:space="preserve">Definition, Diagnosis, and Classification of Diabetes Mellitus and Its </w:t>
      </w:r>
    </w:p>
    <w:p w:rsidR="00D27BC6" w:rsidRDefault="004D5071">
      <w:pPr>
        <w:spacing w:after="46"/>
        <w:ind w:left="464" w:right="31"/>
        <w:jc w:val="left"/>
      </w:pPr>
      <w:r>
        <w:rPr>
          <w:sz w:val="16"/>
        </w:rPr>
        <w:t>Complications: Report of a WHO consultation. Part 1: Diagnosis and Classification of Diabetes Mellitus (WHO/NCD/NCS/99.2). Geneva: World Health Organization; 1999.</w:t>
      </w:r>
    </w:p>
    <w:p w:rsidR="00D27BC6" w:rsidRDefault="004D5071">
      <w:pPr>
        <w:numPr>
          <w:ilvl w:val="0"/>
          <w:numId w:val="185"/>
        </w:numPr>
        <w:spacing w:after="46"/>
        <w:ind w:right="31" w:hanging="360"/>
        <w:jc w:val="left"/>
      </w:pPr>
      <w:r>
        <w:rPr>
          <w:sz w:val="16"/>
        </w:rPr>
        <w:t>Diagnostic criteria and classification of hyperglycaemia first detected in pregnancy. WHO Guideline. 2013.</w:t>
      </w:r>
    </w:p>
    <w:p w:rsidR="00D27BC6" w:rsidRDefault="004D5071">
      <w:pPr>
        <w:numPr>
          <w:ilvl w:val="0"/>
          <w:numId w:val="185"/>
        </w:numPr>
        <w:spacing w:after="46"/>
        <w:ind w:right="31" w:hanging="360"/>
        <w:jc w:val="left"/>
      </w:pPr>
      <w:r>
        <w:rPr>
          <w:sz w:val="16"/>
        </w:rPr>
        <w:t>Feig DS, Donovan LE, Zinman B, et al.; MiTy Collaborative Group. Metformin in women with type 2 diabetes in pregnancy (MiTy): a multicentre, internat</w:t>
      </w:r>
      <w:r>
        <w:rPr>
          <w:sz w:val="16"/>
        </w:rPr>
        <w:t>ional, randomised, placebo-controlled trial. Lancet Diabetes Endocrinol. 2020 Oct;8(10):834-844. doi: 10.1016/S2213-8587(20)30310-7</w:t>
      </w:r>
    </w:p>
    <w:p w:rsidR="00D27BC6" w:rsidRDefault="004D5071">
      <w:pPr>
        <w:numPr>
          <w:ilvl w:val="0"/>
          <w:numId w:val="185"/>
        </w:numPr>
        <w:spacing w:after="0"/>
        <w:ind w:right="31" w:hanging="360"/>
        <w:jc w:val="left"/>
      </w:pPr>
      <w:r>
        <w:rPr>
          <w:sz w:val="16"/>
        </w:rPr>
        <w:t>Grunberger G, Sherr J, Allende M, et al. American Association of Clinical Endocrinology Clinical Practice Guideline: The Use</w:t>
      </w:r>
      <w:r>
        <w:rPr>
          <w:sz w:val="16"/>
        </w:rPr>
        <w:t xml:space="preserve"> of Advanced Technology in the Management of Persons with Diabetes Mellitus. </w:t>
      </w:r>
    </w:p>
    <w:p w:rsidR="00D27BC6" w:rsidRDefault="004D5071">
      <w:pPr>
        <w:spacing w:after="46"/>
        <w:ind w:left="464" w:right="31"/>
        <w:jc w:val="left"/>
      </w:pPr>
      <w:r>
        <w:rPr>
          <w:sz w:val="16"/>
        </w:rPr>
        <w:t>Endocr Pract. 2021;27(6):505-537. doi: 10.1016/j.eprac.2021.04.008</w:t>
      </w:r>
    </w:p>
    <w:p w:rsidR="00D27BC6" w:rsidRDefault="004D5071">
      <w:pPr>
        <w:numPr>
          <w:ilvl w:val="0"/>
          <w:numId w:val="185"/>
        </w:numPr>
        <w:spacing w:after="8"/>
        <w:ind w:right="31" w:hanging="360"/>
        <w:jc w:val="left"/>
      </w:pPr>
      <w:r>
        <w:rPr>
          <w:sz w:val="16"/>
        </w:rPr>
        <w:t xml:space="preserve">Holt RIG, DeVries JH, Hess-Fischl A, et al. The Management of </w:t>
      </w:r>
    </w:p>
    <w:p w:rsidR="00D27BC6" w:rsidRDefault="004D5071">
      <w:pPr>
        <w:spacing w:after="46"/>
        <w:ind w:left="464" w:right="176"/>
        <w:jc w:val="left"/>
      </w:pPr>
      <w:r>
        <w:rPr>
          <w:sz w:val="16"/>
        </w:rPr>
        <w:t>Type 1 Diabetes in Adults. A Consensus Report by</w:t>
      </w:r>
      <w:r>
        <w:rPr>
          <w:sz w:val="16"/>
        </w:rPr>
        <w:t xml:space="preserve"> the American Diabetes Association (ADA) and the European Association for the Study of Diabetes (EASD). Diabetes Care. 2021; 44(11):2589-2625. doi: https://doi.org/10.2337/dci21-0043</w:t>
      </w:r>
    </w:p>
    <w:p w:rsidR="00D27BC6" w:rsidRDefault="004D5071">
      <w:pPr>
        <w:numPr>
          <w:ilvl w:val="0"/>
          <w:numId w:val="185"/>
        </w:numPr>
        <w:spacing w:after="46"/>
        <w:ind w:right="31" w:hanging="360"/>
        <w:jc w:val="left"/>
      </w:pPr>
      <w:r>
        <w:rPr>
          <w:sz w:val="16"/>
        </w:rPr>
        <w:t>International Diabetes Federation. IDF Diabetes Atlas, 11th edn. Brussels</w:t>
      </w:r>
      <w:r>
        <w:rPr>
          <w:sz w:val="16"/>
        </w:rPr>
        <w:t xml:space="preserve">, Belgium: International Diabetes Federation, 2025. </w:t>
      </w:r>
    </w:p>
    <w:p w:rsidR="00D27BC6" w:rsidRDefault="004D5071">
      <w:pPr>
        <w:numPr>
          <w:ilvl w:val="0"/>
          <w:numId w:val="185"/>
        </w:numPr>
        <w:spacing w:after="46"/>
        <w:ind w:right="31" w:hanging="360"/>
        <w:jc w:val="left"/>
      </w:pPr>
      <w:hyperlink r:id="rId106">
        <w:r>
          <w:rPr>
            <w:sz w:val="16"/>
          </w:rPr>
          <w:t xml:space="preserve">ISPAD Clinical Practice Consensus Guidelines 2022: Diabetes in </w:t>
        </w:r>
      </w:hyperlink>
      <w:hyperlink r:id="rId107">
        <w:r>
          <w:rPr>
            <w:sz w:val="16"/>
          </w:rPr>
          <w:t>adolescence.</w:t>
        </w:r>
      </w:hyperlink>
      <w:r>
        <w:rPr>
          <w:sz w:val="16"/>
        </w:rPr>
        <w:t xml:space="preserve"> Grego</w:t>
      </w:r>
      <w:r>
        <w:rPr>
          <w:sz w:val="16"/>
        </w:rPr>
        <w:t>ry JW, Cameron FJ, Joshi K, et al. Pediatr Diabetes. 2022 Nov;23(7):857-871. doi: 10.1111/pedi.13408.</w:t>
      </w:r>
    </w:p>
    <w:p w:rsidR="00D27BC6" w:rsidRDefault="004D5071">
      <w:pPr>
        <w:numPr>
          <w:ilvl w:val="0"/>
          <w:numId w:val="185"/>
        </w:numPr>
        <w:spacing w:after="8"/>
        <w:ind w:right="31" w:hanging="360"/>
        <w:jc w:val="left"/>
      </w:pPr>
      <w:r>
        <w:rPr>
          <w:sz w:val="16"/>
        </w:rPr>
        <w:t xml:space="preserve">Tauschmann M., Cardona-Hernandez R., DeSalvo D.J., Hood K., </w:t>
      </w:r>
    </w:p>
    <w:p w:rsidR="00D27BC6" w:rsidRDefault="004D5071">
      <w:pPr>
        <w:spacing w:after="8"/>
        <w:ind w:left="464" w:right="31"/>
        <w:jc w:val="left"/>
      </w:pPr>
      <w:r>
        <w:rPr>
          <w:sz w:val="16"/>
        </w:rPr>
        <w:t xml:space="preserve">Laptev D.N., et al. International Society for Pediatric and Adolescent </w:t>
      </w:r>
    </w:p>
    <w:p w:rsidR="00D27BC6" w:rsidRDefault="004D5071">
      <w:pPr>
        <w:spacing w:after="8"/>
        <w:ind w:left="464" w:right="31"/>
        <w:jc w:val="left"/>
      </w:pPr>
      <w:r>
        <w:rPr>
          <w:sz w:val="16"/>
        </w:rPr>
        <w:t>Diabetes Clinical Pra</w:t>
      </w:r>
      <w:r>
        <w:rPr>
          <w:sz w:val="16"/>
        </w:rPr>
        <w:t xml:space="preserve">ctice Consensus Guidelines 2024 Diabetes </w:t>
      </w:r>
    </w:p>
    <w:p w:rsidR="00D27BC6" w:rsidRDefault="004D5071">
      <w:pPr>
        <w:spacing w:after="8"/>
        <w:ind w:left="464" w:right="31"/>
        <w:jc w:val="left"/>
      </w:pPr>
      <w:r>
        <w:rPr>
          <w:sz w:val="16"/>
        </w:rPr>
        <w:t xml:space="preserve">Technologies: Glucose Monitoring. Horm Res Paediatr 28 December </w:t>
      </w:r>
    </w:p>
    <w:p w:rsidR="00D27BC6" w:rsidRDefault="004D5071">
      <w:pPr>
        <w:spacing w:after="46"/>
        <w:ind w:left="464" w:right="31"/>
        <w:jc w:val="left"/>
      </w:pPr>
      <w:r>
        <w:rPr>
          <w:sz w:val="16"/>
        </w:rPr>
        <w:t>2024; 97 (6): 615–635. doi:</w:t>
      </w:r>
      <w:hyperlink r:id="rId108">
        <w:r>
          <w:rPr>
            <w:sz w:val="16"/>
          </w:rPr>
          <w:t xml:space="preserve"> https://doi.org/10.1159/000543156</w:t>
        </w:r>
      </w:hyperlink>
    </w:p>
    <w:p w:rsidR="00D27BC6" w:rsidRDefault="004D5071">
      <w:pPr>
        <w:numPr>
          <w:ilvl w:val="0"/>
          <w:numId w:val="185"/>
        </w:numPr>
        <w:spacing w:after="8"/>
        <w:ind w:right="31" w:hanging="360"/>
        <w:jc w:val="left"/>
      </w:pPr>
      <w:hyperlink r:id="rId109">
        <w:r>
          <w:rPr>
            <w:sz w:val="16"/>
          </w:rPr>
          <w:t>Kaul S</w:t>
        </w:r>
      </w:hyperlink>
      <w:r>
        <w:rPr>
          <w:sz w:val="16"/>
        </w:rPr>
        <w:t xml:space="preserve">. Mitigating Cardiovascular Risk in Type 2 Diabetes with </w:t>
      </w:r>
    </w:p>
    <w:p w:rsidR="00D27BC6" w:rsidRDefault="004D5071">
      <w:pPr>
        <w:spacing w:after="0"/>
        <w:ind w:left="464" w:right="31"/>
        <w:jc w:val="left"/>
      </w:pPr>
      <w:r>
        <w:rPr>
          <w:sz w:val="16"/>
        </w:rPr>
        <w:t xml:space="preserve">Antidiabetes Drugs: A Review of Principal Cardiovascular Outcome Results of EMPA-REG OUTCOME, LEADER, and SUSTAIN-6 Trials. </w:t>
      </w:r>
    </w:p>
    <w:p w:rsidR="00D27BC6" w:rsidRDefault="004D5071">
      <w:pPr>
        <w:spacing w:after="46"/>
        <w:ind w:left="464" w:right="31"/>
        <w:jc w:val="left"/>
      </w:pPr>
      <w:r>
        <w:rPr>
          <w:sz w:val="16"/>
        </w:rPr>
        <w:t>Diabetes Care. 2017;40(7):821-831. doi: 10.2337/dc17-0291</w:t>
      </w:r>
    </w:p>
    <w:p w:rsidR="00D27BC6" w:rsidRDefault="004D5071">
      <w:pPr>
        <w:numPr>
          <w:ilvl w:val="0"/>
          <w:numId w:val="185"/>
        </w:numPr>
        <w:spacing w:after="8"/>
        <w:ind w:right="31" w:hanging="360"/>
        <w:jc w:val="left"/>
      </w:pPr>
      <w:r>
        <w:rPr>
          <w:sz w:val="16"/>
        </w:rPr>
        <w:t xml:space="preserve">Kidney Disease: Improving Global Outcomes (KDIGO) CKD </w:t>
      </w:r>
    </w:p>
    <w:p w:rsidR="00D27BC6" w:rsidRDefault="004D5071">
      <w:pPr>
        <w:spacing w:after="8"/>
        <w:ind w:left="464" w:right="31"/>
        <w:jc w:val="left"/>
      </w:pPr>
      <w:r>
        <w:rPr>
          <w:sz w:val="16"/>
        </w:rPr>
        <w:t xml:space="preserve">Work Group. </w:t>
      </w:r>
      <w:hyperlink r:id="rId110">
        <w:r>
          <w:rPr>
            <w:sz w:val="16"/>
          </w:rPr>
          <w:t xml:space="preserve">KDIGO 2024 Clinical Practice Guideline for the </w:t>
        </w:r>
      </w:hyperlink>
    </w:p>
    <w:p w:rsidR="00D27BC6" w:rsidRDefault="004D5071">
      <w:pPr>
        <w:spacing w:after="46"/>
        <w:ind w:left="464" w:right="150"/>
        <w:jc w:val="left"/>
      </w:pPr>
      <w:hyperlink r:id="rId111">
        <w:r>
          <w:rPr>
            <w:sz w:val="16"/>
          </w:rPr>
          <w:t>Evaluation and Managemen</w:t>
        </w:r>
        <w:r>
          <w:rPr>
            <w:sz w:val="16"/>
          </w:rPr>
          <w:t>t of Chronic Kidney Disease</w:t>
        </w:r>
      </w:hyperlink>
      <w:r>
        <w:rPr>
          <w:sz w:val="16"/>
        </w:rPr>
        <w:t>. Kidney Int. 2024 Apr;105(4S):S117-S314. doi: 10.1016/j.kint.2023.10.018.</w:t>
      </w:r>
    </w:p>
    <w:p w:rsidR="00D27BC6" w:rsidRDefault="004D5071">
      <w:pPr>
        <w:numPr>
          <w:ilvl w:val="0"/>
          <w:numId w:val="185"/>
        </w:numPr>
        <w:spacing w:after="46"/>
        <w:ind w:right="31" w:hanging="360"/>
        <w:jc w:val="left"/>
      </w:pPr>
      <w:hyperlink r:id="rId112">
        <w:r>
          <w:rPr>
            <w:sz w:val="16"/>
          </w:rPr>
          <w:t>Mann JFE</w:t>
        </w:r>
      </w:hyperlink>
      <w:r>
        <w:rPr>
          <w:sz w:val="16"/>
        </w:rPr>
        <w:t>,</w:t>
      </w:r>
      <w:hyperlink r:id="rId113">
        <w:r>
          <w:rPr>
            <w:sz w:val="16"/>
          </w:rPr>
          <w:t xml:space="preserve"> Ørsted DD</w:t>
        </w:r>
      </w:hyperlink>
      <w:r>
        <w:rPr>
          <w:sz w:val="16"/>
        </w:rPr>
        <w:t>,</w:t>
      </w:r>
      <w:hyperlink r:id="rId114">
        <w:r>
          <w:rPr>
            <w:sz w:val="16"/>
          </w:rPr>
          <w:t xml:space="preserve"> Brown-Frandsen K</w:t>
        </w:r>
      </w:hyperlink>
      <w:r>
        <w:rPr>
          <w:sz w:val="16"/>
        </w:rPr>
        <w:t>,</w:t>
      </w:r>
      <w:hyperlink r:id="rId115">
        <w:r>
          <w:rPr>
            <w:sz w:val="16"/>
          </w:rPr>
          <w:t xml:space="preserve"> Marso SP</w:t>
        </w:r>
      </w:hyperlink>
      <w:r>
        <w:rPr>
          <w:sz w:val="16"/>
        </w:rPr>
        <w:t>,</w:t>
      </w:r>
      <w:hyperlink r:id="rId116">
        <w:r>
          <w:rPr>
            <w:sz w:val="16"/>
          </w:rPr>
          <w:t xml:space="preserve"> Poulter N</w:t>
        </w:r>
        <w:r>
          <w:rPr>
            <w:sz w:val="16"/>
          </w:rPr>
          <w:t>R</w:t>
        </w:r>
      </w:hyperlink>
      <w:r>
        <w:rPr>
          <w:sz w:val="16"/>
        </w:rPr>
        <w:t xml:space="preserve">, </w:t>
      </w:r>
      <w:hyperlink r:id="rId117">
        <w:r>
          <w:rPr>
            <w:sz w:val="16"/>
          </w:rPr>
          <w:t>Rasmussen S</w:t>
        </w:r>
      </w:hyperlink>
      <w:r>
        <w:rPr>
          <w:sz w:val="16"/>
        </w:rPr>
        <w:t>,</w:t>
      </w:r>
      <w:hyperlink r:id="rId118">
        <w:r>
          <w:rPr>
            <w:sz w:val="16"/>
          </w:rPr>
          <w:t xml:space="preserve"> Tornøe K</w:t>
        </w:r>
      </w:hyperlink>
      <w:r>
        <w:rPr>
          <w:sz w:val="16"/>
        </w:rPr>
        <w:t>,</w:t>
      </w:r>
      <w:hyperlink r:id="rId119">
        <w:r>
          <w:rPr>
            <w:sz w:val="16"/>
          </w:rPr>
          <w:t xml:space="preserve"> Zinman B</w:t>
        </w:r>
      </w:hyperlink>
      <w:r>
        <w:rPr>
          <w:sz w:val="16"/>
        </w:rPr>
        <w:t>,</w:t>
      </w:r>
      <w:hyperlink r:id="rId120">
        <w:r>
          <w:rPr>
            <w:sz w:val="16"/>
          </w:rPr>
          <w:t xml:space="preserve"> Buse JB</w:t>
        </w:r>
      </w:hyperlink>
      <w:r>
        <w:rPr>
          <w:sz w:val="16"/>
        </w:rPr>
        <w:t>;</w:t>
      </w:r>
      <w:hyperlink r:id="rId121">
        <w:r>
          <w:rPr>
            <w:sz w:val="16"/>
          </w:rPr>
          <w:t xml:space="preserve"> LEADER Steering Committee </w:t>
        </w:r>
      </w:hyperlink>
      <w:hyperlink r:id="rId122">
        <w:r>
          <w:rPr>
            <w:sz w:val="16"/>
          </w:rPr>
          <w:t>and Investigators</w:t>
        </w:r>
      </w:hyperlink>
      <w:r>
        <w:rPr>
          <w:sz w:val="16"/>
        </w:rPr>
        <w:t>. Liraglutide and Renal Outcomes in Type 2 Diabetes.</w:t>
      </w:r>
      <w:hyperlink r:id="rId123">
        <w:r>
          <w:rPr>
            <w:sz w:val="16"/>
          </w:rPr>
          <w:t xml:space="preserve"> N </w:t>
        </w:r>
      </w:hyperlink>
      <w:hyperlink r:id="rId124">
        <w:r>
          <w:rPr>
            <w:sz w:val="16"/>
          </w:rPr>
          <w:t>Engl J Med.</w:t>
        </w:r>
      </w:hyperlink>
      <w:r>
        <w:rPr>
          <w:sz w:val="16"/>
        </w:rPr>
        <w:t xml:space="preserve"> 2017;377(9):839-848. doi: 10.1056/NEJMoa1616011</w:t>
      </w:r>
    </w:p>
    <w:p w:rsidR="00D27BC6" w:rsidRDefault="004D5071">
      <w:pPr>
        <w:numPr>
          <w:ilvl w:val="0"/>
          <w:numId w:val="185"/>
        </w:numPr>
        <w:spacing w:after="46"/>
        <w:ind w:right="31" w:hanging="360"/>
        <w:jc w:val="left"/>
      </w:pPr>
      <w:hyperlink r:id="rId125">
        <w:r>
          <w:rPr>
            <w:sz w:val="16"/>
          </w:rPr>
          <w:t>Marso SP</w:t>
        </w:r>
      </w:hyperlink>
      <w:r>
        <w:rPr>
          <w:sz w:val="16"/>
        </w:rPr>
        <w:t>,</w:t>
      </w:r>
      <w:hyperlink r:id="rId126">
        <w:r>
          <w:rPr>
            <w:sz w:val="16"/>
          </w:rPr>
          <w:t xml:space="preserve"> Bain SC</w:t>
        </w:r>
      </w:hyperlink>
      <w:r>
        <w:rPr>
          <w:sz w:val="16"/>
        </w:rPr>
        <w:t>,</w:t>
      </w:r>
      <w:hyperlink r:id="rId127">
        <w:r>
          <w:rPr>
            <w:sz w:val="16"/>
          </w:rPr>
          <w:t xml:space="preserve"> Consoli A</w:t>
        </w:r>
      </w:hyperlink>
      <w:r>
        <w:rPr>
          <w:sz w:val="16"/>
        </w:rPr>
        <w:t>,</w:t>
      </w:r>
      <w:hyperlink r:id="rId128">
        <w:r>
          <w:rPr>
            <w:sz w:val="16"/>
          </w:rPr>
          <w:t xml:space="preserve"> Eliaschewitz FG</w:t>
        </w:r>
      </w:hyperlink>
      <w:r>
        <w:rPr>
          <w:sz w:val="16"/>
        </w:rPr>
        <w:t>,</w:t>
      </w:r>
      <w:hyperlink r:id="rId129">
        <w:r>
          <w:rPr>
            <w:sz w:val="16"/>
          </w:rPr>
          <w:t xml:space="preserve"> Jódar E</w:t>
        </w:r>
      </w:hyperlink>
      <w:r>
        <w:rPr>
          <w:sz w:val="16"/>
        </w:rPr>
        <w:t>,</w:t>
      </w:r>
      <w:hyperlink r:id="rId130">
        <w:r>
          <w:rPr>
            <w:sz w:val="16"/>
          </w:rPr>
          <w:t xml:space="preserve"> Leiter LA</w:t>
        </w:r>
      </w:hyperlink>
      <w:r>
        <w:rPr>
          <w:sz w:val="16"/>
        </w:rPr>
        <w:t xml:space="preserve">, </w:t>
      </w:r>
      <w:hyperlink r:id="rId131">
        <w:r>
          <w:rPr>
            <w:sz w:val="16"/>
          </w:rPr>
          <w:t>Lingvay I</w:t>
        </w:r>
      </w:hyperlink>
      <w:r>
        <w:rPr>
          <w:sz w:val="16"/>
        </w:rPr>
        <w:t>,</w:t>
      </w:r>
      <w:hyperlink r:id="rId132">
        <w:r>
          <w:rPr>
            <w:sz w:val="16"/>
          </w:rPr>
          <w:t xml:space="preserve"> Rosenstock J,</w:t>
        </w:r>
      </w:hyperlink>
      <w:hyperlink r:id="rId133">
        <w:r>
          <w:rPr>
            <w:sz w:val="16"/>
          </w:rPr>
          <w:t xml:space="preserve"> Seufert J,</w:t>
        </w:r>
      </w:hyperlink>
      <w:hyperlink r:id="rId134">
        <w:r>
          <w:rPr>
            <w:sz w:val="16"/>
          </w:rPr>
          <w:t xml:space="preserve"> Warren ML</w:t>
        </w:r>
      </w:hyperlink>
      <w:r>
        <w:rPr>
          <w:sz w:val="16"/>
        </w:rPr>
        <w:t>,</w:t>
      </w:r>
      <w:hyperlink r:id="rId135">
        <w:r>
          <w:rPr>
            <w:sz w:val="16"/>
          </w:rPr>
          <w:t xml:space="preserve"> Woo V</w:t>
        </w:r>
      </w:hyperlink>
      <w:r>
        <w:rPr>
          <w:sz w:val="16"/>
        </w:rPr>
        <w:t>,</w:t>
      </w:r>
      <w:hyperlink r:id="rId136">
        <w:r>
          <w:rPr>
            <w:sz w:val="16"/>
          </w:rPr>
          <w:t xml:space="preserve"> Hansen O,</w:t>
        </w:r>
      </w:hyperlink>
      <w:r>
        <w:rPr>
          <w:sz w:val="16"/>
        </w:rPr>
        <w:t xml:space="preserve"> </w:t>
      </w:r>
      <w:hyperlink r:id="rId137">
        <w:r>
          <w:rPr>
            <w:sz w:val="16"/>
          </w:rPr>
          <w:t>Holst AG</w:t>
        </w:r>
      </w:hyperlink>
      <w:r>
        <w:rPr>
          <w:sz w:val="16"/>
        </w:rPr>
        <w:t>,</w:t>
      </w:r>
      <w:hyperlink r:id="rId138">
        <w:r>
          <w:rPr>
            <w:sz w:val="16"/>
          </w:rPr>
          <w:t xml:space="preserve"> Pettersson J,</w:t>
        </w:r>
      </w:hyperlink>
      <w:hyperlink r:id="rId139">
        <w:r>
          <w:rPr>
            <w:sz w:val="16"/>
          </w:rPr>
          <w:t xml:space="preserve"> Vilsbøll T</w:t>
        </w:r>
      </w:hyperlink>
      <w:r>
        <w:rPr>
          <w:sz w:val="16"/>
        </w:rPr>
        <w:t>;</w:t>
      </w:r>
      <w:hyperlink r:id="rId140">
        <w:r>
          <w:rPr>
            <w:sz w:val="16"/>
          </w:rPr>
          <w:t xml:space="preserve"> SUSTAIN-6 Investigators</w:t>
        </w:r>
      </w:hyperlink>
      <w:r>
        <w:rPr>
          <w:sz w:val="16"/>
        </w:rPr>
        <w:t xml:space="preserve">. Semaglutide and Cardiovascular Outcomes in Patients with Type 2 Diabetes. </w:t>
      </w:r>
      <w:hyperlink r:id="rId141">
        <w:r>
          <w:rPr>
            <w:sz w:val="16"/>
          </w:rPr>
          <w:t>N Engl J Med.</w:t>
        </w:r>
      </w:hyperlink>
      <w:r>
        <w:rPr>
          <w:sz w:val="16"/>
        </w:rPr>
        <w:t xml:space="preserve"> 2016;375(19):1834-1844.</w:t>
      </w:r>
    </w:p>
    <w:p w:rsidR="00D27BC6" w:rsidRDefault="004D5071">
      <w:pPr>
        <w:numPr>
          <w:ilvl w:val="0"/>
          <w:numId w:val="185"/>
        </w:numPr>
        <w:spacing w:after="0"/>
        <w:ind w:right="31" w:hanging="360"/>
        <w:jc w:val="left"/>
      </w:pPr>
      <w:r>
        <w:rPr>
          <w:sz w:val="16"/>
        </w:rPr>
        <w:t xml:space="preserve">Marso SP, Daniels GH, Brown-Frandsen K, et al. Liraglutide and Cardiovascular Outcomes in Type 2 Diabetes. N Engl J Med. </w:t>
      </w:r>
    </w:p>
    <w:p w:rsidR="00D27BC6" w:rsidRDefault="004D5071">
      <w:pPr>
        <w:spacing w:after="46"/>
        <w:ind w:left="464" w:right="31"/>
        <w:jc w:val="left"/>
      </w:pPr>
      <w:r>
        <w:rPr>
          <w:sz w:val="16"/>
        </w:rPr>
        <w:t>2016;375(4):311-322. doi: 10.1056/NEJMoa160382</w:t>
      </w:r>
      <w:r>
        <w:rPr>
          <w:sz w:val="16"/>
        </w:rPr>
        <w:t>7</w:t>
      </w:r>
    </w:p>
    <w:p w:rsidR="00D27BC6" w:rsidRDefault="004D5071">
      <w:pPr>
        <w:numPr>
          <w:ilvl w:val="0"/>
          <w:numId w:val="185"/>
        </w:numPr>
        <w:spacing w:after="0"/>
        <w:ind w:right="31" w:hanging="360"/>
        <w:jc w:val="left"/>
      </w:pPr>
      <w:hyperlink r:id="rId142">
        <w:r>
          <w:rPr>
            <w:sz w:val="16"/>
          </w:rPr>
          <w:t>Marso SP</w:t>
        </w:r>
      </w:hyperlink>
      <w:r>
        <w:rPr>
          <w:sz w:val="16"/>
        </w:rPr>
        <w:t>,</w:t>
      </w:r>
      <w:hyperlink r:id="rId143">
        <w:r>
          <w:rPr>
            <w:sz w:val="16"/>
          </w:rPr>
          <w:t xml:space="preserve"> McGuir</w:t>
        </w:r>
        <w:r>
          <w:rPr>
            <w:sz w:val="16"/>
          </w:rPr>
          <w:t>e DK</w:t>
        </w:r>
      </w:hyperlink>
      <w:r>
        <w:rPr>
          <w:sz w:val="16"/>
        </w:rPr>
        <w:t>,</w:t>
      </w:r>
      <w:hyperlink r:id="rId144">
        <w:r>
          <w:rPr>
            <w:sz w:val="16"/>
          </w:rPr>
          <w:t xml:space="preserve"> Zinman B,</w:t>
        </w:r>
      </w:hyperlink>
      <w:hyperlink r:id="rId145">
        <w:r>
          <w:rPr>
            <w:sz w:val="16"/>
          </w:rPr>
          <w:t xml:space="preserve"> Po</w:t>
        </w:r>
        <w:r>
          <w:rPr>
            <w:sz w:val="16"/>
          </w:rPr>
          <w:t>ulter NR</w:t>
        </w:r>
      </w:hyperlink>
      <w:r>
        <w:rPr>
          <w:sz w:val="16"/>
        </w:rPr>
        <w:t>,</w:t>
      </w:r>
      <w:hyperlink r:id="rId146">
        <w:r>
          <w:rPr>
            <w:sz w:val="16"/>
          </w:rPr>
          <w:t xml:space="preserve"> Emerson SS</w:t>
        </w:r>
      </w:hyperlink>
      <w:r>
        <w:rPr>
          <w:sz w:val="16"/>
        </w:rPr>
        <w:t>,</w:t>
      </w:r>
      <w:hyperlink r:id="rId147">
        <w:r>
          <w:rPr>
            <w:sz w:val="16"/>
          </w:rPr>
          <w:t xml:space="preserve"> Pieber TR,</w:t>
        </w:r>
      </w:hyperlink>
      <w:r>
        <w:rPr>
          <w:sz w:val="16"/>
        </w:rPr>
        <w:t xml:space="preserve"> </w:t>
      </w:r>
      <w:hyperlink r:id="rId148">
        <w:r>
          <w:rPr>
            <w:sz w:val="16"/>
          </w:rPr>
          <w:t>Pratley RE</w:t>
        </w:r>
      </w:hyperlink>
      <w:r>
        <w:rPr>
          <w:sz w:val="16"/>
        </w:rPr>
        <w:t>,</w:t>
      </w:r>
      <w:hyperlink r:id="rId149">
        <w:r>
          <w:rPr>
            <w:sz w:val="16"/>
          </w:rPr>
          <w:t xml:space="preserve"> Haahr PM</w:t>
        </w:r>
      </w:hyperlink>
      <w:r>
        <w:rPr>
          <w:sz w:val="16"/>
        </w:rPr>
        <w:t>,</w:t>
      </w:r>
      <w:hyperlink r:id="rId150">
        <w:r>
          <w:rPr>
            <w:sz w:val="16"/>
          </w:rPr>
          <w:t xml:space="preserve"> Lange M</w:t>
        </w:r>
      </w:hyperlink>
      <w:r>
        <w:rPr>
          <w:sz w:val="16"/>
        </w:rPr>
        <w:t>,</w:t>
      </w:r>
      <w:hyperlink r:id="rId151">
        <w:r>
          <w:rPr>
            <w:sz w:val="16"/>
          </w:rPr>
          <w:t xml:space="preserve"> Frandsen KB,</w:t>
        </w:r>
      </w:hyperlink>
      <w:r>
        <w:rPr>
          <w:sz w:val="16"/>
        </w:rPr>
        <w:t xml:space="preserve"> </w:t>
      </w:r>
      <w:hyperlink r:id="rId152">
        <w:r>
          <w:rPr>
            <w:sz w:val="16"/>
          </w:rPr>
          <w:t>Rabøl R</w:t>
        </w:r>
      </w:hyperlink>
      <w:r>
        <w:rPr>
          <w:sz w:val="16"/>
        </w:rPr>
        <w:t>,</w:t>
      </w:r>
      <w:hyperlink r:id="rId153">
        <w:r>
          <w:rPr>
            <w:sz w:val="16"/>
          </w:rPr>
          <w:t xml:space="preserve"> Buse JB.</w:t>
        </w:r>
      </w:hyperlink>
      <w:r>
        <w:rPr>
          <w:sz w:val="16"/>
        </w:rPr>
        <w:t xml:space="preserve"> </w:t>
      </w:r>
    </w:p>
    <w:p w:rsidR="00D27BC6" w:rsidRDefault="004D5071">
      <w:pPr>
        <w:spacing w:after="0"/>
        <w:ind w:left="464" w:right="154"/>
        <w:jc w:val="left"/>
      </w:pPr>
      <w:r>
        <w:rPr>
          <w:sz w:val="16"/>
        </w:rPr>
        <w:t>Design of DEVOTE (Trial Comparing Cardiovascular Safety of Insulin Degludec vs Insulin Glargine in Patients With Type 2 Diabetes at High Risk of Cardiovascular Events) – DEVOTE-1.</w:t>
      </w:r>
      <w:hyperlink r:id="rId154">
        <w:r>
          <w:rPr>
            <w:sz w:val="16"/>
          </w:rPr>
          <w:t xml:space="preserve"> Am Heart J.</w:t>
        </w:r>
      </w:hyperlink>
      <w:r>
        <w:rPr>
          <w:sz w:val="16"/>
        </w:rPr>
        <w:t xml:space="preserve"> </w:t>
      </w:r>
    </w:p>
    <w:p w:rsidR="00D27BC6" w:rsidRDefault="004D5071">
      <w:pPr>
        <w:spacing w:after="46"/>
        <w:ind w:left="464" w:right="31"/>
        <w:jc w:val="left"/>
      </w:pPr>
      <w:r>
        <w:rPr>
          <w:sz w:val="16"/>
        </w:rPr>
        <w:t>2016;179:175-83. doi: 10.1016/j.ahj.2016.06.004</w:t>
      </w:r>
    </w:p>
    <w:p w:rsidR="00D27BC6" w:rsidRDefault="004D5071">
      <w:pPr>
        <w:numPr>
          <w:ilvl w:val="0"/>
          <w:numId w:val="185"/>
        </w:numPr>
        <w:spacing w:after="46"/>
        <w:ind w:right="31" w:hanging="360"/>
        <w:jc w:val="left"/>
      </w:pPr>
      <w:r>
        <w:rPr>
          <w:sz w:val="16"/>
        </w:rPr>
        <w:t>Marx N, Federici M, Schütt K, et al. 2023 ESC Guidelines for the management of cardiovascular disease in patients with diabetes. Eur Heart J. 2023 Oct 14;44(39):4043-4140. doi: 10.1</w:t>
      </w:r>
      <w:r>
        <w:rPr>
          <w:sz w:val="16"/>
        </w:rPr>
        <w:t>093/eurheartj/ehad192.</w:t>
      </w:r>
    </w:p>
    <w:p w:rsidR="00D27BC6" w:rsidRDefault="004D5071">
      <w:pPr>
        <w:numPr>
          <w:ilvl w:val="0"/>
          <w:numId w:val="185"/>
        </w:numPr>
        <w:spacing w:after="8"/>
        <w:ind w:right="31" w:hanging="360"/>
        <w:jc w:val="left"/>
      </w:pPr>
      <w:hyperlink r:id="rId155">
        <w:r>
          <w:rPr>
            <w:sz w:val="16"/>
          </w:rPr>
          <w:t>Marx N</w:t>
        </w:r>
      </w:hyperlink>
      <w:r>
        <w:rPr>
          <w:sz w:val="16"/>
        </w:rPr>
        <w:t>,</w:t>
      </w:r>
      <w:hyperlink r:id="rId156">
        <w:r>
          <w:rPr>
            <w:sz w:val="16"/>
          </w:rPr>
          <w:t xml:space="preserve"> Rosenstock J</w:t>
        </w:r>
      </w:hyperlink>
      <w:r>
        <w:rPr>
          <w:sz w:val="16"/>
        </w:rPr>
        <w:t>,</w:t>
      </w:r>
      <w:hyperlink r:id="rId157">
        <w:r>
          <w:rPr>
            <w:sz w:val="16"/>
          </w:rPr>
          <w:t xml:space="preserve"> Kahn SE</w:t>
        </w:r>
      </w:hyperlink>
      <w:r>
        <w:rPr>
          <w:sz w:val="16"/>
        </w:rPr>
        <w:t>,</w:t>
      </w:r>
      <w:hyperlink r:id="rId158">
        <w:r>
          <w:rPr>
            <w:sz w:val="16"/>
          </w:rPr>
          <w:t xml:space="preserve"> Zinman B</w:t>
        </w:r>
      </w:hyperlink>
      <w:r>
        <w:rPr>
          <w:sz w:val="16"/>
        </w:rPr>
        <w:t>,</w:t>
      </w:r>
      <w:hyperlink r:id="rId159">
        <w:r>
          <w:rPr>
            <w:sz w:val="16"/>
          </w:rPr>
          <w:t xml:space="preserve"> Kastele</w:t>
        </w:r>
        <w:r>
          <w:rPr>
            <w:sz w:val="16"/>
          </w:rPr>
          <w:t>in JJ</w:t>
        </w:r>
      </w:hyperlink>
      <w:r>
        <w:rPr>
          <w:sz w:val="16"/>
        </w:rPr>
        <w:t>,</w:t>
      </w:r>
      <w:hyperlink r:id="rId160">
        <w:r>
          <w:rPr>
            <w:sz w:val="16"/>
          </w:rPr>
          <w:t xml:space="preserve"> Lachin JM</w:t>
        </w:r>
      </w:hyperlink>
      <w:r>
        <w:rPr>
          <w:sz w:val="16"/>
        </w:rPr>
        <w:t xml:space="preserve">, </w:t>
      </w:r>
    </w:p>
    <w:p w:rsidR="00D27BC6" w:rsidRDefault="004D5071">
      <w:pPr>
        <w:spacing w:after="8"/>
        <w:ind w:left="464" w:right="31"/>
        <w:jc w:val="left"/>
      </w:pPr>
      <w:hyperlink r:id="rId161">
        <w:r>
          <w:rPr>
            <w:sz w:val="16"/>
          </w:rPr>
          <w:t>Espeland MA</w:t>
        </w:r>
      </w:hyperlink>
      <w:r>
        <w:rPr>
          <w:sz w:val="16"/>
        </w:rPr>
        <w:t>,</w:t>
      </w:r>
      <w:hyperlink r:id="rId162">
        <w:r>
          <w:rPr>
            <w:sz w:val="16"/>
          </w:rPr>
          <w:t xml:space="preserve"> Bluhm</w:t>
        </w:r>
        <w:r>
          <w:rPr>
            <w:sz w:val="16"/>
          </w:rPr>
          <w:t>ki E</w:t>
        </w:r>
      </w:hyperlink>
      <w:r>
        <w:rPr>
          <w:sz w:val="16"/>
        </w:rPr>
        <w:t>,</w:t>
      </w:r>
      <w:hyperlink r:id="rId163">
        <w:r>
          <w:rPr>
            <w:sz w:val="16"/>
          </w:rPr>
          <w:t xml:space="preserve"> Mattheus M</w:t>
        </w:r>
      </w:hyperlink>
      <w:r>
        <w:rPr>
          <w:sz w:val="16"/>
        </w:rPr>
        <w:t>,</w:t>
      </w:r>
      <w:hyperlink r:id="rId164">
        <w:r>
          <w:rPr>
            <w:sz w:val="16"/>
          </w:rPr>
          <w:t xml:space="preserve"> Ryckaert B,</w:t>
        </w:r>
      </w:hyperlink>
      <w:r>
        <w:rPr>
          <w:sz w:val="16"/>
        </w:rPr>
        <w:t xml:space="preserve"> </w:t>
      </w:r>
      <w:hyperlink r:id="rId165">
        <w:r>
          <w:rPr>
            <w:sz w:val="16"/>
          </w:rPr>
          <w:t>Patel S</w:t>
        </w:r>
      </w:hyperlink>
      <w:r>
        <w:rPr>
          <w:sz w:val="16"/>
        </w:rPr>
        <w:t xml:space="preserve">, </w:t>
      </w:r>
    </w:p>
    <w:p w:rsidR="00D27BC6" w:rsidRDefault="004D5071">
      <w:pPr>
        <w:spacing w:after="46"/>
        <w:ind w:left="464" w:right="31"/>
        <w:jc w:val="left"/>
      </w:pPr>
      <w:hyperlink r:id="rId166">
        <w:r>
          <w:rPr>
            <w:sz w:val="16"/>
          </w:rPr>
          <w:t>Johansen OE</w:t>
        </w:r>
      </w:hyperlink>
      <w:r>
        <w:rPr>
          <w:sz w:val="16"/>
        </w:rPr>
        <w:t>,</w:t>
      </w:r>
      <w:hyperlink r:id="rId167">
        <w:r>
          <w:rPr>
            <w:sz w:val="16"/>
          </w:rPr>
          <w:t xml:space="preserve"> Woerle HJ.</w:t>
        </w:r>
      </w:hyperlink>
      <w:r>
        <w:rPr>
          <w:sz w:val="16"/>
        </w:rPr>
        <w:t xml:space="preserve"> Design and baseline characteristics of the CARdiovascular Outcome Trial of LINAgliptin Versus Glimepiride i</w:t>
      </w:r>
      <w:r>
        <w:rPr>
          <w:sz w:val="16"/>
        </w:rPr>
        <w:t>n Type 2 Diabetes (CAROLINA®).</w:t>
      </w:r>
      <w:hyperlink r:id="rId168">
        <w:r>
          <w:rPr>
            <w:sz w:val="16"/>
          </w:rPr>
          <w:t xml:space="preserve"> Diab Vasc Dis Res. </w:t>
        </w:r>
      </w:hyperlink>
      <w:r>
        <w:rPr>
          <w:sz w:val="16"/>
        </w:rPr>
        <w:t>2015;12(3):164-74.</w:t>
      </w:r>
    </w:p>
    <w:p w:rsidR="00D27BC6" w:rsidRDefault="004D5071">
      <w:pPr>
        <w:numPr>
          <w:ilvl w:val="0"/>
          <w:numId w:val="185"/>
        </w:numPr>
        <w:spacing w:after="46"/>
        <w:ind w:right="31" w:hanging="360"/>
        <w:jc w:val="left"/>
      </w:pPr>
      <w:r>
        <w:rPr>
          <w:sz w:val="16"/>
        </w:rPr>
        <w:t>Matthews DR, Paldánius PM, Proot P, Chiang Y, Stumvoll M, Del Prato S; VERIFY study group. Glycaemic durability of an early</w:t>
      </w:r>
      <w:r>
        <w:rPr>
          <w:sz w:val="16"/>
        </w:rPr>
        <w:t xml:space="preserve"> combination therapy with vildagliptin and metformin versus sequential metformin monotherapy in newly diagnosed type 2 diabetes (VERIFY): a 5-year, multicenter, randomized, double-blind trial. Lancet. 2019;394(10208):1519-1529. doi: 10.1016/S0140-6736(19)3</w:t>
      </w:r>
      <w:r>
        <w:rPr>
          <w:sz w:val="16"/>
        </w:rPr>
        <w:t>2131-2</w:t>
      </w:r>
    </w:p>
    <w:p w:rsidR="00D27BC6" w:rsidRDefault="004D5071">
      <w:pPr>
        <w:numPr>
          <w:ilvl w:val="0"/>
          <w:numId w:val="185"/>
        </w:numPr>
        <w:spacing w:after="46"/>
        <w:ind w:right="31" w:hanging="360"/>
        <w:jc w:val="left"/>
      </w:pPr>
      <w:r>
        <w:rPr>
          <w:sz w:val="16"/>
        </w:rPr>
        <w:t>McDonagh T, Metra M, Adamo M, et al. 2021 ESC Guidelines for the diagnosis and treatment of acute and chronic heart failure. Eur Heart J. 2021;42(36):3599-3726. Doi:10.1093/eurheartj/ehab368</w:t>
      </w:r>
    </w:p>
    <w:p w:rsidR="00D27BC6" w:rsidRDefault="004D5071">
      <w:pPr>
        <w:numPr>
          <w:ilvl w:val="0"/>
          <w:numId w:val="185"/>
        </w:numPr>
        <w:spacing w:after="46"/>
        <w:ind w:right="31" w:hanging="360"/>
        <w:jc w:val="left"/>
      </w:pPr>
      <w:r>
        <w:rPr>
          <w:sz w:val="16"/>
        </w:rPr>
        <w:t>McEvoy JW, McCarthy CP, Bruno RM, et al; ESC Scientific Do</w:t>
      </w:r>
      <w:r>
        <w:rPr>
          <w:sz w:val="16"/>
        </w:rPr>
        <w:t>cument Group. 2024 ESC Guidelines for the management of elevated blood pressure and hypertension. Eur Heart J. 2024 Oct 7;45(38):3912-4018. doi: 10.1093/eurheartj/ehae178.</w:t>
      </w:r>
    </w:p>
    <w:p w:rsidR="00D27BC6" w:rsidRDefault="004D5071">
      <w:pPr>
        <w:numPr>
          <w:ilvl w:val="0"/>
          <w:numId w:val="185"/>
        </w:numPr>
        <w:spacing w:after="8"/>
        <w:ind w:right="31" w:hanging="360"/>
        <w:jc w:val="left"/>
      </w:pPr>
      <w:r>
        <w:rPr>
          <w:sz w:val="16"/>
        </w:rPr>
        <w:t xml:space="preserve">Mills JL Sr, Conte MS, Armstrong DG, et al. The Society for </w:t>
      </w:r>
    </w:p>
    <w:p w:rsidR="00D27BC6" w:rsidRDefault="004D5071">
      <w:pPr>
        <w:spacing w:after="46"/>
        <w:ind w:left="370" w:right="287"/>
        <w:jc w:val="left"/>
      </w:pPr>
      <w:r>
        <w:rPr>
          <w:sz w:val="16"/>
        </w:rPr>
        <w:t xml:space="preserve">Vascular Surgery Lower </w:t>
      </w:r>
      <w:r>
        <w:rPr>
          <w:sz w:val="16"/>
        </w:rPr>
        <w:t>Extremity Threatened Limb Classification System: risk stratification based on wound, ischemia, and foot infection (WIfI). J Vasc Surg. 2014;59(1):220-34.e1-2. doi: 10.1016/j.jvs.2013.08.003</w:t>
      </w:r>
    </w:p>
    <w:p w:rsidR="00D27BC6" w:rsidRDefault="004D5071">
      <w:pPr>
        <w:numPr>
          <w:ilvl w:val="0"/>
          <w:numId w:val="185"/>
        </w:numPr>
        <w:spacing w:after="8"/>
        <w:ind w:right="31" w:hanging="360"/>
        <w:jc w:val="left"/>
      </w:pPr>
      <w:hyperlink r:id="rId169">
        <w:r>
          <w:rPr>
            <w:sz w:val="16"/>
          </w:rPr>
          <w:t>Neal B</w:t>
        </w:r>
      </w:hyperlink>
      <w:r>
        <w:rPr>
          <w:sz w:val="16"/>
        </w:rPr>
        <w:t>,</w:t>
      </w:r>
      <w:hyperlink r:id="rId170">
        <w:r>
          <w:rPr>
            <w:sz w:val="16"/>
          </w:rPr>
          <w:t xml:space="preserve"> Perkovic V</w:t>
        </w:r>
      </w:hyperlink>
      <w:r>
        <w:rPr>
          <w:sz w:val="16"/>
        </w:rPr>
        <w:t>,</w:t>
      </w:r>
      <w:hyperlink r:id="rId171">
        <w:r>
          <w:rPr>
            <w:sz w:val="16"/>
          </w:rPr>
          <w:t xml:space="preserve"> Mahaffey KW</w:t>
        </w:r>
      </w:hyperlink>
      <w:r>
        <w:rPr>
          <w:sz w:val="16"/>
        </w:rPr>
        <w:t>,</w:t>
      </w:r>
      <w:hyperlink r:id="rId172">
        <w:r>
          <w:rPr>
            <w:sz w:val="16"/>
          </w:rPr>
          <w:t xml:space="preserve"> de Zeeuw D</w:t>
        </w:r>
      </w:hyperlink>
      <w:r>
        <w:rPr>
          <w:sz w:val="16"/>
        </w:rPr>
        <w:t>,</w:t>
      </w:r>
      <w:hyperlink r:id="rId173">
        <w:r>
          <w:rPr>
            <w:sz w:val="16"/>
          </w:rPr>
          <w:t xml:space="preserve"> Fulcher G</w:t>
        </w:r>
      </w:hyperlink>
      <w:r>
        <w:rPr>
          <w:sz w:val="16"/>
        </w:rPr>
        <w:t>,</w:t>
      </w:r>
      <w:hyperlink r:id="rId174">
        <w:r>
          <w:rPr>
            <w:sz w:val="16"/>
          </w:rPr>
          <w:t xml:space="preserve"> Erondu N</w:t>
        </w:r>
      </w:hyperlink>
      <w:r>
        <w:rPr>
          <w:sz w:val="16"/>
        </w:rPr>
        <w:t xml:space="preserve">, </w:t>
      </w:r>
    </w:p>
    <w:p w:rsidR="00D27BC6" w:rsidRDefault="004D5071">
      <w:pPr>
        <w:spacing w:after="46"/>
        <w:ind w:left="370" w:right="329"/>
        <w:jc w:val="left"/>
      </w:pPr>
      <w:hyperlink r:id="rId175">
        <w:r>
          <w:rPr>
            <w:sz w:val="16"/>
          </w:rPr>
          <w:t>Shaw W</w:t>
        </w:r>
      </w:hyperlink>
      <w:r>
        <w:rPr>
          <w:sz w:val="16"/>
        </w:rPr>
        <w:t>,</w:t>
      </w:r>
      <w:hyperlink r:id="rId176">
        <w:r>
          <w:rPr>
            <w:sz w:val="16"/>
          </w:rPr>
          <w:t xml:space="preserve"> Law G</w:t>
        </w:r>
      </w:hyperlink>
      <w:r>
        <w:rPr>
          <w:sz w:val="16"/>
        </w:rPr>
        <w:t>,</w:t>
      </w:r>
      <w:hyperlink r:id="rId177">
        <w:r>
          <w:rPr>
            <w:sz w:val="16"/>
          </w:rPr>
          <w:t xml:space="preserve"> Desai M</w:t>
        </w:r>
      </w:hyperlink>
      <w:r>
        <w:rPr>
          <w:sz w:val="16"/>
        </w:rPr>
        <w:t>,</w:t>
      </w:r>
      <w:hyperlink r:id="rId178">
        <w:r>
          <w:rPr>
            <w:sz w:val="16"/>
          </w:rPr>
          <w:t xml:space="preserve"> Matthews D</w:t>
        </w:r>
        <w:r>
          <w:rPr>
            <w:sz w:val="16"/>
          </w:rPr>
          <w:t>R</w:t>
        </w:r>
      </w:hyperlink>
      <w:r>
        <w:rPr>
          <w:sz w:val="16"/>
        </w:rPr>
        <w:t>.</w:t>
      </w:r>
      <w:hyperlink r:id="rId179">
        <w:r>
          <w:rPr>
            <w:sz w:val="16"/>
          </w:rPr>
          <w:t xml:space="preserve"> CANVAS Program </w:t>
        </w:r>
      </w:hyperlink>
      <w:hyperlink r:id="rId180">
        <w:r>
          <w:rPr>
            <w:sz w:val="16"/>
          </w:rPr>
          <w:t>Collaborative Group</w:t>
        </w:r>
      </w:hyperlink>
      <w:r>
        <w:rPr>
          <w:sz w:val="16"/>
        </w:rPr>
        <w:t>. Canagliflozin and Cardiovascular and Renal Events in Type 2 Diabetes.</w:t>
      </w:r>
      <w:hyperlink r:id="rId181">
        <w:r>
          <w:rPr>
            <w:sz w:val="16"/>
          </w:rPr>
          <w:t xml:space="preserve"> N Engl J Med.</w:t>
        </w:r>
      </w:hyperlink>
      <w:r>
        <w:rPr>
          <w:sz w:val="16"/>
        </w:rPr>
        <w:t xml:space="preserve"> 2017;377(7):644-657. doi: 10.1056/NEJMoa1611925</w:t>
      </w:r>
    </w:p>
    <w:p w:rsidR="00D27BC6" w:rsidRDefault="004D5071">
      <w:pPr>
        <w:numPr>
          <w:ilvl w:val="0"/>
          <w:numId w:val="185"/>
        </w:numPr>
        <w:spacing w:after="46"/>
        <w:ind w:right="31" w:hanging="360"/>
        <w:jc w:val="left"/>
      </w:pPr>
      <w:r>
        <w:rPr>
          <w:sz w:val="16"/>
        </w:rPr>
        <w:t>Rubino F, Nathan DM, Ecke</w:t>
      </w:r>
      <w:r>
        <w:rPr>
          <w:sz w:val="16"/>
        </w:rPr>
        <w:t xml:space="preserve">l RH et al. Metabolic surgery in the treatment algorithm for type 2 diabetes: a joint statement by international diabetes organizations. Diabetes Care 2016;39:861–877. </w:t>
      </w:r>
    </w:p>
    <w:p w:rsidR="00D27BC6" w:rsidRDefault="004D5071">
      <w:pPr>
        <w:numPr>
          <w:ilvl w:val="0"/>
          <w:numId w:val="185"/>
        </w:numPr>
        <w:spacing w:after="46"/>
        <w:ind w:right="31" w:hanging="360"/>
        <w:jc w:val="left"/>
      </w:pPr>
      <w:r>
        <w:rPr>
          <w:sz w:val="16"/>
        </w:rPr>
        <w:t>Matthew C. Riddle, William T. Cefalu et al. Consensus Report: Definition and Interpreta</w:t>
      </w:r>
      <w:r>
        <w:rPr>
          <w:sz w:val="16"/>
        </w:rPr>
        <w:t>tion of Remission in Type 2 Diabetes. Diabetes Care 1 October 2021; 44 (10): 2438–2444.</w:t>
      </w:r>
    </w:p>
    <w:p w:rsidR="00D27BC6" w:rsidRDefault="004D5071">
      <w:pPr>
        <w:numPr>
          <w:ilvl w:val="0"/>
          <w:numId w:val="185"/>
        </w:numPr>
        <w:spacing w:after="0"/>
        <w:ind w:right="31" w:hanging="360"/>
        <w:jc w:val="left"/>
      </w:pPr>
      <w:r>
        <w:rPr>
          <w:sz w:val="16"/>
        </w:rPr>
        <w:t xml:space="preserve">Perkovic V, Tuttle KR, Rossing P, et al.; FLOW Trial Committees and Investigators. Effects of Semaglutide on Chronic Kidney Disease in Patients with Type 2 Diabetes. N </w:t>
      </w:r>
      <w:r>
        <w:rPr>
          <w:sz w:val="16"/>
        </w:rPr>
        <w:t xml:space="preserve">Engl J Med. </w:t>
      </w:r>
    </w:p>
    <w:p w:rsidR="00D27BC6" w:rsidRDefault="004D5071">
      <w:pPr>
        <w:numPr>
          <w:ilvl w:val="1"/>
          <w:numId w:val="185"/>
        </w:numPr>
        <w:spacing w:after="46"/>
        <w:ind w:right="149" w:hanging="375"/>
        <w:jc w:val="left"/>
      </w:pPr>
      <w:r>
        <w:rPr>
          <w:sz w:val="16"/>
        </w:rPr>
        <w:t>Jul 11;391(2):109-121. doi: 10.1056/NEJMoa2403347. Epub 2024 May 24.</w:t>
      </w:r>
    </w:p>
    <w:p w:rsidR="00D27BC6" w:rsidRDefault="004D5071">
      <w:pPr>
        <w:numPr>
          <w:ilvl w:val="0"/>
          <w:numId w:val="185"/>
        </w:numPr>
        <w:spacing w:after="8"/>
        <w:ind w:right="31" w:hanging="360"/>
        <w:jc w:val="left"/>
      </w:pPr>
      <w:r>
        <w:rPr>
          <w:sz w:val="16"/>
        </w:rPr>
        <w:t xml:space="preserve">Samson SL, Vellanki P, Blonde L, et al. American Association of </w:t>
      </w:r>
    </w:p>
    <w:p w:rsidR="00D27BC6" w:rsidRDefault="004D5071">
      <w:pPr>
        <w:spacing w:after="46"/>
        <w:ind w:left="370" w:right="31"/>
        <w:jc w:val="left"/>
      </w:pPr>
      <w:r>
        <w:rPr>
          <w:sz w:val="16"/>
        </w:rPr>
        <w:t>Clinical Endocrinology Consensus Statement: Comprehensive Type 2 Diabetes Management Algorithm - 2023 Update. Endocr Pract. 2023 May;29(5):305-340. doi: 10.1016/j.eprac.2023.02.001.</w:t>
      </w:r>
    </w:p>
    <w:p w:rsidR="00D27BC6" w:rsidRDefault="004D5071">
      <w:pPr>
        <w:numPr>
          <w:ilvl w:val="0"/>
          <w:numId w:val="185"/>
        </w:numPr>
        <w:spacing w:after="46"/>
        <w:ind w:right="31" w:hanging="360"/>
        <w:jc w:val="left"/>
      </w:pPr>
      <w:r>
        <w:rPr>
          <w:sz w:val="16"/>
        </w:rPr>
        <w:t>Schaper NC, Van Netten JJ, Apelqvist J, et al. Prevention and management o</w:t>
      </w:r>
      <w:r>
        <w:rPr>
          <w:sz w:val="16"/>
        </w:rPr>
        <w:t>f foot problems in diabetes: a Summary Guidance for Daily Practice 2015, based on the IWGDF Guidance Documents. Diabetes Metab Res Rev. 2016;(Suppl 1):7-15. doi: 10.1002/dmrr.2695</w:t>
      </w:r>
    </w:p>
    <w:p w:rsidR="00D27BC6" w:rsidRDefault="004D5071">
      <w:pPr>
        <w:numPr>
          <w:ilvl w:val="0"/>
          <w:numId w:val="185"/>
        </w:numPr>
        <w:spacing w:after="46"/>
        <w:ind w:right="31" w:hanging="360"/>
        <w:jc w:val="left"/>
      </w:pPr>
      <w:hyperlink r:id="rId182">
        <w:r>
          <w:rPr>
            <w:sz w:val="16"/>
          </w:rPr>
          <w:t xml:space="preserve">SCORE2-Diabetes Working Group and the ESC Cardiovascular </w:t>
        </w:r>
      </w:hyperlink>
      <w:hyperlink r:id="rId183">
        <w:r>
          <w:rPr>
            <w:sz w:val="16"/>
          </w:rPr>
          <w:t>Risk Collaboration</w:t>
        </w:r>
      </w:hyperlink>
      <w:r>
        <w:rPr>
          <w:sz w:val="16"/>
        </w:rPr>
        <w:t>. SCORE2-Diabetes: 10-year cardiovascular risk estimation in type 2 diabetes in Europe. Eur Heart J. 2023 Jul 21;44(28):2544-2556. doi: 10.1093/eurheartj/ehad260.</w:t>
      </w:r>
    </w:p>
    <w:p w:rsidR="00D27BC6" w:rsidRDefault="004D5071">
      <w:pPr>
        <w:numPr>
          <w:ilvl w:val="0"/>
          <w:numId w:val="185"/>
        </w:numPr>
        <w:spacing w:after="46"/>
        <w:ind w:right="31" w:hanging="360"/>
        <w:jc w:val="left"/>
      </w:pPr>
      <w:r>
        <w:rPr>
          <w:sz w:val="16"/>
        </w:rPr>
        <w:t>Umpierrez GE, Davis GM, ElSayed NA, Fadi</w:t>
      </w:r>
      <w:r>
        <w:rPr>
          <w:sz w:val="16"/>
        </w:rPr>
        <w:t>ni GP, et al. Hyperglycaemic crises in adults with diabetes: a consensus report. Diabetologia. 2024 Jun 22;67(8):1455–1479.</w:t>
      </w:r>
    </w:p>
    <w:p w:rsidR="00D27BC6" w:rsidRDefault="004D5071">
      <w:pPr>
        <w:numPr>
          <w:ilvl w:val="0"/>
          <w:numId w:val="185"/>
        </w:numPr>
        <w:spacing w:after="46"/>
        <w:ind w:right="31" w:hanging="360"/>
        <w:jc w:val="left"/>
      </w:pPr>
      <w:r>
        <w:rPr>
          <w:sz w:val="16"/>
        </w:rPr>
        <w:t>Use of Glycated Haemoglobin (HbA1c) in the Diagnosis of Diabetes Mellitus. Abbreviated Report of a WHO Consultation (WHO/NMH/ CHP/CP</w:t>
      </w:r>
      <w:r>
        <w:rPr>
          <w:sz w:val="16"/>
        </w:rPr>
        <w:t>M/11.1). World Health Organization; 2011.</w:t>
      </w:r>
    </w:p>
    <w:p w:rsidR="00D27BC6" w:rsidRDefault="004D5071">
      <w:pPr>
        <w:numPr>
          <w:ilvl w:val="0"/>
          <w:numId w:val="185"/>
        </w:numPr>
        <w:spacing w:after="0"/>
        <w:ind w:right="31" w:hanging="360"/>
        <w:jc w:val="left"/>
      </w:pPr>
      <w:r>
        <w:rPr>
          <w:sz w:val="16"/>
        </w:rPr>
        <w:t xml:space="preserve">Visseren FLJ, Mach F, Smulders YM, et al. 2021 ESC Guidelines on cardiovascular disease prevention in clinical practice. Eur Heart J. </w:t>
      </w:r>
    </w:p>
    <w:p w:rsidR="00D27BC6" w:rsidRDefault="004D5071">
      <w:pPr>
        <w:spacing w:after="46"/>
        <w:ind w:left="370" w:right="31"/>
        <w:jc w:val="left"/>
      </w:pPr>
      <w:r>
        <w:rPr>
          <w:sz w:val="16"/>
        </w:rPr>
        <w:t>2021;42(34):3227-3337. Doi:10.1093/eurheartj/ehab484</w:t>
      </w:r>
    </w:p>
    <w:p w:rsidR="00D27BC6" w:rsidRDefault="004D5071">
      <w:pPr>
        <w:numPr>
          <w:ilvl w:val="0"/>
          <w:numId w:val="185"/>
        </w:numPr>
        <w:spacing w:after="8"/>
        <w:ind w:right="31" w:hanging="360"/>
        <w:jc w:val="left"/>
      </w:pPr>
      <w:hyperlink r:id="rId184">
        <w:r>
          <w:rPr>
            <w:sz w:val="16"/>
          </w:rPr>
          <w:t>Wanner C</w:t>
        </w:r>
      </w:hyperlink>
      <w:r>
        <w:rPr>
          <w:sz w:val="16"/>
        </w:rPr>
        <w:t xml:space="preserve">, </w:t>
      </w:r>
      <w:hyperlink r:id="rId185">
        <w:r>
          <w:rPr>
            <w:sz w:val="16"/>
          </w:rPr>
          <w:t>Lachin JM</w:t>
        </w:r>
      </w:hyperlink>
      <w:r>
        <w:rPr>
          <w:sz w:val="16"/>
        </w:rPr>
        <w:t xml:space="preserve">, </w:t>
      </w:r>
      <w:hyperlink r:id="rId186">
        <w:r>
          <w:rPr>
            <w:sz w:val="16"/>
          </w:rPr>
          <w:t>Inzucchi SE</w:t>
        </w:r>
      </w:hyperlink>
      <w:r>
        <w:rPr>
          <w:sz w:val="16"/>
        </w:rPr>
        <w:t xml:space="preserve">, </w:t>
      </w:r>
      <w:hyperlink r:id="rId187">
        <w:r>
          <w:rPr>
            <w:sz w:val="16"/>
          </w:rPr>
          <w:t>Fitchett D</w:t>
        </w:r>
      </w:hyperlink>
      <w:r>
        <w:rPr>
          <w:sz w:val="16"/>
        </w:rPr>
        <w:t xml:space="preserve">, </w:t>
      </w:r>
      <w:hyperlink r:id="rId188">
        <w:r>
          <w:rPr>
            <w:sz w:val="16"/>
          </w:rPr>
          <w:t>Mattheus M</w:t>
        </w:r>
      </w:hyperlink>
      <w:r>
        <w:rPr>
          <w:sz w:val="16"/>
        </w:rPr>
        <w:t xml:space="preserve">, </w:t>
      </w:r>
    </w:p>
    <w:p w:rsidR="00D27BC6" w:rsidRDefault="004D5071">
      <w:pPr>
        <w:spacing w:after="0"/>
        <w:ind w:left="370" w:right="31"/>
        <w:jc w:val="left"/>
      </w:pPr>
      <w:hyperlink r:id="rId189">
        <w:r>
          <w:rPr>
            <w:sz w:val="16"/>
          </w:rPr>
          <w:t>George J</w:t>
        </w:r>
      </w:hyperlink>
      <w:r>
        <w:rPr>
          <w:sz w:val="16"/>
        </w:rPr>
        <w:t>,</w:t>
      </w:r>
      <w:hyperlink r:id="rId190">
        <w:r>
          <w:rPr>
            <w:sz w:val="16"/>
          </w:rPr>
          <w:t xml:space="preserve"> Woerle HJ</w:t>
        </w:r>
      </w:hyperlink>
      <w:r>
        <w:rPr>
          <w:sz w:val="16"/>
        </w:rPr>
        <w:t xml:space="preserve">, </w:t>
      </w:r>
      <w:hyperlink r:id="rId191">
        <w:r>
          <w:rPr>
            <w:sz w:val="16"/>
          </w:rPr>
          <w:t>Broedl UC</w:t>
        </w:r>
      </w:hyperlink>
      <w:r>
        <w:rPr>
          <w:sz w:val="16"/>
        </w:rPr>
        <w:t xml:space="preserve">, </w:t>
      </w:r>
      <w:hyperlink r:id="rId192">
        <w:r>
          <w:rPr>
            <w:sz w:val="16"/>
          </w:rPr>
          <w:t>von Eynatten M</w:t>
        </w:r>
      </w:hyperlink>
      <w:r>
        <w:rPr>
          <w:sz w:val="16"/>
        </w:rPr>
        <w:t xml:space="preserve">, </w:t>
      </w:r>
      <w:hyperlink r:id="rId193">
        <w:r>
          <w:rPr>
            <w:sz w:val="16"/>
          </w:rPr>
          <w:t>Zinman B</w:t>
        </w:r>
      </w:hyperlink>
      <w:r>
        <w:rPr>
          <w:sz w:val="16"/>
        </w:rPr>
        <w:t xml:space="preserve">; </w:t>
      </w:r>
      <w:hyperlink r:id="rId194">
        <w:r>
          <w:rPr>
            <w:sz w:val="16"/>
          </w:rPr>
          <w:t>EMPA-REG OUTCOME Investigators</w:t>
        </w:r>
      </w:hyperlink>
      <w:r>
        <w:rPr>
          <w:sz w:val="16"/>
        </w:rPr>
        <w:t xml:space="preserve">. Empagliflozin and </w:t>
      </w:r>
    </w:p>
    <w:p w:rsidR="00D27BC6" w:rsidRDefault="004D5071">
      <w:pPr>
        <w:spacing w:after="8"/>
        <w:ind w:left="370" w:right="31"/>
        <w:jc w:val="left"/>
      </w:pPr>
      <w:r>
        <w:rPr>
          <w:sz w:val="16"/>
        </w:rPr>
        <w:t xml:space="preserve">Clinical Outcomes in Patients With Type 2 Diabetes </w:t>
      </w:r>
    </w:p>
    <w:p w:rsidR="00D27BC6" w:rsidRDefault="004D5071">
      <w:pPr>
        <w:spacing w:after="46"/>
        <w:ind w:left="370" w:right="588"/>
        <w:jc w:val="left"/>
      </w:pPr>
      <w:r>
        <w:rPr>
          <w:sz w:val="16"/>
        </w:rPr>
        <w:t>Mellitus, Established C</w:t>
      </w:r>
      <w:r>
        <w:rPr>
          <w:sz w:val="16"/>
        </w:rPr>
        <w:t xml:space="preserve">ardiovascular Disease, and Chronic Kidney Disease. </w:t>
      </w:r>
      <w:hyperlink r:id="rId195">
        <w:r>
          <w:rPr>
            <w:sz w:val="16"/>
          </w:rPr>
          <w:t>Circulation.</w:t>
        </w:r>
      </w:hyperlink>
      <w:r>
        <w:rPr>
          <w:sz w:val="16"/>
        </w:rPr>
        <w:t xml:space="preserve"> 2018 Jan 9;137(2):119-129. doi: 10.1161/CIRCULATIONAHA.117.028268</w:t>
      </w:r>
    </w:p>
    <w:p w:rsidR="00D27BC6" w:rsidRDefault="004D5071">
      <w:pPr>
        <w:numPr>
          <w:ilvl w:val="0"/>
          <w:numId w:val="185"/>
        </w:numPr>
        <w:spacing w:after="0"/>
        <w:ind w:right="31" w:hanging="360"/>
        <w:jc w:val="left"/>
      </w:pPr>
      <w:r>
        <w:rPr>
          <w:sz w:val="16"/>
        </w:rPr>
        <w:t>Williams B, Mancia G, Spiering W, et al. 2018 ESC/ESH Guidelin</w:t>
      </w:r>
      <w:r>
        <w:rPr>
          <w:sz w:val="16"/>
        </w:rPr>
        <w:t xml:space="preserve">es for the management of arterial hypertension. Eur Heart J. </w:t>
      </w:r>
    </w:p>
    <w:p w:rsidR="00D27BC6" w:rsidRDefault="004D5071">
      <w:pPr>
        <w:spacing w:after="46"/>
        <w:ind w:left="370" w:right="31"/>
        <w:jc w:val="left"/>
      </w:pPr>
      <w:r>
        <w:rPr>
          <w:sz w:val="16"/>
        </w:rPr>
        <w:t>2018;39:3021–3104. doi</w:t>
      </w:r>
      <w:hyperlink r:id="rId196">
        <w:r>
          <w:rPr>
            <w:sz w:val="16"/>
          </w:rPr>
          <w:t>: 10.1093/eurheartj/ehy339</w:t>
        </w:r>
      </w:hyperlink>
    </w:p>
    <w:p w:rsidR="00D27BC6" w:rsidRDefault="004D5071">
      <w:pPr>
        <w:numPr>
          <w:ilvl w:val="0"/>
          <w:numId w:val="185"/>
        </w:numPr>
        <w:spacing w:after="0"/>
        <w:ind w:right="31" w:hanging="360"/>
        <w:jc w:val="left"/>
      </w:pPr>
      <w:r>
        <w:rPr>
          <w:sz w:val="16"/>
        </w:rPr>
        <w:t>Wiviott SD, Raz I, Bonaca MP, et al.</w:t>
      </w:r>
      <w:hyperlink r:id="rId197">
        <w:r>
          <w:rPr>
            <w:sz w:val="16"/>
          </w:rPr>
          <w:t xml:space="preserve"> Dapagliflozin and Cardiovascular </w:t>
        </w:r>
      </w:hyperlink>
      <w:hyperlink r:id="rId198">
        <w:r>
          <w:rPr>
            <w:sz w:val="16"/>
          </w:rPr>
          <w:t>Outcomes in Type 2 Diabetes.</w:t>
        </w:r>
      </w:hyperlink>
      <w:r>
        <w:rPr>
          <w:sz w:val="16"/>
        </w:rPr>
        <w:t xml:space="preserve"> N Engl J Med. 2019;380(4):347-357. </w:t>
      </w:r>
    </w:p>
    <w:p w:rsidR="00D27BC6" w:rsidRDefault="004D5071">
      <w:pPr>
        <w:spacing w:after="46"/>
        <w:ind w:left="370" w:right="31"/>
        <w:jc w:val="left"/>
      </w:pPr>
      <w:r>
        <w:rPr>
          <w:sz w:val="16"/>
        </w:rPr>
        <w:t>Doi: 10.1056/NEJMoa1812389</w:t>
      </w:r>
    </w:p>
    <w:p w:rsidR="00D27BC6" w:rsidRDefault="004D5071">
      <w:pPr>
        <w:numPr>
          <w:ilvl w:val="0"/>
          <w:numId w:val="185"/>
        </w:numPr>
        <w:spacing w:after="46"/>
        <w:ind w:right="31" w:hanging="360"/>
        <w:jc w:val="left"/>
      </w:pPr>
      <w:r>
        <w:rPr>
          <w:sz w:val="16"/>
        </w:rPr>
        <w:t>World Union of Wound Healing Societies (WUWHS), Flo</w:t>
      </w:r>
      <w:r>
        <w:rPr>
          <w:sz w:val="16"/>
        </w:rPr>
        <w:t>rence Congress, Position Document. Local management of diabetic foot ulcers. Wounds International, 2016.</w:t>
      </w:r>
    </w:p>
    <w:p w:rsidR="00D27BC6" w:rsidRDefault="004D5071">
      <w:pPr>
        <w:numPr>
          <w:ilvl w:val="0"/>
          <w:numId w:val="185"/>
        </w:numPr>
        <w:spacing w:after="0"/>
        <w:ind w:right="31" w:hanging="360"/>
        <w:jc w:val="left"/>
      </w:pPr>
      <w:r>
        <w:rPr>
          <w:sz w:val="16"/>
        </w:rPr>
        <w:t xml:space="preserve">Zinman B, Wanner C, Lachin JM, et al. Empagliflozin, Cardiovascular Outcomes, and Mortality in Type 2 Diabetes. N Engl J Med. </w:t>
      </w:r>
    </w:p>
    <w:p w:rsidR="00D27BC6" w:rsidRDefault="004D5071">
      <w:pPr>
        <w:spacing w:after="46"/>
        <w:ind w:left="370" w:right="31"/>
        <w:jc w:val="left"/>
      </w:pPr>
      <w:r>
        <w:rPr>
          <w:sz w:val="16"/>
        </w:rPr>
        <w:t>2015;373(22):2117-2128. Doi: 10.1056/NEJMoa1504720</w:t>
      </w:r>
    </w:p>
    <w:tbl>
      <w:tblPr>
        <w:tblStyle w:val="TableGrid"/>
        <w:tblpPr w:vertAnchor="text" w:horzAnchor="margin"/>
        <w:tblOverlap w:val="never"/>
        <w:tblW w:w="10213" w:type="dxa"/>
        <w:tblInd w:w="0" w:type="dxa"/>
        <w:tblCellMar>
          <w:top w:w="0" w:type="dxa"/>
          <w:left w:w="3787" w:type="dxa"/>
          <w:bottom w:w="0" w:type="dxa"/>
          <w:right w:w="3796" w:type="dxa"/>
        </w:tblCellMar>
        <w:tblLook w:val="04A0" w:firstRow="1" w:lastRow="0" w:firstColumn="1" w:lastColumn="0" w:noHBand="0" w:noVBand="1"/>
      </w:tblPr>
      <w:tblGrid>
        <w:gridCol w:w="2630"/>
      </w:tblGrid>
      <w:tr w:rsidR="00D27BC6">
        <w:trPr>
          <w:trHeight w:val="297"/>
        </w:trPr>
        <w:tc>
          <w:tcPr>
            <w:tcW w:w="2630" w:type="dxa"/>
            <w:tcBorders>
              <w:top w:val="nil"/>
              <w:left w:val="nil"/>
              <w:bottom w:val="nil"/>
              <w:right w:val="nil"/>
            </w:tcBorders>
          </w:tcPr>
          <w:p w:rsidR="00D27BC6" w:rsidRDefault="004D5071">
            <w:pPr>
              <w:spacing w:after="0" w:line="259" w:lineRule="auto"/>
              <w:ind w:left="0" w:right="0" w:firstLine="0"/>
            </w:pPr>
            <w:r>
              <w:rPr>
                <w:b/>
                <w:sz w:val="24"/>
              </w:rPr>
              <w:t>СПИСОК СОКРАЩЕНИЙ</w:t>
            </w:r>
          </w:p>
        </w:tc>
      </w:tr>
    </w:tbl>
    <w:p w:rsidR="00D27BC6" w:rsidRDefault="004D5071">
      <w:pPr>
        <w:spacing w:after="3" w:line="261" w:lineRule="auto"/>
        <w:ind w:left="-3" w:right="0"/>
        <w:jc w:val="left"/>
      </w:pPr>
      <w:r>
        <w:rPr>
          <w:sz w:val="18"/>
        </w:rPr>
        <w:t>АГ – артериальная гипертензия</w:t>
      </w:r>
    </w:p>
    <w:p w:rsidR="00D27BC6" w:rsidRDefault="004D5071">
      <w:pPr>
        <w:spacing w:after="3" w:line="261" w:lineRule="auto"/>
        <w:ind w:left="-3" w:right="0"/>
        <w:jc w:val="left"/>
      </w:pPr>
      <w:r>
        <w:rPr>
          <w:sz w:val="18"/>
        </w:rPr>
        <w:t>АД – артериальное давление АК – антагонисты кальция иАПФ – ингибиторы ангиотензинпревращающего фермента АССЗ – атеросклеротические сердечно-сосудистые забол</w:t>
      </w:r>
      <w:r>
        <w:rPr>
          <w:sz w:val="18"/>
        </w:rPr>
        <w:t>евания в/в – внутривенный</w:t>
      </w:r>
    </w:p>
    <w:p w:rsidR="00D27BC6" w:rsidRDefault="004D5071">
      <w:pPr>
        <w:spacing w:after="3" w:line="261" w:lineRule="auto"/>
        <w:ind w:left="-3" w:right="0"/>
        <w:jc w:val="left"/>
      </w:pPr>
      <w:r>
        <w:rPr>
          <w:sz w:val="18"/>
        </w:rPr>
        <w:t>БРА – блокаторы рецепторов ангиотензина II</w:t>
      </w:r>
    </w:p>
    <w:p w:rsidR="00D27BC6" w:rsidRDefault="004D5071">
      <w:pPr>
        <w:spacing w:after="3" w:line="261" w:lineRule="auto"/>
        <w:ind w:left="-3" w:right="0"/>
        <w:jc w:val="left"/>
      </w:pPr>
      <w:r>
        <w:rPr>
          <w:sz w:val="18"/>
        </w:rPr>
        <w:t>ВТЭО – венозные тромбоэмболические осложнения</w:t>
      </w:r>
    </w:p>
    <w:p w:rsidR="00D27BC6" w:rsidRDefault="004D5071">
      <w:pPr>
        <w:spacing w:after="3" w:line="261" w:lineRule="auto"/>
        <w:ind w:left="-3" w:right="0"/>
        <w:jc w:val="left"/>
      </w:pPr>
      <w:r>
        <w:rPr>
          <w:sz w:val="18"/>
        </w:rPr>
        <w:t>ГГС – гиперосмолярное гипергликемическое состояние</w:t>
      </w:r>
    </w:p>
    <w:p w:rsidR="00D27BC6" w:rsidRDefault="004D5071">
      <w:pPr>
        <w:spacing w:after="3" w:line="261" w:lineRule="auto"/>
        <w:ind w:left="-3" w:right="0"/>
        <w:jc w:val="left"/>
      </w:pPr>
      <w:r>
        <w:rPr>
          <w:sz w:val="18"/>
        </w:rPr>
        <w:t>ГП – глюкоза плазмы</w:t>
      </w:r>
    </w:p>
    <w:p w:rsidR="00D27BC6" w:rsidRDefault="004D5071">
      <w:pPr>
        <w:spacing w:after="3" w:line="261" w:lineRule="auto"/>
        <w:ind w:left="-3" w:right="307"/>
        <w:jc w:val="left"/>
      </w:pPr>
      <w:r>
        <w:rPr>
          <w:sz w:val="18"/>
        </w:rPr>
        <w:t>ГИП – глюкозозависимый инсулинотропный полипептид арГИП/ГПП-1 – двойны</w:t>
      </w:r>
      <w:r>
        <w:rPr>
          <w:sz w:val="18"/>
        </w:rPr>
        <w:t>е агонисты рецепторов глюкозозависимого инсулинотропного полипептида и глюкагоноподобного пептида - 1 ГПП-1 – глюкагоноподобный пептид-1 арГПП-1 – агонисты рецепторов ГПП-1 ГСД – гестационный сахарный диабет</w:t>
      </w:r>
    </w:p>
    <w:p w:rsidR="00D27BC6" w:rsidRDefault="004D5071">
      <w:pPr>
        <w:spacing w:after="3" w:line="261" w:lineRule="auto"/>
        <w:ind w:left="-3" w:right="0"/>
        <w:jc w:val="left"/>
      </w:pPr>
      <w:r>
        <w:rPr>
          <w:sz w:val="18"/>
        </w:rPr>
        <w:t>ДААТ – двойная антиагрегантная терапия</w:t>
      </w:r>
    </w:p>
    <w:p w:rsidR="00D27BC6" w:rsidRDefault="004D5071">
      <w:pPr>
        <w:spacing w:after="3" w:line="261" w:lineRule="auto"/>
        <w:ind w:left="-3" w:right="0"/>
        <w:jc w:val="left"/>
      </w:pPr>
      <w:r>
        <w:rPr>
          <w:sz w:val="18"/>
        </w:rPr>
        <w:t>ДКА – диабетический кетоацидоз</w:t>
      </w:r>
    </w:p>
    <w:p w:rsidR="00D27BC6" w:rsidRDefault="004D5071">
      <w:pPr>
        <w:spacing w:after="3" w:line="261" w:lineRule="auto"/>
        <w:ind w:left="-3" w:right="0"/>
        <w:jc w:val="left"/>
      </w:pPr>
      <w:r>
        <w:rPr>
          <w:sz w:val="18"/>
        </w:rPr>
        <w:t>ДМО – диабетический макулярный отек</w:t>
      </w:r>
    </w:p>
    <w:p w:rsidR="00D27BC6" w:rsidRDefault="004D5071">
      <w:pPr>
        <w:spacing w:after="3" w:line="261" w:lineRule="auto"/>
        <w:ind w:left="-3" w:right="829"/>
        <w:jc w:val="left"/>
      </w:pPr>
      <w:r>
        <w:rPr>
          <w:sz w:val="18"/>
        </w:rPr>
        <w:t>ДН – диабетическая нефропатия ДНОАП – диабетическая нейроостеоартропатия иДПП-4 – ингибитор дипептидилпептидазы 4 типа ДР – диабетическая ретинопатия</w:t>
      </w:r>
    </w:p>
    <w:p w:rsidR="00D27BC6" w:rsidRDefault="004D5071">
      <w:pPr>
        <w:spacing w:after="3" w:line="261" w:lineRule="auto"/>
        <w:ind w:left="-3" w:right="0"/>
        <w:jc w:val="left"/>
      </w:pPr>
      <w:r>
        <w:rPr>
          <w:sz w:val="18"/>
        </w:rPr>
        <w:t>ЗАНК – заболевания артерий нижних конеч</w:t>
      </w:r>
      <w:r>
        <w:rPr>
          <w:sz w:val="18"/>
        </w:rPr>
        <w:t>ностей</w:t>
      </w:r>
    </w:p>
    <w:p w:rsidR="00D27BC6" w:rsidRDefault="004D5071">
      <w:pPr>
        <w:spacing w:after="3" w:line="261" w:lineRule="auto"/>
        <w:ind w:left="-3" w:right="0"/>
        <w:jc w:val="left"/>
      </w:pPr>
      <w:r>
        <w:rPr>
          <w:sz w:val="18"/>
        </w:rPr>
        <w:t>ЗПТ – заместительная почечная терапия</w:t>
      </w:r>
    </w:p>
    <w:p w:rsidR="00D27BC6" w:rsidRDefault="004D5071">
      <w:pPr>
        <w:spacing w:after="3" w:line="261" w:lineRule="auto"/>
        <w:ind w:left="-3" w:right="0"/>
        <w:jc w:val="left"/>
      </w:pPr>
      <w:r>
        <w:rPr>
          <w:sz w:val="18"/>
        </w:rPr>
        <w:t>ИБС – ишемическая болезнь сердца</w:t>
      </w:r>
    </w:p>
    <w:p w:rsidR="00D27BC6" w:rsidRDefault="004D5071">
      <w:pPr>
        <w:spacing w:after="3" w:line="261" w:lineRule="auto"/>
        <w:ind w:left="-3" w:right="0"/>
        <w:jc w:val="left"/>
      </w:pPr>
      <w:r>
        <w:rPr>
          <w:sz w:val="18"/>
        </w:rPr>
        <w:t>ИКД – инсулин короткого действия</w:t>
      </w:r>
    </w:p>
    <w:p w:rsidR="00D27BC6" w:rsidRDefault="004D5071">
      <w:pPr>
        <w:spacing w:after="3" w:line="261" w:lineRule="auto"/>
        <w:ind w:left="-3" w:right="0"/>
        <w:jc w:val="left"/>
      </w:pPr>
      <w:r>
        <w:rPr>
          <w:sz w:val="18"/>
        </w:rPr>
        <w:t>ИМ – инфаркт миокарда</w:t>
      </w:r>
    </w:p>
    <w:p w:rsidR="00D27BC6" w:rsidRDefault="004D5071">
      <w:pPr>
        <w:spacing w:after="3" w:line="261" w:lineRule="auto"/>
        <w:ind w:left="-3" w:right="0"/>
        <w:jc w:val="left"/>
      </w:pPr>
      <w:r>
        <w:rPr>
          <w:sz w:val="18"/>
        </w:rPr>
        <w:t>ИМТ – индекс массы тела</w:t>
      </w:r>
    </w:p>
    <w:p w:rsidR="00D27BC6" w:rsidRDefault="004D5071">
      <w:pPr>
        <w:spacing w:after="3" w:line="261" w:lineRule="auto"/>
        <w:ind w:left="-3" w:right="0"/>
        <w:jc w:val="left"/>
      </w:pPr>
      <w:r>
        <w:rPr>
          <w:sz w:val="18"/>
        </w:rPr>
        <w:t xml:space="preserve">ИСБД – инсулин сверхбыстрого действия </w:t>
      </w:r>
    </w:p>
    <w:p w:rsidR="00D27BC6" w:rsidRDefault="004D5071">
      <w:pPr>
        <w:spacing w:after="3" w:line="261" w:lineRule="auto"/>
        <w:ind w:left="-3" w:right="0"/>
        <w:jc w:val="left"/>
      </w:pPr>
      <w:r>
        <w:rPr>
          <w:sz w:val="18"/>
        </w:rPr>
        <w:t>ИУКД – инсулин ультракороткого действия</w:t>
      </w:r>
    </w:p>
    <w:p w:rsidR="00D27BC6" w:rsidRDefault="004D5071">
      <w:pPr>
        <w:spacing w:after="3" w:line="261" w:lineRule="auto"/>
        <w:ind w:left="-3" w:right="0"/>
        <w:jc w:val="left"/>
      </w:pPr>
      <w:r>
        <w:rPr>
          <w:sz w:val="18"/>
        </w:rPr>
        <w:t>КАН – кардиоваскуляр</w:t>
      </w:r>
      <w:r>
        <w:rPr>
          <w:sz w:val="18"/>
        </w:rPr>
        <w:t xml:space="preserve">ная автономная нейропатия </w:t>
      </w:r>
    </w:p>
    <w:p w:rsidR="00D27BC6" w:rsidRDefault="004D5071">
      <w:pPr>
        <w:spacing w:after="3" w:line="261" w:lineRule="auto"/>
        <w:ind w:left="-3" w:right="0"/>
        <w:jc w:val="left"/>
      </w:pPr>
      <w:r>
        <w:rPr>
          <w:sz w:val="18"/>
        </w:rPr>
        <w:t xml:space="preserve">КИНК – критическая ишемия нижних конечностей </w:t>
      </w:r>
    </w:p>
    <w:p w:rsidR="00D27BC6" w:rsidRDefault="004D5071">
      <w:pPr>
        <w:spacing w:after="3" w:line="261" w:lineRule="auto"/>
        <w:ind w:left="-3" w:right="0"/>
        <w:jc w:val="left"/>
      </w:pPr>
      <w:r>
        <w:rPr>
          <w:sz w:val="18"/>
        </w:rPr>
        <w:t>КЩС – кислотно-щелочное состояние</w:t>
      </w:r>
    </w:p>
    <w:p w:rsidR="00D27BC6" w:rsidRDefault="004D5071">
      <w:pPr>
        <w:spacing w:after="3" w:line="261" w:lineRule="auto"/>
        <w:ind w:left="-3" w:right="0"/>
        <w:jc w:val="left"/>
      </w:pPr>
      <w:r>
        <w:rPr>
          <w:sz w:val="18"/>
        </w:rPr>
        <w:t>ЛЖ – левый желудочек</w:t>
      </w:r>
    </w:p>
    <w:p w:rsidR="00D27BC6" w:rsidRDefault="004D5071">
      <w:pPr>
        <w:spacing w:after="3" w:line="261" w:lineRule="auto"/>
        <w:ind w:left="-3" w:right="0"/>
        <w:jc w:val="left"/>
      </w:pPr>
      <w:r>
        <w:rPr>
          <w:sz w:val="18"/>
        </w:rPr>
        <w:t xml:space="preserve">ЛКС – лазерная коагуляция сетчатки </w:t>
      </w:r>
    </w:p>
    <w:p w:rsidR="00D27BC6" w:rsidRDefault="004D5071">
      <w:pPr>
        <w:spacing w:after="3" w:line="261" w:lineRule="auto"/>
        <w:ind w:left="-3" w:right="0"/>
        <w:jc w:val="left"/>
      </w:pPr>
      <w:r>
        <w:rPr>
          <w:sz w:val="18"/>
        </w:rPr>
        <w:t>ЛПИ – лодыжечно-плечевой индекс</w:t>
      </w:r>
    </w:p>
    <w:p w:rsidR="00D27BC6" w:rsidRDefault="004D5071">
      <w:pPr>
        <w:spacing w:after="3" w:line="261" w:lineRule="auto"/>
        <w:ind w:left="-3" w:right="0"/>
        <w:jc w:val="left"/>
      </w:pPr>
      <w:r>
        <w:rPr>
          <w:sz w:val="18"/>
        </w:rPr>
        <w:t>ЛПУ – лечебно-профиалктическое учреждение МАЖБ – метаболически-ассоциированная жировая болезнь печени</w:t>
      </w:r>
    </w:p>
    <w:p w:rsidR="00D27BC6" w:rsidRDefault="004D5071">
      <w:pPr>
        <w:spacing w:after="3" w:line="261" w:lineRule="auto"/>
        <w:ind w:left="-3" w:right="0"/>
        <w:jc w:val="left"/>
      </w:pPr>
      <w:r>
        <w:rPr>
          <w:sz w:val="18"/>
        </w:rPr>
        <w:t>МГТ – менопаузальная гормональная терапия</w:t>
      </w:r>
    </w:p>
    <w:p w:rsidR="00D27BC6" w:rsidRDefault="004D5071">
      <w:pPr>
        <w:spacing w:after="3" w:line="261" w:lineRule="auto"/>
        <w:ind w:left="-3" w:right="0"/>
        <w:jc w:val="left"/>
      </w:pPr>
      <w:r>
        <w:rPr>
          <w:sz w:val="18"/>
        </w:rPr>
        <w:t>МПК – минеральная плотность костей</w:t>
      </w:r>
    </w:p>
    <w:p w:rsidR="00D27BC6" w:rsidRDefault="004D5071">
      <w:pPr>
        <w:spacing w:after="3" w:line="261" w:lineRule="auto"/>
        <w:ind w:left="-3" w:right="0"/>
        <w:jc w:val="left"/>
      </w:pPr>
      <w:r>
        <w:rPr>
          <w:sz w:val="18"/>
        </w:rPr>
        <w:t>МРТ – магнитно-резонансная томография</w:t>
      </w:r>
    </w:p>
    <w:p w:rsidR="00D27BC6" w:rsidRDefault="004D5071">
      <w:pPr>
        <w:spacing w:after="3" w:line="261" w:lineRule="auto"/>
        <w:ind w:left="-3" w:right="0"/>
        <w:jc w:val="left"/>
      </w:pPr>
      <w:r>
        <w:rPr>
          <w:sz w:val="18"/>
        </w:rPr>
        <w:t>МСКТ – мультиспиральная компьютерная то</w:t>
      </w:r>
      <w:r>
        <w:rPr>
          <w:sz w:val="18"/>
        </w:rPr>
        <w:t>мография</w:t>
      </w:r>
    </w:p>
    <w:p w:rsidR="00D27BC6" w:rsidRDefault="004D5071">
      <w:pPr>
        <w:spacing w:after="3" w:line="261" w:lineRule="auto"/>
        <w:ind w:left="-3" w:right="269"/>
        <w:jc w:val="left"/>
      </w:pPr>
      <w:r>
        <w:rPr>
          <w:sz w:val="18"/>
        </w:rPr>
        <w:t xml:space="preserve">НАЖБП – неалкогольная жировая болезнь печени НВИИ – непрерывная внутривенная инфузия инсулина иНГЛТ-2 – ингибитор натрий-глюкозного котранспортера </w:t>
      </w:r>
    </w:p>
    <w:p w:rsidR="00D27BC6" w:rsidRDefault="004D5071">
      <w:pPr>
        <w:spacing w:after="3" w:line="261" w:lineRule="auto"/>
        <w:ind w:left="-3" w:right="0"/>
        <w:jc w:val="left"/>
      </w:pPr>
      <w:r>
        <w:rPr>
          <w:sz w:val="18"/>
        </w:rPr>
        <w:t xml:space="preserve">2 типа </w:t>
      </w:r>
    </w:p>
    <w:p w:rsidR="00D27BC6" w:rsidRDefault="004D5071">
      <w:pPr>
        <w:spacing w:after="3" w:line="261" w:lineRule="auto"/>
        <w:ind w:left="-3" w:right="0"/>
        <w:jc w:val="left"/>
      </w:pPr>
      <w:r>
        <w:rPr>
          <w:sz w:val="18"/>
        </w:rPr>
        <w:t>НГН – нарушенная гликемия натощак</w:t>
      </w:r>
    </w:p>
    <w:p w:rsidR="00D27BC6" w:rsidRDefault="004D5071">
      <w:pPr>
        <w:spacing w:after="3" w:line="261" w:lineRule="auto"/>
        <w:ind w:left="-3" w:right="0"/>
        <w:jc w:val="left"/>
      </w:pPr>
      <w:r>
        <w:rPr>
          <w:sz w:val="18"/>
        </w:rPr>
        <w:t>НМГ – непрерывное мониторирование глюкозы</w:t>
      </w:r>
    </w:p>
    <w:p w:rsidR="00D27BC6" w:rsidRDefault="004D5071">
      <w:pPr>
        <w:spacing w:after="3" w:line="261" w:lineRule="auto"/>
        <w:ind w:left="-3" w:right="0"/>
        <w:jc w:val="left"/>
      </w:pPr>
      <w:r>
        <w:rPr>
          <w:sz w:val="18"/>
        </w:rPr>
        <w:t>НПИИ – непрерывная подкожная инфузия инсулина</w:t>
      </w:r>
    </w:p>
    <w:p w:rsidR="00D27BC6" w:rsidRDefault="004D5071">
      <w:pPr>
        <w:spacing w:after="3" w:line="261" w:lineRule="auto"/>
        <w:ind w:left="-3" w:right="0"/>
        <w:jc w:val="left"/>
      </w:pPr>
      <w:r>
        <w:rPr>
          <w:sz w:val="18"/>
        </w:rPr>
        <w:t>НПХ – нейтральный протамин Хагедорна</w:t>
      </w:r>
    </w:p>
    <w:p w:rsidR="00D27BC6" w:rsidRDefault="004D5071">
      <w:pPr>
        <w:spacing w:after="3" w:line="261" w:lineRule="auto"/>
        <w:ind w:left="-3" w:right="0"/>
        <w:jc w:val="left"/>
      </w:pPr>
      <w:r>
        <w:rPr>
          <w:sz w:val="18"/>
        </w:rPr>
        <w:t>НСД – неонатальный сахарный диабет</w:t>
      </w:r>
    </w:p>
    <w:p w:rsidR="00D27BC6" w:rsidRDefault="004D5071">
      <w:pPr>
        <w:spacing w:after="3" w:line="261" w:lineRule="auto"/>
        <w:ind w:left="-3" w:right="0"/>
        <w:jc w:val="left"/>
      </w:pPr>
      <w:r>
        <w:rPr>
          <w:sz w:val="18"/>
        </w:rPr>
        <w:t>НТГ – нарушенная толерантность к глюкозе</w:t>
      </w:r>
    </w:p>
    <w:p w:rsidR="00D27BC6" w:rsidRDefault="004D5071">
      <w:pPr>
        <w:spacing w:after="3" w:line="261" w:lineRule="auto"/>
        <w:ind w:left="-3" w:right="0"/>
        <w:jc w:val="left"/>
      </w:pPr>
      <w:r>
        <w:rPr>
          <w:sz w:val="18"/>
        </w:rPr>
        <w:t>ОГ – ортостатическая гипотензия</w:t>
      </w:r>
    </w:p>
    <w:p w:rsidR="00D27BC6" w:rsidRDefault="004D5071">
      <w:pPr>
        <w:spacing w:after="3" w:line="261" w:lineRule="auto"/>
        <w:ind w:left="-3" w:right="0"/>
        <w:jc w:val="left"/>
      </w:pPr>
      <w:r>
        <w:rPr>
          <w:sz w:val="18"/>
        </w:rPr>
        <w:t>ОКС – острый коронарный синдром</w:t>
      </w:r>
    </w:p>
    <w:p w:rsidR="00D27BC6" w:rsidRDefault="004D5071">
      <w:pPr>
        <w:spacing w:after="3" w:line="261" w:lineRule="auto"/>
        <w:ind w:left="-3" w:right="0"/>
        <w:jc w:val="left"/>
      </w:pPr>
      <w:r>
        <w:rPr>
          <w:sz w:val="18"/>
        </w:rPr>
        <w:t>ОПЖ – ожидаемая продолжительность</w:t>
      </w:r>
      <w:r>
        <w:rPr>
          <w:sz w:val="18"/>
        </w:rPr>
        <w:t xml:space="preserve"> жизни</w:t>
      </w:r>
    </w:p>
    <w:p w:rsidR="00D27BC6" w:rsidRDefault="004D5071">
      <w:pPr>
        <w:spacing w:after="3" w:line="261" w:lineRule="auto"/>
        <w:ind w:left="-3" w:right="814"/>
        <w:jc w:val="left"/>
      </w:pPr>
      <w:r>
        <w:rPr>
          <w:sz w:val="18"/>
        </w:rPr>
        <w:t xml:space="preserve">ОПС – ограниченная подвижность суставов ОФЭКТ – однофотонная эмиссионная компьютерная томография </w:t>
      </w:r>
    </w:p>
    <w:p w:rsidR="00D27BC6" w:rsidRDefault="004D5071">
      <w:pPr>
        <w:spacing w:after="3" w:line="261" w:lineRule="auto"/>
        <w:ind w:left="-3" w:right="1234"/>
        <w:jc w:val="left"/>
      </w:pPr>
      <w:r>
        <w:rPr>
          <w:sz w:val="18"/>
        </w:rPr>
        <w:t>ПГТТ – пероральный глюкозотолерантный тест ПЖК – подкожножировая клетчатка п/к – подкожный ПП – психосоциальная поддержка</w:t>
      </w:r>
    </w:p>
    <w:p w:rsidR="00D27BC6" w:rsidRDefault="004D5071">
      <w:pPr>
        <w:spacing w:after="3" w:line="261" w:lineRule="auto"/>
        <w:ind w:left="-3" w:right="0"/>
        <w:jc w:val="left"/>
      </w:pPr>
      <w:r>
        <w:rPr>
          <w:sz w:val="18"/>
        </w:rPr>
        <w:t>ПСМ – производные сульфонилмо</w:t>
      </w:r>
      <w:r>
        <w:rPr>
          <w:sz w:val="18"/>
        </w:rPr>
        <w:t>чевины</w:t>
      </w:r>
    </w:p>
    <w:p w:rsidR="00D27BC6" w:rsidRDefault="004D5071">
      <w:pPr>
        <w:spacing w:after="3" w:line="261" w:lineRule="auto"/>
        <w:ind w:left="-3" w:right="0"/>
        <w:jc w:val="left"/>
      </w:pPr>
      <w:r>
        <w:rPr>
          <w:sz w:val="18"/>
        </w:rPr>
        <w:t xml:space="preserve">ПССП – пероральные сахароснижающие препараты </w:t>
      </w:r>
    </w:p>
    <w:p w:rsidR="00D27BC6" w:rsidRDefault="004D5071">
      <w:pPr>
        <w:spacing w:after="3" w:line="261" w:lineRule="auto"/>
        <w:ind w:left="-3" w:right="0"/>
        <w:jc w:val="left"/>
      </w:pPr>
      <w:r>
        <w:rPr>
          <w:sz w:val="18"/>
        </w:rPr>
        <w:t>РААС – ренин-ангиотензин-альдостероновая система</w:t>
      </w:r>
    </w:p>
    <w:p w:rsidR="00D27BC6" w:rsidRDefault="004D5071">
      <w:pPr>
        <w:spacing w:after="3" w:line="261" w:lineRule="auto"/>
        <w:ind w:left="-3" w:right="0"/>
        <w:jc w:val="left"/>
      </w:pPr>
      <w:r>
        <w:rPr>
          <w:sz w:val="18"/>
        </w:rPr>
        <w:t>САД – систолическое артериальное давление</w:t>
      </w:r>
    </w:p>
    <w:p w:rsidR="00D27BC6" w:rsidRDefault="004D5071">
      <w:pPr>
        <w:spacing w:after="3" w:line="261" w:lineRule="auto"/>
        <w:ind w:left="-3" w:right="0"/>
        <w:jc w:val="left"/>
      </w:pPr>
      <w:r>
        <w:rPr>
          <w:sz w:val="18"/>
        </w:rPr>
        <w:t>СД – сахарный диабет</w:t>
      </w:r>
    </w:p>
    <w:p w:rsidR="00D27BC6" w:rsidRDefault="004D5071">
      <w:pPr>
        <w:spacing w:after="3" w:line="261" w:lineRule="auto"/>
        <w:ind w:left="-3" w:right="0"/>
        <w:jc w:val="left"/>
      </w:pPr>
      <w:r>
        <w:rPr>
          <w:sz w:val="18"/>
        </w:rPr>
        <w:t>СДС – синдром диабетической стопы</w:t>
      </w:r>
    </w:p>
    <w:p w:rsidR="00D27BC6" w:rsidRDefault="004D5071">
      <w:pPr>
        <w:spacing w:after="3" w:line="261" w:lineRule="auto"/>
        <w:ind w:left="-3" w:right="736"/>
        <w:jc w:val="left"/>
      </w:pPr>
      <w:r>
        <w:rPr>
          <w:sz w:val="18"/>
        </w:rPr>
        <w:t xml:space="preserve">СИ – суточный индекс СКФ – скорость клубочковой фильтрации рСКФ – расчетная скорость клубочковой фильтрации </w:t>
      </w:r>
    </w:p>
    <w:p w:rsidR="00D27BC6" w:rsidRDefault="004D5071">
      <w:pPr>
        <w:spacing w:after="3" w:line="261" w:lineRule="auto"/>
        <w:ind w:left="-3" w:right="1427"/>
        <w:jc w:val="left"/>
      </w:pPr>
      <w:r>
        <w:rPr>
          <w:sz w:val="18"/>
        </w:rPr>
        <w:t>СПЯ – синдром поликистозных яичников ССЗ – сердечно-сосудистые заболевания</w:t>
      </w:r>
    </w:p>
    <w:p w:rsidR="00D27BC6" w:rsidRDefault="004D5071">
      <w:pPr>
        <w:spacing w:after="3" w:line="261" w:lineRule="auto"/>
        <w:ind w:left="-3" w:right="0"/>
        <w:jc w:val="left"/>
      </w:pPr>
      <w:r>
        <w:rPr>
          <w:sz w:val="18"/>
        </w:rPr>
        <w:t>ССЭ – средства, стимулирующие эритропоэз</w:t>
      </w:r>
    </w:p>
    <w:p w:rsidR="00D27BC6" w:rsidRDefault="004D5071">
      <w:pPr>
        <w:spacing w:after="3" w:line="261" w:lineRule="auto"/>
        <w:ind w:left="-3" w:right="0"/>
        <w:jc w:val="left"/>
      </w:pPr>
      <w:r>
        <w:rPr>
          <w:sz w:val="18"/>
        </w:rPr>
        <w:t>ТЗД – тиазолидиндионы</w:t>
      </w:r>
    </w:p>
    <w:p w:rsidR="00D27BC6" w:rsidRDefault="004D5071">
      <w:pPr>
        <w:spacing w:after="3" w:line="261" w:lineRule="auto"/>
        <w:ind w:left="-3" w:right="0"/>
        <w:jc w:val="left"/>
      </w:pPr>
      <w:r>
        <w:rPr>
          <w:sz w:val="18"/>
        </w:rPr>
        <w:t>ФА – физи</w:t>
      </w:r>
      <w:r>
        <w:rPr>
          <w:sz w:val="18"/>
        </w:rPr>
        <w:t>ческая активность</w:t>
      </w:r>
    </w:p>
    <w:p w:rsidR="00D27BC6" w:rsidRDefault="004D5071">
      <w:pPr>
        <w:spacing w:after="3" w:line="261" w:lineRule="auto"/>
        <w:ind w:left="-3" w:right="0"/>
        <w:jc w:val="left"/>
      </w:pPr>
      <w:r>
        <w:rPr>
          <w:sz w:val="18"/>
        </w:rPr>
        <w:t>ФВ – фракция выброса</w:t>
      </w:r>
    </w:p>
    <w:p w:rsidR="00D27BC6" w:rsidRDefault="004D5071">
      <w:pPr>
        <w:spacing w:after="3" w:line="261" w:lineRule="auto"/>
        <w:ind w:left="-3" w:right="0"/>
        <w:jc w:val="left"/>
      </w:pPr>
      <w:r>
        <w:rPr>
          <w:sz w:val="18"/>
        </w:rPr>
        <w:t xml:space="preserve">ФМГ – флеш-мониторирование глюкозы </w:t>
      </w:r>
    </w:p>
    <w:p w:rsidR="00D27BC6" w:rsidRDefault="004D5071">
      <w:pPr>
        <w:spacing w:after="3" w:line="261" w:lineRule="auto"/>
        <w:ind w:left="-3" w:right="0"/>
        <w:jc w:val="left"/>
      </w:pPr>
      <w:r>
        <w:rPr>
          <w:sz w:val="18"/>
        </w:rPr>
        <w:t xml:space="preserve">ФР – факторы риска </w:t>
      </w:r>
    </w:p>
    <w:p w:rsidR="00D27BC6" w:rsidRDefault="004D5071">
      <w:pPr>
        <w:spacing w:after="3" w:line="261" w:lineRule="auto"/>
        <w:ind w:left="-3" w:right="0"/>
        <w:jc w:val="left"/>
      </w:pPr>
      <w:r>
        <w:rPr>
          <w:sz w:val="18"/>
        </w:rPr>
        <w:t>ХБП – хроническая болезнь почек</w:t>
      </w:r>
    </w:p>
    <w:p w:rsidR="00D27BC6" w:rsidRDefault="004D5071">
      <w:pPr>
        <w:spacing w:after="3" w:line="261" w:lineRule="auto"/>
        <w:ind w:left="-3" w:right="0"/>
        <w:jc w:val="left"/>
      </w:pPr>
      <w:r>
        <w:rPr>
          <w:sz w:val="18"/>
        </w:rPr>
        <w:t>ХГЧ – хорионический гонадотропин человека</w:t>
      </w:r>
    </w:p>
    <w:p w:rsidR="00D27BC6" w:rsidRDefault="004D5071">
      <w:pPr>
        <w:spacing w:after="3" w:line="261" w:lineRule="auto"/>
        <w:ind w:left="-3" w:right="0"/>
        <w:jc w:val="left"/>
      </w:pPr>
      <w:r>
        <w:rPr>
          <w:sz w:val="18"/>
        </w:rPr>
        <w:t>ХЕ – хлебная единица</w:t>
      </w:r>
    </w:p>
    <w:p w:rsidR="00D27BC6" w:rsidRDefault="004D5071">
      <w:pPr>
        <w:spacing w:after="3" w:line="261" w:lineRule="auto"/>
        <w:ind w:left="-3" w:right="0"/>
        <w:jc w:val="left"/>
      </w:pPr>
      <w:r>
        <w:rPr>
          <w:sz w:val="18"/>
        </w:rPr>
        <w:t xml:space="preserve">ХЛВП – холестерин липопротеинов высокой плотности </w:t>
      </w:r>
    </w:p>
    <w:p w:rsidR="00D27BC6" w:rsidRDefault="004D5071">
      <w:pPr>
        <w:spacing w:after="3" w:line="261" w:lineRule="auto"/>
        <w:ind w:left="-3" w:right="0"/>
        <w:jc w:val="left"/>
      </w:pPr>
      <w:r>
        <w:rPr>
          <w:sz w:val="18"/>
        </w:rPr>
        <w:t>ХЛНП – холестер</w:t>
      </w:r>
      <w:r>
        <w:rPr>
          <w:sz w:val="18"/>
        </w:rPr>
        <w:t xml:space="preserve">ин липопротеинов низкой плотности </w:t>
      </w:r>
    </w:p>
    <w:p w:rsidR="00D27BC6" w:rsidRDefault="004D5071">
      <w:pPr>
        <w:spacing w:after="0" w:line="262" w:lineRule="auto"/>
        <w:ind w:left="0" w:right="635" w:firstLine="0"/>
      </w:pPr>
      <w:r>
        <w:rPr>
          <w:sz w:val="18"/>
        </w:rPr>
        <w:t>ХСН – хроническая сердечная недостаточность ХСНнФВ – хроническая сердечная недостаточность со сниженной фракцией выброса левого желудочка ХСНунФВ – хроническая сердечная недостаточность с умеренно сниженной фракцией выбро</w:t>
      </w:r>
      <w:r>
        <w:rPr>
          <w:sz w:val="18"/>
        </w:rPr>
        <w:t>са левого желудочка</w:t>
      </w:r>
    </w:p>
    <w:p w:rsidR="00D27BC6" w:rsidRDefault="004D5071">
      <w:pPr>
        <w:spacing w:after="3" w:line="261" w:lineRule="auto"/>
        <w:ind w:left="-3" w:right="783"/>
        <w:jc w:val="left"/>
      </w:pPr>
      <w:r>
        <w:rPr>
          <w:sz w:val="18"/>
        </w:rPr>
        <w:t>ХСНсФВ – хроническая сердечная недостаточность с сохранённой фракцией выброса левого желудочка ЦВД – центральное венозное давление</w:t>
      </w:r>
    </w:p>
    <w:p w:rsidR="00D27BC6" w:rsidRDefault="004D5071">
      <w:pPr>
        <w:spacing w:after="3" w:line="261" w:lineRule="auto"/>
        <w:ind w:left="-3" w:right="0"/>
        <w:jc w:val="left"/>
      </w:pPr>
      <w:r>
        <w:rPr>
          <w:sz w:val="18"/>
        </w:rPr>
        <w:t>ЧКВ чрескожное коронарное вмешательство</w:t>
      </w:r>
    </w:p>
    <w:p w:rsidR="00D27BC6" w:rsidRDefault="004D5071">
      <w:pPr>
        <w:spacing w:after="3" w:line="261" w:lineRule="auto"/>
        <w:ind w:left="-3" w:right="0"/>
        <w:jc w:val="left"/>
      </w:pPr>
      <w:r>
        <w:rPr>
          <w:sz w:val="18"/>
        </w:rPr>
        <w:t>ЩФ – щелочная фосфатаза</w:t>
      </w:r>
    </w:p>
    <w:p w:rsidR="00D27BC6" w:rsidRDefault="004D5071">
      <w:pPr>
        <w:spacing w:after="3" w:line="261" w:lineRule="auto"/>
        <w:ind w:left="-3" w:right="0"/>
        <w:jc w:val="left"/>
      </w:pPr>
      <w:r>
        <w:rPr>
          <w:sz w:val="18"/>
        </w:rPr>
        <w:t>ЭКГ – электрокардиография, электрокардиог</w:t>
      </w:r>
      <w:r>
        <w:rPr>
          <w:sz w:val="18"/>
        </w:rPr>
        <w:t>рамма</w:t>
      </w:r>
    </w:p>
    <w:p w:rsidR="00D27BC6" w:rsidRDefault="004D5071">
      <w:pPr>
        <w:spacing w:after="3" w:line="261" w:lineRule="auto"/>
        <w:ind w:left="-3" w:right="0"/>
        <w:jc w:val="left"/>
      </w:pPr>
      <w:r>
        <w:rPr>
          <w:sz w:val="18"/>
        </w:rPr>
        <w:t>ЭХО-КГ – эхокардиография</w:t>
      </w:r>
    </w:p>
    <w:p w:rsidR="00D27BC6" w:rsidRDefault="004D5071">
      <w:pPr>
        <w:spacing w:after="3" w:line="261" w:lineRule="auto"/>
        <w:ind w:left="-3" w:right="0"/>
        <w:jc w:val="left"/>
      </w:pPr>
      <w:r>
        <w:rPr>
          <w:sz w:val="18"/>
        </w:rPr>
        <w:t xml:space="preserve">PCSK9 – пропротеиновой конвертазы субтилизин-кексинового </w:t>
      </w:r>
    </w:p>
    <w:p w:rsidR="00D27BC6" w:rsidRDefault="004D5071">
      <w:pPr>
        <w:spacing w:after="33" w:line="261" w:lineRule="auto"/>
        <w:ind w:left="-3" w:right="0"/>
        <w:jc w:val="left"/>
      </w:pPr>
      <w:r>
        <w:rPr>
          <w:sz w:val="18"/>
        </w:rPr>
        <w:t>типа 9</w:t>
      </w:r>
    </w:p>
    <w:p w:rsidR="00D27BC6" w:rsidRDefault="004D5071">
      <w:pPr>
        <w:spacing w:after="3" w:line="261" w:lineRule="auto"/>
        <w:ind w:left="-3" w:right="0"/>
        <w:jc w:val="left"/>
      </w:pPr>
      <w:r>
        <w:rPr>
          <w:sz w:val="18"/>
        </w:rPr>
        <w:t>ТсрО</w:t>
      </w:r>
      <w:r>
        <w:rPr>
          <w:sz w:val="16"/>
          <w:vertAlign w:val="subscript"/>
        </w:rPr>
        <w:t>2</w:t>
      </w:r>
      <w:r>
        <w:rPr>
          <w:sz w:val="18"/>
        </w:rPr>
        <w:t xml:space="preserve"> – транскутанное насыщение кислородом</w:t>
      </w:r>
    </w:p>
    <w:p w:rsidR="00D27BC6" w:rsidRDefault="00D27BC6">
      <w:pPr>
        <w:sectPr w:rsidR="00D27BC6">
          <w:footnotePr>
            <w:numRestart w:val="eachPage"/>
          </w:footnotePr>
          <w:type w:val="continuous"/>
          <w:pgSz w:w="11906" w:h="16724"/>
          <w:pgMar w:top="963" w:right="880" w:bottom="1329" w:left="850" w:header="720" w:footer="720" w:gutter="0"/>
          <w:cols w:num="2" w:space="462"/>
        </w:sectPr>
      </w:pPr>
    </w:p>
    <w:p w:rsidR="00D27BC6" w:rsidRDefault="004D5071">
      <w:pPr>
        <w:spacing w:after="67" w:line="259" w:lineRule="auto"/>
        <w:ind w:left="-1440" w:right="10466" w:firstLine="0"/>
        <w:jc w:val="left"/>
      </w:pPr>
      <w:r>
        <w:rPr>
          <w:noProof/>
          <w:sz w:val="22"/>
        </w:rPr>
        <mc:AlternateContent>
          <mc:Choice Requires="wpg">
            <w:drawing>
              <wp:anchor distT="0" distB="0" distL="114300" distR="114300" simplePos="0" relativeHeight="251678720" behindDoc="0" locked="0" layoutInCell="1" allowOverlap="1">
                <wp:simplePos x="0" y="0"/>
                <wp:positionH relativeFrom="page">
                  <wp:posOffset>540000</wp:posOffset>
                </wp:positionH>
                <wp:positionV relativeFrom="page">
                  <wp:posOffset>10168963</wp:posOffset>
                </wp:positionV>
                <wp:extent cx="6479997" cy="12700"/>
                <wp:effectExtent l="0" t="0" r="0" b="0"/>
                <wp:wrapTopAndBottom/>
                <wp:docPr id="321651" name="Group 321651"/>
                <wp:cNvGraphicFramePr/>
                <a:graphic xmlns:a="http://schemas.openxmlformats.org/drawingml/2006/main">
                  <a:graphicData uri="http://schemas.microsoft.com/office/word/2010/wordprocessingGroup">
                    <wpg:wgp>
                      <wpg:cNvGrpSpPr/>
                      <wpg:grpSpPr>
                        <a:xfrm>
                          <a:off x="0" y="0"/>
                          <a:ext cx="6479997" cy="12700"/>
                          <a:chOff x="0" y="0"/>
                          <a:chExt cx="6479997" cy="12700"/>
                        </a:xfrm>
                      </wpg:grpSpPr>
                      <wps:wsp>
                        <wps:cNvPr id="33188" name="Shape 33188"/>
                        <wps:cNvSpPr/>
                        <wps:spPr>
                          <a:xfrm>
                            <a:off x="0" y="0"/>
                            <a:ext cx="6479997" cy="0"/>
                          </a:xfrm>
                          <a:custGeom>
                            <a:avLst/>
                            <a:gdLst/>
                            <a:ahLst/>
                            <a:cxnLst/>
                            <a:rect l="0" t="0" r="0" b="0"/>
                            <a:pathLst>
                              <a:path w="6479997">
                                <a:moveTo>
                                  <a:pt x="0" y="0"/>
                                </a:moveTo>
                                <a:lnTo>
                                  <a:pt x="6479997"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21651" style="width:510.236pt;height:1pt;position:absolute;mso-position-horizontal-relative:page;mso-position-horizontal:absolute;margin-left:42.5197pt;mso-position-vertical-relative:page;margin-top:800.706pt;" coordsize="64799,127">
                <v:shape id="Shape 33188" style="position:absolute;width:64799;height:0;left:0;top:0;" coordsize="6479997,0" path="m0,0l6479997,0">
                  <v:stroke weight="1pt" endcap="flat" joinstyle="miter" miterlimit="4" on="true" color="#000000"/>
                  <v:fill on="false" color="#000000" opacity="0"/>
                </v:shape>
                <w10:wrap type="topAndBottom"/>
              </v:group>
            </w:pict>
          </mc:Fallback>
        </mc:AlternateContent>
      </w:r>
      <w:r>
        <w:rPr>
          <w:noProof/>
          <w:sz w:val="22"/>
        </w:rPr>
        <mc:AlternateContent>
          <mc:Choice Requires="wpg">
            <w:drawing>
              <wp:anchor distT="0" distB="0" distL="114300" distR="114300" simplePos="0" relativeHeight="251679744" behindDoc="0" locked="0" layoutInCell="1" allowOverlap="1">
                <wp:simplePos x="0" y="0"/>
                <wp:positionH relativeFrom="page">
                  <wp:posOffset>540000</wp:posOffset>
                </wp:positionH>
                <wp:positionV relativeFrom="page">
                  <wp:posOffset>9718194</wp:posOffset>
                </wp:positionV>
                <wp:extent cx="6479997" cy="3594"/>
                <wp:effectExtent l="0" t="0" r="0" b="0"/>
                <wp:wrapTopAndBottom/>
                <wp:docPr id="321652" name="Group 321652"/>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189" name="Shape 33189"/>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21652" style="width:510.236pt;height:0.283pt;position:absolute;mso-position-horizontal-relative:page;mso-position-horizontal:absolute;margin-left:42.5197pt;mso-position-vertical-relative:page;margin-top:765.212pt;" coordsize="64799,35">
                <v:shape id="Shape 33189" style="position:absolute;width:64799;height:0;left:0;top:0;" coordsize="6479997,0" path="m0,0l6479997,0">
                  <v:stroke weight="0.283pt" endcap="flat" joinstyle="miter" miterlimit="4" on="true" color="#000000"/>
                  <v:fill on="false" color="#000000" opacity="0"/>
                </v:shape>
                <w10:wrap type="topAndBottom"/>
              </v:group>
            </w:pict>
          </mc:Fallback>
        </mc:AlternateContent>
      </w:r>
      <w:r>
        <w:rPr>
          <w:noProof/>
          <w:sz w:val="22"/>
        </w:rPr>
        <mc:AlternateContent>
          <mc:Choice Requires="wpg">
            <w:drawing>
              <wp:anchor distT="0" distB="0" distL="114300" distR="114300" simplePos="0" relativeHeight="251680768" behindDoc="0" locked="0" layoutInCell="1" allowOverlap="1">
                <wp:simplePos x="0" y="0"/>
                <wp:positionH relativeFrom="column">
                  <wp:posOffset>-374399</wp:posOffset>
                </wp:positionH>
                <wp:positionV relativeFrom="paragraph">
                  <wp:posOffset>0</wp:posOffset>
                </wp:positionV>
                <wp:extent cx="6479997" cy="3594"/>
                <wp:effectExtent l="0" t="0" r="0" b="0"/>
                <wp:wrapSquare wrapText="bothSides"/>
                <wp:docPr id="321676" name="Group 321676"/>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213" name="Shape 33213"/>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21676" style="width:510.236pt;height:0.283pt;position:absolute;mso-position-horizontal-relative:text;mso-position-horizontal:absolute;margin-left:-29.4803pt;mso-position-vertical-relative:text;margin-top:0pt;" coordsize="64799,35">
                <v:shape id="Shape 33213" style="position:absolute;width:64799;height:0;left:0;top:0;" coordsize="6479997,0" path="m0,0l6479997,0">
                  <v:stroke weight="0.283pt" endcap="flat" joinstyle="miter" miterlimit="4" on="true" color="#000000"/>
                  <v:fill on="false" color="#000000" opacity="0"/>
                </v:shape>
                <w10:wrap type="squar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75" name="Group 321675"/>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212" name="Shape 33212"/>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75" style="width:510.236pt;height:0.283pt;mso-position-horizontal-relative:char;mso-position-vertical-relative:line" coordsize="64799,35">
                <v:shape id="Shape 33212"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74" name="Group 321674"/>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211" name="Shape 33211"/>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74" style="width:510.236pt;height:0.283pt;mso-position-horizontal-relative:char;mso-position-vertical-relative:line" coordsize="64799,35">
                <v:shape id="Shape 33211"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73" name="Group 321673"/>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210" name="Shape 33210"/>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73" style="width:510.236pt;height:0.283pt;mso-position-horizontal-relative:char;mso-position-vertical-relative:line" coordsize="64799,35">
                <v:shape id="Shape 33210"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72" name="Group 321672"/>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209" name="Shape 33209"/>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72" style="width:510.236pt;height:0.283pt;mso-position-horizontal-relative:char;mso-position-vertical-relative:line" coordsize="64799,35">
                <v:shape id="Shape 33209"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71" name="Group 321671"/>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208" name="Shape 33208"/>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71" style="width:510.236pt;height:0.283pt;mso-position-horizontal-relative:char;mso-position-vertical-relative:line" coordsize="64799,35">
                <v:shape id="Shape 33208"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70" name="Group 321670"/>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207" name="Shape 33207"/>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70" style="width:510.236pt;height:0.283pt;mso-position-horizontal-relative:char;mso-position-vertical-relative:line" coordsize="64799,35">
                <v:shape id="Shape 33207"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69" name="Group 321669"/>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206" name="Shape 33206"/>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69" style="width:510.236pt;height:0.283pt;mso-position-horizontal-relative:char;mso-position-vertical-relative:line" coordsize="64799,35">
                <v:shape id="Shape 33206"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68" name="Group 321668"/>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205" name="Shape 33205"/>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68" style="width:510.236pt;height:0.283pt;mso-position-horizontal-relative:char;mso-position-vertical-relative:line" coordsize="64799,35">
                <v:shape id="Shape 33205"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67" name="Group 321667"/>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204" name="Shape 33204"/>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67" style="width:510.236pt;height:0.283pt;mso-position-horizontal-relative:char;mso-position-vertical-relative:line" coordsize="64799,35">
                <v:shape id="Shape 33204"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66" name="Group 321666"/>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203" name="Shape 33203"/>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66" style="width:510.236pt;height:0.283pt;mso-position-horizontal-relative:char;mso-position-vertical-relative:line" coordsize="64799,35">
                <v:shape id="Shape 33203"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65" name="Group 321665"/>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202" name="Shape 33202"/>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65" style="width:510.236pt;height:0.283pt;mso-position-horizontal-relative:char;mso-position-vertical-relative:line" coordsize="64799,35">
                <v:shape id="Shape 33202"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64" name="Group 321664"/>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201" name="Shape 33201"/>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64" style="width:510.236pt;height:0.283pt;mso-position-horizontal-relative:char;mso-position-vertical-relative:line" coordsize="64799,35">
                <v:shape id="Shape 33201"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63" name="Group 321663"/>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200" name="Shape 33200"/>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63" style="width:510.236pt;height:0.283pt;mso-position-horizontal-relative:char;mso-position-vertical-relative:line" coordsize="64799,35">
                <v:shape id="Shape 33200"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62" name="Group 321662"/>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199" name="Shape 33199"/>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62" style="width:510.236pt;height:0.283pt;mso-position-horizontal-relative:char;mso-position-vertical-relative:line" coordsize="64799,35">
                <v:shape id="Shape 33199"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61" name="Group 321661"/>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198" name="Shape 33198"/>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61" style="width:510.236pt;height:0.283pt;mso-position-horizontal-relative:char;mso-position-vertical-relative:line" coordsize="64799,35">
                <v:shape id="Shape 33198"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60" name="Group 321660"/>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197" name="Shape 33197"/>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60" style="width:510.236pt;height:0.283pt;mso-position-horizontal-relative:char;mso-position-vertical-relative:line" coordsize="64799,35">
                <v:shape id="Shape 33197"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59" name="Group 321659"/>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196" name="Shape 33196"/>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59" style="width:510.236pt;height:0.283pt;mso-position-horizontal-relative:char;mso-position-vertical-relative:line" coordsize="64799,35">
                <v:shape id="Shape 33196"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58" name="Group 321658"/>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195" name="Shape 33195"/>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58" style="width:510.236pt;height:0.283pt;mso-position-horizontal-relative:char;mso-position-vertical-relative:line" coordsize="64799,35">
                <v:shape id="Shape 33195"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57" name="Group 321657"/>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194" name="Shape 33194"/>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57" style="width:510.236pt;height:0.283pt;mso-position-horizontal-relative:char;mso-position-vertical-relative:line" coordsize="64799,35">
                <v:shape id="Shape 33194"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56" name="Group 321656"/>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193" name="Shape 33193"/>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56" style="width:510.236pt;height:0.283pt;mso-position-horizontal-relative:char;mso-position-vertical-relative:line" coordsize="64799,35">
                <v:shape id="Shape 33193"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55" name="Group 321655"/>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192" name="Shape 33192"/>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55" style="width:510.236pt;height:0.283pt;mso-position-horizontal-relative:char;mso-position-vertical-relative:line" coordsize="64799,35">
                <v:shape id="Shape 33192"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567" w:line="259" w:lineRule="auto"/>
        <w:ind w:left="-590" w:right="-590" w:firstLine="0"/>
        <w:jc w:val="left"/>
      </w:pPr>
      <w:r>
        <w:rPr>
          <w:noProof/>
          <w:sz w:val="22"/>
        </w:rPr>
        <mc:AlternateContent>
          <mc:Choice Requires="wpg">
            <w:drawing>
              <wp:inline distT="0" distB="0" distL="0" distR="0">
                <wp:extent cx="6479997" cy="3594"/>
                <wp:effectExtent l="0" t="0" r="0" b="0"/>
                <wp:docPr id="321654" name="Group 321654"/>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191" name="Shape 33191"/>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54" style="width:510.236pt;height:0.283pt;mso-position-horizontal-relative:char;mso-position-vertical-relative:line" coordsize="64799,35">
                <v:shape id="Shape 33191" style="position:absolute;width:64799;height:0;left:0;top:0;" coordsize="6479997,0" path="m0,0l6479997,0">
                  <v:stroke weight="0.283pt" endcap="flat" joinstyle="miter" miterlimit="4" on="true" color="#000000"/>
                  <v:fill on="false" color="#000000" opacity="0"/>
                </v:shape>
              </v:group>
            </w:pict>
          </mc:Fallback>
        </mc:AlternateContent>
      </w:r>
    </w:p>
    <w:p w:rsidR="00D27BC6" w:rsidRDefault="004D5071">
      <w:pPr>
        <w:spacing w:after="0" w:line="259" w:lineRule="auto"/>
        <w:ind w:left="-590" w:right="-590" w:firstLine="0"/>
        <w:jc w:val="left"/>
      </w:pPr>
      <w:r>
        <w:rPr>
          <w:noProof/>
          <w:sz w:val="22"/>
        </w:rPr>
        <mc:AlternateContent>
          <mc:Choice Requires="wpg">
            <w:drawing>
              <wp:inline distT="0" distB="0" distL="0" distR="0">
                <wp:extent cx="6479997" cy="3594"/>
                <wp:effectExtent l="0" t="0" r="0" b="0"/>
                <wp:docPr id="321653" name="Group 321653"/>
                <wp:cNvGraphicFramePr/>
                <a:graphic xmlns:a="http://schemas.openxmlformats.org/drawingml/2006/main">
                  <a:graphicData uri="http://schemas.microsoft.com/office/word/2010/wordprocessingGroup">
                    <wpg:wgp>
                      <wpg:cNvGrpSpPr/>
                      <wpg:grpSpPr>
                        <a:xfrm>
                          <a:off x="0" y="0"/>
                          <a:ext cx="6479997" cy="3594"/>
                          <a:chOff x="0" y="0"/>
                          <a:chExt cx="6479997" cy="3594"/>
                        </a:xfrm>
                      </wpg:grpSpPr>
                      <wps:wsp>
                        <wps:cNvPr id="33190" name="Shape 33190"/>
                        <wps:cNvSpPr/>
                        <wps:spPr>
                          <a:xfrm>
                            <a:off x="0" y="0"/>
                            <a:ext cx="6479997" cy="0"/>
                          </a:xfrm>
                          <a:custGeom>
                            <a:avLst/>
                            <a:gdLst/>
                            <a:ahLst/>
                            <a:cxnLst/>
                            <a:rect l="0" t="0" r="0" b="0"/>
                            <a:pathLst>
                              <a:path w="6479997">
                                <a:moveTo>
                                  <a:pt x="0" y="0"/>
                                </a:moveTo>
                                <a:lnTo>
                                  <a:pt x="6479997" y="0"/>
                                </a:lnTo>
                              </a:path>
                            </a:pathLst>
                          </a:custGeom>
                          <a:ln w="3594"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321653" style="width:510.236pt;height:0.283pt;mso-position-horizontal-relative:char;mso-position-vertical-relative:line" coordsize="64799,35">
                <v:shape id="Shape 33190" style="position:absolute;width:64799;height:0;left:0;top:0;" coordsize="6479997,0" path="m0,0l6479997,0">
                  <v:stroke weight="0.283pt" endcap="flat" joinstyle="miter" miterlimit="4" on="true" color="#000000"/>
                  <v:fill on="false" color="#000000" opacity="0"/>
                </v:shape>
              </v:group>
            </w:pict>
          </mc:Fallback>
        </mc:AlternateContent>
      </w:r>
    </w:p>
    <w:sectPr w:rsidR="00D27BC6">
      <w:headerReference w:type="even" r:id="rId199"/>
      <w:headerReference w:type="default" r:id="rId200"/>
      <w:footerReference w:type="even" r:id="rId201"/>
      <w:footerReference w:type="default" r:id="rId202"/>
      <w:headerReference w:type="first" r:id="rId203"/>
      <w:footerReference w:type="first" r:id="rId204"/>
      <w:footnotePr>
        <w:numRestart w:val="eachPage"/>
      </w:footnotePr>
      <w:pgSz w:w="11906" w:h="16724"/>
      <w:pgMar w:top="1440" w:right="1440" w:bottom="1440" w:left="1440" w:header="715"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4D5071">
      <w:pPr>
        <w:spacing w:after="0" w:line="240" w:lineRule="auto"/>
      </w:pPr>
      <w:r>
        <w:separator/>
      </w:r>
    </w:p>
  </w:endnote>
  <w:endnote w:type="continuationSeparator" w:id="0">
    <w:p w:rsidR="00000000" w:rsidRDefault="004D50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D27BC6">
    <w:pPr>
      <w:spacing w:after="160" w:line="259" w:lineRule="auto"/>
      <w:ind w:left="0" w:right="0" w:firstLine="0"/>
      <w:jc w:val="left"/>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376" w:right="1" w:firstLine="0"/>
      <w:jc w:val="left"/>
    </w:pPr>
    <w:r>
      <w:rPr>
        <w:noProof/>
        <w:sz w:val="22"/>
      </w:rPr>
      <mc:AlternateContent>
        <mc:Choice Requires="wpg">
          <w:drawing>
            <wp:anchor distT="0" distB="0" distL="114300" distR="114300" simplePos="0" relativeHeight="251673600" behindDoc="0" locked="0" layoutInCell="1" allowOverlap="1">
              <wp:simplePos x="0" y="0"/>
              <wp:positionH relativeFrom="page">
                <wp:posOffset>565201</wp:posOffset>
              </wp:positionH>
              <wp:positionV relativeFrom="page">
                <wp:posOffset>10072789</wp:posOffset>
              </wp:positionV>
              <wp:extent cx="6454800" cy="129603"/>
              <wp:effectExtent l="0" t="0" r="0" b="0"/>
              <wp:wrapSquare wrapText="bothSides"/>
              <wp:docPr id="358387" name="Group 358387"/>
              <wp:cNvGraphicFramePr/>
              <a:graphic xmlns:a="http://schemas.openxmlformats.org/drawingml/2006/main">
                <a:graphicData uri="http://schemas.microsoft.com/office/word/2010/wordprocessingGroup">
                  <wpg:wgp>
                    <wpg:cNvGrpSpPr/>
                    <wpg:grpSpPr>
                      <a:xfrm>
                        <a:off x="0" y="0"/>
                        <a:ext cx="6454800" cy="129603"/>
                        <a:chOff x="0" y="0"/>
                        <a:chExt cx="6454800" cy="129603"/>
                      </a:xfrm>
                    </wpg:grpSpPr>
                    <wps:wsp>
                      <wps:cNvPr id="381198" name="Shape 381198"/>
                      <wps:cNvSpPr/>
                      <wps:spPr>
                        <a:xfrm>
                          <a:off x="0" y="0"/>
                          <a:ext cx="1142035" cy="129603"/>
                        </a:xfrm>
                        <a:custGeom>
                          <a:avLst/>
                          <a:gdLst/>
                          <a:ahLst/>
                          <a:cxnLst/>
                          <a:rect l="0" t="0" r="0" b="0"/>
                          <a:pathLst>
                            <a:path w="1142035" h="129603">
                              <a:moveTo>
                                <a:pt x="0" y="0"/>
                              </a:moveTo>
                              <a:lnTo>
                                <a:pt x="1142035" y="0"/>
                              </a:lnTo>
                              <a:lnTo>
                                <a:pt x="1142035" y="129603"/>
                              </a:lnTo>
                              <a:lnTo>
                                <a:pt x="0" y="129603"/>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58389" name="Shape 358389"/>
                      <wps:cNvSpPr/>
                      <wps:spPr>
                        <a:xfrm>
                          <a:off x="895967" y="96174"/>
                          <a:ext cx="246139" cy="0"/>
                        </a:xfrm>
                        <a:custGeom>
                          <a:avLst/>
                          <a:gdLst/>
                          <a:ahLst/>
                          <a:cxnLst/>
                          <a:rect l="0" t="0" r="0" b="0"/>
                          <a:pathLst>
                            <a:path w="246139">
                              <a:moveTo>
                                <a:pt x="0" y="0"/>
                              </a:moveTo>
                              <a:lnTo>
                                <a:pt x="246139" y="0"/>
                              </a:lnTo>
                            </a:path>
                          </a:pathLst>
                        </a:custGeom>
                        <a:ln w="12700" cap="flat">
                          <a:miter lim="100000"/>
                        </a:ln>
                      </wps:spPr>
                      <wps:style>
                        <a:lnRef idx="1">
                          <a:srgbClr val="FFFFFF"/>
                        </a:lnRef>
                        <a:fillRef idx="0">
                          <a:srgbClr val="000000">
                            <a:alpha val="0"/>
                          </a:srgbClr>
                        </a:fillRef>
                        <a:effectRef idx="0">
                          <a:scrgbClr r="0" g="0" b="0"/>
                        </a:effectRef>
                        <a:fontRef idx="none"/>
                      </wps:style>
                      <wps:bodyPr/>
                    </wps:wsp>
                    <wps:wsp>
                      <wps:cNvPr id="358390" name="Shape 358390"/>
                      <wps:cNvSpPr/>
                      <wps:spPr>
                        <a:xfrm>
                          <a:off x="1145273" y="96174"/>
                          <a:ext cx="5309527" cy="0"/>
                        </a:xfrm>
                        <a:custGeom>
                          <a:avLst/>
                          <a:gdLst/>
                          <a:ahLst/>
                          <a:cxnLst/>
                          <a:rect l="0" t="0" r="0" b="0"/>
                          <a:pathLst>
                            <a:path w="5309527">
                              <a:moveTo>
                                <a:pt x="0" y="0"/>
                              </a:moveTo>
                              <a:lnTo>
                                <a:pt x="5309527"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387" style="width:508.252pt;height:10.205pt;position:absolute;mso-position-horizontal-relative:page;mso-position-horizontal:absolute;margin-left:44.504pt;mso-position-vertical-relative:page;margin-top:793.133pt;" coordsize="64548,1296">
              <v:shape id="Shape 381199" style="position:absolute;width:11420;height:1296;left:0;top:0;" coordsize="1142035,129603" path="m0,0l1142035,0l1142035,129603l0,129603l0,0">
                <v:stroke weight="0pt" endcap="flat" joinstyle="miter" miterlimit="4" on="false" color="#000000" opacity="0"/>
                <v:fill on="true" color="#000000"/>
              </v:shape>
              <v:shape id="Shape 358389" style="position:absolute;width:2461;height:0;left:8959;top:961;" coordsize="246139,0" path="m0,0l246139,0">
                <v:stroke weight="1pt" endcap="flat" joinstyle="miter" miterlimit="4" on="true" color="#ffffff"/>
                <v:fill on="false" color="#000000" opacity="0"/>
              </v:shape>
              <v:shape id="Shape 358390" style="position:absolute;width:53095;height:0;left:11452;top:961;" coordsize="5309527,0" path="m0,0l5309527,0">
                <v:stroke weight="1pt" endcap="flat" joinstyle="miter" miterlimit="4" on="true" color="#000000"/>
                <v:fill on="false" color="#000000" opacity="0"/>
              </v:shape>
              <w10:wrap type="square"/>
            </v:group>
          </w:pict>
        </mc:Fallback>
      </mc:AlternateContent>
    </w:r>
    <w:r>
      <w:fldChar w:fldCharType="begin"/>
    </w:r>
    <w:r>
      <w:instrText xml:space="preserve"> PAGE   \* MERGEFORMAT </w:instrText>
    </w:r>
    <w:r>
      <w:fldChar w:fldCharType="separate"/>
    </w:r>
    <w:r>
      <w:rPr>
        <w:b/>
        <w:i/>
        <w:sz w:val="24"/>
      </w:rPr>
      <w:t>4</w:t>
    </w:r>
    <w:r>
      <w:rPr>
        <w:b/>
        <w:i/>
        <w:sz w:val="24"/>
      </w:rPr>
      <w:fldChar w:fldCharType="end"/>
    </w:r>
    <w:r>
      <w:rPr>
        <w:b/>
        <w:i/>
        <w:sz w:val="24"/>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0" w:right="-375" w:firstLine="0"/>
      <w:jc w:val="right"/>
    </w:pPr>
    <w:r>
      <w:rPr>
        <w:noProof/>
        <w:sz w:val="22"/>
      </w:rPr>
      <mc:AlternateContent>
        <mc:Choice Requires="wpg">
          <w:drawing>
            <wp:anchor distT="0" distB="0" distL="114300" distR="114300" simplePos="0" relativeHeight="251674624" behindDoc="0" locked="0" layoutInCell="1" allowOverlap="1">
              <wp:simplePos x="0" y="0"/>
              <wp:positionH relativeFrom="page">
                <wp:posOffset>540000</wp:posOffset>
              </wp:positionH>
              <wp:positionV relativeFrom="page">
                <wp:posOffset>10072789</wp:posOffset>
              </wp:positionV>
              <wp:extent cx="6440402" cy="129603"/>
              <wp:effectExtent l="0" t="0" r="0" b="0"/>
              <wp:wrapSquare wrapText="bothSides"/>
              <wp:docPr id="358368" name="Group 358368"/>
              <wp:cNvGraphicFramePr/>
              <a:graphic xmlns:a="http://schemas.openxmlformats.org/drawingml/2006/main">
                <a:graphicData uri="http://schemas.microsoft.com/office/word/2010/wordprocessingGroup">
                  <wpg:wgp>
                    <wpg:cNvGrpSpPr/>
                    <wpg:grpSpPr>
                      <a:xfrm>
                        <a:off x="0" y="0"/>
                        <a:ext cx="6440402" cy="129603"/>
                        <a:chOff x="0" y="0"/>
                        <a:chExt cx="6440402" cy="129603"/>
                      </a:xfrm>
                    </wpg:grpSpPr>
                    <wps:wsp>
                      <wps:cNvPr id="381196" name="Shape 381196"/>
                      <wps:cNvSpPr/>
                      <wps:spPr>
                        <a:xfrm>
                          <a:off x="5310001" y="0"/>
                          <a:ext cx="1130402" cy="129603"/>
                        </a:xfrm>
                        <a:custGeom>
                          <a:avLst/>
                          <a:gdLst/>
                          <a:ahLst/>
                          <a:cxnLst/>
                          <a:rect l="0" t="0" r="0" b="0"/>
                          <a:pathLst>
                            <a:path w="1130402" h="129603">
                              <a:moveTo>
                                <a:pt x="0" y="0"/>
                              </a:moveTo>
                              <a:lnTo>
                                <a:pt x="1130402" y="0"/>
                              </a:lnTo>
                              <a:lnTo>
                                <a:pt x="1130402" y="129603"/>
                              </a:lnTo>
                              <a:lnTo>
                                <a:pt x="0" y="129603"/>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58370" name="Shape 358370"/>
                      <wps:cNvSpPr/>
                      <wps:spPr>
                        <a:xfrm>
                          <a:off x="0" y="96174"/>
                          <a:ext cx="5313121" cy="0"/>
                        </a:xfrm>
                        <a:custGeom>
                          <a:avLst/>
                          <a:gdLst/>
                          <a:ahLst/>
                          <a:cxnLst/>
                          <a:rect l="0" t="0" r="0" b="0"/>
                          <a:pathLst>
                            <a:path w="5313121">
                              <a:moveTo>
                                <a:pt x="0" y="0"/>
                              </a:moveTo>
                              <a:lnTo>
                                <a:pt x="5313121"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358371" name="Shape 358371"/>
                      <wps:cNvSpPr/>
                      <wps:spPr>
                        <a:xfrm>
                          <a:off x="5311220" y="95730"/>
                          <a:ext cx="232778" cy="0"/>
                        </a:xfrm>
                        <a:custGeom>
                          <a:avLst/>
                          <a:gdLst/>
                          <a:ahLst/>
                          <a:cxnLst/>
                          <a:rect l="0" t="0" r="0" b="0"/>
                          <a:pathLst>
                            <a:path w="232778">
                              <a:moveTo>
                                <a:pt x="0" y="0"/>
                              </a:moveTo>
                              <a:lnTo>
                                <a:pt x="232778" y="0"/>
                              </a:lnTo>
                            </a:path>
                          </a:pathLst>
                        </a:custGeom>
                        <a:ln w="12700" cap="flat">
                          <a:miter lim="100000"/>
                        </a:ln>
                      </wps:spPr>
                      <wps:style>
                        <a:lnRef idx="1">
                          <a:srgbClr val="FFFFFF"/>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368" style="width:507.118pt;height:10.205pt;position:absolute;mso-position-horizontal-relative:page;mso-position-horizontal:absolute;margin-left:42.5197pt;mso-position-vertical-relative:page;margin-top:793.133pt;" coordsize="64404,1296">
              <v:shape id="Shape 381197" style="position:absolute;width:11304;height:1296;left:53100;top:0;" coordsize="1130402,129603" path="m0,0l1130402,0l1130402,129603l0,129603l0,0">
                <v:stroke weight="0pt" endcap="flat" joinstyle="miter" miterlimit="4" on="false" color="#000000" opacity="0"/>
                <v:fill on="true" color="#000000"/>
              </v:shape>
              <v:shape id="Shape 358370" style="position:absolute;width:53131;height:0;left:0;top:961;" coordsize="5313121,0" path="m0,0l5313121,0">
                <v:stroke weight="1pt" endcap="flat" joinstyle="miter" miterlimit="4" on="true" color="#000000"/>
                <v:fill on="false" color="#000000" opacity="0"/>
              </v:shape>
              <v:shape id="Shape 358371" style="position:absolute;width:2327;height:0;left:53112;top:957;" coordsize="232778,0" path="m0,0l232778,0">
                <v:stroke weight="1pt" endcap="flat" joinstyle="miter" miterlimit="4" on="true" color="#ffffff"/>
                <v:fill on="false" color="#000000" opacity="0"/>
              </v:shape>
              <w10:wrap type="square"/>
            </v:group>
          </w:pict>
        </mc:Fallback>
      </mc:AlternateContent>
    </w:r>
    <w:r>
      <w:rPr>
        <w:b/>
        <w:i/>
        <w:sz w:val="24"/>
      </w:rPr>
      <w:t xml:space="preserve"> </w:t>
    </w:r>
    <w:r>
      <w:fldChar w:fldCharType="begin"/>
    </w:r>
    <w:r>
      <w:instrText xml:space="preserve"> PAGE   \* MERGEFORMAT </w:instrText>
    </w:r>
    <w:r>
      <w:fldChar w:fldCharType="separate"/>
    </w:r>
    <w:r>
      <w:rPr>
        <w:b/>
        <w:i/>
        <w:sz w:val="24"/>
      </w:rPr>
      <w:t>3</w:t>
    </w:r>
    <w:r>
      <w:rPr>
        <w:b/>
        <w:i/>
        <w:sz w:val="24"/>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0" w:right="-375" w:firstLine="0"/>
      <w:jc w:val="right"/>
    </w:pPr>
    <w:r>
      <w:rPr>
        <w:noProof/>
        <w:sz w:val="22"/>
      </w:rPr>
      <mc:AlternateContent>
        <mc:Choice Requires="wpg">
          <w:drawing>
            <wp:anchor distT="0" distB="0" distL="114300" distR="114300" simplePos="0" relativeHeight="251675648" behindDoc="0" locked="0" layoutInCell="1" allowOverlap="1">
              <wp:simplePos x="0" y="0"/>
              <wp:positionH relativeFrom="page">
                <wp:posOffset>540000</wp:posOffset>
              </wp:positionH>
              <wp:positionV relativeFrom="page">
                <wp:posOffset>10072789</wp:posOffset>
              </wp:positionV>
              <wp:extent cx="6440402" cy="129603"/>
              <wp:effectExtent l="0" t="0" r="0" b="0"/>
              <wp:wrapSquare wrapText="bothSides"/>
              <wp:docPr id="358349" name="Group 358349"/>
              <wp:cNvGraphicFramePr/>
              <a:graphic xmlns:a="http://schemas.openxmlformats.org/drawingml/2006/main">
                <a:graphicData uri="http://schemas.microsoft.com/office/word/2010/wordprocessingGroup">
                  <wpg:wgp>
                    <wpg:cNvGrpSpPr/>
                    <wpg:grpSpPr>
                      <a:xfrm>
                        <a:off x="0" y="0"/>
                        <a:ext cx="6440402" cy="129603"/>
                        <a:chOff x="0" y="0"/>
                        <a:chExt cx="6440402" cy="129603"/>
                      </a:xfrm>
                    </wpg:grpSpPr>
                    <wps:wsp>
                      <wps:cNvPr id="381194" name="Shape 381194"/>
                      <wps:cNvSpPr/>
                      <wps:spPr>
                        <a:xfrm>
                          <a:off x="5310001" y="0"/>
                          <a:ext cx="1130402" cy="129603"/>
                        </a:xfrm>
                        <a:custGeom>
                          <a:avLst/>
                          <a:gdLst/>
                          <a:ahLst/>
                          <a:cxnLst/>
                          <a:rect l="0" t="0" r="0" b="0"/>
                          <a:pathLst>
                            <a:path w="1130402" h="129603">
                              <a:moveTo>
                                <a:pt x="0" y="0"/>
                              </a:moveTo>
                              <a:lnTo>
                                <a:pt x="1130402" y="0"/>
                              </a:lnTo>
                              <a:lnTo>
                                <a:pt x="1130402" y="129603"/>
                              </a:lnTo>
                              <a:lnTo>
                                <a:pt x="0" y="129603"/>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58351" name="Shape 358351"/>
                      <wps:cNvSpPr/>
                      <wps:spPr>
                        <a:xfrm>
                          <a:off x="0" y="96174"/>
                          <a:ext cx="5313121" cy="0"/>
                        </a:xfrm>
                        <a:custGeom>
                          <a:avLst/>
                          <a:gdLst/>
                          <a:ahLst/>
                          <a:cxnLst/>
                          <a:rect l="0" t="0" r="0" b="0"/>
                          <a:pathLst>
                            <a:path w="5313121">
                              <a:moveTo>
                                <a:pt x="0" y="0"/>
                              </a:moveTo>
                              <a:lnTo>
                                <a:pt x="5313121"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358352" name="Shape 358352"/>
                      <wps:cNvSpPr/>
                      <wps:spPr>
                        <a:xfrm>
                          <a:off x="5311220" y="95730"/>
                          <a:ext cx="232778" cy="0"/>
                        </a:xfrm>
                        <a:custGeom>
                          <a:avLst/>
                          <a:gdLst/>
                          <a:ahLst/>
                          <a:cxnLst/>
                          <a:rect l="0" t="0" r="0" b="0"/>
                          <a:pathLst>
                            <a:path w="232778">
                              <a:moveTo>
                                <a:pt x="0" y="0"/>
                              </a:moveTo>
                              <a:lnTo>
                                <a:pt x="232778" y="0"/>
                              </a:lnTo>
                            </a:path>
                          </a:pathLst>
                        </a:custGeom>
                        <a:ln w="12700" cap="flat">
                          <a:miter lim="100000"/>
                        </a:ln>
                      </wps:spPr>
                      <wps:style>
                        <a:lnRef idx="1">
                          <a:srgbClr val="FFFFFF"/>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349" style="width:507.118pt;height:10.205pt;position:absolute;mso-position-horizontal-relative:page;mso-position-horizontal:absolute;margin-left:42.5197pt;mso-position-vertical-relative:page;margin-top:793.133pt;" coordsize="64404,1296">
              <v:shape id="Shape 381195" style="position:absolute;width:11304;height:1296;left:53100;top:0;" coordsize="1130402,129603" path="m0,0l1130402,0l1130402,129603l0,129603l0,0">
                <v:stroke weight="0pt" endcap="flat" joinstyle="miter" miterlimit="4" on="false" color="#000000" opacity="0"/>
                <v:fill on="true" color="#000000"/>
              </v:shape>
              <v:shape id="Shape 358351" style="position:absolute;width:53131;height:0;left:0;top:961;" coordsize="5313121,0" path="m0,0l5313121,0">
                <v:stroke weight="1pt" endcap="flat" joinstyle="miter" miterlimit="4" on="true" color="#000000"/>
                <v:fill on="false" color="#000000" opacity="0"/>
              </v:shape>
              <v:shape id="Shape 358352" style="position:absolute;width:2327;height:0;left:53112;top:957;" coordsize="232778,0" path="m0,0l232778,0">
                <v:stroke weight="1pt" endcap="flat" joinstyle="miter" miterlimit="4" on="true" color="#ffffff"/>
                <v:fill on="false" color="#000000" opacity="0"/>
              </v:shape>
              <w10:wrap type="square"/>
            </v:group>
          </w:pict>
        </mc:Fallback>
      </mc:AlternateContent>
    </w:r>
    <w:r>
      <w:rPr>
        <w:b/>
        <w:i/>
        <w:sz w:val="24"/>
      </w:rPr>
      <w:t xml:space="preserve"> </w:t>
    </w:r>
    <w:r>
      <w:fldChar w:fldCharType="begin"/>
    </w:r>
    <w:r>
      <w:instrText xml:space="preserve"> PAGE   \* MERGEFORMAT </w:instrText>
    </w:r>
    <w:r>
      <w:fldChar w:fldCharType="separate"/>
    </w:r>
    <w:r>
      <w:rPr>
        <w:b/>
        <w:i/>
        <w:sz w:val="24"/>
      </w:rPr>
      <w:t>3</w:t>
    </w:r>
    <w:r>
      <w:rPr>
        <w:b/>
        <w:i/>
        <w:sz w:val="24"/>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D27BC6">
    <w:pPr>
      <w:spacing w:after="160" w:line="259" w:lineRule="auto"/>
      <w:ind w:left="0" w:right="0" w:firstLine="0"/>
      <w:jc w:val="left"/>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D27BC6">
    <w:pPr>
      <w:spacing w:after="160" w:line="259" w:lineRule="auto"/>
      <w:ind w:left="0" w:right="0" w:firstLine="0"/>
      <w:jc w:val="left"/>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D27BC6">
    <w:pPr>
      <w:spacing w:after="160" w:line="259" w:lineRule="auto"/>
      <w:ind w:left="0" w:righ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D27BC6">
    <w:pPr>
      <w:spacing w:after="160" w:line="259" w:lineRule="auto"/>
      <w:ind w:left="0" w:righ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D27BC6">
    <w:pPr>
      <w:spacing w:after="160" w:line="259" w:lineRule="auto"/>
      <w:ind w:left="0" w:righ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375" w:right="6" w:firstLine="0"/>
      <w:jc w:val="left"/>
    </w:pPr>
    <w:r>
      <w:rPr>
        <w:noProof/>
        <w:sz w:val="22"/>
      </w:rPr>
      <mc:AlternateContent>
        <mc:Choice Requires="wpg">
          <w:drawing>
            <wp:anchor distT="0" distB="0" distL="114300" distR="114300" simplePos="0" relativeHeight="251661312" behindDoc="0" locked="0" layoutInCell="1" allowOverlap="1">
              <wp:simplePos x="0" y="0"/>
              <wp:positionH relativeFrom="page">
                <wp:posOffset>565201</wp:posOffset>
              </wp:positionH>
              <wp:positionV relativeFrom="page">
                <wp:posOffset>10072789</wp:posOffset>
              </wp:positionV>
              <wp:extent cx="6454800" cy="129603"/>
              <wp:effectExtent l="0" t="0" r="0" b="0"/>
              <wp:wrapSquare wrapText="bothSides"/>
              <wp:docPr id="358262" name="Group 358262"/>
              <wp:cNvGraphicFramePr/>
              <a:graphic xmlns:a="http://schemas.openxmlformats.org/drawingml/2006/main">
                <a:graphicData uri="http://schemas.microsoft.com/office/word/2010/wordprocessingGroup">
                  <wpg:wgp>
                    <wpg:cNvGrpSpPr/>
                    <wpg:grpSpPr>
                      <a:xfrm>
                        <a:off x="0" y="0"/>
                        <a:ext cx="6454800" cy="129603"/>
                        <a:chOff x="0" y="0"/>
                        <a:chExt cx="6454800" cy="129603"/>
                      </a:xfrm>
                    </wpg:grpSpPr>
                    <wps:wsp>
                      <wps:cNvPr id="381186" name="Shape 381186"/>
                      <wps:cNvSpPr/>
                      <wps:spPr>
                        <a:xfrm>
                          <a:off x="0" y="0"/>
                          <a:ext cx="1142035" cy="129603"/>
                        </a:xfrm>
                        <a:custGeom>
                          <a:avLst/>
                          <a:gdLst/>
                          <a:ahLst/>
                          <a:cxnLst/>
                          <a:rect l="0" t="0" r="0" b="0"/>
                          <a:pathLst>
                            <a:path w="1142035" h="129603">
                              <a:moveTo>
                                <a:pt x="0" y="0"/>
                              </a:moveTo>
                              <a:lnTo>
                                <a:pt x="1142035" y="0"/>
                              </a:lnTo>
                              <a:lnTo>
                                <a:pt x="1142035" y="129603"/>
                              </a:lnTo>
                              <a:lnTo>
                                <a:pt x="0" y="129603"/>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58264" name="Shape 358264"/>
                      <wps:cNvSpPr/>
                      <wps:spPr>
                        <a:xfrm>
                          <a:off x="895967" y="96174"/>
                          <a:ext cx="246139" cy="0"/>
                        </a:xfrm>
                        <a:custGeom>
                          <a:avLst/>
                          <a:gdLst/>
                          <a:ahLst/>
                          <a:cxnLst/>
                          <a:rect l="0" t="0" r="0" b="0"/>
                          <a:pathLst>
                            <a:path w="246139">
                              <a:moveTo>
                                <a:pt x="0" y="0"/>
                              </a:moveTo>
                              <a:lnTo>
                                <a:pt x="246139" y="0"/>
                              </a:lnTo>
                            </a:path>
                          </a:pathLst>
                        </a:custGeom>
                        <a:ln w="12700" cap="flat">
                          <a:miter lim="100000"/>
                        </a:ln>
                      </wps:spPr>
                      <wps:style>
                        <a:lnRef idx="1">
                          <a:srgbClr val="FFFFFF"/>
                        </a:lnRef>
                        <a:fillRef idx="0">
                          <a:srgbClr val="000000">
                            <a:alpha val="0"/>
                          </a:srgbClr>
                        </a:fillRef>
                        <a:effectRef idx="0">
                          <a:scrgbClr r="0" g="0" b="0"/>
                        </a:effectRef>
                        <a:fontRef idx="none"/>
                      </wps:style>
                      <wps:bodyPr/>
                    </wps:wsp>
                    <wps:wsp>
                      <wps:cNvPr id="358265" name="Shape 358265"/>
                      <wps:cNvSpPr/>
                      <wps:spPr>
                        <a:xfrm>
                          <a:off x="1145273" y="96174"/>
                          <a:ext cx="5309527" cy="0"/>
                        </a:xfrm>
                        <a:custGeom>
                          <a:avLst/>
                          <a:gdLst/>
                          <a:ahLst/>
                          <a:cxnLst/>
                          <a:rect l="0" t="0" r="0" b="0"/>
                          <a:pathLst>
                            <a:path w="5309527">
                              <a:moveTo>
                                <a:pt x="0" y="0"/>
                              </a:moveTo>
                              <a:lnTo>
                                <a:pt x="5309527"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262" style="width:508.252pt;height:10.205pt;position:absolute;mso-position-horizontal-relative:page;mso-position-horizontal:absolute;margin-left:44.504pt;mso-position-vertical-relative:page;margin-top:793.133pt;" coordsize="64548,1296">
              <v:shape id="Shape 381187" style="position:absolute;width:11420;height:1296;left:0;top:0;" coordsize="1142035,129603" path="m0,0l1142035,0l1142035,129603l0,129603l0,0">
                <v:stroke weight="0pt" endcap="flat" joinstyle="miter" miterlimit="4" on="false" color="#000000" opacity="0"/>
                <v:fill on="true" color="#000000"/>
              </v:shape>
              <v:shape id="Shape 358264" style="position:absolute;width:2461;height:0;left:8959;top:961;" coordsize="246139,0" path="m0,0l246139,0">
                <v:stroke weight="1pt" endcap="flat" joinstyle="miter" miterlimit="4" on="true" color="#ffffff"/>
                <v:fill on="false" color="#000000" opacity="0"/>
              </v:shape>
              <v:shape id="Shape 358265" style="position:absolute;width:53095;height:0;left:11452;top:961;" coordsize="5309527,0" path="m0,0l5309527,0">
                <v:stroke weight="1pt" endcap="flat" joinstyle="miter" miterlimit="4" on="true" color="#000000"/>
                <v:fill on="false" color="#000000" opacity="0"/>
              </v:shape>
              <w10:wrap type="square"/>
            </v:group>
          </w:pict>
        </mc:Fallback>
      </mc:AlternateContent>
    </w:r>
    <w:r>
      <w:fldChar w:fldCharType="begin"/>
    </w:r>
    <w:r>
      <w:instrText xml:space="preserve"> PAGE   \* MERGEFORMAT </w:instrText>
    </w:r>
    <w:r>
      <w:fldChar w:fldCharType="separate"/>
    </w:r>
    <w:r>
      <w:rPr>
        <w:b/>
        <w:i/>
        <w:sz w:val="24"/>
      </w:rPr>
      <w:t>4</w:t>
    </w:r>
    <w:r>
      <w:rPr>
        <w:b/>
        <w:i/>
        <w:sz w:val="24"/>
      </w:rPr>
      <w:fldChar w:fldCharType="end"/>
    </w:r>
    <w:r>
      <w:rPr>
        <w:b/>
        <w:i/>
        <w:sz w:val="24"/>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0" w:right="-371" w:firstLine="0"/>
      <w:jc w:val="right"/>
    </w:pPr>
    <w:r>
      <w:rPr>
        <w:noProof/>
        <w:sz w:val="22"/>
      </w:rPr>
      <mc:AlternateContent>
        <mc:Choice Requires="wpg">
          <w:drawing>
            <wp:anchor distT="0" distB="0" distL="114300" distR="114300" simplePos="0" relativeHeight="251662336" behindDoc="0" locked="0" layoutInCell="1" allowOverlap="1">
              <wp:simplePos x="0" y="0"/>
              <wp:positionH relativeFrom="page">
                <wp:posOffset>540000</wp:posOffset>
              </wp:positionH>
              <wp:positionV relativeFrom="page">
                <wp:posOffset>10072789</wp:posOffset>
              </wp:positionV>
              <wp:extent cx="6440402" cy="129603"/>
              <wp:effectExtent l="0" t="0" r="0" b="0"/>
              <wp:wrapSquare wrapText="bothSides"/>
              <wp:docPr id="358243" name="Group 358243"/>
              <wp:cNvGraphicFramePr/>
              <a:graphic xmlns:a="http://schemas.openxmlformats.org/drawingml/2006/main">
                <a:graphicData uri="http://schemas.microsoft.com/office/word/2010/wordprocessingGroup">
                  <wpg:wgp>
                    <wpg:cNvGrpSpPr/>
                    <wpg:grpSpPr>
                      <a:xfrm>
                        <a:off x="0" y="0"/>
                        <a:ext cx="6440402" cy="129603"/>
                        <a:chOff x="0" y="0"/>
                        <a:chExt cx="6440402" cy="129603"/>
                      </a:xfrm>
                    </wpg:grpSpPr>
                    <wps:wsp>
                      <wps:cNvPr id="381184" name="Shape 381184"/>
                      <wps:cNvSpPr/>
                      <wps:spPr>
                        <a:xfrm>
                          <a:off x="5310001" y="0"/>
                          <a:ext cx="1130402" cy="129603"/>
                        </a:xfrm>
                        <a:custGeom>
                          <a:avLst/>
                          <a:gdLst/>
                          <a:ahLst/>
                          <a:cxnLst/>
                          <a:rect l="0" t="0" r="0" b="0"/>
                          <a:pathLst>
                            <a:path w="1130402" h="129603">
                              <a:moveTo>
                                <a:pt x="0" y="0"/>
                              </a:moveTo>
                              <a:lnTo>
                                <a:pt x="1130402" y="0"/>
                              </a:lnTo>
                              <a:lnTo>
                                <a:pt x="1130402" y="129603"/>
                              </a:lnTo>
                              <a:lnTo>
                                <a:pt x="0" y="129603"/>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58245" name="Shape 358245"/>
                      <wps:cNvSpPr/>
                      <wps:spPr>
                        <a:xfrm>
                          <a:off x="0" y="96174"/>
                          <a:ext cx="5313121" cy="0"/>
                        </a:xfrm>
                        <a:custGeom>
                          <a:avLst/>
                          <a:gdLst/>
                          <a:ahLst/>
                          <a:cxnLst/>
                          <a:rect l="0" t="0" r="0" b="0"/>
                          <a:pathLst>
                            <a:path w="5313121">
                              <a:moveTo>
                                <a:pt x="0" y="0"/>
                              </a:moveTo>
                              <a:lnTo>
                                <a:pt x="5313121"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358246" name="Shape 358246"/>
                      <wps:cNvSpPr/>
                      <wps:spPr>
                        <a:xfrm>
                          <a:off x="5311220" y="95730"/>
                          <a:ext cx="232778" cy="0"/>
                        </a:xfrm>
                        <a:custGeom>
                          <a:avLst/>
                          <a:gdLst/>
                          <a:ahLst/>
                          <a:cxnLst/>
                          <a:rect l="0" t="0" r="0" b="0"/>
                          <a:pathLst>
                            <a:path w="232778">
                              <a:moveTo>
                                <a:pt x="0" y="0"/>
                              </a:moveTo>
                              <a:lnTo>
                                <a:pt x="232778" y="0"/>
                              </a:lnTo>
                            </a:path>
                          </a:pathLst>
                        </a:custGeom>
                        <a:ln w="12700" cap="flat">
                          <a:miter lim="100000"/>
                        </a:ln>
                      </wps:spPr>
                      <wps:style>
                        <a:lnRef idx="1">
                          <a:srgbClr val="FFFFFF"/>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243" style="width:507.118pt;height:10.205pt;position:absolute;mso-position-horizontal-relative:page;mso-position-horizontal:absolute;margin-left:42.5197pt;mso-position-vertical-relative:page;margin-top:793.133pt;" coordsize="64404,1296">
              <v:shape id="Shape 381185" style="position:absolute;width:11304;height:1296;left:53100;top:0;" coordsize="1130402,129603" path="m0,0l1130402,0l1130402,129603l0,129603l0,0">
                <v:stroke weight="0pt" endcap="flat" joinstyle="miter" miterlimit="4" on="false" color="#000000" opacity="0"/>
                <v:fill on="true" color="#000000"/>
              </v:shape>
              <v:shape id="Shape 358245" style="position:absolute;width:53131;height:0;left:0;top:961;" coordsize="5313121,0" path="m0,0l5313121,0">
                <v:stroke weight="1pt" endcap="flat" joinstyle="miter" miterlimit="4" on="true" color="#000000"/>
                <v:fill on="false" color="#000000" opacity="0"/>
              </v:shape>
              <v:shape id="Shape 358246" style="position:absolute;width:2327;height:0;left:53112;top:957;" coordsize="232778,0" path="m0,0l232778,0">
                <v:stroke weight="1pt" endcap="flat" joinstyle="miter" miterlimit="4" on="true" color="#ffffff"/>
                <v:fill on="false" color="#000000" opacity="0"/>
              </v:shape>
              <w10:wrap type="square"/>
            </v:group>
          </w:pict>
        </mc:Fallback>
      </mc:AlternateContent>
    </w:r>
    <w:r>
      <w:rPr>
        <w:b/>
        <w:i/>
        <w:sz w:val="24"/>
      </w:rPr>
      <w:t xml:space="preserve"> </w:t>
    </w:r>
    <w:r>
      <w:fldChar w:fldCharType="begin"/>
    </w:r>
    <w:r>
      <w:instrText xml:space="preserve"> PAGE   \* MERGEFORMAT </w:instrText>
    </w:r>
    <w:r>
      <w:fldChar w:fldCharType="separate"/>
    </w:r>
    <w:r>
      <w:rPr>
        <w:b/>
        <w:i/>
        <w:sz w:val="24"/>
      </w:rPr>
      <w:t>3</w:t>
    </w:r>
    <w:r>
      <w:rPr>
        <w:b/>
        <w:i/>
        <w:sz w:val="24"/>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0" w:right="-371" w:firstLine="0"/>
      <w:jc w:val="right"/>
    </w:pPr>
    <w:r>
      <w:rPr>
        <w:noProof/>
        <w:sz w:val="22"/>
      </w:rPr>
      <mc:AlternateContent>
        <mc:Choice Requires="wpg">
          <w:drawing>
            <wp:anchor distT="0" distB="0" distL="114300" distR="114300" simplePos="0" relativeHeight="251663360" behindDoc="0" locked="0" layoutInCell="1" allowOverlap="1">
              <wp:simplePos x="0" y="0"/>
              <wp:positionH relativeFrom="page">
                <wp:posOffset>540000</wp:posOffset>
              </wp:positionH>
              <wp:positionV relativeFrom="page">
                <wp:posOffset>10072789</wp:posOffset>
              </wp:positionV>
              <wp:extent cx="6440402" cy="129603"/>
              <wp:effectExtent l="0" t="0" r="0" b="0"/>
              <wp:wrapSquare wrapText="bothSides"/>
              <wp:docPr id="358224" name="Group 358224"/>
              <wp:cNvGraphicFramePr/>
              <a:graphic xmlns:a="http://schemas.openxmlformats.org/drawingml/2006/main">
                <a:graphicData uri="http://schemas.microsoft.com/office/word/2010/wordprocessingGroup">
                  <wpg:wgp>
                    <wpg:cNvGrpSpPr/>
                    <wpg:grpSpPr>
                      <a:xfrm>
                        <a:off x="0" y="0"/>
                        <a:ext cx="6440402" cy="129603"/>
                        <a:chOff x="0" y="0"/>
                        <a:chExt cx="6440402" cy="129603"/>
                      </a:xfrm>
                    </wpg:grpSpPr>
                    <wps:wsp>
                      <wps:cNvPr id="381182" name="Shape 381182"/>
                      <wps:cNvSpPr/>
                      <wps:spPr>
                        <a:xfrm>
                          <a:off x="5310001" y="0"/>
                          <a:ext cx="1130402" cy="129603"/>
                        </a:xfrm>
                        <a:custGeom>
                          <a:avLst/>
                          <a:gdLst/>
                          <a:ahLst/>
                          <a:cxnLst/>
                          <a:rect l="0" t="0" r="0" b="0"/>
                          <a:pathLst>
                            <a:path w="1130402" h="129603">
                              <a:moveTo>
                                <a:pt x="0" y="0"/>
                              </a:moveTo>
                              <a:lnTo>
                                <a:pt x="1130402" y="0"/>
                              </a:lnTo>
                              <a:lnTo>
                                <a:pt x="1130402" y="129603"/>
                              </a:lnTo>
                              <a:lnTo>
                                <a:pt x="0" y="129603"/>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58226" name="Shape 358226"/>
                      <wps:cNvSpPr/>
                      <wps:spPr>
                        <a:xfrm>
                          <a:off x="0" y="96174"/>
                          <a:ext cx="5313121" cy="0"/>
                        </a:xfrm>
                        <a:custGeom>
                          <a:avLst/>
                          <a:gdLst/>
                          <a:ahLst/>
                          <a:cxnLst/>
                          <a:rect l="0" t="0" r="0" b="0"/>
                          <a:pathLst>
                            <a:path w="5313121">
                              <a:moveTo>
                                <a:pt x="0" y="0"/>
                              </a:moveTo>
                              <a:lnTo>
                                <a:pt x="5313121"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358227" name="Shape 358227"/>
                      <wps:cNvSpPr/>
                      <wps:spPr>
                        <a:xfrm>
                          <a:off x="5311220" y="95730"/>
                          <a:ext cx="232778" cy="0"/>
                        </a:xfrm>
                        <a:custGeom>
                          <a:avLst/>
                          <a:gdLst/>
                          <a:ahLst/>
                          <a:cxnLst/>
                          <a:rect l="0" t="0" r="0" b="0"/>
                          <a:pathLst>
                            <a:path w="232778">
                              <a:moveTo>
                                <a:pt x="0" y="0"/>
                              </a:moveTo>
                              <a:lnTo>
                                <a:pt x="232778" y="0"/>
                              </a:lnTo>
                            </a:path>
                          </a:pathLst>
                        </a:custGeom>
                        <a:ln w="12700" cap="flat">
                          <a:miter lim="100000"/>
                        </a:ln>
                      </wps:spPr>
                      <wps:style>
                        <a:lnRef idx="1">
                          <a:srgbClr val="FFFFFF"/>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224" style="width:507.118pt;height:10.205pt;position:absolute;mso-position-horizontal-relative:page;mso-position-horizontal:absolute;margin-left:42.5197pt;mso-position-vertical-relative:page;margin-top:793.133pt;" coordsize="64404,1296">
              <v:shape id="Shape 381183" style="position:absolute;width:11304;height:1296;left:53100;top:0;" coordsize="1130402,129603" path="m0,0l1130402,0l1130402,129603l0,129603l0,0">
                <v:stroke weight="0pt" endcap="flat" joinstyle="miter" miterlimit="4" on="false" color="#000000" opacity="0"/>
                <v:fill on="true" color="#000000"/>
              </v:shape>
              <v:shape id="Shape 358226" style="position:absolute;width:53131;height:0;left:0;top:961;" coordsize="5313121,0" path="m0,0l5313121,0">
                <v:stroke weight="1pt" endcap="flat" joinstyle="miter" miterlimit="4" on="true" color="#000000"/>
                <v:fill on="false" color="#000000" opacity="0"/>
              </v:shape>
              <v:shape id="Shape 358227" style="position:absolute;width:2327;height:0;left:53112;top:957;" coordsize="232778,0" path="m0,0l232778,0">
                <v:stroke weight="1pt" endcap="flat" joinstyle="miter" miterlimit="4" on="true" color="#ffffff"/>
                <v:fill on="false" color="#000000" opacity="0"/>
              </v:shape>
              <w10:wrap type="square"/>
            </v:group>
          </w:pict>
        </mc:Fallback>
      </mc:AlternateContent>
    </w:r>
    <w:r>
      <w:rPr>
        <w:b/>
        <w:i/>
        <w:sz w:val="24"/>
      </w:rPr>
      <w:t xml:space="preserve"> </w:t>
    </w:r>
    <w:r>
      <w:fldChar w:fldCharType="begin"/>
    </w:r>
    <w:r>
      <w:instrText xml:space="preserve"> PAGE   \* MERGEFORMAT </w:instrText>
    </w:r>
    <w:r>
      <w:fldChar w:fldCharType="separate"/>
    </w:r>
    <w:r>
      <w:rPr>
        <w:b/>
        <w:i/>
        <w:sz w:val="24"/>
      </w:rPr>
      <w:t>3</w:t>
    </w:r>
    <w:r>
      <w:rPr>
        <w:b/>
        <w:i/>
        <w:sz w:val="24"/>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377" w:right="1" w:firstLine="0"/>
      <w:jc w:val="left"/>
    </w:pPr>
    <w:r>
      <w:rPr>
        <w:noProof/>
        <w:sz w:val="22"/>
      </w:rPr>
      <mc:AlternateContent>
        <mc:Choice Requires="wpg">
          <w:drawing>
            <wp:anchor distT="0" distB="0" distL="114300" distR="114300" simplePos="0" relativeHeight="251667456" behindDoc="0" locked="0" layoutInCell="1" allowOverlap="1">
              <wp:simplePos x="0" y="0"/>
              <wp:positionH relativeFrom="page">
                <wp:posOffset>565201</wp:posOffset>
              </wp:positionH>
              <wp:positionV relativeFrom="page">
                <wp:posOffset>10072789</wp:posOffset>
              </wp:positionV>
              <wp:extent cx="6454800" cy="129603"/>
              <wp:effectExtent l="0" t="0" r="0" b="0"/>
              <wp:wrapSquare wrapText="bothSides"/>
              <wp:docPr id="358329" name="Group 358329"/>
              <wp:cNvGraphicFramePr/>
              <a:graphic xmlns:a="http://schemas.openxmlformats.org/drawingml/2006/main">
                <a:graphicData uri="http://schemas.microsoft.com/office/word/2010/wordprocessingGroup">
                  <wpg:wgp>
                    <wpg:cNvGrpSpPr/>
                    <wpg:grpSpPr>
                      <a:xfrm>
                        <a:off x="0" y="0"/>
                        <a:ext cx="6454800" cy="129603"/>
                        <a:chOff x="0" y="0"/>
                        <a:chExt cx="6454800" cy="129603"/>
                      </a:xfrm>
                    </wpg:grpSpPr>
                    <wps:wsp>
                      <wps:cNvPr id="381192" name="Shape 381192"/>
                      <wps:cNvSpPr/>
                      <wps:spPr>
                        <a:xfrm>
                          <a:off x="0" y="0"/>
                          <a:ext cx="1142035" cy="129603"/>
                        </a:xfrm>
                        <a:custGeom>
                          <a:avLst/>
                          <a:gdLst/>
                          <a:ahLst/>
                          <a:cxnLst/>
                          <a:rect l="0" t="0" r="0" b="0"/>
                          <a:pathLst>
                            <a:path w="1142035" h="129603">
                              <a:moveTo>
                                <a:pt x="0" y="0"/>
                              </a:moveTo>
                              <a:lnTo>
                                <a:pt x="1142035" y="0"/>
                              </a:lnTo>
                              <a:lnTo>
                                <a:pt x="1142035" y="129603"/>
                              </a:lnTo>
                              <a:lnTo>
                                <a:pt x="0" y="129603"/>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58331" name="Shape 358331"/>
                      <wps:cNvSpPr/>
                      <wps:spPr>
                        <a:xfrm>
                          <a:off x="895967" y="96174"/>
                          <a:ext cx="246139" cy="0"/>
                        </a:xfrm>
                        <a:custGeom>
                          <a:avLst/>
                          <a:gdLst/>
                          <a:ahLst/>
                          <a:cxnLst/>
                          <a:rect l="0" t="0" r="0" b="0"/>
                          <a:pathLst>
                            <a:path w="246139">
                              <a:moveTo>
                                <a:pt x="0" y="0"/>
                              </a:moveTo>
                              <a:lnTo>
                                <a:pt x="246139" y="0"/>
                              </a:lnTo>
                            </a:path>
                          </a:pathLst>
                        </a:custGeom>
                        <a:ln w="12700" cap="flat">
                          <a:miter lim="100000"/>
                        </a:ln>
                      </wps:spPr>
                      <wps:style>
                        <a:lnRef idx="1">
                          <a:srgbClr val="FFFFFF"/>
                        </a:lnRef>
                        <a:fillRef idx="0">
                          <a:srgbClr val="000000">
                            <a:alpha val="0"/>
                          </a:srgbClr>
                        </a:fillRef>
                        <a:effectRef idx="0">
                          <a:scrgbClr r="0" g="0" b="0"/>
                        </a:effectRef>
                        <a:fontRef idx="none"/>
                      </wps:style>
                      <wps:bodyPr/>
                    </wps:wsp>
                    <wps:wsp>
                      <wps:cNvPr id="358332" name="Shape 358332"/>
                      <wps:cNvSpPr/>
                      <wps:spPr>
                        <a:xfrm>
                          <a:off x="1145273" y="96174"/>
                          <a:ext cx="5309527" cy="0"/>
                        </a:xfrm>
                        <a:custGeom>
                          <a:avLst/>
                          <a:gdLst/>
                          <a:ahLst/>
                          <a:cxnLst/>
                          <a:rect l="0" t="0" r="0" b="0"/>
                          <a:pathLst>
                            <a:path w="5309527">
                              <a:moveTo>
                                <a:pt x="0" y="0"/>
                              </a:moveTo>
                              <a:lnTo>
                                <a:pt x="5309527"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329" style="width:508.252pt;height:10.205pt;position:absolute;mso-position-horizontal-relative:page;mso-position-horizontal:absolute;margin-left:44.504pt;mso-position-vertical-relative:page;margin-top:793.133pt;" coordsize="64548,1296">
              <v:shape id="Shape 381193" style="position:absolute;width:11420;height:1296;left:0;top:0;" coordsize="1142035,129603" path="m0,0l1142035,0l1142035,129603l0,129603l0,0">
                <v:stroke weight="0pt" endcap="flat" joinstyle="miter" miterlimit="4" on="false" color="#000000" opacity="0"/>
                <v:fill on="true" color="#000000"/>
              </v:shape>
              <v:shape id="Shape 358331" style="position:absolute;width:2461;height:0;left:8959;top:961;" coordsize="246139,0" path="m0,0l246139,0">
                <v:stroke weight="1pt" endcap="flat" joinstyle="miter" miterlimit="4" on="true" color="#ffffff"/>
                <v:fill on="false" color="#000000" opacity="0"/>
              </v:shape>
              <v:shape id="Shape 358332" style="position:absolute;width:53095;height:0;left:11452;top:961;" coordsize="5309527,0" path="m0,0l5309527,0">
                <v:stroke weight="1pt" endcap="flat" joinstyle="miter" miterlimit="4" on="true" color="#000000"/>
                <v:fill on="false" color="#000000" opacity="0"/>
              </v:shape>
              <w10:wrap type="square"/>
            </v:group>
          </w:pict>
        </mc:Fallback>
      </mc:AlternateContent>
    </w:r>
    <w:r>
      <w:fldChar w:fldCharType="begin"/>
    </w:r>
    <w:r>
      <w:instrText xml:space="preserve"> PAGE   \* MERGEFORMAT </w:instrText>
    </w:r>
    <w:r>
      <w:fldChar w:fldCharType="separate"/>
    </w:r>
    <w:r>
      <w:rPr>
        <w:b/>
        <w:i/>
        <w:sz w:val="24"/>
      </w:rPr>
      <w:t>4</w:t>
    </w:r>
    <w:r>
      <w:rPr>
        <w:b/>
        <w:i/>
        <w:sz w:val="24"/>
      </w:rPr>
      <w:fldChar w:fldCharType="end"/>
    </w:r>
    <w:r>
      <w:rPr>
        <w:b/>
        <w:i/>
        <w:sz w:val="24"/>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0" w:right="-376" w:firstLine="0"/>
      <w:jc w:val="right"/>
    </w:pPr>
    <w:r>
      <w:rPr>
        <w:noProof/>
        <w:sz w:val="22"/>
      </w:rPr>
      <mc:AlternateContent>
        <mc:Choice Requires="wpg">
          <w:drawing>
            <wp:anchor distT="0" distB="0" distL="114300" distR="114300" simplePos="0" relativeHeight="251668480" behindDoc="0" locked="0" layoutInCell="1" allowOverlap="1">
              <wp:simplePos x="0" y="0"/>
              <wp:positionH relativeFrom="page">
                <wp:posOffset>540000</wp:posOffset>
              </wp:positionH>
              <wp:positionV relativeFrom="page">
                <wp:posOffset>10072789</wp:posOffset>
              </wp:positionV>
              <wp:extent cx="6440402" cy="129603"/>
              <wp:effectExtent l="0" t="0" r="0" b="0"/>
              <wp:wrapSquare wrapText="bothSides"/>
              <wp:docPr id="358307" name="Group 358307"/>
              <wp:cNvGraphicFramePr/>
              <a:graphic xmlns:a="http://schemas.openxmlformats.org/drawingml/2006/main">
                <a:graphicData uri="http://schemas.microsoft.com/office/word/2010/wordprocessingGroup">
                  <wpg:wgp>
                    <wpg:cNvGrpSpPr/>
                    <wpg:grpSpPr>
                      <a:xfrm>
                        <a:off x="0" y="0"/>
                        <a:ext cx="6440402" cy="129603"/>
                        <a:chOff x="0" y="0"/>
                        <a:chExt cx="6440402" cy="129603"/>
                      </a:xfrm>
                    </wpg:grpSpPr>
                    <wps:wsp>
                      <wps:cNvPr id="381190" name="Shape 381190"/>
                      <wps:cNvSpPr/>
                      <wps:spPr>
                        <a:xfrm>
                          <a:off x="5310001" y="0"/>
                          <a:ext cx="1130402" cy="129603"/>
                        </a:xfrm>
                        <a:custGeom>
                          <a:avLst/>
                          <a:gdLst/>
                          <a:ahLst/>
                          <a:cxnLst/>
                          <a:rect l="0" t="0" r="0" b="0"/>
                          <a:pathLst>
                            <a:path w="1130402" h="129603">
                              <a:moveTo>
                                <a:pt x="0" y="0"/>
                              </a:moveTo>
                              <a:lnTo>
                                <a:pt x="1130402" y="0"/>
                              </a:lnTo>
                              <a:lnTo>
                                <a:pt x="1130402" y="129603"/>
                              </a:lnTo>
                              <a:lnTo>
                                <a:pt x="0" y="129603"/>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58309" name="Shape 358309"/>
                      <wps:cNvSpPr/>
                      <wps:spPr>
                        <a:xfrm>
                          <a:off x="0" y="96174"/>
                          <a:ext cx="5313121" cy="0"/>
                        </a:xfrm>
                        <a:custGeom>
                          <a:avLst/>
                          <a:gdLst/>
                          <a:ahLst/>
                          <a:cxnLst/>
                          <a:rect l="0" t="0" r="0" b="0"/>
                          <a:pathLst>
                            <a:path w="5313121">
                              <a:moveTo>
                                <a:pt x="0" y="0"/>
                              </a:moveTo>
                              <a:lnTo>
                                <a:pt x="5313121"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s:wsp>
                      <wps:cNvPr id="358310" name="Shape 358310"/>
                      <wps:cNvSpPr/>
                      <wps:spPr>
                        <a:xfrm>
                          <a:off x="5311220" y="95730"/>
                          <a:ext cx="232778" cy="0"/>
                        </a:xfrm>
                        <a:custGeom>
                          <a:avLst/>
                          <a:gdLst/>
                          <a:ahLst/>
                          <a:cxnLst/>
                          <a:rect l="0" t="0" r="0" b="0"/>
                          <a:pathLst>
                            <a:path w="232778">
                              <a:moveTo>
                                <a:pt x="0" y="0"/>
                              </a:moveTo>
                              <a:lnTo>
                                <a:pt x="232778" y="0"/>
                              </a:lnTo>
                            </a:path>
                          </a:pathLst>
                        </a:custGeom>
                        <a:ln w="12700" cap="flat">
                          <a:miter lim="100000"/>
                        </a:ln>
                      </wps:spPr>
                      <wps:style>
                        <a:lnRef idx="1">
                          <a:srgbClr val="FFFFFF"/>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307" style="width:507.118pt;height:10.205pt;position:absolute;mso-position-horizontal-relative:page;mso-position-horizontal:absolute;margin-left:42.5197pt;mso-position-vertical-relative:page;margin-top:793.133pt;" coordsize="64404,1296">
              <v:shape id="Shape 381191" style="position:absolute;width:11304;height:1296;left:53100;top:0;" coordsize="1130402,129603" path="m0,0l1130402,0l1130402,129603l0,129603l0,0">
                <v:stroke weight="0pt" endcap="flat" joinstyle="miter" miterlimit="4" on="false" color="#000000" opacity="0"/>
                <v:fill on="true" color="#000000"/>
              </v:shape>
              <v:shape id="Shape 358309" style="position:absolute;width:53131;height:0;left:0;top:961;" coordsize="5313121,0" path="m0,0l5313121,0">
                <v:stroke weight="1pt" endcap="flat" joinstyle="miter" miterlimit="4" on="true" color="#000000"/>
                <v:fill on="false" color="#000000" opacity="0"/>
              </v:shape>
              <v:shape id="Shape 358310" style="position:absolute;width:2327;height:0;left:53112;top:957;" coordsize="232778,0" path="m0,0l232778,0">
                <v:stroke weight="1pt" endcap="flat" joinstyle="miter" miterlimit="4" on="true" color="#ffffff"/>
                <v:fill on="false" color="#000000" opacity="0"/>
              </v:shape>
              <w10:wrap type="square"/>
            </v:group>
          </w:pict>
        </mc:Fallback>
      </mc:AlternateContent>
    </w:r>
    <w:r>
      <w:rPr>
        <w:b/>
        <w:i/>
        <w:sz w:val="24"/>
      </w:rPr>
      <w:t xml:space="preserve"> </w:t>
    </w:r>
    <w:r>
      <w:fldChar w:fldCharType="begin"/>
    </w:r>
    <w:r>
      <w:instrText xml:space="preserve"> PAGE   \* MERGEFORMAT </w:instrText>
    </w:r>
    <w:r>
      <w:fldChar w:fldCharType="separate"/>
    </w:r>
    <w:r>
      <w:rPr>
        <w:b/>
        <w:i/>
        <w:sz w:val="24"/>
      </w:rPr>
      <w:t>3</w:t>
    </w:r>
    <w:r>
      <w:rPr>
        <w:b/>
        <w:i/>
        <w:sz w:val="24"/>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377" w:right="1" w:firstLine="0"/>
      <w:jc w:val="left"/>
    </w:pPr>
    <w:r>
      <w:rPr>
        <w:noProof/>
        <w:sz w:val="22"/>
      </w:rPr>
      <mc:AlternateContent>
        <mc:Choice Requires="wpg">
          <w:drawing>
            <wp:anchor distT="0" distB="0" distL="114300" distR="114300" simplePos="0" relativeHeight="251669504" behindDoc="0" locked="0" layoutInCell="1" allowOverlap="1">
              <wp:simplePos x="0" y="0"/>
              <wp:positionH relativeFrom="page">
                <wp:posOffset>565201</wp:posOffset>
              </wp:positionH>
              <wp:positionV relativeFrom="page">
                <wp:posOffset>10072789</wp:posOffset>
              </wp:positionV>
              <wp:extent cx="6454800" cy="129603"/>
              <wp:effectExtent l="0" t="0" r="0" b="0"/>
              <wp:wrapSquare wrapText="bothSides"/>
              <wp:docPr id="358285" name="Group 358285"/>
              <wp:cNvGraphicFramePr/>
              <a:graphic xmlns:a="http://schemas.openxmlformats.org/drawingml/2006/main">
                <a:graphicData uri="http://schemas.microsoft.com/office/word/2010/wordprocessingGroup">
                  <wpg:wgp>
                    <wpg:cNvGrpSpPr/>
                    <wpg:grpSpPr>
                      <a:xfrm>
                        <a:off x="0" y="0"/>
                        <a:ext cx="6454800" cy="129603"/>
                        <a:chOff x="0" y="0"/>
                        <a:chExt cx="6454800" cy="129603"/>
                      </a:xfrm>
                    </wpg:grpSpPr>
                    <wps:wsp>
                      <wps:cNvPr id="381188" name="Shape 381188"/>
                      <wps:cNvSpPr/>
                      <wps:spPr>
                        <a:xfrm>
                          <a:off x="0" y="0"/>
                          <a:ext cx="1142035" cy="129603"/>
                        </a:xfrm>
                        <a:custGeom>
                          <a:avLst/>
                          <a:gdLst/>
                          <a:ahLst/>
                          <a:cxnLst/>
                          <a:rect l="0" t="0" r="0" b="0"/>
                          <a:pathLst>
                            <a:path w="1142035" h="129603">
                              <a:moveTo>
                                <a:pt x="0" y="0"/>
                              </a:moveTo>
                              <a:lnTo>
                                <a:pt x="1142035" y="0"/>
                              </a:lnTo>
                              <a:lnTo>
                                <a:pt x="1142035" y="129603"/>
                              </a:lnTo>
                              <a:lnTo>
                                <a:pt x="0" y="129603"/>
                              </a:lnTo>
                              <a:lnTo>
                                <a:pt x="0" y="0"/>
                              </a:lnTo>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58287" name="Shape 358287"/>
                      <wps:cNvSpPr/>
                      <wps:spPr>
                        <a:xfrm>
                          <a:off x="895967" y="96174"/>
                          <a:ext cx="246139" cy="0"/>
                        </a:xfrm>
                        <a:custGeom>
                          <a:avLst/>
                          <a:gdLst/>
                          <a:ahLst/>
                          <a:cxnLst/>
                          <a:rect l="0" t="0" r="0" b="0"/>
                          <a:pathLst>
                            <a:path w="246139">
                              <a:moveTo>
                                <a:pt x="0" y="0"/>
                              </a:moveTo>
                              <a:lnTo>
                                <a:pt x="246139" y="0"/>
                              </a:lnTo>
                            </a:path>
                          </a:pathLst>
                        </a:custGeom>
                        <a:ln w="12700" cap="flat">
                          <a:miter lim="100000"/>
                        </a:ln>
                      </wps:spPr>
                      <wps:style>
                        <a:lnRef idx="1">
                          <a:srgbClr val="FFFFFF"/>
                        </a:lnRef>
                        <a:fillRef idx="0">
                          <a:srgbClr val="000000">
                            <a:alpha val="0"/>
                          </a:srgbClr>
                        </a:fillRef>
                        <a:effectRef idx="0">
                          <a:scrgbClr r="0" g="0" b="0"/>
                        </a:effectRef>
                        <a:fontRef idx="none"/>
                      </wps:style>
                      <wps:bodyPr/>
                    </wps:wsp>
                    <wps:wsp>
                      <wps:cNvPr id="358288" name="Shape 358288"/>
                      <wps:cNvSpPr/>
                      <wps:spPr>
                        <a:xfrm>
                          <a:off x="1145273" y="96174"/>
                          <a:ext cx="5309527" cy="0"/>
                        </a:xfrm>
                        <a:custGeom>
                          <a:avLst/>
                          <a:gdLst/>
                          <a:ahLst/>
                          <a:cxnLst/>
                          <a:rect l="0" t="0" r="0" b="0"/>
                          <a:pathLst>
                            <a:path w="5309527">
                              <a:moveTo>
                                <a:pt x="0" y="0"/>
                              </a:moveTo>
                              <a:lnTo>
                                <a:pt x="5309527"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285" style="width:508.252pt;height:10.205pt;position:absolute;mso-position-horizontal-relative:page;mso-position-horizontal:absolute;margin-left:44.504pt;mso-position-vertical-relative:page;margin-top:793.133pt;" coordsize="64548,1296">
              <v:shape id="Shape 381189" style="position:absolute;width:11420;height:1296;left:0;top:0;" coordsize="1142035,129603" path="m0,0l1142035,0l1142035,129603l0,129603l0,0">
                <v:stroke weight="0pt" endcap="flat" joinstyle="miter" miterlimit="4" on="false" color="#000000" opacity="0"/>
                <v:fill on="true" color="#000000"/>
              </v:shape>
              <v:shape id="Shape 358287" style="position:absolute;width:2461;height:0;left:8959;top:961;" coordsize="246139,0" path="m0,0l246139,0">
                <v:stroke weight="1pt" endcap="flat" joinstyle="miter" miterlimit="4" on="true" color="#ffffff"/>
                <v:fill on="false" color="#000000" opacity="0"/>
              </v:shape>
              <v:shape id="Shape 358288" style="position:absolute;width:53095;height:0;left:11452;top:961;" coordsize="5309527,0" path="m0,0l5309527,0">
                <v:stroke weight="1pt" endcap="flat" joinstyle="miter" miterlimit="4" on="true" color="#000000"/>
                <v:fill on="false" color="#000000" opacity="0"/>
              </v:shape>
              <w10:wrap type="square"/>
            </v:group>
          </w:pict>
        </mc:Fallback>
      </mc:AlternateContent>
    </w:r>
    <w:r>
      <w:fldChar w:fldCharType="begin"/>
    </w:r>
    <w:r>
      <w:instrText xml:space="preserve"> PAGE   \* MERGEFORMAT </w:instrText>
    </w:r>
    <w:r>
      <w:fldChar w:fldCharType="separate"/>
    </w:r>
    <w:r>
      <w:rPr>
        <w:b/>
        <w:i/>
        <w:sz w:val="24"/>
      </w:rPr>
      <w:t>4</w:t>
    </w:r>
    <w:r>
      <w:rPr>
        <w:b/>
        <w:i/>
        <w:sz w:val="24"/>
      </w:rPr>
      <w:fldChar w:fldCharType="end"/>
    </w:r>
    <w:r>
      <w:rPr>
        <w:b/>
        <w:i/>
        <w:sz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27BC6" w:rsidRDefault="004D5071">
      <w:pPr>
        <w:spacing w:after="0" w:line="269" w:lineRule="auto"/>
        <w:ind w:left="2" w:right="0" w:firstLine="0"/>
      </w:pPr>
      <w:r>
        <w:separator/>
      </w:r>
    </w:p>
  </w:footnote>
  <w:footnote w:type="continuationSeparator" w:id="0">
    <w:p w:rsidR="00D27BC6" w:rsidRDefault="004D5071">
      <w:pPr>
        <w:spacing w:after="0" w:line="269" w:lineRule="auto"/>
        <w:ind w:left="2" w:right="0" w:firstLine="0"/>
      </w:pPr>
      <w:r>
        <w:continuationSeparator/>
      </w:r>
    </w:p>
  </w:footnote>
  <w:footnote w:id="1">
    <w:p w:rsidR="00D27BC6" w:rsidRDefault="004D5071">
      <w:pPr>
        <w:pStyle w:val="footnotedescription"/>
      </w:pPr>
      <w:r>
        <w:rPr>
          <w:rStyle w:val="footnotemark"/>
        </w:rPr>
        <w:footnoteRef/>
      </w:r>
      <w:r>
        <w:t xml:space="preserve"> Данные целевые значения не относятся к детям, подросткам и беременным женщинам.</w:t>
      </w:r>
    </w:p>
  </w:footnote>
  <w:footnote w:id="2">
    <w:p w:rsidR="00D27BC6" w:rsidRDefault="004D5071">
      <w:pPr>
        <w:pStyle w:val="footnotedescription"/>
      </w:pPr>
      <w:r>
        <w:rPr>
          <w:rStyle w:val="footnotemark"/>
        </w:rPr>
        <w:footnoteRef/>
      </w:r>
      <w:r>
        <w:t xml:space="preserve"> Нормальный уровень в соответствии со стандартами DCCT: до 6%.</w:t>
      </w:r>
    </w:p>
  </w:footnote>
  <w:footnote w:id="3">
    <w:p w:rsidR="00D27BC6" w:rsidRDefault="004D5071">
      <w:pPr>
        <w:pStyle w:val="footnotedescription"/>
        <w:spacing w:line="269" w:lineRule="auto"/>
        <w:jc w:val="both"/>
      </w:pPr>
      <w:r>
        <w:rPr>
          <w:rStyle w:val="footnotemark"/>
        </w:rPr>
        <w:footnoteRef/>
      </w:r>
      <w:r>
        <w:t xml:space="preserve"> ИБС (инфаркт миокарда в анамнезе, шунтирование/стентирование коронарных артерий, стенокардия); нарушение мозгового кровообращения в анамнезе; заболевания артерий нижних конечностей (с симптоматикой).</w:t>
      </w:r>
    </w:p>
  </w:footnote>
  <w:footnote w:id="4">
    <w:p w:rsidR="00D27BC6" w:rsidRDefault="004D5071">
      <w:pPr>
        <w:pStyle w:val="footnotedescription"/>
        <w:spacing w:line="269" w:lineRule="auto"/>
      </w:pPr>
      <w:r>
        <w:rPr>
          <w:rStyle w:val="footnotemark"/>
        </w:rPr>
        <w:footnoteRef/>
      </w:r>
      <w:r>
        <w:t xml:space="preserve"> Основными критериями риска тяжелой гипогликемии являю</w:t>
      </w:r>
      <w:r>
        <w:t>тся: тяжелая гипогликемия в анамнезе, бессимптомная гипогликемия, большая продолжительность СД, ХБП С3-5, деменция.</w:t>
      </w:r>
    </w:p>
  </w:footnote>
  <w:footnote w:id="5">
    <w:p w:rsidR="00D27BC6" w:rsidRDefault="004D5071">
      <w:pPr>
        <w:pStyle w:val="footnotedescription"/>
        <w:spacing w:after="11"/>
      </w:pPr>
      <w:r>
        <w:rPr>
          <w:rStyle w:val="footnotemark"/>
        </w:rPr>
        <w:footnoteRef/>
      </w:r>
      <w:r>
        <w:t xml:space="preserve"> Если в состав тера</w:t>
      </w:r>
      <w:r>
        <w:t>пии СД входят только препараты с низким риском гипогликемий.</w:t>
      </w:r>
    </w:p>
    <w:p w:rsidR="00D27BC6" w:rsidRDefault="004D5071">
      <w:pPr>
        <w:pStyle w:val="footnotedescription"/>
        <w:spacing w:line="236" w:lineRule="auto"/>
        <w:ind w:right="6"/>
        <w:jc w:val="both"/>
      </w:pPr>
      <w:r>
        <w:rPr>
          <w:b/>
        </w:rPr>
        <w:t xml:space="preserve">Примечание: </w:t>
      </w:r>
      <w:r>
        <w:t>следует учитывать, что биологический и паспортный возраст часто не совпадают, поэтому определения молодого, среднего и пожилого возраста относительно условны. В то же время существует</w:t>
      </w:r>
      <w:r>
        <w:t xml:space="preserve"> понятие «ожидаемой продолжительности жизни» (ОПЖ), которая в большей степени, чем возраст, позволяет определить общее состояние пациента и клиническую значимость развития у него осложнений. Даже в пожилом возрасте ОПЖ может быть достаточно высокой и в эти</w:t>
      </w:r>
      <w:r>
        <w:t>х случаях не следует допускать завышения индивидуальных целей лечения.</w:t>
      </w:r>
    </w:p>
  </w:footnote>
  <w:footnote w:id="6">
    <w:p w:rsidR="00D27BC6" w:rsidRDefault="004D5071">
      <w:pPr>
        <w:pStyle w:val="footnotedescription"/>
      </w:pPr>
      <w:r>
        <w:rPr>
          <w:rStyle w:val="footnotemark"/>
        </w:rPr>
        <w:footnoteRef/>
      </w:r>
      <w:r>
        <w:t xml:space="preserve"> Перевод из ммоль/л в мг/дл: ммоль/л × 38,67 = мг/дл.</w:t>
      </w:r>
    </w:p>
  </w:footnote>
  <w:footnote w:id="7">
    <w:p w:rsidR="00D27BC6" w:rsidRDefault="004D5071">
      <w:pPr>
        <w:pStyle w:val="footnotedescription"/>
        <w:spacing w:line="241" w:lineRule="auto"/>
        <w:jc w:val="both"/>
      </w:pPr>
      <w:r>
        <w:rPr>
          <w:rStyle w:val="footnotemark"/>
        </w:rPr>
        <w:footnoteRef/>
      </w:r>
      <w:r>
        <w:t xml:space="preserve"> Протеинурия, рСКФ &lt; 45 мл/мин/1,73 м</w:t>
      </w:r>
      <w:r>
        <w:rPr>
          <w:sz w:val="14"/>
          <w:vertAlign w:val="superscript"/>
        </w:rPr>
        <w:t>2</w:t>
      </w:r>
      <w:r>
        <w:t>, рСКФ 45–59 мл/мин/1,73 м</w:t>
      </w:r>
      <w:r>
        <w:rPr>
          <w:sz w:val="14"/>
          <w:vertAlign w:val="superscript"/>
        </w:rPr>
        <w:t xml:space="preserve">2 </w:t>
      </w:r>
      <w:r>
        <w:t>+ микроальбуминури</w:t>
      </w:r>
      <w:r>
        <w:t>я,</w:t>
      </w:r>
      <w:r>
        <w:rPr>
          <w:sz w:val="14"/>
          <w:vertAlign w:val="superscript"/>
        </w:rPr>
        <w:t xml:space="preserve"> </w:t>
      </w:r>
      <w:r>
        <w:t xml:space="preserve">гипертрофия левого желудочка (ЛЖ) или ретинопатия. </w:t>
      </w:r>
      <w:r>
        <w:rPr>
          <w:sz w:val="14"/>
          <w:vertAlign w:val="superscript"/>
        </w:rPr>
        <w:t>3</w:t>
      </w:r>
      <w:r>
        <w:t xml:space="preserve"> Возраст пациента (СД 1 типа ≥35 лет или СД 2 типа ≥50 лет), артериальная гипертензия, дислипидемия, курение, ожирение.</w:t>
      </w:r>
    </w:p>
  </w:footnote>
  <w:footnote w:id="8">
    <w:p w:rsidR="00D27BC6" w:rsidRDefault="004D5071">
      <w:pPr>
        <w:pStyle w:val="footnotedescription"/>
      </w:pPr>
      <w:r>
        <w:rPr>
          <w:rStyle w:val="footnotemark"/>
        </w:rPr>
        <w:footnoteRef/>
      </w:r>
      <w:r>
        <w:t xml:space="preserve"> включая аналоги инсулина.</w:t>
      </w:r>
    </w:p>
  </w:footnote>
  <w:footnote w:id="9">
    <w:p w:rsidR="00D27BC6" w:rsidRDefault="004D5071">
      <w:pPr>
        <w:pStyle w:val="footnotedescription"/>
      </w:pPr>
      <w:r>
        <w:rPr>
          <w:rStyle w:val="footnotemark"/>
        </w:rPr>
        <w:footnoteRef/>
      </w:r>
      <w:r>
        <w:t xml:space="preserve"> противопоказание сердечная недостаточность.</w:t>
      </w:r>
    </w:p>
  </w:footnote>
  <w:footnote w:id="10">
    <w:p w:rsidR="00D27BC6" w:rsidRDefault="004D5071">
      <w:pPr>
        <w:pStyle w:val="footnotedescription"/>
      </w:pPr>
      <w:r>
        <w:rPr>
          <w:rStyle w:val="footnotemark"/>
        </w:rPr>
        <w:footnoteRef/>
      </w:r>
      <w:r>
        <w:t xml:space="preserve"> за исключением подтвержденных случаев выраженной инсулинорезистентности.</w:t>
      </w:r>
    </w:p>
  </w:footnote>
  <w:footnote w:id="11">
    <w:p w:rsidR="00D27BC6" w:rsidRDefault="004D5071">
      <w:pPr>
        <w:pStyle w:val="footnotedescription"/>
      </w:pPr>
      <w:r>
        <w:rPr>
          <w:rStyle w:val="footnotemark"/>
        </w:rPr>
        <w:footnoteRef/>
      </w:r>
      <w:r>
        <w:t xml:space="preserve"> Если рН определяется в капиллярной или венозной крови, следует учесть, что он на 0.05–0.1 ниже, чем в артериальной.</w:t>
      </w:r>
    </w:p>
  </w:footnote>
  <w:footnote w:id="12">
    <w:p w:rsidR="00D27BC6" w:rsidRDefault="004D5071">
      <w:pPr>
        <w:pStyle w:val="footnotedescription"/>
      </w:pPr>
      <w:r>
        <w:rPr>
          <w:rStyle w:val="footnotemark"/>
        </w:rPr>
        <w:footnoteRef/>
      </w:r>
      <w:r>
        <w:t xml:space="preserve"> Осмолярность плазмы = 2 (Na</w:t>
      </w:r>
      <w:r>
        <w:rPr>
          <w:sz w:val="14"/>
          <w:vertAlign w:val="superscript"/>
        </w:rPr>
        <w:t>+</w:t>
      </w:r>
      <w:r>
        <w:t>, ммоль/л + К</w:t>
      </w:r>
      <w:r>
        <w:rPr>
          <w:sz w:val="14"/>
          <w:vertAlign w:val="superscript"/>
        </w:rPr>
        <w:t>+</w:t>
      </w:r>
      <w:r>
        <w:t>, ммоль/л) + глюкоза</w:t>
      </w:r>
      <w:r>
        <w:t>, ммоль/л (норма 285-295 мосмоль/л).</w:t>
      </w:r>
    </w:p>
  </w:footnote>
  <w:footnote w:id="13">
    <w:p w:rsidR="00D27BC6" w:rsidRDefault="004D5071">
      <w:pPr>
        <w:pStyle w:val="footnotedescription"/>
        <w:spacing w:after="357"/>
      </w:pPr>
      <w:r>
        <w:rPr>
          <w:rStyle w:val="footnotemark"/>
        </w:rPr>
        <w:footnoteRef/>
      </w:r>
      <w:r>
        <w:t xml:space="preserve"> Анионная разница = (Na</w:t>
      </w:r>
      <w:r>
        <w:rPr>
          <w:sz w:val="14"/>
          <w:vertAlign w:val="superscript"/>
        </w:rPr>
        <w:t>+</w:t>
      </w:r>
      <w:r>
        <w:t>) – (Cl</w:t>
      </w:r>
      <w:r>
        <w:rPr>
          <w:sz w:val="14"/>
          <w:vertAlign w:val="superscript"/>
        </w:rPr>
        <w:t>–</w:t>
      </w:r>
      <w:r>
        <w:t xml:space="preserve"> +HCO3</w:t>
      </w:r>
      <w:r>
        <w:rPr>
          <w:sz w:val="14"/>
          <w:vertAlign w:val="superscript"/>
        </w:rPr>
        <w:t>–</w:t>
      </w:r>
      <w:r>
        <w:t>) (ммоль/л).</w:t>
      </w:r>
    </w:p>
    <w:p w:rsidR="00D27BC6" w:rsidRDefault="004D5071">
      <w:pPr>
        <w:pStyle w:val="footnotedescription"/>
        <w:ind w:left="0" w:right="4"/>
        <w:jc w:val="center"/>
      </w:pPr>
      <w:r>
        <w:rPr>
          <w:b/>
          <w:color w:val="6F6F6E"/>
          <w:sz w:val="18"/>
          <w:u w:val="single" w:color="6F6F6E"/>
        </w:rPr>
        <w:t>ЛЕЧЕНИЕ</w:t>
      </w:r>
    </w:p>
  </w:footnote>
  <w:footnote w:id="14">
    <w:p w:rsidR="00D27BC6" w:rsidRDefault="004D5071">
      <w:pPr>
        <w:pStyle w:val="footnotedescription"/>
        <w:spacing w:line="248" w:lineRule="auto"/>
        <w:ind w:right="1739"/>
      </w:pPr>
      <w:r>
        <w:rPr>
          <w:rStyle w:val="footnotemark"/>
        </w:rPr>
        <w:footnoteRef/>
      </w:r>
      <w:r>
        <w:t xml:space="preserve"> Альбуминурия – определяется соотношение альбумин/креатинин в разовой (предпочтительно утренней) порции мочи </w:t>
      </w:r>
      <w:r>
        <w:rPr>
          <w:sz w:val="14"/>
          <w:vertAlign w:val="superscript"/>
        </w:rPr>
        <w:t>2</w:t>
      </w:r>
      <w:r>
        <w:t xml:space="preserve"> СКФ – рассчитывается по формуле CKD-EPI.</w:t>
      </w:r>
    </w:p>
  </w:footnote>
  <w:footnote w:id="15">
    <w:p w:rsidR="00D27BC6" w:rsidRDefault="004D5071">
      <w:pPr>
        <w:pStyle w:val="footnotedescription"/>
        <w:spacing w:after="356"/>
        <w:jc w:val="both"/>
      </w:pPr>
      <w:r>
        <w:rPr>
          <w:rStyle w:val="footnotemark"/>
        </w:rPr>
        <w:footnoteRef/>
      </w:r>
      <w:r>
        <w:t xml:space="preserve"> Низ</w:t>
      </w:r>
      <w:r>
        <w:t>кий риск – как в общей популяции, в отсутствии признаков повреждения почек категории рСКФ С1 или С2 не удовлетворяют критериям ХБП.</w:t>
      </w:r>
    </w:p>
    <w:p w:rsidR="00D27BC6" w:rsidRDefault="004D5071">
      <w:pPr>
        <w:pStyle w:val="footnotedescription"/>
        <w:spacing w:line="236" w:lineRule="auto"/>
        <w:ind w:right="5" w:firstLine="283"/>
        <w:jc w:val="both"/>
      </w:pPr>
      <w:r>
        <w:rPr>
          <w:sz w:val="20"/>
        </w:rPr>
        <w:t>Стадия ХБП и соответствующая категория риска могут определять частоту лабораторного мониторинга и направления на консультаци</w:t>
      </w:r>
      <w:r>
        <w:rPr>
          <w:sz w:val="20"/>
        </w:rPr>
        <w:t>ю нефролога: от одного раза в год при низком риске до четырех или более раз в год (т.е. каждые 1–3 месяца) при очень высоком. Кроме того, необходимо принимать во внимание сопутствующие заболевания и патологические состояния, способные повлиять на изменение</w:t>
      </w:r>
      <w:r>
        <w:rPr>
          <w:sz w:val="20"/>
        </w:rPr>
        <w:t xml:space="preserve"> тактики ведения каждого отдельного пациента с ХБП.</w:t>
      </w:r>
    </w:p>
  </w:footnote>
  <w:footnote w:id="16">
    <w:p w:rsidR="00D27BC6" w:rsidRDefault="004D5071">
      <w:pPr>
        <w:pStyle w:val="footnotedescription"/>
      </w:pPr>
      <w:r>
        <w:rPr>
          <w:rStyle w:val="footnotemark"/>
        </w:rPr>
        <w:footnoteRef/>
      </w:r>
      <w:r>
        <w:t xml:space="preserve"> Например, сопутствующая фибрилляция предсердий или механический протез клапана.</w:t>
      </w:r>
    </w:p>
  </w:footnote>
  <w:footnote w:id="17">
    <w:p w:rsidR="00D27BC6" w:rsidRDefault="004D5071">
      <w:pPr>
        <w:pStyle w:val="footnotedescription"/>
      </w:pPr>
      <w:r>
        <w:rPr>
          <w:rStyle w:val="footnotemark"/>
        </w:rPr>
        <w:footnoteRef/>
      </w:r>
      <w:r>
        <w:t xml:space="preserve"> По сравнению с риском развития острого нарушения мозгового кровообращения/КИНК вследствие окклюзии стента/трансплантата.</w:t>
      </w:r>
    </w:p>
  </w:footnote>
  <w:footnote w:id="18">
    <w:p w:rsidR="00D27BC6" w:rsidRDefault="004D5071">
      <w:pPr>
        <w:pStyle w:val="footnotedescription"/>
        <w:spacing w:line="232" w:lineRule="auto"/>
        <w:ind w:right="6"/>
        <w:jc w:val="both"/>
      </w:pPr>
      <w:r>
        <w:rPr>
          <w:rStyle w:val="footnotemark"/>
        </w:rPr>
        <w:footnoteRef/>
      </w:r>
      <w:r>
        <w:t xml:space="preserve"> Может быть рассмотрена двойная антитромботическая терапия (АВК или ПОАК + ацетилсалициловая кислота или клопидогрел) у лиц с высоким ишемическим риском, определяемым как предшествующий тромбоз стента, острая ишемия конечности при назначении оральных ант</w:t>
      </w:r>
      <w:r>
        <w:t>икоагулянтов и сопутствующее поражение коронарных артерий (недавний ОКС, стентирование последней проходимой коронарной артерии, многососудистое поражение коронарных артерий у пациентов с неполной реваскуляризацией).</w:t>
      </w:r>
    </w:p>
  </w:footnote>
  <w:footnote w:id="19">
    <w:p w:rsidR="00D27BC6" w:rsidRDefault="004D5071">
      <w:pPr>
        <w:pStyle w:val="footnotedescription"/>
      </w:pPr>
      <w:r>
        <w:rPr>
          <w:rStyle w:val="footnotemark"/>
        </w:rPr>
        <w:footnoteRef/>
      </w:r>
      <w:r>
        <w:t xml:space="preserve"> До тех пор, пока наблюдается хорошая п</w:t>
      </w:r>
      <w:r>
        <w:t xml:space="preserve">ереносимость. </w:t>
      </w:r>
    </w:p>
  </w:footnote>
  <w:footnote w:id="20">
    <w:p w:rsidR="00D27BC6" w:rsidRDefault="004D5071">
      <w:pPr>
        <w:pStyle w:val="footnotedescription"/>
        <w:spacing w:after="6"/>
      </w:pPr>
      <w:r>
        <w:rPr>
          <w:rStyle w:val="footnotemark"/>
        </w:rPr>
        <w:footnoteRef/>
      </w:r>
      <w:r>
        <w:t xml:space="preserve"> При рСКФ &lt; 30 мл/мин/1,73 м</w:t>
      </w:r>
      <w:r>
        <w:rPr>
          <w:vertAlign w:val="superscript"/>
        </w:rPr>
        <w:t>2</w:t>
      </w:r>
      <w:r>
        <w:t xml:space="preserve"> только назначение петлевого диуретика (фуросемид, торасемид).</w:t>
      </w:r>
    </w:p>
  </w:footnote>
  <w:footnote w:id="21">
    <w:p w:rsidR="00D27BC6" w:rsidRDefault="004D5071">
      <w:pPr>
        <w:pStyle w:val="footnotedescription"/>
        <w:spacing w:line="278" w:lineRule="auto"/>
        <w:jc w:val="both"/>
      </w:pPr>
      <w:r>
        <w:rPr>
          <w:rStyle w:val="footnotemark"/>
        </w:rPr>
        <w:footnoteRef/>
      </w:r>
      <w:r>
        <w:t xml:space="preserve"> При рСКФ &lt; 60 мл/мин/1,73 м</w:t>
      </w:r>
      <w:r>
        <w:rPr>
          <w:vertAlign w:val="superscript"/>
        </w:rPr>
        <w:t>2</w:t>
      </w:r>
      <w:r>
        <w:t xml:space="preserve"> не рекомендовано назначать антагонисты минералокортикоидных рецепторов (спиронолактона, эплеренона) – высокий риск резкого ухудшения функции почек и развития гиперкалиемии.</w:t>
      </w:r>
    </w:p>
  </w:footnote>
  <w:footnote w:id="22">
    <w:p w:rsidR="00D27BC6" w:rsidRDefault="004D5071">
      <w:pPr>
        <w:pStyle w:val="footnotedescription"/>
        <w:spacing w:line="277" w:lineRule="auto"/>
        <w:jc w:val="both"/>
      </w:pPr>
      <w:r>
        <w:rPr>
          <w:rStyle w:val="footnotemark"/>
        </w:rPr>
        <w:footnoteRef/>
      </w:r>
      <w:r>
        <w:t xml:space="preserve"> Шаг 3 – лечение резистентной АГ : на фоне комбинированной терапии, включающей диуретик значения артериального давления ≥140/90 мм рт.ст. Подбор терапии на данном этапе целесообразно проводить совместно с кардиологом.</w:t>
      </w:r>
    </w:p>
  </w:footnote>
  <w:footnote w:id="23">
    <w:p w:rsidR="00D27BC6" w:rsidRDefault="004D5071">
      <w:pPr>
        <w:pStyle w:val="footnotedescription"/>
      </w:pPr>
      <w:r>
        <w:rPr>
          <w:rStyle w:val="footnotemark"/>
        </w:rPr>
        <w:footnoteRef/>
      </w:r>
      <w:r>
        <w:t xml:space="preserve"> Исследуется только уровень глюкозы в венозной плазме. Использование проб цельной капиллярной крови не рекомендуется.</w:t>
      </w:r>
    </w:p>
  </w:footnote>
  <w:footnote w:id="24">
    <w:p w:rsidR="00D27BC6" w:rsidRDefault="004D5071">
      <w:pPr>
        <w:pStyle w:val="footnotedescription"/>
        <w:spacing w:after="193" w:line="252" w:lineRule="auto"/>
        <w:ind w:right="5"/>
        <w:jc w:val="both"/>
      </w:pPr>
      <w:r>
        <w:rPr>
          <w:rStyle w:val="footnotemark"/>
        </w:rPr>
        <w:footnoteRef/>
      </w:r>
      <w:r>
        <w:t xml:space="preserve"> По результатам ПГТТ для установления диагноза ГСД достаточно хотя бы одного значения уровня глюкозы венозной плазмы из трех, которое был</w:t>
      </w:r>
      <w:r>
        <w:t>о бы равным или выше порогового. При получении аномальных значений в исходном измерении нагрузка глюкозой не проводится; при получении аномальных значений во второй точке, третьего измерения не требуется.</w:t>
      </w:r>
    </w:p>
    <w:p w:rsidR="00D27BC6" w:rsidRDefault="004D5071">
      <w:pPr>
        <w:pStyle w:val="footnotedescription"/>
        <w:spacing w:line="236" w:lineRule="auto"/>
        <w:ind w:right="6" w:firstLine="283"/>
        <w:jc w:val="both"/>
      </w:pPr>
      <w:r>
        <w:rPr>
          <w:sz w:val="20"/>
        </w:rPr>
        <w:t>Диагноз ГСД может быть поставлен на основании однок</w:t>
      </w:r>
      <w:r>
        <w:rPr>
          <w:sz w:val="20"/>
        </w:rPr>
        <w:t>ратного определения гликемии. Данный критерий постановки диагноза ГСД относится ко всему периоду гестации. Диагноз ГСД устанавливается при выявлении глюкозы венозной плазмы натощак ≥ 5,1 ммоль/л на любом сроке беременности, в том числе после проведенного П</w:t>
      </w:r>
      <w:r>
        <w:rPr>
          <w:sz w:val="20"/>
        </w:rPr>
        <w:t>ГТТ, по результатам которого не было выявлено нарушения углеводного обмена. Нарастание инсулинорезистентности может быть связано с избыточной прибавкой веса, необходимостью соблюдения строгого постельного режима и ограничением физической активности.</w:t>
      </w:r>
    </w:p>
  </w:footnote>
  <w:footnote w:id="25">
    <w:p w:rsidR="00D27BC6" w:rsidRDefault="004D5071">
      <w:pPr>
        <w:pStyle w:val="footnotedescription"/>
        <w:ind w:left="1"/>
      </w:pPr>
      <w:r>
        <w:rPr>
          <w:rStyle w:val="footnotemark"/>
        </w:rPr>
        <w:footnoteRef/>
      </w:r>
      <w:r>
        <w:t xml:space="preserve"> ИРИ </w:t>
      </w:r>
      <w:r>
        <w:t xml:space="preserve">0 – базальное значение иммунореактивного инсулина, мкЕд/мл; ГПН – глюкоза плазмы натощак, ммоль/л </w:t>
      </w:r>
    </w:p>
  </w:footnote>
  <w:footnote w:id="26">
    <w:p w:rsidR="00D27BC6" w:rsidRDefault="004D5071">
      <w:pPr>
        <w:pStyle w:val="footnotedescription"/>
        <w:spacing w:line="280" w:lineRule="auto"/>
        <w:ind w:left="1"/>
        <w:jc w:val="both"/>
      </w:pPr>
      <w:r>
        <w:rPr>
          <w:rStyle w:val="footnotemark"/>
        </w:rPr>
        <w:footnoteRef/>
      </w:r>
      <w:r>
        <w:t xml:space="preserve"> ИРИ 0 – базальное значение иммунореактивного инсулина, мкЕд/мл; ГПН – глюкоза плазмы натощак, мг/дл; ИРИ ср. – среднее значение иммунореактивного инсулина </w:t>
      </w:r>
      <w:r>
        <w:t xml:space="preserve">в течение ПГТТ, мкЕд/мл; ГП ср. – среднее значение глюкозы плазмы в течение ПГТТ, мг/дл. </w:t>
      </w:r>
    </w:p>
  </w:footnote>
  <w:footnote w:id="27">
    <w:p w:rsidR="00D27BC6" w:rsidRDefault="004D5071">
      <w:pPr>
        <w:pStyle w:val="footnotedescription"/>
        <w:spacing w:after="251"/>
        <w:ind w:left="1"/>
      </w:pPr>
      <w:r>
        <w:rPr>
          <w:rStyle w:val="footnotemark"/>
        </w:rPr>
        <w:footnoteRef/>
      </w:r>
      <w:r>
        <w:t xml:space="preserve"> Условные значения для детей и подрос</w:t>
      </w:r>
      <w:r>
        <w:t>тков, для взрослых индекс HOMA-IR &lt; 2,77, индекс Matsuda &gt; 3,4</w:t>
      </w:r>
    </w:p>
    <w:p w:rsidR="00D27BC6" w:rsidRDefault="004D5071">
      <w:pPr>
        <w:pStyle w:val="footnotedescription"/>
        <w:ind w:left="1"/>
      </w:pPr>
      <w:r>
        <w:rPr>
          <w:rFonts w:ascii="Times New Roman" w:eastAsia="Times New Roman" w:hAnsi="Times New Roman" w:cs="Times New Roman"/>
          <w:b/>
          <w:color w:val="6F6F6E"/>
          <w:sz w:val="20"/>
        </w:rPr>
        <w:t xml:space="preserve"> </w:t>
      </w:r>
      <w:r>
        <w:rPr>
          <w:b/>
          <w:color w:val="6F6F6E"/>
          <w:sz w:val="20"/>
        </w:rPr>
        <w:t>Скрининг детей на СД 2 типа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D27BC6">
    <w:pPr>
      <w:spacing w:after="160" w:line="259" w:lineRule="auto"/>
      <w:ind w:left="0" w:right="0" w:firstLine="0"/>
      <w:jc w:val="left"/>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0" w:right="21" w:firstLine="0"/>
      <w:jc w:val="right"/>
    </w:pPr>
    <w:r>
      <w:rPr>
        <w:noProof/>
        <w:sz w:val="22"/>
      </w:rPr>
      <mc:AlternateContent>
        <mc:Choice Requires="wpg">
          <w:drawing>
            <wp:anchor distT="0" distB="0" distL="114300" distR="114300" simplePos="0" relativeHeight="251670528" behindDoc="0" locked="0" layoutInCell="1" allowOverlap="1">
              <wp:simplePos x="0" y="0"/>
              <wp:positionH relativeFrom="page">
                <wp:posOffset>540000</wp:posOffset>
              </wp:positionH>
              <wp:positionV relativeFrom="page">
                <wp:posOffset>454247</wp:posOffset>
              </wp:positionV>
              <wp:extent cx="6479997" cy="12700"/>
              <wp:effectExtent l="0" t="0" r="0" b="0"/>
              <wp:wrapSquare wrapText="bothSides"/>
              <wp:docPr id="358378" name="Group 358378"/>
              <wp:cNvGraphicFramePr/>
              <a:graphic xmlns:a="http://schemas.openxmlformats.org/drawingml/2006/main">
                <a:graphicData uri="http://schemas.microsoft.com/office/word/2010/wordprocessingGroup">
                  <wpg:wgp>
                    <wpg:cNvGrpSpPr/>
                    <wpg:grpSpPr>
                      <a:xfrm>
                        <a:off x="0" y="0"/>
                        <a:ext cx="6479997" cy="12700"/>
                        <a:chOff x="0" y="0"/>
                        <a:chExt cx="6479997" cy="12700"/>
                      </a:xfrm>
                    </wpg:grpSpPr>
                    <wps:wsp>
                      <wps:cNvPr id="358379" name="Shape 358379"/>
                      <wps:cNvSpPr/>
                      <wps:spPr>
                        <a:xfrm>
                          <a:off x="0" y="0"/>
                          <a:ext cx="6479997" cy="0"/>
                        </a:xfrm>
                        <a:custGeom>
                          <a:avLst/>
                          <a:gdLst/>
                          <a:ahLst/>
                          <a:cxnLst/>
                          <a:rect l="0" t="0" r="0" b="0"/>
                          <a:pathLst>
                            <a:path w="6479997">
                              <a:moveTo>
                                <a:pt x="0" y="0"/>
                              </a:moveTo>
                              <a:lnTo>
                                <a:pt x="6479997"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378" style="width:510.236pt;height:1pt;position:absolute;mso-position-horizontal-relative:page;mso-position-horizontal:absolute;margin-left:42.5197pt;mso-position-vertical-relative:page;margin-top:35.7675pt;" coordsize="64799,127">
              <v:shape id="Shape 358379" style="position:absolute;width:64799;height:0;left:0;top:0;" coordsize="6479997,0" path="m0,0l6479997,0">
                <v:stroke weight="1pt" endcap="flat" joinstyle="miter" miterlimit="4" on="true" color="#000000"/>
                <v:fill on="false" color="#000000" opacity="0"/>
              </v:shape>
              <w10:wrap type="square"/>
            </v:group>
          </w:pict>
        </mc:Fallback>
      </mc:AlternateContent>
    </w:r>
    <w:r>
      <w:rPr>
        <w:i/>
      </w:rPr>
      <w:t>Сахарный диабет.2025;28(5S):1-175. doi: https://doi.org/10.1</w:t>
    </w:r>
    <w:r>
      <w:rPr>
        <w:i/>
      </w:rPr>
      <w:t>4341/DM20255S</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32" w:right="0" w:firstLine="0"/>
      <w:jc w:val="left"/>
    </w:pPr>
    <w:r>
      <w:rPr>
        <w:noProof/>
        <w:sz w:val="22"/>
      </w:rPr>
      <mc:AlternateContent>
        <mc:Choice Requires="wpg">
          <w:drawing>
            <wp:anchor distT="0" distB="0" distL="114300" distR="114300" simplePos="0" relativeHeight="251671552" behindDoc="0" locked="0" layoutInCell="1" allowOverlap="1">
              <wp:simplePos x="0" y="0"/>
              <wp:positionH relativeFrom="page">
                <wp:posOffset>540000</wp:posOffset>
              </wp:positionH>
              <wp:positionV relativeFrom="page">
                <wp:posOffset>454247</wp:posOffset>
              </wp:positionV>
              <wp:extent cx="6487198" cy="12700"/>
              <wp:effectExtent l="0" t="0" r="0" b="0"/>
              <wp:wrapSquare wrapText="bothSides"/>
              <wp:docPr id="358359" name="Group 358359"/>
              <wp:cNvGraphicFramePr/>
              <a:graphic xmlns:a="http://schemas.openxmlformats.org/drawingml/2006/main">
                <a:graphicData uri="http://schemas.microsoft.com/office/word/2010/wordprocessingGroup">
                  <wpg:wgp>
                    <wpg:cNvGrpSpPr/>
                    <wpg:grpSpPr>
                      <a:xfrm>
                        <a:off x="0" y="0"/>
                        <a:ext cx="6487198" cy="12700"/>
                        <a:chOff x="0" y="0"/>
                        <a:chExt cx="6487198" cy="12700"/>
                      </a:xfrm>
                    </wpg:grpSpPr>
                    <wps:wsp>
                      <wps:cNvPr id="358360" name="Shape 358360"/>
                      <wps:cNvSpPr/>
                      <wps:spPr>
                        <a:xfrm>
                          <a:off x="0" y="0"/>
                          <a:ext cx="6487198" cy="0"/>
                        </a:xfrm>
                        <a:custGeom>
                          <a:avLst/>
                          <a:gdLst/>
                          <a:ahLst/>
                          <a:cxnLst/>
                          <a:rect l="0" t="0" r="0" b="0"/>
                          <a:pathLst>
                            <a:path w="6487198">
                              <a:moveTo>
                                <a:pt x="0" y="0"/>
                              </a:moveTo>
                              <a:lnTo>
                                <a:pt x="6487198"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359" style="width:510.803pt;height:1pt;position:absolute;mso-position-horizontal-relative:page;mso-position-horizontal:absolute;margin-left:42.5197pt;mso-position-vertical-relative:page;margin-top:35.7675pt;" coordsize="64871,127">
              <v:shape id="Shape 358360" style="position:absolute;width:64871;height:0;left:0;top:0;" coordsize="6487198,0" path="m0,0l6487198,0">
                <v:stroke weight="1pt" endcap="flat" joinstyle="miter" miterlimit="4" on="true" color="#000000"/>
                <v:fill on="false" color="#000000" opacity="0"/>
              </v:shape>
              <w10:wrap type="square"/>
            </v:group>
          </w:pict>
        </mc:Fallback>
      </mc:AlternateContent>
    </w:r>
    <w:r>
      <w:rPr>
        <w:i/>
      </w:rPr>
      <w:t>Сахарный диабет.2025;28(5S):1-175. doi: https://doi.org/10.14341/DM20255S</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32" w:right="0" w:firstLine="0"/>
      <w:jc w:val="left"/>
    </w:pPr>
    <w:r>
      <w:rPr>
        <w:noProof/>
        <w:sz w:val="22"/>
      </w:rPr>
      <mc:AlternateContent>
        <mc:Choice Requires="wpg">
          <w:drawing>
            <wp:anchor distT="0" distB="0" distL="114300" distR="114300" simplePos="0" relativeHeight="251672576" behindDoc="0" locked="0" layoutInCell="1" allowOverlap="1">
              <wp:simplePos x="0" y="0"/>
              <wp:positionH relativeFrom="page">
                <wp:posOffset>540000</wp:posOffset>
              </wp:positionH>
              <wp:positionV relativeFrom="page">
                <wp:posOffset>454247</wp:posOffset>
              </wp:positionV>
              <wp:extent cx="6487198" cy="12700"/>
              <wp:effectExtent l="0" t="0" r="0" b="0"/>
              <wp:wrapSquare wrapText="bothSides"/>
              <wp:docPr id="358340" name="Group 358340"/>
              <wp:cNvGraphicFramePr/>
              <a:graphic xmlns:a="http://schemas.openxmlformats.org/drawingml/2006/main">
                <a:graphicData uri="http://schemas.microsoft.com/office/word/2010/wordprocessingGroup">
                  <wpg:wgp>
                    <wpg:cNvGrpSpPr/>
                    <wpg:grpSpPr>
                      <a:xfrm>
                        <a:off x="0" y="0"/>
                        <a:ext cx="6487198" cy="12700"/>
                        <a:chOff x="0" y="0"/>
                        <a:chExt cx="6487198" cy="12700"/>
                      </a:xfrm>
                    </wpg:grpSpPr>
                    <wps:wsp>
                      <wps:cNvPr id="358341" name="Shape 358341"/>
                      <wps:cNvSpPr/>
                      <wps:spPr>
                        <a:xfrm>
                          <a:off x="0" y="0"/>
                          <a:ext cx="6487198" cy="0"/>
                        </a:xfrm>
                        <a:custGeom>
                          <a:avLst/>
                          <a:gdLst/>
                          <a:ahLst/>
                          <a:cxnLst/>
                          <a:rect l="0" t="0" r="0" b="0"/>
                          <a:pathLst>
                            <a:path w="6487198">
                              <a:moveTo>
                                <a:pt x="0" y="0"/>
                              </a:moveTo>
                              <a:lnTo>
                                <a:pt x="6487198"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340" style="width:510.803pt;height:1pt;position:absolute;mso-position-horizontal-relative:page;mso-position-horizontal:absolute;margin-left:42.5197pt;mso-position-vertical-relative:page;margin-top:35.7675pt;" coordsize="64871,127">
              <v:shape id="Shape 358341" style="position:absolute;width:64871;height:0;left:0;top:0;" coordsize="6487198,0" path="m0,0l6487198,0">
                <v:stroke weight="1pt" endcap="flat" joinstyle="miter" miterlimit="4" on="true" color="#000000"/>
                <v:fill on="false" color="#000000" opacity="0"/>
              </v:shape>
              <w10:wrap type="square"/>
            </v:group>
          </w:pict>
        </mc:Fallback>
      </mc:AlternateContent>
    </w:r>
    <w:r>
      <w:rPr>
        <w:i/>
      </w:rPr>
      <w:t>Сахарный диабет.2025;28(5S):1-175. doi: https://doi.org/10.14341/DM20255S</w: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1440" w:right="10466" w:firstLine="0"/>
      <w:jc w:val="left"/>
    </w:pPr>
    <w:r>
      <w:rPr>
        <w:noProof/>
        <w:sz w:val="22"/>
      </w:rPr>
      <mc:AlternateContent>
        <mc:Choice Requires="wpg">
          <w:drawing>
            <wp:anchor distT="0" distB="0" distL="114300" distR="114300" simplePos="0" relativeHeight="251676672" behindDoc="0" locked="0" layoutInCell="1" allowOverlap="1">
              <wp:simplePos x="0" y="0"/>
              <wp:positionH relativeFrom="page">
                <wp:posOffset>540000</wp:posOffset>
              </wp:positionH>
              <wp:positionV relativeFrom="page">
                <wp:posOffset>454247</wp:posOffset>
              </wp:positionV>
              <wp:extent cx="6479997" cy="12700"/>
              <wp:effectExtent l="0" t="0" r="0" b="0"/>
              <wp:wrapSquare wrapText="bothSides"/>
              <wp:docPr id="358414" name="Group 358414"/>
              <wp:cNvGraphicFramePr/>
              <a:graphic xmlns:a="http://schemas.openxmlformats.org/drawingml/2006/main">
                <a:graphicData uri="http://schemas.microsoft.com/office/word/2010/wordprocessingGroup">
                  <wpg:wgp>
                    <wpg:cNvGrpSpPr/>
                    <wpg:grpSpPr>
                      <a:xfrm>
                        <a:off x="0" y="0"/>
                        <a:ext cx="6479997" cy="12700"/>
                        <a:chOff x="0" y="0"/>
                        <a:chExt cx="6479997" cy="12700"/>
                      </a:xfrm>
                    </wpg:grpSpPr>
                    <wps:wsp>
                      <wps:cNvPr id="358415" name="Shape 358415"/>
                      <wps:cNvSpPr/>
                      <wps:spPr>
                        <a:xfrm>
                          <a:off x="0" y="0"/>
                          <a:ext cx="6479997" cy="0"/>
                        </a:xfrm>
                        <a:custGeom>
                          <a:avLst/>
                          <a:gdLst/>
                          <a:ahLst/>
                          <a:cxnLst/>
                          <a:rect l="0" t="0" r="0" b="0"/>
                          <a:pathLst>
                            <a:path w="6479997">
                              <a:moveTo>
                                <a:pt x="0" y="0"/>
                              </a:moveTo>
                              <a:lnTo>
                                <a:pt x="6479997"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414" style="width:510.236pt;height:1pt;position:absolute;mso-position-horizontal-relative:page;mso-position-horizontal:absolute;margin-left:42.5197pt;mso-position-vertical-relative:page;margin-top:35.7675pt;" coordsize="64799,127">
              <v:shape id="Shape 358415" style="position:absolute;width:64799;height:0;left:0;top:0;" coordsize="6479997,0" path="m0,0l6479997,0">
                <v:stroke weight="1pt" endcap="flat" joinstyle="miter" miterlimit="4" on="true" color="#000000"/>
                <v:fill on="false" color="#000000" opacity="0"/>
              </v:shape>
              <w10:wrap type="square"/>
            </v:group>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1440" w:right="10466" w:firstLine="0"/>
      <w:jc w:val="left"/>
    </w:pPr>
    <w:r>
      <w:rPr>
        <w:noProof/>
        <w:sz w:val="22"/>
      </w:rPr>
      <mc:AlternateContent>
        <mc:Choice Requires="wpg">
          <w:drawing>
            <wp:anchor distT="0" distB="0" distL="114300" distR="114300" simplePos="0" relativeHeight="251677696" behindDoc="0" locked="0" layoutInCell="1" allowOverlap="1">
              <wp:simplePos x="0" y="0"/>
              <wp:positionH relativeFrom="page">
                <wp:posOffset>540000</wp:posOffset>
              </wp:positionH>
              <wp:positionV relativeFrom="page">
                <wp:posOffset>454247</wp:posOffset>
              </wp:positionV>
              <wp:extent cx="6479997" cy="12700"/>
              <wp:effectExtent l="0" t="0" r="0" b="0"/>
              <wp:wrapSquare wrapText="bothSides"/>
              <wp:docPr id="358407" name="Group 358407"/>
              <wp:cNvGraphicFramePr/>
              <a:graphic xmlns:a="http://schemas.openxmlformats.org/drawingml/2006/main">
                <a:graphicData uri="http://schemas.microsoft.com/office/word/2010/wordprocessingGroup">
                  <wpg:wgp>
                    <wpg:cNvGrpSpPr/>
                    <wpg:grpSpPr>
                      <a:xfrm>
                        <a:off x="0" y="0"/>
                        <a:ext cx="6479997" cy="12700"/>
                        <a:chOff x="0" y="0"/>
                        <a:chExt cx="6479997" cy="12700"/>
                      </a:xfrm>
                    </wpg:grpSpPr>
                    <wps:wsp>
                      <wps:cNvPr id="358408" name="Shape 358408"/>
                      <wps:cNvSpPr/>
                      <wps:spPr>
                        <a:xfrm>
                          <a:off x="0" y="0"/>
                          <a:ext cx="6479997" cy="0"/>
                        </a:xfrm>
                        <a:custGeom>
                          <a:avLst/>
                          <a:gdLst/>
                          <a:ahLst/>
                          <a:cxnLst/>
                          <a:rect l="0" t="0" r="0" b="0"/>
                          <a:pathLst>
                            <a:path w="6479997">
                              <a:moveTo>
                                <a:pt x="0" y="0"/>
                              </a:moveTo>
                              <a:lnTo>
                                <a:pt x="6479997"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407" style="width:510.236pt;height:1pt;position:absolute;mso-position-horizontal-relative:page;mso-position-horizontal:absolute;margin-left:42.5197pt;mso-position-vertical-relative:page;margin-top:35.7675pt;" coordsize="64799,127">
              <v:shape id="Shape 358408" style="position:absolute;width:64799;height:0;left:0;top:0;" coordsize="6479997,0" path="m0,0l6479997,0">
                <v:stroke weight="1pt" endcap="flat" joinstyle="miter" miterlimit="4" on="true" color="#000000"/>
                <v:fill on="false" color="#000000" opacity="0"/>
              </v:shape>
              <w10:wrap type="square"/>
            </v:group>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1440" w:right="10466" w:firstLine="0"/>
      <w:jc w:val="left"/>
    </w:pPr>
    <w:r>
      <w:rPr>
        <w:noProof/>
        <w:sz w:val="22"/>
      </w:rPr>
      <mc:AlternateContent>
        <mc:Choice Requires="wpg">
          <w:drawing>
            <wp:anchor distT="0" distB="0" distL="114300" distR="114300" simplePos="0" relativeHeight="251678720" behindDoc="0" locked="0" layoutInCell="1" allowOverlap="1">
              <wp:simplePos x="0" y="0"/>
              <wp:positionH relativeFrom="page">
                <wp:posOffset>540000</wp:posOffset>
              </wp:positionH>
              <wp:positionV relativeFrom="page">
                <wp:posOffset>454247</wp:posOffset>
              </wp:positionV>
              <wp:extent cx="6479997" cy="12700"/>
              <wp:effectExtent l="0" t="0" r="0" b="0"/>
              <wp:wrapSquare wrapText="bothSides"/>
              <wp:docPr id="358400" name="Group 358400"/>
              <wp:cNvGraphicFramePr/>
              <a:graphic xmlns:a="http://schemas.openxmlformats.org/drawingml/2006/main">
                <a:graphicData uri="http://schemas.microsoft.com/office/word/2010/wordprocessingGroup">
                  <wpg:wgp>
                    <wpg:cNvGrpSpPr/>
                    <wpg:grpSpPr>
                      <a:xfrm>
                        <a:off x="0" y="0"/>
                        <a:ext cx="6479997" cy="12700"/>
                        <a:chOff x="0" y="0"/>
                        <a:chExt cx="6479997" cy="12700"/>
                      </a:xfrm>
                    </wpg:grpSpPr>
                    <wps:wsp>
                      <wps:cNvPr id="358401" name="Shape 358401"/>
                      <wps:cNvSpPr/>
                      <wps:spPr>
                        <a:xfrm>
                          <a:off x="0" y="0"/>
                          <a:ext cx="6479997" cy="0"/>
                        </a:xfrm>
                        <a:custGeom>
                          <a:avLst/>
                          <a:gdLst/>
                          <a:ahLst/>
                          <a:cxnLst/>
                          <a:rect l="0" t="0" r="0" b="0"/>
                          <a:pathLst>
                            <a:path w="6479997">
                              <a:moveTo>
                                <a:pt x="0" y="0"/>
                              </a:moveTo>
                              <a:lnTo>
                                <a:pt x="6479997"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400" style="width:510.236pt;height:1pt;position:absolute;mso-position-horizontal-relative:page;mso-position-horizontal:absolute;margin-left:42.5197pt;mso-position-vertical-relative:page;margin-top:35.7675pt;" coordsize="64799,127">
              <v:shape id="Shape 358401" style="position:absolute;width:64799;height:0;left:0;top:0;" coordsize="6479997,0" path="m0,0l6479997,0">
                <v:stroke weight="1pt" endcap="flat" joinstyle="miter" miterlimit="4" on="true" color="#000000"/>
                <v:fill on="false" color="#000000" opacity="0"/>
              </v:shape>
              <w10:wrap type="squar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D27BC6">
    <w:pPr>
      <w:spacing w:after="160" w:line="259" w:lineRule="auto"/>
      <w:ind w:left="0" w:righ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D27BC6">
    <w:pPr>
      <w:spacing w:after="160" w:line="259" w:lineRule="auto"/>
      <w:ind w:left="0" w:right="0" w:firstLine="0"/>
      <w:jc w:val="lef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0" w:right="26" w:firstLine="0"/>
      <w:jc w:val="right"/>
    </w:pPr>
    <w:r>
      <w:rPr>
        <w:noProof/>
        <w:sz w:val="22"/>
      </w:rPr>
      <mc:AlternateContent>
        <mc:Choice Requires="wpg">
          <w:drawing>
            <wp:anchor distT="0" distB="0" distL="114300" distR="114300" simplePos="0" relativeHeight="251658240" behindDoc="0" locked="0" layoutInCell="1" allowOverlap="1">
              <wp:simplePos x="0" y="0"/>
              <wp:positionH relativeFrom="page">
                <wp:posOffset>540000</wp:posOffset>
              </wp:positionH>
              <wp:positionV relativeFrom="page">
                <wp:posOffset>454247</wp:posOffset>
              </wp:positionV>
              <wp:extent cx="6479997" cy="12700"/>
              <wp:effectExtent l="0" t="0" r="0" b="0"/>
              <wp:wrapSquare wrapText="bothSides"/>
              <wp:docPr id="358253" name="Group 358253"/>
              <wp:cNvGraphicFramePr/>
              <a:graphic xmlns:a="http://schemas.openxmlformats.org/drawingml/2006/main">
                <a:graphicData uri="http://schemas.microsoft.com/office/word/2010/wordprocessingGroup">
                  <wpg:wgp>
                    <wpg:cNvGrpSpPr/>
                    <wpg:grpSpPr>
                      <a:xfrm>
                        <a:off x="0" y="0"/>
                        <a:ext cx="6479997" cy="12700"/>
                        <a:chOff x="0" y="0"/>
                        <a:chExt cx="6479997" cy="12700"/>
                      </a:xfrm>
                    </wpg:grpSpPr>
                    <wps:wsp>
                      <wps:cNvPr id="358254" name="Shape 358254"/>
                      <wps:cNvSpPr/>
                      <wps:spPr>
                        <a:xfrm>
                          <a:off x="0" y="0"/>
                          <a:ext cx="6479997" cy="0"/>
                        </a:xfrm>
                        <a:custGeom>
                          <a:avLst/>
                          <a:gdLst/>
                          <a:ahLst/>
                          <a:cxnLst/>
                          <a:rect l="0" t="0" r="0" b="0"/>
                          <a:pathLst>
                            <a:path w="6479997">
                              <a:moveTo>
                                <a:pt x="0" y="0"/>
                              </a:moveTo>
                              <a:lnTo>
                                <a:pt x="6479997"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253" style="width:510.236pt;height:1pt;position:absolute;mso-position-horizontal-relative:page;mso-position-horizontal:absolute;margin-left:42.5197pt;mso-position-vertical-relative:page;margin-top:35.7675pt;" coordsize="64799,127">
              <v:shape id="Shape 358254" style="position:absolute;width:64799;height:0;left:0;top:0;" coordsize="6479997,0" path="m0,0l6479997,0">
                <v:stroke weight="1pt" endcap="flat" joinstyle="miter" miterlimit="4" on="true" color="#000000"/>
                <v:fill on="false" color="#000000" opacity="0"/>
              </v:shape>
              <w10:wrap type="square"/>
            </v:group>
          </w:pict>
        </mc:Fallback>
      </mc:AlternateContent>
    </w:r>
    <w:r>
      <w:rPr>
        <w:i/>
      </w:rPr>
      <w:t>Сахарный диабет.2025;28(5S)</w:t>
    </w:r>
    <w:r>
      <w:rPr>
        <w:i/>
      </w:rPr>
      <w:t>:1-175. doi: https://doi.org/10.14341/DM20255S</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33" w:right="0" w:firstLine="0"/>
      <w:jc w:val="left"/>
    </w:pPr>
    <w:r>
      <w:rPr>
        <w:noProof/>
        <w:sz w:val="22"/>
      </w:rPr>
      <mc:AlternateContent>
        <mc:Choice Requires="wpg">
          <w:drawing>
            <wp:anchor distT="0" distB="0" distL="114300" distR="114300" simplePos="0" relativeHeight="251659264" behindDoc="0" locked="0" layoutInCell="1" allowOverlap="1">
              <wp:simplePos x="0" y="0"/>
              <wp:positionH relativeFrom="page">
                <wp:posOffset>540000</wp:posOffset>
              </wp:positionH>
              <wp:positionV relativeFrom="page">
                <wp:posOffset>454247</wp:posOffset>
              </wp:positionV>
              <wp:extent cx="6487198" cy="12700"/>
              <wp:effectExtent l="0" t="0" r="0" b="0"/>
              <wp:wrapSquare wrapText="bothSides"/>
              <wp:docPr id="358234" name="Group 358234"/>
              <wp:cNvGraphicFramePr/>
              <a:graphic xmlns:a="http://schemas.openxmlformats.org/drawingml/2006/main">
                <a:graphicData uri="http://schemas.microsoft.com/office/word/2010/wordprocessingGroup">
                  <wpg:wgp>
                    <wpg:cNvGrpSpPr/>
                    <wpg:grpSpPr>
                      <a:xfrm>
                        <a:off x="0" y="0"/>
                        <a:ext cx="6487198" cy="12700"/>
                        <a:chOff x="0" y="0"/>
                        <a:chExt cx="6487198" cy="12700"/>
                      </a:xfrm>
                    </wpg:grpSpPr>
                    <wps:wsp>
                      <wps:cNvPr id="358235" name="Shape 358235"/>
                      <wps:cNvSpPr/>
                      <wps:spPr>
                        <a:xfrm>
                          <a:off x="0" y="0"/>
                          <a:ext cx="6487198" cy="0"/>
                        </a:xfrm>
                        <a:custGeom>
                          <a:avLst/>
                          <a:gdLst/>
                          <a:ahLst/>
                          <a:cxnLst/>
                          <a:rect l="0" t="0" r="0" b="0"/>
                          <a:pathLst>
                            <a:path w="6487198">
                              <a:moveTo>
                                <a:pt x="0" y="0"/>
                              </a:moveTo>
                              <a:lnTo>
                                <a:pt x="6487198"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234" style="width:510.803pt;height:1pt;position:absolute;mso-position-horizontal-relative:page;mso-position-horizontal:absolute;margin-left:42.5197pt;mso-position-vertical-relative:page;margin-top:35.7675pt;" coordsize="64871,127">
              <v:shape id="Shape 358235" style="position:absolute;width:64871;height:0;left:0;top:0;" coordsize="6487198,0" path="m0,0l6487198,0">
                <v:stroke weight="1pt" endcap="flat" joinstyle="miter" miterlimit="4" on="true" color="#000000"/>
                <v:fill on="false" color="#000000" opacity="0"/>
              </v:shape>
              <w10:wrap type="square"/>
            </v:group>
          </w:pict>
        </mc:Fallback>
      </mc:AlternateContent>
    </w:r>
    <w:r>
      <w:rPr>
        <w:i/>
      </w:rPr>
      <w:t>Сахарный диабет.2025;28(5S):1-175. doi: https://doi.org/10.14341/DM20255S</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0" w:line="259" w:lineRule="auto"/>
      <w:ind w:left="33" w:right="0" w:firstLine="0"/>
      <w:jc w:val="left"/>
    </w:pPr>
    <w:r>
      <w:rPr>
        <w:noProof/>
        <w:sz w:val="22"/>
      </w:rPr>
      <mc:AlternateContent>
        <mc:Choice Requires="wpg">
          <w:drawing>
            <wp:anchor distT="0" distB="0" distL="114300" distR="114300" simplePos="0" relativeHeight="251660288" behindDoc="0" locked="0" layoutInCell="1" allowOverlap="1">
              <wp:simplePos x="0" y="0"/>
              <wp:positionH relativeFrom="page">
                <wp:posOffset>540000</wp:posOffset>
              </wp:positionH>
              <wp:positionV relativeFrom="page">
                <wp:posOffset>454247</wp:posOffset>
              </wp:positionV>
              <wp:extent cx="6487198" cy="12700"/>
              <wp:effectExtent l="0" t="0" r="0" b="0"/>
              <wp:wrapSquare wrapText="bothSides"/>
              <wp:docPr id="358215" name="Group 358215"/>
              <wp:cNvGraphicFramePr/>
              <a:graphic xmlns:a="http://schemas.openxmlformats.org/drawingml/2006/main">
                <a:graphicData uri="http://schemas.microsoft.com/office/word/2010/wordprocessingGroup">
                  <wpg:wgp>
                    <wpg:cNvGrpSpPr/>
                    <wpg:grpSpPr>
                      <a:xfrm>
                        <a:off x="0" y="0"/>
                        <a:ext cx="6487198" cy="12700"/>
                        <a:chOff x="0" y="0"/>
                        <a:chExt cx="6487198" cy="12700"/>
                      </a:xfrm>
                    </wpg:grpSpPr>
                    <wps:wsp>
                      <wps:cNvPr id="358216" name="Shape 358216"/>
                      <wps:cNvSpPr/>
                      <wps:spPr>
                        <a:xfrm>
                          <a:off x="0" y="0"/>
                          <a:ext cx="6487198" cy="0"/>
                        </a:xfrm>
                        <a:custGeom>
                          <a:avLst/>
                          <a:gdLst/>
                          <a:ahLst/>
                          <a:cxnLst/>
                          <a:rect l="0" t="0" r="0" b="0"/>
                          <a:pathLst>
                            <a:path w="6487198">
                              <a:moveTo>
                                <a:pt x="0" y="0"/>
                              </a:moveTo>
                              <a:lnTo>
                                <a:pt x="6487198"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215" style="width:510.803pt;height:1pt;position:absolute;mso-position-horizontal-relative:page;mso-position-horizontal:absolute;margin-left:42.5197pt;mso-position-vertical-relative:page;margin-top:35.7675pt;" coordsize="64871,127">
              <v:shape id="Shape 358216" style="position:absolute;width:64871;height:0;left:0;top:0;" coordsize="6487198,0" path="m0,0l6487198,0">
                <v:stroke weight="1pt" endcap="flat" joinstyle="miter" miterlimit="4" on="true" color="#000000"/>
                <v:fill on="false" color="#000000" opacity="0"/>
              </v:shape>
              <w10:wrap type="square"/>
            </v:group>
          </w:pict>
        </mc:Fallback>
      </mc:AlternateContent>
    </w:r>
    <w:r>
      <w:rPr>
        <w:i/>
      </w:rPr>
      <w:t>Сахарный диабет.2025;28(5S):1-175. doi: https://doi.org/10.14341/DM20255S</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316" w:line="259" w:lineRule="auto"/>
      <w:ind w:left="0" w:right="21" w:firstLine="0"/>
      <w:jc w:val="right"/>
    </w:pPr>
    <w:r>
      <w:rPr>
        <w:noProof/>
        <w:sz w:val="22"/>
      </w:rPr>
      <mc:AlternateContent>
        <mc:Choice Requires="wpg">
          <w:drawing>
            <wp:anchor distT="0" distB="0" distL="114300" distR="114300" simplePos="0" relativeHeight="251664384" behindDoc="0" locked="0" layoutInCell="1" allowOverlap="1">
              <wp:simplePos x="0" y="0"/>
              <wp:positionH relativeFrom="page">
                <wp:posOffset>540000</wp:posOffset>
              </wp:positionH>
              <wp:positionV relativeFrom="page">
                <wp:posOffset>454247</wp:posOffset>
              </wp:positionV>
              <wp:extent cx="6479997" cy="12700"/>
              <wp:effectExtent l="0" t="0" r="0" b="0"/>
              <wp:wrapSquare wrapText="bothSides"/>
              <wp:docPr id="358317" name="Group 358317"/>
              <wp:cNvGraphicFramePr/>
              <a:graphic xmlns:a="http://schemas.openxmlformats.org/drawingml/2006/main">
                <a:graphicData uri="http://schemas.microsoft.com/office/word/2010/wordprocessingGroup">
                  <wpg:wgp>
                    <wpg:cNvGrpSpPr/>
                    <wpg:grpSpPr>
                      <a:xfrm>
                        <a:off x="0" y="0"/>
                        <a:ext cx="6479997" cy="12700"/>
                        <a:chOff x="0" y="0"/>
                        <a:chExt cx="6479997" cy="12700"/>
                      </a:xfrm>
                    </wpg:grpSpPr>
                    <wps:wsp>
                      <wps:cNvPr id="358318" name="Shape 358318"/>
                      <wps:cNvSpPr/>
                      <wps:spPr>
                        <a:xfrm>
                          <a:off x="0" y="0"/>
                          <a:ext cx="6479997" cy="0"/>
                        </a:xfrm>
                        <a:custGeom>
                          <a:avLst/>
                          <a:gdLst/>
                          <a:ahLst/>
                          <a:cxnLst/>
                          <a:rect l="0" t="0" r="0" b="0"/>
                          <a:pathLst>
                            <a:path w="6479997">
                              <a:moveTo>
                                <a:pt x="0" y="0"/>
                              </a:moveTo>
                              <a:lnTo>
                                <a:pt x="6479997"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317" style="width:510.236pt;height:1pt;position:absolute;mso-position-horizontal-relative:page;mso-position-horizontal:absolute;margin-left:42.5197pt;mso-position-vertical-relative:page;margin-top:35.7675pt;" coordsize="64799,127">
              <v:shape id="Shape 358318" style="position:absolute;width:64799;height:0;left:0;top:0;" coordsize="6479997,0" path="m0,0l6479997,0">
                <v:stroke weight="1pt" endcap="flat" joinstyle="miter" miterlimit="4" on="true" color="#000000"/>
                <v:fill on="false" color="#000000" opacity="0"/>
              </v:shape>
              <w10:wrap type="square"/>
            </v:group>
          </w:pict>
        </mc:Fallback>
      </mc:AlternateContent>
    </w:r>
    <w:r>
      <w:rPr>
        <w:i/>
      </w:rPr>
      <w:t>Сахарный диабет.2025;28(5S):1-175. doi: https://doi.org/10.14341/DM20255S</w:t>
    </w:r>
  </w:p>
  <w:p w:rsidR="00D27BC6" w:rsidRDefault="004D5071">
    <w:pPr>
      <w:spacing w:after="0" w:line="259" w:lineRule="auto"/>
      <w:ind w:left="0" w:right="0" w:firstLine="0"/>
      <w:jc w:val="left"/>
    </w:pPr>
    <w: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316" w:line="259" w:lineRule="auto"/>
      <w:ind w:left="32" w:right="0" w:firstLine="0"/>
      <w:jc w:val="left"/>
    </w:pPr>
    <w:r>
      <w:rPr>
        <w:noProof/>
        <w:sz w:val="22"/>
      </w:rPr>
      <mc:AlternateContent>
        <mc:Choice Requires="wpg">
          <w:drawing>
            <wp:anchor distT="0" distB="0" distL="114300" distR="114300" simplePos="0" relativeHeight="251665408" behindDoc="0" locked="0" layoutInCell="1" allowOverlap="1">
              <wp:simplePos x="0" y="0"/>
              <wp:positionH relativeFrom="page">
                <wp:posOffset>540000</wp:posOffset>
              </wp:positionH>
              <wp:positionV relativeFrom="page">
                <wp:posOffset>454247</wp:posOffset>
              </wp:positionV>
              <wp:extent cx="6487198" cy="12700"/>
              <wp:effectExtent l="0" t="0" r="0" b="0"/>
              <wp:wrapSquare wrapText="bothSides"/>
              <wp:docPr id="358295" name="Group 358295"/>
              <wp:cNvGraphicFramePr/>
              <a:graphic xmlns:a="http://schemas.openxmlformats.org/drawingml/2006/main">
                <a:graphicData uri="http://schemas.microsoft.com/office/word/2010/wordprocessingGroup">
                  <wpg:wgp>
                    <wpg:cNvGrpSpPr/>
                    <wpg:grpSpPr>
                      <a:xfrm>
                        <a:off x="0" y="0"/>
                        <a:ext cx="6487198" cy="12700"/>
                        <a:chOff x="0" y="0"/>
                        <a:chExt cx="6487198" cy="12700"/>
                      </a:xfrm>
                    </wpg:grpSpPr>
                    <wps:wsp>
                      <wps:cNvPr id="358296" name="Shape 358296"/>
                      <wps:cNvSpPr/>
                      <wps:spPr>
                        <a:xfrm>
                          <a:off x="0" y="0"/>
                          <a:ext cx="6487198" cy="0"/>
                        </a:xfrm>
                        <a:custGeom>
                          <a:avLst/>
                          <a:gdLst/>
                          <a:ahLst/>
                          <a:cxnLst/>
                          <a:rect l="0" t="0" r="0" b="0"/>
                          <a:pathLst>
                            <a:path w="6487198">
                              <a:moveTo>
                                <a:pt x="0" y="0"/>
                              </a:moveTo>
                              <a:lnTo>
                                <a:pt x="6487198"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295" style="width:510.803pt;height:1pt;position:absolute;mso-position-horizontal-relative:page;mso-position-horizontal:absolute;margin-left:42.5197pt;mso-position-vertical-relative:page;margin-top:35.7675pt;" coordsize="64871,127">
              <v:shape id="Shape 358296" style="position:absolute;width:64871;height:0;left:0;top:0;" coordsize="6487198,0" path="m0,0l6487198,0">
                <v:stroke weight="1pt" endcap="flat" joinstyle="miter" miterlimit="4" on="true" color="#000000"/>
                <v:fill on="false" color="#000000" opacity="0"/>
              </v:shape>
              <w10:wrap type="square"/>
            </v:group>
          </w:pict>
        </mc:Fallback>
      </mc:AlternateContent>
    </w:r>
    <w:r>
      <w:rPr>
        <w:i/>
      </w:rPr>
      <w:t>Сахарный диабет.2025;28(5S):1-175. doi: https://doi.org/10.14341/DM20255S</w:t>
    </w:r>
  </w:p>
  <w:p w:rsidR="00D27BC6" w:rsidRDefault="004D5071">
    <w:pPr>
      <w:spacing w:after="0" w:line="259" w:lineRule="auto"/>
      <w:ind w:left="0" w:right="0" w:firstLine="0"/>
      <w:jc w:val="left"/>
    </w:pPr>
    <w:r>
      <w:t xml:space="preserve">• </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BC6" w:rsidRDefault="004D5071">
    <w:pPr>
      <w:spacing w:after="316" w:line="259" w:lineRule="auto"/>
      <w:ind w:left="0" w:right="21" w:firstLine="0"/>
      <w:jc w:val="right"/>
    </w:pPr>
    <w:r>
      <w:rPr>
        <w:noProof/>
        <w:sz w:val="22"/>
      </w:rPr>
      <mc:AlternateContent>
        <mc:Choice Requires="wpg">
          <w:drawing>
            <wp:anchor distT="0" distB="0" distL="114300" distR="114300" simplePos="0" relativeHeight="251666432" behindDoc="0" locked="0" layoutInCell="1" allowOverlap="1">
              <wp:simplePos x="0" y="0"/>
              <wp:positionH relativeFrom="page">
                <wp:posOffset>540000</wp:posOffset>
              </wp:positionH>
              <wp:positionV relativeFrom="page">
                <wp:posOffset>454247</wp:posOffset>
              </wp:positionV>
              <wp:extent cx="6479997" cy="12700"/>
              <wp:effectExtent l="0" t="0" r="0" b="0"/>
              <wp:wrapSquare wrapText="bothSides"/>
              <wp:docPr id="358273" name="Group 358273"/>
              <wp:cNvGraphicFramePr/>
              <a:graphic xmlns:a="http://schemas.openxmlformats.org/drawingml/2006/main">
                <a:graphicData uri="http://schemas.microsoft.com/office/word/2010/wordprocessingGroup">
                  <wpg:wgp>
                    <wpg:cNvGrpSpPr/>
                    <wpg:grpSpPr>
                      <a:xfrm>
                        <a:off x="0" y="0"/>
                        <a:ext cx="6479997" cy="12700"/>
                        <a:chOff x="0" y="0"/>
                        <a:chExt cx="6479997" cy="12700"/>
                      </a:xfrm>
                    </wpg:grpSpPr>
                    <wps:wsp>
                      <wps:cNvPr id="358274" name="Shape 358274"/>
                      <wps:cNvSpPr/>
                      <wps:spPr>
                        <a:xfrm>
                          <a:off x="0" y="0"/>
                          <a:ext cx="6479997" cy="0"/>
                        </a:xfrm>
                        <a:custGeom>
                          <a:avLst/>
                          <a:gdLst/>
                          <a:ahLst/>
                          <a:cxnLst/>
                          <a:rect l="0" t="0" r="0" b="0"/>
                          <a:pathLst>
                            <a:path w="6479997">
                              <a:moveTo>
                                <a:pt x="0" y="0"/>
                              </a:moveTo>
                              <a:lnTo>
                                <a:pt x="6479997" y="0"/>
                              </a:lnTo>
                            </a:path>
                          </a:pathLst>
                        </a:custGeom>
                        <a:ln w="12700" cap="flat">
                          <a:miter lim="100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358273" style="width:510.236pt;height:1pt;position:absolute;mso-position-horizontal-relative:page;mso-position-horizontal:absolute;margin-left:42.5197pt;mso-position-vertical-relative:page;margin-top:35.7675pt;" coordsize="64799,127">
              <v:shape id="Shape 358274" style="position:absolute;width:64799;height:0;left:0;top:0;" coordsize="6479997,0" path="m0,0l6479997,0">
                <v:stroke weight="1pt" endcap="flat" joinstyle="miter" miterlimit="4" on="true" color="#000000"/>
                <v:fill on="false" color="#000000" opacity="0"/>
              </v:shape>
              <w10:wrap type="square"/>
            </v:group>
          </w:pict>
        </mc:Fallback>
      </mc:AlternateContent>
    </w:r>
    <w:r>
      <w:rPr>
        <w:i/>
      </w:rPr>
      <w:t>Сахарный диабет.2025;28(5S):1-175. doi: https://doi.org/10.14341/DM20255S</w:t>
    </w:r>
  </w:p>
  <w:p w:rsidR="00D27BC6" w:rsidRDefault="004D5071">
    <w:pPr>
      <w:spacing w:after="0" w:line="259" w:lineRule="auto"/>
      <w:ind w:left="0" w:right="0" w:firstLine="0"/>
      <w:jc w:val="left"/>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300EC"/>
    <w:multiLevelType w:val="hybridMultilevel"/>
    <w:tmpl w:val="F42836DC"/>
    <w:lvl w:ilvl="0" w:tplc="DDF0028E">
      <w:start w:val="1"/>
      <w:numFmt w:val="decimal"/>
      <w:lvlText w:val="%1."/>
      <w:lvlJc w:val="left"/>
      <w:pPr>
        <w:ind w:left="28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4AE2328E">
      <w:start w:val="1"/>
      <w:numFmt w:val="lowerLetter"/>
      <w:lvlText w:val="%2"/>
      <w:lvlJc w:val="left"/>
      <w:pPr>
        <w:ind w:left="10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CCDEEDA0">
      <w:start w:val="1"/>
      <w:numFmt w:val="lowerRoman"/>
      <w:lvlText w:val="%3"/>
      <w:lvlJc w:val="left"/>
      <w:pPr>
        <w:ind w:left="18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CC5A1E02">
      <w:start w:val="1"/>
      <w:numFmt w:val="decimal"/>
      <w:lvlText w:val="%4"/>
      <w:lvlJc w:val="left"/>
      <w:pPr>
        <w:ind w:left="2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96E6621E">
      <w:start w:val="1"/>
      <w:numFmt w:val="lowerLetter"/>
      <w:lvlText w:val="%5"/>
      <w:lvlJc w:val="left"/>
      <w:pPr>
        <w:ind w:left="32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8DC66A9C">
      <w:start w:val="1"/>
      <w:numFmt w:val="lowerRoman"/>
      <w:lvlText w:val="%6"/>
      <w:lvlJc w:val="left"/>
      <w:pPr>
        <w:ind w:left="39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5816AFD0">
      <w:start w:val="1"/>
      <w:numFmt w:val="decimal"/>
      <w:lvlText w:val="%7"/>
      <w:lvlJc w:val="left"/>
      <w:pPr>
        <w:ind w:left="46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463CF50E">
      <w:start w:val="1"/>
      <w:numFmt w:val="lowerLetter"/>
      <w:lvlText w:val="%8"/>
      <w:lvlJc w:val="left"/>
      <w:pPr>
        <w:ind w:left="54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C3426676">
      <w:start w:val="1"/>
      <w:numFmt w:val="lowerRoman"/>
      <w:lvlText w:val="%9"/>
      <w:lvlJc w:val="left"/>
      <w:pPr>
        <w:ind w:left="61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117043C"/>
    <w:multiLevelType w:val="hybridMultilevel"/>
    <w:tmpl w:val="2FC4FB8E"/>
    <w:lvl w:ilvl="0" w:tplc="30E2AF9A">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B22D7B6">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5FED9F0">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D18911E">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68CA350">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65CDA0C">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A4AC02A">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E42DB76">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D484EAA">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 w15:restartNumberingAfterBreak="0">
    <w:nsid w:val="01264387"/>
    <w:multiLevelType w:val="hybridMultilevel"/>
    <w:tmpl w:val="8C168DF8"/>
    <w:lvl w:ilvl="0" w:tplc="F14CAB8C">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C0CD9FE">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E363B70">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FCAFD0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868665E">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02AAE8A">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4369C3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18EC95C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C4610D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 w15:restartNumberingAfterBreak="0">
    <w:nsid w:val="012A5EE0"/>
    <w:multiLevelType w:val="hybridMultilevel"/>
    <w:tmpl w:val="28441996"/>
    <w:lvl w:ilvl="0" w:tplc="F3D86D1A">
      <w:start w:val="1"/>
      <w:numFmt w:val="bullet"/>
      <w:lvlText w:val="–"/>
      <w:lvlJc w:val="left"/>
      <w:pPr>
        <w:ind w:left="3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6D09C76">
      <w:start w:val="1"/>
      <w:numFmt w:val="bullet"/>
      <w:lvlText w:val="o"/>
      <w:lvlJc w:val="left"/>
      <w:pPr>
        <w:ind w:left="13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494C298">
      <w:start w:val="1"/>
      <w:numFmt w:val="bullet"/>
      <w:lvlText w:val="▪"/>
      <w:lvlJc w:val="left"/>
      <w:pPr>
        <w:ind w:left="20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B9CE216">
      <w:start w:val="1"/>
      <w:numFmt w:val="bullet"/>
      <w:lvlText w:val="•"/>
      <w:lvlJc w:val="left"/>
      <w:pPr>
        <w:ind w:left="27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154C998">
      <w:start w:val="1"/>
      <w:numFmt w:val="bullet"/>
      <w:lvlText w:val="o"/>
      <w:lvlJc w:val="left"/>
      <w:pPr>
        <w:ind w:left="34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7703DC8">
      <w:start w:val="1"/>
      <w:numFmt w:val="bullet"/>
      <w:lvlText w:val="▪"/>
      <w:lvlJc w:val="left"/>
      <w:pPr>
        <w:ind w:left="41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AF80E04">
      <w:start w:val="1"/>
      <w:numFmt w:val="bullet"/>
      <w:lvlText w:val="•"/>
      <w:lvlJc w:val="left"/>
      <w:pPr>
        <w:ind w:left="49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ADE583E">
      <w:start w:val="1"/>
      <w:numFmt w:val="bullet"/>
      <w:lvlText w:val="o"/>
      <w:lvlJc w:val="left"/>
      <w:pPr>
        <w:ind w:left="56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C1667A4">
      <w:start w:val="1"/>
      <w:numFmt w:val="bullet"/>
      <w:lvlText w:val="▪"/>
      <w:lvlJc w:val="left"/>
      <w:pPr>
        <w:ind w:left="63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018E4E64"/>
    <w:multiLevelType w:val="hybridMultilevel"/>
    <w:tmpl w:val="4C4C76DE"/>
    <w:lvl w:ilvl="0" w:tplc="BCA0CDEE">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1C85284">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F6EBCB4">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292E46A">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9F8D47E">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C6A64F2">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452E72A">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95EBCC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85EC658">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01F84708"/>
    <w:multiLevelType w:val="hybridMultilevel"/>
    <w:tmpl w:val="6800206C"/>
    <w:lvl w:ilvl="0" w:tplc="3486424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086AEEA">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F266970">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716D3FC">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32836E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234A750">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CE09A10">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1EAB42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C8EE836">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02482E27"/>
    <w:multiLevelType w:val="hybridMultilevel"/>
    <w:tmpl w:val="8DFA4EAA"/>
    <w:lvl w:ilvl="0" w:tplc="4BC2C0D2">
      <w:start w:val="1"/>
      <w:numFmt w:val="bullet"/>
      <w:lvlText w:val="¾"/>
      <w:lvlJc w:val="left"/>
      <w:pPr>
        <w:ind w:left="28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C2640AD4">
      <w:start w:val="1"/>
      <w:numFmt w:val="bullet"/>
      <w:lvlText w:val="o"/>
      <w:lvlJc w:val="left"/>
      <w:pPr>
        <w:ind w:left="108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CA3264B2">
      <w:start w:val="1"/>
      <w:numFmt w:val="bullet"/>
      <w:lvlText w:val="▪"/>
      <w:lvlJc w:val="left"/>
      <w:pPr>
        <w:ind w:left="180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65387F4A">
      <w:start w:val="1"/>
      <w:numFmt w:val="bullet"/>
      <w:lvlText w:val="•"/>
      <w:lvlJc w:val="left"/>
      <w:pPr>
        <w:ind w:left="252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CA62945E">
      <w:start w:val="1"/>
      <w:numFmt w:val="bullet"/>
      <w:lvlText w:val="o"/>
      <w:lvlJc w:val="left"/>
      <w:pPr>
        <w:ind w:left="324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41D63F64">
      <w:start w:val="1"/>
      <w:numFmt w:val="bullet"/>
      <w:lvlText w:val="▪"/>
      <w:lvlJc w:val="left"/>
      <w:pPr>
        <w:ind w:left="39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49E087B8">
      <w:start w:val="1"/>
      <w:numFmt w:val="bullet"/>
      <w:lvlText w:val="•"/>
      <w:lvlJc w:val="left"/>
      <w:pPr>
        <w:ind w:left="468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4128E94C">
      <w:start w:val="1"/>
      <w:numFmt w:val="bullet"/>
      <w:lvlText w:val="o"/>
      <w:lvlJc w:val="left"/>
      <w:pPr>
        <w:ind w:left="540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CFD83584">
      <w:start w:val="1"/>
      <w:numFmt w:val="bullet"/>
      <w:lvlText w:val="▪"/>
      <w:lvlJc w:val="left"/>
      <w:pPr>
        <w:ind w:left="612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7" w15:restartNumberingAfterBreak="0">
    <w:nsid w:val="025A7845"/>
    <w:multiLevelType w:val="hybridMultilevel"/>
    <w:tmpl w:val="6820268A"/>
    <w:lvl w:ilvl="0" w:tplc="EBF471B0">
      <w:start w:val="1"/>
      <w:numFmt w:val="bullet"/>
      <w:lvlText w:val="•"/>
      <w:lvlJc w:val="left"/>
      <w:pPr>
        <w:ind w:left="2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C9AACCA">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F58F32E">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B70DE3A">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4149E3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3D4412C">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D60A0F8">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54CBDC2">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1A89B52">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 w15:restartNumberingAfterBreak="0">
    <w:nsid w:val="025F1C58"/>
    <w:multiLevelType w:val="hybridMultilevel"/>
    <w:tmpl w:val="3376BCD4"/>
    <w:lvl w:ilvl="0" w:tplc="98C40E7A">
      <w:start w:val="1"/>
      <w:numFmt w:val="bullet"/>
      <w:lvlText w:val="•"/>
      <w:lvlJc w:val="left"/>
      <w:pPr>
        <w:ind w:left="17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E2A454DC">
      <w:start w:val="1"/>
      <w:numFmt w:val="bullet"/>
      <w:lvlText w:val="o"/>
      <w:lvlJc w:val="left"/>
      <w:pPr>
        <w:ind w:left="11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D0D6287A">
      <w:start w:val="1"/>
      <w:numFmt w:val="bullet"/>
      <w:lvlText w:val="▪"/>
      <w:lvlJc w:val="left"/>
      <w:pPr>
        <w:ind w:left="18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51188D2A">
      <w:start w:val="1"/>
      <w:numFmt w:val="bullet"/>
      <w:lvlText w:val="•"/>
      <w:lvlJc w:val="left"/>
      <w:pPr>
        <w:ind w:left="25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04C0A978">
      <w:start w:val="1"/>
      <w:numFmt w:val="bullet"/>
      <w:lvlText w:val="o"/>
      <w:lvlJc w:val="left"/>
      <w:pPr>
        <w:ind w:left="329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01464078">
      <w:start w:val="1"/>
      <w:numFmt w:val="bullet"/>
      <w:lvlText w:val="▪"/>
      <w:lvlJc w:val="left"/>
      <w:pPr>
        <w:ind w:left="401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8C400DB6">
      <w:start w:val="1"/>
      <w:numFmt w:val="bullet"/>
      <w:lvlText w:val="•"/>
      <w:lvlJc w:val="left"/>
      <w:pPr>
        <w:ind w:left="47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51604B80">
      <w:start w:val="1"/>
      <w:numFmt w:val="bullet"/>
      <w:lvlText w:val="o"/>
      <w:lvlJc w:val="left"/>
      <w:pPr>
        <w:ind w:left="54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C51A0AAC">
      <w:start w:val="1"/>
      <w:numFmt w:val="bullet"/>
      <w:lvlText w:val="▪"/>
      <w:lvlJc w:val="left"/>
      <w:pPr>
        <w:ind w:left="61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9" w15:restartNumberingAfterBreak="0">
    <w:nsid w:val="02E406A9"/>
    <w:multiLevelType w:val="hybridMultilevel"/>
    <w:tmpl w:val="7CDA1420"/>
    <w:lvl w:ilvl="0" w:tplc="80DE3C0C">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392DDD0">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23EC4CE">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09CE464">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D507276">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B240978">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31415D8">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61492D0">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B3AF800">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0" w15:restartNumberingAfterBreak="0">
    <w:nsid w:val="037E18B7"/>
    <w:multiLevelType w:val="hybridMultilevel"/>
    <w:tmpl w:val="C20AAF14"/>
    <w:lvl w:ilvl="0" w:tplc="0E96F184">
      <w:start w:val="1"/>
      <w:numFmt w:val="bullet"/>
      <w:lvlText w:val="–"/>
      <w:lvlJc w:val="left"/>
      <w:pPr>
        <w:ind w:left="3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CF658F2">
      <w:start w:val="1"/>
      <w:numFmt w:val="bullet"/>
      <w:lvlText w:val="o"/>
      <w:lvlJc w:val="left"/>
      <w:pPr>
        <w:ind w:left="13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C9E8386">
      <w:start w:val="1"/>
      <w:numFmt w:val="bullet"/>
      <w:lvlText w:val="▪"/>
      <w:lvlJc w:val="left"/>
      <w:pPr>
        <w:ind w:left="20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D5449E8">
      <w:start w:val="1"/>
      <w:numFmt w:val="bullet"/>
      <w:lvlText w:val="•"/>
      <w:lvlJc w:val="left"/>
      <w:pPr>
        <w:ind w:left="27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F8C855C">
      <w:start w:val="1"/>
      <w:numFmt w:val="bullet"/>
      <w:lvlText w:val="o"/>
      <w:lvlJc w:val="left"/>
      <w:pPr>
        <w:ind w:left="34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DA6613E">
      <w:start w:val="1"/>
      <w:numFmt w:val="bullet"/>
      <w:lvlText w:val="▪"/>
      <w:lvlJc w:val="left"/>
      <w:pPr>
        <w:ind w:left="41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27A248A">
      <w:start w:val="1"/>
      <w:numFmt w:val="bullet"/>
      <w:lvlText w:val="•"/>
      <w:lvlJc w:val="left"/>
      <w:pPr>
        <w:ind w:left="49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D906AD6">
      <w:start w:val="1"/>
      <w:numFmt w:val="bullet"/>
      <w:lvlText w:val="o"/>
      <w:lvlJc w:val="left"/>
      <w:pPr>
        <w:ind w:left="56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BFC080E">
      <w:start w:val="1"/>
      <w:numFmt w:val="bullet"/>
      <w:lvlText w:val="▪"/>
      <w:lvlJc w:val="left"/>
      <w:pPr>
        <w:ind w:left="63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041E2500"/>
    <w:multiLevelType w:val="hybridMultilevel"/>
    <w:tmpl w:val="5F0485E4"/>
    <w:lvl w:ilvl="0" w:tplc="FC9A692A">
      <w:start w:val="1"/>
      <w:numFmt w:val="bullet"/>
      <w:lvlText w:val="•"/>
      <w:lvlJc w:val="left"/>
      <w:pPr>
        <w:ind w:left="3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0F160B4C">
      <w:start w:val="1"/>
      <w:numFmt w:val="bullet"/>
      <w:lvlText w:val="o"/>
      <w:lvlJc w:val="left"/>
      <w:pPr>
        <w:ind w:left="50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DD743A70">
      <w:start w:val="1"/>
      <w:numFmt w:val="bullet"/>
      <w:lvlRestart w:val="0"/>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6324EE06">
      <w:start w:val="1"/>
      <w:numFmt w:val="bullet"/>
      <w:lvlText w:val="•"/>
      <w:lvlJc w:val="left"/>
      <w:pPr>
        <w:ind w:left="136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1EAE44AE">
      <w:start w:val="1"/>
      <w:numFmt w:val="bullet"/>
      <w:lvlText w:val="o"/>
      <w:lvlJc w:val="left"/>
      <w:pPr>
        <w:ind w:left="208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4B9CFC74">
      <w:start w:val="1"/>
      <w:numFmt w:val="bullet"/>
      <w:lvlText w:val="▪"/>
      <w:lvlJc w:val="left"/>
      <w:pPr>
        <w:ind w:left="280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A61632FC">
      <w:start w:val="1"/>
      <w:numFmt w:val="bullet"/>
      <w:lvlText w:val="•"/>
      <w:lvlJc w:val="left"/>
      <w:pPr>
        <w:ind w:left="352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6E3099F0">
      <w:start w:val="1"/>
      <w:numFmt w:val="bullet"/>
      <w:lvlText w:val="o"/>
      <w:lvlJc w:val="left"/>
      <w:pPr>
        <w:ind w:left="424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F4C0F100">
      <w:start w:val="1"/>
      <w:numFmt w:val="bullet"/>
      <w:lvlText w:val="▪"/>
      <w:lvlJc w:val="left"/>
      <w:pPr>
        <w:ind w:left="496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044047A0"/>
    <w:multiLevelType w:val="hybridMultilevel"/>
    <w:tmpl w:val="1B18F29E"/>
    <w:lvl w:ilvl="0" w:tplc="5ED81208">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14E0DEC">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5CA4796">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258300E">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4C0997C">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CACEF56">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5426D08">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7FA1E9C">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AF03E8A">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04FA2CB5"/>
    <w:multiLevelType w:val="hybridMultilevel"/>
    <w:tmpl w:val="B058A406"/>
    <w:lvl w:ilvl="0" w:tplc="EC4844F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C2E7A7C">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1FED256">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5C2B50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BF0C38E">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68A4318">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73E607E">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B106FAA">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8EE8D08">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4" w15:restartNumberingAfterBreak="0">
    <w:nsid w:val="06551840"/>
    <w:multiLevelType w:val="hybridMultilevel"/>
    <w:tmpl w:val="25CE9896"/>
    <w:lvl w:ilvl="0" w:tplc="1E24ADDC">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AFADB04">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A222BE4">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A0C7A82">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12044FC">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1144D1A">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2060D0C">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F3E8936">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9B0B590">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5" w15:restartNumberingAfterBreak="0">
    <w:nsid w:val="06B322FD"/>
    <w:multiLevelType w:val="hybridMultilevel"/>
    <w:tmpl w:val="160E679E"/>
    <w:lvl w:ilvl="0" w:tplc="8370EC74">
      <w:start w:val="1"/>
      <w:numFmt w:val="bullet"/>
      <w:lvlText w:val="•"/>
      <w:lvlJc w:val="left"/>
      <w:pPr>
        <w:ind w:left="2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630A9C2">
      <w:start w:val="1"/>
      <w:numFmt w:val="bullet"/>
      <w:lvlText w:val="o"/>
      <w:lvlJc w:val="left"/>
      <w:pPr>
        <w:ind w:left="11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014376E">
      <w:start w:val="1"/>
      <w:numFmt w:val="bullet"/>
      <w:lvlText w:val="▪"/>
      <w:lvlJc w:val="left"/>
      <w:pPr>
        <w:ind w:left="18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DFA65E2">
      <w:start w:val="1"/>
      <w:numFmt w:val="bullet"/>
      <w:lvlText w:val="•"/>
      <w:lvlJc w:val="left"/>
      <w:pPr>
        <w:ind w:left="25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94AC902">
      <w:start w:val="1"/>
      <w:numFmt w:val="bullet"/>
      <w:lvlText w:val="o"/>
      <w:lvlJc w:val="left"/>
      <w:pPr>
        <w:ind w:left="33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D8837E8">
      <w:start w:val="1"/>
      <w:numFmt w:val="bullet"/>
      <w:lvlText w:val="▪"/>
      <w:lvlJc w:val="left"/>
      <w:pPr>
        <w:ind w:left="40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D2A4BDA">
      <w:start w:val="1"/>
      <w:numFmt w:val="bullet"/>
      <w:lvlText w:val="•"/>
      <w:lvlJc w:val="left"/>
      <w:pPr>
        <w:ind w:left="47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CDE29A0">
      <w:start w:val="1"/>
      <w:numFmt w:val="bullet"/>
      <w:lvlText w:val="o"/>
      <w:lvlJc w:val="left"/>
      <w:pPr>
        <w:ind w:left="54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C3621CC">
      <w:start w:val="1"/>
      <w:numFmt w:val="bullet"/>
      <w:lvlText w:val="▪"/>
      <w:lvlJc w:val="left"/>
      <w:pPr>
        <w:ind w:left="61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6" w15:restartNumberingAfterBreak="0">
    <w:nsid w:val="071D2657"/>
    <w:multiLevelType w:val="hybridMultilevel"/>
    <w:tmpl w:val="3E2A6054"/>
    <w:lvl w:ilvl="0" w:tplc="D256A6D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510B37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91E1888">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E3E4A3A">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91EA15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2CEE090">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7EE587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C980F1A">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08EFEAA">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7" w15:restartNumberingAfterBreak="0">
    <w:nsid w:val="07405036"/>
    <w:multiLevelType w:val="hybridMultilevel"/>
    <w:tmpl w:val="E9E6A3C4"/>
    <w:lvl w:ilvl="0" w:tplc="FE48A2BC">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CE007C0">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408FB1E">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B9EF16E">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8C4D17C">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5D6C8C0">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FB26D92">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14DED118">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4121AF2">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8" w15:restartNumberingAfterBreak="0">
    <w:nsid w:val="07475562"/>
    <w:multiLevelType w:val="hybridMultilevel"/>
    <w:tmpl w:val="BC00C5CC"/>
    <w:lvl w:ilvl="0" w:tplc="A4E0AAF8">
      <w:start w:val="1"/>
      <w:numFmt w:val="bullet"/>
      <w:lvlText w:val="•"/>
      <w:lvlJc w:val="left"/>
      <w:pPr>
        <w:ind w:left="3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99DC3970">
      <w:start w:val="1"/>
      <w:numFmt w:val="bullet"/>
      <w:lvlText w:val="o"/>
      <w:lvlJc w:val="left"/>
      <w:pPr>
        <w:ind w:left="50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E4063C5C">
      <w:start w:val="1"/>
      <w:numFmt w:val="bullet"/>
      <w:lvlRestart w:val="0"/>
      <w:lvlText w:val=""/>
      <w:lvlJc w:val="left"/>
      <w:pPr>
        <w:ind w:left="56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206425D0">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E5D6D962">
      <w:start w:val="1"/>
      <w:numFmt w:val="bullet"/>
      <w:lvlText w:val="o"/>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3556AF1C">
      <w:start w:val="1"/>
      <w:numFmt w:val="bullet"/>
      <w:lvlText w:val="▪"/>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5BC4C274">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4EF686B2">
      <w:start w:val="1"/>
      <w:numFmt w:val="bullet"/>
      <w:lvlText w:val="o"/>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D5665C76">
      <w:start w:val="1"/>
      <w:numFmt w:val="bullet"/>
      <w:lvlText w:val="▪"/>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9" w15:restartNumberingAfterBreak="0">
    <w:nsid w:val="07711A5B"/>
    <w:multiLevelType w:val="hybridMultilevel"/>
    <w:tmpl w:val="7D64C13C"/>
    <w:lvl w:ilvl="0" w:tplc="C590D9C4">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C140698">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E76376C">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344ED1A">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2AEB490">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D9814A0">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2E80DEE">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A2DC78F6">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2CEBE08">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0" w15:restartNumberingAfterBreak="0">
    <w:nsid w:val="079F0190"/>
    <w:multiLevelType w:val="hybridMultilevel"/>
    <w:tmpl w:val="3530D666"/>
    <w:lvl w:ilvl="0" w:tplc="A8F43966">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38C8884">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070F896">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702691E">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6F04566">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4322FA0">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1FC6AB8">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6B4A6D8">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1D0A9F8">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1" w15:restartNumberingAfterBreak="0">
    <w:nsid w:val="086378F0"/>
    <w:multiLevelType w:val="hybridMultilevel"/>
    <w:tmpl w:val="CEAC1808"/>
    <w:lvl w:ilvl="0" w:tplc="5B2CFE38">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69A5162">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9E43104">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D98EDC4">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C8806C0">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FB0C446">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BC43724">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A8F08B86">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E300594">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2" w15:restartNumberingAfterBreak="0">
    <w:nsid w:val="089D2E5A"/>
    <w:multiLevelType w:val="hybridMultilevel"/>
    <w:tmpl w:val="BF3CFA1A"/>
    <w:lvl w:ilvl="0" w:tplc="70284D0E">
      <w:start w:val="1"/>
      <w:numFmt w:val="bullet"/>
      <w:lvlText w:val="¾"/>
      <w:lvlJc w:val="left"/>
      <w:pPr>
        <w:ind w:left="28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74403BA0">
      <w:start w:val="1"/>
      <w:numFmt w:val="bullet"/>
      <w:lvlText w:val="o"/>
      <w:lvlJc w:val="left"/>
      <w:pPr>
        <w:ind w:left="1081"/>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E85CC86A">
      <w:start w:val="1"/>
      <w:numFmt w:val="bullet"/>
      <w:lvlText w:val="▪"/>
      <w:lvlJc w:val="left"/>
      <w:pPr>
        <w:ind w:left="1801"/>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10DE8AF4">
      <w:start w:val="1"/>
      <w:numFmt w:val="bullet"/>
      <w:lvlText w:val="•"/>
      <w:lvlJc w:val="left"/>
      <w:pPr>
        <w:ind w:left="2521"/>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36E41222">
      <w:start w:val="1"/>
      <w:numFmt w:val="bullet"/>
      <w:lvlText w:val="o"/>
      <w:lvlJc w:val="left"/>
      <w:pPr>
        <w:ind w:left="3241"/>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15CEBE76">
      <w:start w:val="1"/>
      <w:numFmt w:val="bullet"/>
      <w:lvlText w:val="▪"/>
      <w:lvlJc w:val="left"/>
      <w:pPr>
        <w:ind w:left="3961"/>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6BD66286">
      <w:start w:val="1"/>
      <w:numFmt w:val="bullet"/>
      <w:lvlText w:val="•"/>
      <w:lvlJc w:val="left"/>
      <w:pPr>
        <w:ind w:left="4681"/>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42F4E66A">
      <w:start w:val="1"/>
      <w:numFmt w:val="bullet"/>
      <w:lvlText w:val="o"/>
      <w:lvlJc w:val="left"/>
      <w:pPr>
        <w:ind w:left="5401"/>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22B85860">
      <w:start w:val="1"/>
      <w:numFmt w:val="bullet"/>
      <w:lvlText w:val="▪"/>
      <w:lvlJc w:val="left"/>
      <w:pPr>
        <w:ind w:left="6121"/>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23" w15:restartNumberingAfterBreak="0">
    <w:nsid w:val="090A6999"/>
    <w:multiLevelType w:val="hybridMultilevel"/>
    <w:tmpl w:val="C3402694"/>
    <w:lvl w:ilvl="0" w:tplc="49B2C4A6">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61EED86">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77E345A">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BF4E0E2">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52429DE">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76E1046">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30A35D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49E8AF4">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FBEDF6A">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4" w15:restartNumberingAfterBreak="0">
    <w:nsid w:val="093728DF"/>
    <w:multiLevelType w:val="hybridMultilevel"/>
    <w:tmpl w:val="60786346"/>
    <w:lvl w:ilvl="0" w:tplc="D278DB4C">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92440EE">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B9857F0">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B64B254">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1565DDC">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4E36C478">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6FE8EA4">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26068B8">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BDCF7F6">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5" w15:restartNumberingAfterBreak="0">
    <w:nsid w:val="09523624"/>
    <w:multiLevelType w:val="hybridMultilevel"/>
    <w:tmpl w:val="88EC46F0"/>
    <w:lvl w:ilvl="0" w:tplc="C9CC45EE">
      <w:start w:val="1"/>
      <w:numFmt w:val="bullet"/>
      <w:lvlText w:val="•"/>
      <w:lvlJc w:val="left"/>
      <w:pPr>
        <w:ind w:left="28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251E7C2E">
      <w:start w:val="1"/>
      <w:numFmt w:val="bullet"/>
      <w:lvlText w:val="o"/>
      <w:lvlJc w:val="left"/>
      <w:pPr>
        <w:ind w:left="10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8356DC9C">
      <w:start w:val="1"/>
      <w:numFmt w:val="bullet"/>
      <w:lvlText w:val="▪"/>
      <w:lvlJc w:val="left"/>
      <w:pPr>
        <w:ind w:left="18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0B4A632E">
      <w:start w:val="1"/>
      <w:numFmt w:val="bullet"/>
      <w:lvlText w:val="•"/>
      <w:lvlJc w:val="left"/>
      <w:pPr>
        <w:ind w:left="2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58B0B756">
      <w:start w:val="1"/>
      <w:numFmt w:val="bullet"/>
      <w:lvlText w:val="o"/>
      <w:lvlJc w:val="left"/>
      <w:pPr>
        <w:ind w:left="32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E722CA60">
      <w:start w:val="1"/>
      <w:numFmt w:val="bullet"/>
      <w:lvlText w:val="▪"/>
      <w:lvlJc w:val="left"/>
      <w:pPr>
        <w:ind w:left="39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62F48BC6">
      <w:start w:val="1"/>
      <w:numFmt w:val="bullet"/>
      <w:lvlText w:val="•"/>
      <w:lvlJc w:val="left"/>
      <w:pPr>
        <w:ind w:left="46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CA5E0190">
      <w:start w:val="1"/>
      <w:numFmt w:val="bullet"/>
      <w:lvlText w:val="o"/>
      <w:lvlJc w:val="left"/>
      <w:pPr>
        <w:ind w:left="54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6BFCF9BA">
      <w:start w:val="1"/>
      <w:numFmt w:val="bullet"/>
      <w:lvlText w:val="▪"/>
      <w:lvlJc w:val="left"/>
      <w:pPr>
        <w:ind w:left="61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26" w15:restartNumberingAfterBreak="0">
    <w:nsid w:val="096B7F2C"/>
    <w:multiLevelType w:val="hybridMultilevel"/>
    <w:tmpl w:val="12CEEE22"/>
    <w:lvl w:ilvl="0" w:tplc="409C1C3A">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5B0C40A">
      <w:start w:val="1"/>
      <w:numFmt w:val="bullet"/>
      <w:lvlText w:val="•"/>
      <w:lvlJc w:val="left"/>
      <w:pPr>
        <w:ind w:left="56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D7055CA">
      <w:start w:val="1"/>
      <w:numFmt w:val="bullet"/>
      <w:lvlText w:val="▪"/>
      <w:lvlJc w:val="left"/>
      <w:pPr>
        <w:ind w:left="13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3CC645E">
      <w:start w:val="1"/>
      <w:numFmt w:val="bullet"/>
      <w:lvlText w:val="•"/>
      <w:lvlJc w:val="left"/>
      <w:pPr>
        <w:ind w:left="20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63C8866">
      <w:start w:val="1"/>
      <w:numFmt w:val="bullet"/>
      <w:lvlText w:val="o"/>
      <w:lvlJc w:val="left"/>
      <w:pPr>
        <w:ind w:left="28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2005862">
      <w:start w:val="1"/>
      <w:numFmt w:val="bullet"/>
      <w:lvlText w:val="▪"/>
      <w:lvlJc w:val="left"/>
      <w:pPr>
        <w:ind w:left="35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720C130">
      <w:start w:val="1"/>
      <w:numFmt w:val="bullet"/>
      <w:lvlText w:val="•"/>
      <w:lvlJc w:val="left"/>
      <w:pPr>
        <w:ind w:left="42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DC87D8C">
      <w:start w:val="1"/>
      <w:numFmt w:val="bullet"/>
      <w:lvlText w:val="o"/>
      <w:lvlJc w:val="left"/>
      <w:pPr>
        <w:ind w:left="49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1B4987A">
      <w:start w:val="1"/>
      <w:numFmt w:val="bullet"/>
      <w:lvlText w:val="▪"/>
      <w:lvlJc w:val="left"/>
      <w:pPr>
        <w:ind w:left="56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7" w15:restartNumberingAfterBreak="0">
    <w:nsid w:val="09A2319D"/>
    <w:multiLevelType w:val="hybridMultilevel"/>
    <w:tmpl w:val="0F84A6A6"/>
    <w:lvl w:ilvl="0" w:tplc="B2B67E52">
      <w:start w:val="1"/>
      <w:numFmt w:val="bullet"/>
      <w:lvlText w:val="•"/>
      <w:lvlJc w:val="left"/>
      <w:pPr>
        <w:ind w:left="56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DE2B14C">
      <w:start w:val="1"/>
      <w:numFmt w:val="bullet"/>
      <w:lvlText w:val="o"/>
      <w:lvlJc w:val="left"/>
      <w:pPr>
        <w:ind w:left="13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EE80992">
      <w:start w:val="1"/>
      <w:numFmt w:val="bullet"/>
      <w:lvlText w:val="▪"/>
      <w:lvlJc w:val="left"/>
      <w:pPr>
        <w:ind w:left="20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D7E9958">
      <w:start w:val="1"/>
      <w:numFmt w:val="bullet"/>
      <w:lvlText w:val="•"/>
      <w:lvlJc w:val="left"/>
      <w:pPr>
        <w:ind w:left="280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41A08DE">
      <w:start w:val="1"/>
      <w:numFmt w:val="bullet"/>
      <w:lvlText w:val="o"/>
      <w:lvlJc w:val="left"/>
      <w:pPr>
        <w:ind w:left="352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6BE875A">
      <w:start w:val="1"/>
      <w:numFmt w:val="bullet"/>
      <w:lvlText w:val="▪"/>
      <w:lvlJc w:val="left"/>
      <w:pPr>
        <w:ind w:left="424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10E73AA">
      <w:start w:val="1"/>
      <w:numFmt w:val="bullet"/>
      <w:lvlText w:val="•"/>
      <w:lvlJc w:val="left"/>
      <w:pPr>
        <w:ind w:left="49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98436B4">
      <w:start w:val="1"/>
      <w:numFmt w:val="bullet"/>
      <w:lvlText w:val="o"/>
      <w:lvlJc w:val="left"/>
      <w:pPr>
        <w:ind w:left="56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406241E">
      <w:start w:val="1"/>
      <w:numFmt w:val="bullet"/>
      <w:lvlText w:val="▪"/>
      <w:lvlJc w:val="left"/>
      <w:pPr>
        <w:ind w:left="640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8" w15:restartNumberingAfterBreak="0">
    <w:nsid w:val="0AA51868"/>
    <w:multiLevelType w:val="hybridMultilevel"/>
    <w:tmpl w:val="E162ED22"/>
    <w:lvl w:ilvl="0" w:tplc="C6427ED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974E5DA">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64EA43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47C6EDE">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F723D3C">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FAA60B6">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EDC6E7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17E2DA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9168E38">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9" w15:restartNumberingAfterBreak="0">
    <w:nsid w:val="0AE51B34"/>
    <w:multiLevelType w:val="hybridMultilevel"/>
    <w:tmpl w:val="C6869C9C"/>
    <w:lvl w:ilvl="0" w:tplc="A3CA020E">
      <w:start w:val="1"/>
      <w:numFmt w:val="decimal"/>
      <w:lvlText w:val="%1"/>
      <w:lvlJc w:val="left"/>
      <w:pPr>
        <w:ind w:left="82"/>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1" w:tplc="4F3ADF34">
      <w:start w:val="1"/>
      <w:numFmt w:val="lowerLetter"/>
      <w:lvlText w:val="%2"/>
      <w:lvlJc w:val="left"/>
      <w:pPr>
        <w:ind w:left="108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2" w:tplc="8B28E178">
      <w:start w:val="1"/>
      <w:numFmt w:val="lowerRoman"/>
      <w:lvlText w:val="%3"/>
      <w:lvlJc w:val="left"/>
      <w:pPr>
        <w:ind w:left="180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3" w:tplc="5DE8F8D0">
      <w:start w:val="1"/>
      <w:numFmt w:val="decimal"/>
      <w:lvlText w:val="%4"/>
      <w:lvlJc w:val="left"/>
      <w:pPr>
        <w:ind w:left="252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4" w:tplc="EC342C8E">
      <w:start w:val="1"/>
      <w:numFmt w:val="lowerLetter"/>
      <w:lvlText w:val="%5"/>
      <w:lvlJc w:val="left"/>
      <w:pPr>
        <w:ind w:left="324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5" w:tplc="99409748">
      <w:start w:val="1"/>
      <w:numFmt w:val="lowerRoman"/>
      <w:lvlText w:val="%6"/>
      <w:lvlJc w:val="left"/>
      <w:pPr>
        <w:ind w:left="396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6" w:tplc="2062B102">
      <w:start w:val="1"/>
      <w:numFmt w:val="decimal"/>
      <w:lvlText w:val="%7"/>
      <w:lvlJc w:val="left"/>
      <w:pPr>
        <w:ind w:left="468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7" w:tplc="322E97EA">
      <w:start w:val="1"/>
      <w:numFmt w:val="lowerLetter"/>
      <w:lvlText w:val="%8"/>
      <w:lvlJc w:val="left"/>
      <w:pPr>
        <w:ind w:left="540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8" w:tplc="7D4657FA">
      <w:start w:val="1"/>
      <w:numFmt w:val="lowerRoman"/>
      <w:lvlText w:val="%9"/>
      <w:lvlJc w:val="left"/>
      <w:pPr>
        <w:ind w:left="612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abstractNum>
  <w:abstractNum w:abstractNumId="30" w15:restartNumberingAfterBreak="0">
    <w:nsid w:val="0AEA58EB"/>
    <w:multiLevelType w:val="hybridMultilevel"/>
    <w:tmpl w:val="0D967D22"/>
    <w:lvl w:ilvl="0" w:tplc="EA845658">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5DEDDF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1984CD8">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BFE9CF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30868C8">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14EA5FE">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824F838">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068BCD4">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8CC8581A">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1" w15:restartNumberingAfterBreak="0">
    <w:nsid w:val="0B381D91"/>
    <w:multiLevelType w:val="hybridMultilevel"/>
    <w:tmpl w:val="07FC8DBE"/>
    <w:lvl w:ilvl="0" w:tplc="4156FD1A">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E74DC2A">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1C86B9A">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F0E7298">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39CB268">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3662988">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C069B2E">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6760EBA">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D6EFEB2">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0B4E5922"/>
    <w:multiLevelType w:val="hybridMultilevel"/>
    <w:tmpl w:val="6E8453C0"/>
    <w:lvl w:ilvl="0" w:tplc="546E7B8E">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3A004E4">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FC28364">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130C07DA">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F700CF8">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9F65F62">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70E8E6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3E87F7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29AC912">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3" w15:restartNumberingAfterBreak="0">
    <w:nsid w:val="0B683A00"/>
    <w:multiLevelType w:val="hybridMultilevel"/>
    <w:tmpl w:val="AEA464F6"/>
    <w:lvl w:ilvl="0" w:tplc="A7D664E2">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74448B2">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284B854">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5143E76">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6AA3864">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82AC490">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FACD29E">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03EAD7E">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770D928">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4" w15:restartNumberingAfterBreak="0">
    <w:nsid w:val="0BE20C86"/>
    <w:multiLevelType w:val="hybridMultilevel"/>
    <w:tmpl w:val="2DBABEF0"/>
    <w:lvl w:ilvl="0" w:tplc="9A82FCB2">
      <w:start w:val="1"/>
      <w:numFmt w:val="decimal"/>
      <w:lvlText w:val="%1."/>
      <w:lvlJc w:val="left"/>
      <w:pPr>
        <w:ind w:left="28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C53E853C">
      <w:start w:val="1"/>
      <w:numFmt w:val="bullet"/>
      <w:lvlText w:val="•"/>
      <w:lvlJc w:val="left"/>
      <w:pPr>
        <w:ind w:left="68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8F0140A">
      <w:start w:val="1"/>
      <w:numFmt w:val="bullet"/>
      <w:lvlText w:val="▪"/>
      <w:lvlJc w:val="left"/>
      <w:pPr>
        <w:ind w:left="164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A385222">
      <w:start w:val="1"/>
      <w:numFmt w:val="bullet"/>
      <w:lvlText w:val="•"/>
      <w:lvlJc w:val="left"/>
      <w:pPr>
        <w:ind w:left="236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0B619C0">
      <w:start w:val="1"/>
      <w:numFmt w:val="bullet"/>
      <w:lvlText w:val="o"/>
      <w:lvlJc w:val="left"/>
      <w:pPr>
        <w:ind w:left="308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3C0C30C">
      <w:start w:val="1"/>
      <w:numFmt w:val="bullet"/>
      <w:lvlText w:val="▪"/>
      <w:lvlJc w:val="left"/>
      <w:pPr>
        <w:ind w:left="380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E52ADA2">
      <w:start w:val="1"/>
      <w:numFmt w:val="bullet"/>
      <w:lvlText w:val="•"/>
      <w:lvlJc w:val="left"/>
      <w:pPr>
        <w:ind w:left="45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EDEAD04">
      <w:start w:val="1"/>
      <w:numFmt w:val="bullet"/>
      <w:lvlText w:val="o"/>
      <w:lvlJc w:val="left"/>
      <w:pPr>
        <w:ind w:left="524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00E2C2C">
      <w:start w:val="1"/>
      <w:numFmt w:val="bullet"/>
      <w:lvlText w:val="▪"/>
      <w:lvlJc w:val="left"/>
      <w:pPr>
        <w:ind w:left="596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5" w15:restartNumberingAfterBreak="0">
    <w:nsid w:val="0C9B5047"/>
    <w:multiLevelType w:val="hybridMultilevel"/>
    <w:tmpl w:val="F5BA93AA"/>
    <w:lvl w:ilvl="0" w:tplc="84EE1C84">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2A46878">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C7036C0">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A7C5FBA">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44E3B20">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27CF4D2">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208A16C">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1080D30">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0041FFC">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6" w15:restartNumberingAfterBreak="0">
    <w:nsid w:val="0D3A2719"/>
    <w:multiLevelType w:val="hybridMultilevel"/>
    <w:tmpl w:val="66206346"/>
    <w:lvl w:ilvl="0" w:tplc="1284ACD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9A440CE">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D4A43FE">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2BC337A">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A8E8D9C">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2B0431A">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3088F6E">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E6679E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9287CD2">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7" w15:restartNumberingAfterBreak="0">
    <w:nsid w:val="0D89023C"/>
    <w:multiLevelType w:val="hybridMultilevel"/>
    <w:tmpl w:val="BA96C562"/>
    <w:lvl w:ilvl="0" w:tplc="C234BD7A">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BB09B1E">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484D9F4">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44E297A">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C068746">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A008F02">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368CBFA">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31E010C">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DD845E0">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8" w15:restartNumberingAfterBreak="0">
    <w:nsid w:val="0E9807A3"/>
    <w:multiLevelType w:val="hybridMultilevel"/>
    <w:tmpl w:val="603C6A24"/>
    <w:lvl w:ilvl="0" w:tplc="41560F80">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A3091DA">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620E500">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80C34E0">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B62A444">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00AA5DC">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610A4E4">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B206FC0">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3B6868A">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9" w15:restartNumberingAfterBreak="0">
    <w:nsid w:val="0F9459A4"/>
    <w:multiLevelType w:val="hybridMultilevel"/>
    <w:tmpl w:val="4AB6AAA2"/>
    <w:lvl w:ilvl="0" w:tplc="BD8C47A6">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3F00BF2">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A7617FE">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76AE2C8">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90AE9E2">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F70294C">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E5C970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6728E7E">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FBE1468">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40" w15:restartNumberingAfterBreak="0">
    <w:nsid w:val="10776721"/>
    <w:multiLevelType w:val="hybridMultilevel"/>
    <w:tmpl w:val="6DD61B2E"/>
    <w:lvl w:ilvl="0" w:tplc="163A008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B0A9EAC">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5C49A84">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F084F7A">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806E86B4">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7C4DDBE">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E2CA95E">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B0E918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A2C6670">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41" w15:restartNumberingAfterBreak="0">
    <w:nsid w:val="111B5D2A"/>
    <w:multiLevelType w:val="hybridMultilevel"/>
    <w:tmpl w:val="B2342A78"/>
    <w:lvl w:ilvl="0" w:tplc="82C09290">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D5809F0">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938C99A">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638F096">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BA4F2E2">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246B5B8">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FE887E4">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84CE2CC">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5C0E61E">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42" w15:restartNumberingAfterBreak="0">
    <w:nsid w:val="11342320"/>
    <w:multiLevelType w:val="hybridMultilevel"/>
    <w:tmpl w:val="61B6F89A"/>
    <w:lvl w:ilvl="0" w:tplc="D8F269EE">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E8E1916">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04A390A">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9C441C2">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2D68770">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440CCBA6">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CCACD9E">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A2E48BF0">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B663BF4">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43" w15:restartNumberingAfterBreak="0">
    <w:nsid w:val="114F3139"/>
    <w:multiLevelType w:val="hybridMultilevel"/>
    <w:tmpl w:val="22C415E6"/>
    <w:lvl w:ilvl="0" w:tplc="A0743370">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FA27F4A">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3E45146">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502308A">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844AAC0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0A0819C0">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0A46EF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044D438">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80AB40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44" w15:restartNumberingAfterBreak="0">
    <w:nsid w:val="126E3778"/>
    <w:multiLevelType w:val="hybridMultilevel"/>
    <w:tmpl w:val="7CFA29F0"/>
    <w:lvl w:ilvl="0" w:tplc="308858C4">
      <w:start w:val="1"/>
      <w:numFmt w:val="bullet"/>
      <w:lvlText w:val="–"/>
      <w:lvlJc w:val="left"/>
      <w:pPr>
        <w:ind w:left="3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6B8D45A">
      <w:start w:val="1"/>
      <w:numFmt w:val="bullet"/>
      <w:lvlText w:val="o"/>
      <w:lvlJc w:val="left"/>
      <w:pPr>
        <w:ind w:left="130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F2CF35A">
      <w:start w:val="1"/>
      <w:numFmt w:val="bullet"/>
      <w:lvlText w:val="▪"/>
      <w:lvlJc w:val="left"/>
      <w:pPr>
        <w:ind w:left="20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B40655A">
      <w:start w:val="1"/>
      <w:numFmt w:val="bullet"/>
      <w:lvlText w:val="•"/>
      <w:lvlJc w:val="left"/>
      <w:pPr>
        <w:ind w:left="274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7981F28">
      <w:start w:val="1"/>
      <w:numFmt w:val="bullet"/>
      <w:lvlText w:val="o"/>
      <w:lvlJc w:val="left"/>
      <w:pPr>
        <w:ind w:left="346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49208F2">
      <w:start w:val="1"/>
      <w:numFmt w:val="bullet"/>
      <w:lvlText w:val="▪"/>
      <w:lvlJc w:val="left"/>
      <w:pPr>
        <w:ind w:left="418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4D04A06">
      <w:start w:val="1"/>
      <w:numFmt w:val="bullet"/>
      <w:lvlText w:val="•"/>
      <w:lvlJc w:val="left"/>
      <w:pPr>
        <w:ind w:left="490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ACAE8C2">
      <w:start w:val="1"/>
      <w:numFmt w:val="bullet"/>
      <w:lvlText w:val="o"/>
      <w:lvlJc w:val="left"/>
      <w:pPr>
        <w:ind w:left="56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51C6F3A">
      <w:start w:val="1"/>
      <w:numFmt w:val="bullet"/>
      <w:lvlText w:val="▪"/>
      <w:lvlJc w:val="left"/>
      <w:pPr>
        <w:ind w:left="634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45" w15:restartNumberingAfterBreak="0">
    <w:nsid w:val="1281162D"/>
    <w:multiLevelType w:val="hybridMultilevel"/>
    <w:tmpl w:val="E9E6A5AC"/>
    <w:lvl w:ilvl="0" w:tplc="414424C6">
      <w:start w:val="4"/>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E72161E">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85E467A">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5C8DF98">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6D6DF8E">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ABECFFE">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B96659A">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C7253B8">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8F47140">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46" w15:restartNumberingAfterBreak="0">
    <w:nsid w:val="128943FF"/>
    <w:multiLevelType w:val="multilevel"/>
    <w:tmpl w:val="A64C210A"/>
    <w:lvl w:ilvl="0">
      <w:start w:val="1"/>
      <w:numFmt w:val="decimal"/>
      <w:lvlText w:val="%1."/>
      <w:lvlJc w:val="left"/>
      <w:pPr>
        <w:ind w:left="299"/>
      </w:pPr>
      <w:rPr>
        <w:rFonts w:ascii="Calibri" w:eastAsia="Calibri" w:hAnsi="Calibri" w:cs="Calibri"/>
        <w:b/>
        <w:bCs/>
        <w:i w:val="0"/>
        <w:strike w:val="0"/>
        <w:dstrike w:val="0"/>
        <w:color w:val="000000"/>
        <w:sz w:val="19"/>
        <w:szCs w:val="19"/>
        <w:u w:val="none" w:color="000000"/>
        <w:bdr w:val="none" w:sz="0" w:space="0" w:color="auto"/>
        <w:shd w:val="clear" w:color="auto" w:fill="auto"/>
        <w:vertAlign w:val="baseline"/>
      </w:rPr>
    </w:lvl>
    <w:lvl w:ilvl="1">
      <w:start w:val="1"/>
      <w:numFmt w:val="decimal"/>
      <w:lvlText w:val="%1.%2."/>
      <w:lvlJc w:val="left"/>
      <w:pPr>
        <w:ind w:left="0"/>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2">
      <w:start w:val="1"/>
      <w:numFmt w:val="decimal"/>
      <w:lvlText w:val="%1.%2.%3."/>
      <w:lvlJc w:val="left"/>
      <w:pPr>
        <w:ind w:left="451"/>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3">
      <w:start w:val="1"/>
      <w:numFmt w:val="decimal"/>
      <w:lvlText w:val="%4"/>
      <w:lvlJc w:val="left"/>
      <w:pPr>
        <w:ind w:left="1648"/>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4">
      <w:start w:val="1"/>
      <w:numFmt w:val="lowerLetter"/>
      <w:lvlText w:val="%5"/>
      <w:lvlJc w:val="left"/>
      <w:pPr>
        <w:ind w:left="2368"/>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5">
      <w:start w:val="1"/>
      <w:numFmt w:val="lowerRoman"/>
      <w:lvlText w:val="%6"/>
      <w:lvlJc w:val="left"/>
      <w:pPr>
        <w:ind w:left="3088"/>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6">
      <w:start w:val="1"/>
      <w:numFmt w:val="decimal"/>
      <w:lvlText w:val="%7"/>
      <w:lvlJc w:val="left"/>
      <w:pPr>
        <w:ind w:left="3808"/>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7">
      <w:start w:val="1"/>
      <w:numFmt w:val="lowerLetter"/>
      <w:lvlText w:val="%8"/>
      <w:lvlJc w:val="left"/>
      <w:pPr>
        <w:ind w:left="4528"/>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lvl w:ilvl="8">
      <w:start w:val="1"/>
      <w:numFmt w:val="lowerRoman"/>
      <w:lvlText w:val="%9"/>
      <w:lvlJc w:val="left"/>
      <w:pPr>
        <w:ind w:left="5248"/>
      </w:pPr>
      <w:rPr>
        <w:rFonts w:ascii="Calibri" w:eastAsia="Calibri" w:hAnsi="Calibri" w:cs="Calibri"/>
        <w:b w:val="0"/>
        <w:i w:val="0"/>
        <w:strike w:val="0"/>
        <w:dstrike w:val="0"/>
        <w:color w:val="000000"/>
        <w:sz w:val="19"/>
        <w:szCs w:val="19"/>
        <w:u w:val="none" w:color="000000"/>
        <w:bdr w:val="none" w:sz="0" w:space="0" w:color="auto"/>
        <w:shd w:val="clear" w:color="auto" w:fill="auto"/>
        <w:vertAlign w:val="baseline"/>
      </w:rPr>
    </w:lvl>
  </w:abstractNum>
  <w:abstractNum w:abstractNumId="47" w15:restartNumberingAfterBreak="0">
    <w:nsid w:val="13B36126"/>
    <w:multiLevelType w:val="hybridMultilevel"/>
    <w:tmpl w:val="87E28C70"/>
    <w:lvl w:ilvl="0" w:tplc="25FC9534">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482FC74">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2727168">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167A9BC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3A48EAE">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150793A">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67C5CA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A95CDBCE">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020820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48" w15:restartNumberingAfterBreak="0">
    <w:nsid w:val="142158B5"/>
    <w:multiLevelType w:val="hybridMultilevel"/>
    <w:tmpl w:val="D39E07E0"/>
    <w:lvl w:ilvl="0" w:tplc="9008F8B2">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2AC9E54">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1DE860A">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2F8FDAE">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89A62162">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056DFC0">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198B684">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C8221E2">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B1A06D8">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49" w15:restartNumberingAfterBreak="0">
    <w:nsid w:val="143025F1"/>
    <w:multiLevelType w:val="hybridMultilevel"/>
    <w:tmpl w:val="95E27DD0"/>
    <w:lvl w:ilvl="0" w:tplc="295C245C">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E06A724">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9943F3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306DEBA">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3A821EC">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C0EED74">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EF215DA">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376EDE8">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89DAF2AA">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0" w15:restartNumberingAfterBreak="0">
    <w:nsid w:val="1437486D"/>
    <w:multiLevelType w:val="hybridMultilevel"/>
    <w:tmpl w:val="A3B8362C"/>
    <w:lvl w:ilvl="0" w:tplc="AC90BBB2">
      <w:start w:val="1"/>
      <w:numFmt w:val="bullet"/>
      <w:lvlText w:val="•"/>
      <w:lvlJc w:val="left"/>
      <w:pPr>
        <w:ind w:left="17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1C8018E">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416D03C">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042DE5A">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064D6CE">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BD65526">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4E83340">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49C901E">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3145E44">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1" w15:restartNumberingAfterBreak="0">
    <w:nsid w:val="1521416D"/>
    <w:multiLevelType w:val="hybridMultilevel"/>
    <w:tmpl w:val="62BA0738"/>
    <w:lvl w:ilvl="0" w:tplc="5E764A64">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A94B8F6">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A32A1A8">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2E4D55E">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E2630E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2DEFCB2">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64E111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98458B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0B81D52">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2" w15:restartNumberingAfterBreak="0">
    <w:nsid w:val="15C96C0B"/>
    <w:multiLevelType w:val="hybridMultilevel"/>
    <w:tmpl w:val="5DAABFB0"/>
    <w:lvl w:ilvl="0" w:tplc="391427A4">
      <w:start w:val="1"/>
      <w:numFmt w:val="bullet"/>
      <w:lvlText w:val="•"/>
      <w:lvlJc w:val="left"/>
      <w:pPr>
        <w:ind w:left="283"/>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1" w:tplc="11843CEC">
      <w:start w:val="1"/>
      <w:numFmt w:val="bullet"/>
      <w:lvlText w:val="–"/>
      <w:lvlJc w:val="left"/>
      <w:pPr>
        <w:ind w:left="56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1609CE0">
      <w:start w:val="1"/>
      <w:numFmt w:val="bullet"/>
      <w:lvlText w:val="▪"/>
      <w:lvlJc w:val="left"/>
      <w:pPr>
        <w:ind w:left="13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67A3E54">
      <w:start w:val="1"/>
      <w:numFmt w:val="bullet"/>
      <w:lvlText w:val="•"/>
      <w:lvlJc w:val="left"/>
      <w:pPr>
        <w:ind w:left="20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926A578">
      <w:start w:val="1"/>
      <w:numFmt w:val="bullet"/>
      <w:lvlText w:val="o"/>
      <w:lvlJc w:val="left"/>
      <w:pPr>
        <w:ind w:left="280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F145308">
      <w:start w:val="1"/>
      <w:numFmt w:val="bullet"/>
      <w:lvlText w:val="▪"/>
      <w:lvlJc w:val="left"/>
      <w:pPr>
        <w:ind w:left="352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346A16A">
      <w:start w:val="1"/>
      <w:numFmt w:val="bullet"/>
      <w:lvlText w:val="•"/>
      <w:lvlJc w:val="left"/>
      <w:pPr>
        <w:ind w:left="424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4CACB20">
      <w:start w:val="1"/>
      <w:numFmt w:val="bullet"/>
      <w:lvlText w:val="o"/>
      <w:lvlJc w:val="left"/>
      <w:pPr>
        <w:ind w:left="49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9E02AC8">
      <w:start w:val="1"/>
      <w:numFmt w:val="bullet"/>
      <w:lvlText w:val="▪"/>
      <w:lvlJc w:val="left"/>
      <w:pPr>
        <w:ind w:left="56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3" w15:restartNumberingAfterBreak="0">
    <w:nsid w:val="160164C0"/>
    <w:multiLevelType w:val="hybridMultilevel"/>
    <w:tmpl w:val="BEA0A09E"/>
    <w:lvl w:ilvl="0" w:tplc="7D48A440">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BC47A1A">
      <w:start w:val="1"/>
      <w:numFmt w:val="bullet"/>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B570155A">
      <w:start w:val="1"/>
      <w:numFmt w:val="bullet"/>
      <w:lvlText w:val="▪"/>
      <w:lvlJc w:val="left"/>
      <w:pPr>
        <w:ind w:left="136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803A9816">
      <w:start w:val="1"/>
      <w:numFmt w:val="bullet"/>
      <w:lvlText w:val="•"/>
      <w:lvlJc w:val="left"/>
      <w:pPr>
        <w:ind w:left="208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08E45CC4">
      <w:start w:val="1"/>
      <w:numFmt w:val="bullet"/>
      <w:lvlText w:val="o"/>
      <w:lvlJc w:val="left"/>
      <w:pPr>
        <w:ind w:left="280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3CFAA670">
      <w:start w:val="1"/>
      <w:numFmt w:val="bullet"/>
      <w:lvlText w:val="▪"/>
      <w:lvlJc w:val="left"/>
      <w:pPr>
        <w:ind w:left="352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A7D2BC72">
      <w:start w:val="1"/>
      <w:numFmt w:val="bullet"/>
      <w:lvlText w:val="•"/>
      <w:lvlJc w:val="left"/>
      <w:pPr>
        <w:ind w:left="424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1146E886">
      <w:start w:val="1"/>
      <w:numFmt w:val="bullet"/>
      <w:lvlText w:val="o"/>
      <w:lvlJc w:val="left"/>
      <w:pPr>
        <w:ind w:left="496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E306DF30">
      <w:start w:val="1"/>
      <w:numFmt w:val="bullet"/>
      <w:lvlText w:val="▪"/>
      <w:lvlJc w:val="left"/>
      <w:pPr>
        <w:ind w:left="568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54" w15:restartNumberingAfterBreak="0">
    <w:nsid w:val="16487A63"/>
    <w:multiLevelType w:val="hybridMultilevel"/>
    <w:tmpl w:val="E696CF2A"/>
    <w:lvl w:ilvl="0" w:tplc="FA2C131A">
      <w:start w:val="1"/>
      <w:numFmt w:val="bullet"/>
      <w:lvlText w:val="•"/>
      <w:lvlJc w:val="left"/>
      <w:pPr>
        <w:ind w:left="17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51AA5E7E">
      <w:start w:val="1"/>
      <w:numFmt w:val="bullet"/>
      <w:lvlText w:val="o"/>
      <w:lvlJc w:val="left"/>
      <w:pPr>
        <w:ind w:left="1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89309C4E">
      <w:start w:val="1"/>
      <w:numFmt w:val="bullet"/>
      <w:lvlText w:val="▪"/>
      <w:lvlJc w:val="left"/>
      <w:pPr>
        <w:ind w:left="1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F29C05E8">
      <w:start w:val="1"/>
      <w:numFmt w:val="bullet"/>
      <w:lvlText w:val="•"/>
      <w:lvlJc w:val="left"/>
      <w:pPr>
        <w:ind w:left="2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D44012C6">
      <w:start w:val="1"/>
      <w:numFmt w:val="bullet"/>
      <w:lvlText w:val="o"/>
      <w:lvlJc w:val="left"/>
      <w:pPr>
        <w:ind w:left="3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76807132">
      <w:start w:val="1"/>
      <w:numFmt w:val="bullet"/>
      <w:lvlText w:val="▪"/>
      <w:lvlJc w:val="left"/>
      <w:pPr>
        <w:ind w:left="39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161C8284">
      <w:start w:val="1"/>
      <w:numFmt w:val="bullet"/>
      <w:lvlText w:val="•"/>
      <w:lvlJc w:val="left"/>
      <w:pPr>
        <w:ind w:left="46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74EAB968">
      <w:start w:val="1"/>
      <w:numFmt w:val="bullet"/>
      <w:lvlText w:val="o"/>
      <w:lvlJc w:val="left"/>
      <w:pPr>
        <w:ind w:left="54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5EB481C6">
      <w:start w:val="1"/>
      <w:numFmt w:val="bullet"/>
      <w:lvlText w:val="▪"/>
      <w:lvlJc w:val="left"/>
      <w:pPr>
        <w:ind w:left="61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55" w15:restartNumberingAfterBreak="0">
    <w:nsid w:val="169761FA"/>
    <w:multiLevelType w:val="hybridMultilevel"/>
    <w:tmpl w:val="E05E1DB8"/>
    <w:lvl w:ilvl="0" w:tplc="7A020CE0">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C347B3C">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CD4EA68">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EA2D5A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5FCC08C">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41408368">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2788A5A">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F647F4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384F60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6" w15:restartNumberingAfterBreak="0">
    <w:nsid w:val="169F0ED2"/>
    <w:multiLevelType w:val="hybridMultilevel"/>
    <w:tmpl w:val="8DF0AA86"/>
    <w:lvl w:ilvl="0" w:tplc="8B9E9F38">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4228B0C">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5D67018">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5DE74EE">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1A8E01A">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8A4C3A0">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8BE86C0">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76AC08C">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9389E20">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7" w15:restartNumberingAfterBreak="0">
    <w:nsid w:val="16FF5C35"/>
    <w:multiLevelType w:val="hybridMultilevel"/>
    <w:tmpl w:val="66FC5520"/>
    <w:lvl w:ilvl="0" w:tplc="0FE895BA">
      <w:start w:val="1"/>
      <w:numFmt w:val="bullet"/>
      <w:lvlText w:val="–"/>
      <w:lvlJc w:val="left"/>
      <w:pPr>
        <w:ind w:left="2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54078E6">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386E782">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1B96C8E0">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D98CF44">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A06B64E">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B862C68">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19AD634">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0B2C0B0">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8" w15:restartNumberingAfterBreak="0">
    <w:nsid w:val="17106DDF"/>
    <w:multiLevelType w:val="hybridMultilevel"/>
    <w:tmpl w:val="C144DFCE"/>
    <w:lvl w:ilvl="0" w:tplc="89F276D0">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8981C48">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2AC0DF8">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1F6E20AE">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F4E2420">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5D2CF42">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BDC842C">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3046B62">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B98A7D6">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9" w15:restartNumberingAfterBreak="0">
    <w:nsid w:val="177B1077"/>
    <w:multiLevelType w:val="hybridMultilevel"/>
    <w:tmpl w:val="956496AE"/>
    <w:lvl w:ilvl="0" w:tplc="38324268">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B5018AE">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8BE311E">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3B212C4">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CA60346">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037279EA">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908CAB4">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7927892">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9D8E00A">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0" w15:restartNumberingAfterBreak="0">
    <w:nsid w:val="17C16AAA"/>
    <w:multiLevelType w:val="hybridMultilevel"/>
    <w:tmpl w:val="71D2F026"/>
    <w:lvl w:ilvl="0" w:tplc="639CF848">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0E40988">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1A07D66">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8FEE1EA">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81C8624">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B16EFC0">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ED6AA4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4E88E8A">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40EDB8C">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1" w15:restartNumberingAfterBreak="0">
    <w:nsid w:val="18257FA6"/>
    <w:multiLevelType w:val="hybridMultilevel"/>
    <w:tmpl w:val="CF465EC8"/>
    <w:lvl w:ilvl="0" w:tplc="BD2EFCE0">
      <w:start w:val="1"/>
      <w:numFmt w:val="bullet"/>
      <w:lvlText w:val="–"/>
      <w:lvlJc w:val="left"/>
      <w:pPr>
        <w:ind w:left="3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B7420432">
      <w:start w:val="1"/>
      <w:numFmt w:val="bullet"/>
      <w:lvlText w:val="o"/>
      <w:lvlJc w:val="left"/>
      <w:pPr>
        <w:ind w:left="13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E18DD10">
      <w:start w:val="1"/>
      <w:numFmt w:val="bullet"/>
      <w:lvlText w:val="▪"/>
      <w:lvlJc w:val="left"/>
      <w:pPr>
        <w:ind w:left="202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DECFCC2">
      <w:start w:val="1"/>
      <w:numFmt w:val="bullet"/>
      <w:lvlText w:val="•"/>
      <w:lvlJc w:val="left"/>
      <w:pPr>
        <w:ind w:left="274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0C8C1FE">
      <w:start w:val="1"/>
      <w:numFmt w:val="bullet"/>
      <w:lvlText w:val="o"/>
      <w:lvlJc w:val="left"/>
      <w:pPr>
        <w:ind w:left="346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978882C">
      <w:start w:val="1"/>
      <w:numFmt w:val="bullet"/>
      <w:lvlText w:val="▪"/>
      <w:lvlJc w:val="left"/>
      <w:pPr>
        <w:ind w:left="418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3FAC48C">
      <w:start w:val="1"/>
      <w:numFmt w:val="bullet"/>
      <w:lvlText w:val="•"/>
      <w:lvlJc w:val="left"/>
      <w:pPr>
        <w:ind w:left="49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56A2B00">
      <w:start w:val="1"/>
      <w:numFmt w:val="bullet"/>
      <w:lvlText w:val="o"/>
      <w:lvlJc w:val="left"/>
      <w:pPr>
        <w:ind w:left="562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398C8E2">
      <w:start w:val="1"/>
      <w:numFmt w:val="bullet"/>
      <w:lvlText w:val="▪"/>
      <w:lvlJc w:val="left"/>
      <w:pPr>
        <w:ind w:left="634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2" w15:restartNumberingAfterBreak="0">
    <w:nsid w:val="183D7F2E"/>
    <w:multiLevelType w:val="hybridMultilevel"/>
    <w:tmpl w:val="B5CCED74"/>
    <w:lvl w:ilvl="0" w:tplc="FA6E080E">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2508712">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EF03B7E">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94606E4">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E188CF6">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07AAC66">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E8003C4">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66A1764">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3BCEF8C">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3" w15:restartNumberingAfterBreak="0">
    <w:nsid w:val="189D01D7"/>
    <w:multiLevelType w:val="hybridMultilevel"/>
    <w:tmpl w:val="6A68B21A"/>
    <w:lvl w:ilvl="0" w:tplc="087A79E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B2640F4">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268538C">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4DE57FA">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C52F750">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390C676">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3788F7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E603872">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F1CDF58">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4" w15:restartNumberingAfterBreak="0">
    <w:nsid w:val="18D14641"/>
    <w:multiLevelType w:val="hybridMultilevel"/>
    <w:tmpl w:val="B82057FE"/>
    <w:lvl w:ilvl="0" w:tplc="39387D82">
      <w:start w:val="1"/>
      <w:numFmt w:val="bullet"/>
      <w:lvlText w:val="•"/>
      <w:lvlJc w:val="left"/>
      <w:pPr>
        <w:ind w:left="17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9268714">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DC8A422">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E8E8C9A">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7EC05F2">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02C0A44">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2AA393A">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5EA1998">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3DAE7C6">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5" w15:restartNumberingAfterBreak="0">
    <w:nsid w:val="19464CE4"/>
    <w:multiLevelType w:val="hybridMultilevel"/>
    <w:tmpl w:val="FF782494"/>
    <w:lvl w:ilvl="0" w:tplc="8408BFC4">
      <w:start w:val="1"/>
      <w:numFmt w:val="bullet"/>
      <w:lvlText w:val="–"/>
      <w:lvlJc w:val="left"/>
      <w:pPr>
        <w:ind w:left="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31C0AC0">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50824F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CE6AA62">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3361FF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0EE27250">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65C4EDE">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DAEC64C">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1D2BA9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6" w15:restartNumberingAfterBreak="0">
    <w:nsid w:val="197010BA"/>
    <w:multiLevelType w:val="hybridMultilevel"/>
    <w:tmpl w:val="A4027260"/>
    <w:lvl w:ilvl="0" w:tplc="667E7EF2">
      <w:start w:val="1"/>
      <w:numFmt w:val="bullet"/>
      <w:lvlText w:val="•"/>
      <w:lvlJc w:val="left"/>
      <w:pPr>
        <w:ind w:left="28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66D2DC66">
      <w:start w:val="1"/>
      <w:numFmt w:val="bullet"/>
      <w:lvlText w:val="o"/>
      <w:lvlJc w:val="left"/>
      <w:pPr>
        <w:ind w:left="10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CAF83976">
      <w:start w:val="1"/>
      <w:numFmt w:val="bullet"/>
      <w:lvlText w:val="▪"/>
      <w:lvlJc w:val="left"/>
      <w:pPr>
        <w:ind w:left="18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BC6854C4">
      <w:start w:val="1"/>
      <w:numFmt w:val="bullet"/>
      <w:lvlText w:val="•"/>
      <w:lvlJc w:val="left"/>
      <w:pPr>
        <w:ind w:left="2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4D8A0414">
      <w:start w:val="1"/>
      <w:numFmt w:val="bullet"/>
      <w:lvlText w:val="o"/>
      <w:lvlJc w:val="left"/>
      <w:pPr>
        <w:ind w:left="32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B1C0AAB2">
      <w:start w:val="1"/>
      <w:numFmt w:val="bullet"/>
      <w:lvlText w:val="▪"/>
      <w:lvlJc w:val="left"/>
      <w:pPr>
        <w:ind w:left="39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1B32CA16">
      <w:start w:val="1"/>
      <w:numFmt w:val="bullet"/>
      <w:lvlText w:val="•"/>
      <w:lvlJc w:val="left"/>
      <w:pPr>
        <w:ind w:left="46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3CD4F4B2">
      <w:start w:val="1"/>
      <w:numFmt w:val="bullet"/>
      <w:lvlText w:val="o"/>
      <w:lvlJc w:val="left"/>
      <w:pPr>
        <w:ind w:left="54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D2269858">
      <w:start w:val="1"/>
      <w:numFmt w:val="bullet"/>
      <w:lvlText w:val="▪"/>
      <w:lvlJc w:val="left"/>
      <w:pPr>
        <w:ind w:left="61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67" w15:restartNumberingAfterBreak="0">
    <w:nsid w:val="197F658D"/>
    <w:multiLevelType w:val="hybridMultilevel"/>
    <w:tmpl w:val="43706A7A"/>
    <w:lvl w:ilvl="0" w:tplc="2B54B56A">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2B6C194">
      <w:start w:val="1"/>
      <w:numFmt w:val="bullet"/>
      <w:lvlText w:val="o"/>
      <w:lvlJc w:val="left"/>
      <w:pPr>
        <w:ind w:left="113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8C22FD2">
      <w:start w:val="1"/>
      <w:numFmt w:val="bullet"/>
      <w:lvlText w:val="▪"/>
      <w:lvlJc w:val="left"/>
      <w:pPr>
        <w:ind w:left="185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AAA10C8">
      <w:start w:val="1"/>
      <w:numFmt w:val="bullet"/>
      <w:lvlText w:val="•"/>
      <w:lvlJc w:val="left"/>
      <w:pPr>
        <w:ind w:left="25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88282AC">
      <w:start w:val="1"/>
      <w:numFmt w:val="bullet"/>
      <w:lvlText w:val="o"/>
      <w:lvlJc w:val="left"/>
      <w:pPr>
        <w:ind w:left="329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6026FDA">
      <w:start w:val="1"/>
      <w:numFmt w:val="bullet"/>
      <w:lvlText w:val="▪"/>
      <w:lvlJc w:val="left"/>
      <w:pPr>
        <w:ind w:left="401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F246392">
      <w:start w:val="1"/>
      <w:numFmt w:val="bullet"/>
      <w:lvlText w:val="•"/>
      <w:lvlJc w:val="left"/>
      <w:pPr>
        <w:ind w:left="473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9B2723C">
      <w:start w:val="1"/>
      <w:numFmt w:val="bullet"/>
      <w:lvlText w:val="o"/>
      <w:lvlJc w:val="left"/>
      <w:pPr>
        <w:ind w:left="545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672BCD0">
      <w:start w:val="1"/>
      <w:numFmt w:val="bullet"/>
      <w:lvlText w:val="▪"/>
      <w:lvlJc w:val="left"/>
      <w:pPr>
        <w:ind w:left="61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8" w15:restartNumberingAfterBreak="0">
    <w:nsid w:val="19AF1523"/>
    <w:multiLevelType w:val="hybridMultilevel"/>
    <w:tmpl w:val="16EE04E6"/>
    <w:lvl w:ilvl="0" w:tplc="347CFA58">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01AB998">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C76A7B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8BE7438">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4C81FC4">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1DAD048">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598E43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C8AF80E">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CB6EC06">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9" w15:restartNumberingAfterBreak="0">
    <w:nsid w:val="19ED5DA2"/>
    <w:multiLevelType w:val="hybridMultilevel"/>
    <w:tmpl w:val="BCF0EA40"/>
    <w:lvl w:ilvl="0" w:tplc="22660586">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19AB634">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EC0F7F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47EF2B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97AD85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BE4435A">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35A4878">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9F4F1A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AE4BB42">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0" w15:restartNumberingAfterBreak="0">
    <w:nsid w:val="19F20FA9"/>
    <w:multiLevelType w:val="hybridMultilevel"/>
    <w:tmpl w:val="E17E4762"/>
    <w:lvl w:ilvl="0" w:tplc="C8BC4694">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FB2EE78">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33CE5D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D9A4552">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958987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3A01338">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D8C42A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A7A7B52">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D24342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1" w15:restartNumberingAfterBreak="0">
    <w:nsid w:val="1A4B6C95"/>
    <w:multiLevelType w:val="hybridMultilevel"/>
    <w:tmpl w:val="D3223834"/>
    <w:lvl w:ilvl="0" w:tplc="7E9C8BC4">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53620E2">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592B81A">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F50FF0A">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CAA6694">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BF65920">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29C14A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754677C">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B96C6FE">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2" w15:restartNumberingAfterBreak="0">
    <w:nsid w:val="1A71123A"/>
    <w:multiLevelType w:val="hybridMultilevel"/>
    <w:tmpl w:val="CAC8E814"/>
    <w:lvl w:ilvl="0" w:tplc="F8B4B204">
      <w:start w:val="1"/>
      <w:numFmt w:val="decimal"/>
      <w:lvlText w:val="%1"/>
      <w:lvlJc w:val="left"/>
      <w:pPr>
        <w:ind w:left="67"/>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1" w:tplc="F0C4373E">
      <w:start w:val="1"/>
      <w:numFmt w:val="lowerLetter"/>
      <w:lvlText w:val="%2"/>
      <w:lvlJc w:val="left"/>
      <w:pPr>
        <w:ind w:left="108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2" w:tplc="CF06BE40">
      <w:start w:val="1"/>
      <w:numFmt w:val="lowerRoman"/>
      <w:lvlText w:val="%3"/>
      <w:lvlJc w:val="left"/>
      <w:pPr>
        <w:ind w:left="180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3" w:tplc="4F5CF862">
      <w:start w:val="1"/>
      <w:numFmt w:val="decimal"/>
      <w:lvlText w:val="%4"/>
      <w:lvlJc w:val="left"/>
      <w:pPr>
        <w:ind w:left="252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4" w:tplc="75F6DBFE">
      <w:start w:val="1"/>
      <w:numFmt w:val="lowerLetter"/>
      <w:lvlText w:val="%5"/>
      <w:lvlJc w:val="left"/>
      <w:pPr>
        <w:ind w:left="324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5" w:tplc="5C42B372">
      <w:start w:val="1"/>
      <w:numFmt w:val="lowerRoman"/>
      <w:lvlText w:val="%6"/>
      <w:lvlJc w:val="left"/>
      <w:pPr>
        <w:ind w:left="396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6" w:tplc="BE94CFAC">
      <w:start w:val="1"/>
      <w:numFmt w:val="decimal"/>
      <w:lvlText w:val="%7"/>
      <w:lvlJc w:val="left"/>
      <w:pPr>
        <w:ind w:left="468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7" w:tplc="7ACC7842">
      <w:start w:val="1"/>
      <w:numFmt w:val="lowerLetter"/>
      <w:lvlText w:val="%8"/>
      <w:lvlJc w:val="left"/>
      <w:pPr>
        <w:ind w:left="540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8" w:tplc="E8F22958">
      <w:start w:val="1"/>
      <w:numFmt w:val="lowerRoman"/>
      <w:lvlText w:val="%9"/>
      <w:lvlJc w:val="left"/>
      <w:pPr>
        <w:ind w:left="612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abstractNum>
  <w:abstractNum w:abstractNumId="73" w15:restartNumberingAfterBreak="0">
    <w:nsid w:val="1A7D5880"/>
    <w:multiLevelType w:val="hybridMultilevel"/>
    <w:tmpl w:val="E6E8D962"/>
    <w:lvl w:ilvl="0" w:tplc="03A058B6">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65E8718">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A462FB8">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C5609F0">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21A685A">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2D27E08">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0F68512">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F6846E6">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4C80A2E">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4" w15:restartNumberingAfterBreak="0">
    <w:nsid w:val="1A7F4067"/>
    <w:multiLevelType w:val="hybridMultilevel"/>
    <w:tmpl w:val="D0A4BFFA"/>
    <w:lvl w:ilvl="0" w:tplc="8CFE7808">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8B8C7F4">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148FACA">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9C62396">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25C545A">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66C5E00">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FB02A32">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26244F6">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7CE800A">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5" w15:restartNumberingAfterBreak="0">
    <w:nsid w:val="1A89311B"/>
    <w:multiLevelType w:val="hybridMultilevel"/>
    <w:tmpl w:val="3E62CA26"/>
    <w:lvl w:ilvl="0" w:tplc="A1E8DD16">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4F8567C">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6C29E70">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4544E00">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650D202">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5E49B48">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4DE59D2">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0D6F17E">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76EEA94">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6" w15:restartNumberingAfterBreak="0">
    <w:nsid w:val="1AA02693"/>
    <w:multiLevelType w:val="hybridMultilevel"/>
    <w:tmpl w:val="399C6DAE"/>
    <w:lvl w:ilvl="0" w:tplc="4DA882C0">
      <w:start w:val="1"/>
      <w:numFmt w:val="bullet"/>
      <w:lvlText w:val="–"/>
      <w:lvlJc w:val="left"/>
      <w:pPr>
        <w:ind w:left="3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4A4128A">
      <w:start w:val="1"/>
      <w:numFmt w:val="bullet"/>
      <w:lvlText w:val="o"/>
      <w:lvlJc w:val="left"/>
      <w:pPr>
        <w:ind w:left="13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7D28FEC">
      <w:start w:val="1"/>
      <w:numFmt w:val="bullet"/>
      <w:lvlText w:val="▪"/>
      <w:lvlJc w:val="left"/>
      <w:pPr>
        <w:ind w:left="20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C5ED856">
      <w:start w:val="1"/>
      <w:numFmt w:val="bullet"/>
      <w:lvlText w:val="•"/>
      <w:lvlJc w:val="left"/>
      <w:pPr>
        <w:ind w:left="27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FEE3A36">
      <w:start w:val="1"/>
      <w:numFmt w:val="bullet"/>
      <w:lvlText w:val="o"/>
      <w:lvlJc w:val="left"/>
      <w:pPr>
        <w:ind w:left="34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C741D9A">
      <w:start w:val="1"/>
      <w:numFmt w:val="bullet"/>
      <w:lvlText w:val="▪"/>
      <w:lvlJc w:val="left"/>
      <w:pPr>
        <w:ind w:left="41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062AB54">
      <w:start w:val="1"/>
      <w:numFmt w:val="bullet"/>
      <w:lvlText w:val="•"/>
      <w:lvlJc w:val="left"/>
      <w:pPr>
        <w:ind w:left="49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2FAEA5C">
      <w:start w:val="1"/>
      <w:numFmt w:val="bullet"/>
      <w:lvlText w:val="o"/>
      <w:lvlJc w:val="left"/>
      <w:pPr>
        <w:ind w:left="56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89029FEE">
      <w:start w:val="1"/>
      <w:numFmt w:val="bullet"/>
      <w:lvlText w:val="▪"/>
      <w:lvlJc w:val="left"/>
      <w:pPr>
        <w:ind w:left="63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7" w15:restartNumberingAfterBreak="0">
    <w:nsid w:val="1BB06E0B"/>
    <w:multiLevelType w:val="hybridMultilevel"/>
    <w:tmpl w:val="F418DF1C"/>
    <w:lvl w:ilvl="0" w:tplc="CD7A3B28">
      <w:start w:val="1"/>
      <w:numFmt w:val="bullet"/>
      <w:lvlText w:val="•"/>
      <w:lvlJc w:val="left"/>
      <w:pPr>
        <w:ind w:left="2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BCD00730">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31034A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4DE385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88E2BD0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A1C09F2">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D042762">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6BE899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31422A2">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8" w15:restartNumberingAfterBreak="0">
    <w:nsid w:val="1C34266B"/>
    <w:multiLevelType w:val="hybridMultilevel"/>
    <w:tmpl w:val="2F449678"/>
    <w:lvl w:ilvl="0" w:tplc="1FA42324">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AC8D31C">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D083712">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D0A2076">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D42151C">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3C8849E">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9E8C3FC">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4960878">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C482C02">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9" w15:restartNumberingAfterBreak="0">
    <w:nsid w:val="1CB75902"/>
    <w:multiLevelType w:val="hybridMultilevel"/>
    <w:tmpl w:val="DF3480D0"/>
    <w:lvl w:ilvl="0" w:tplc="2EC0F708">
      <w:start w:val="1"/>
      <w:numFmt w:val="bullet"/>
      <w:lvlText w:val="•"/>
      <w:lvlJc w:val="left"/>
      <w:pPr>
        <w:ind w:left="17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903CC63A">
      <w:start w:val="1"/>
      <w:numFmt w:val="bullet"/>
      <w:lvlText w:val="o"/>
      <w:lvlJc w:val="left"/>
      <w:pPr>
        <w:ind w:left="11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412EDCDA">
      <w:start w:val="1"/>
      <w:numFmt w:val="bullet"/>
      <w:lvlText w:val="▪"/>
      <w:lvlJc w:val="left"/>
      <w:pPr>
        <w:ind w:left="18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41DABB70">
      <w:start w:val="1"/>
      <w:numFmt w:val="bullet"/>
      <w:lvlText w:val="•"/>
      <w:lvlJc w:val="left"/>
      <w:pPr>
        <w:ind w:left="25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5FF6DBE6">
      <w:start w:val="1"/>
      <w:numFmt w:val="bullet"/>
      <w:lvlText w:val="o"/>
      <w:lvlJc w:val="left"/>
      <w:pPr>
        <w:ind w:left="329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AE383AE8">
      <w:start w:val="1"/>
      <w:numFmt w:val="bullet"/>
      <w:lvlText w:val="▪"/>
      <w:lvlJc w:val="left"/>
      <w:pPr>
        <w:ind w:left="401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5B0414B2">
      <w:start w:val="1"/>
      <w:numFmt w:val="bullet"/>
      <w:lvlText w:val="•"/>
      <w:lvlJc w:val="left"/>
      <w:pPr>
        <w:ind w:left="47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6A0CBA4A">
      <w:start w:val="1"/>
      <w:numFmt w:val="bullet"/>
      <w:lvlText w:val="o"/>
      <w:lvlJc w:val="left"/>
      <w:pPr>
        <w:ind w:left="54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5276CE38">
      <w:start w:val="1"/>
      <w:numFmt w:val="bullet"/>
      <w:lvlText w:val="▪"/>
      <w:lvlJc w:val="left"/>
      <w:pPr>
        <w:ind w:left="61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80" w15:restartNumberingAfterBreak="0">
    <w:nsid w:val="1CC1523A"/>
    <w:multiLevelType w:val="hybridMultilevel"/>
    <w:tmpl w:val="A39C15B8"/>
    <w:lvl w:ilvl="0" w:tplc="A4643822">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A44E1BE">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9101216">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C464A34">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0C2601E">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4EC4250">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30065BE">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9FA395E">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572BB24">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1" w15:restartNumberingAfterBreak="0">
    <w:nsid w:val="1D8062A0"/>
    <w:multiLevelType w:val="hybridMultilevel"/>
    <w:tmpl w:val="B4721F2A"/>
    <w:lvl w:ilvl="0" w:tplc="EB50081C">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B7ECB02">
      <w:start w:val="1"/>
      <w:numFmt w:val="lowerLetter"/>
      <w:lvlText w:val="%2"/>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010AEDE">
      <w:start w:val="1"/>
      <w:numFmt w:val="lowerRoman"/>
      <w:lvlText w:val="%3"/>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63EE40A">
      <w:start w:val="1"/>
      <w:numFmt w:val="decimal"/>
      <w:lvlText w:val="%4"/>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40EF1B0">
      <w:start w:val="1"/>
      <w:numFmt w:val="lowerLetter"/>
      <w:lvlText w:val="%5"/>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2C66F46">
      <w:start w:val="1"/>
      <w:numFmt w:val="lowerRoman"/>
      <w:lvlText w:val="%6"/>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86A7286">
      <w:start w:val="1"/>
      <w:numFmt w:val="decimal"/>
      <w:lvlText w:val="%7"/>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1E0CF8E">
      <w:start w:val="1"/>
      <w:numFmt w:val="lowerLetter"/>
      <w:lvlText w:val="%8"/>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878A34E">
      <w:start w:val="1"/>
      <w:numFmt w:val="lowerRoman"/>
      <w:lvlText w:val="%9"/>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2" w15:restartNumberingAfterBreak="0">
    <w:nsid w:val="1DD47513"/>
    <w:multiLevelType w:val="hybridMultilevel"/>
    <w:tmpl w:val="666EEE3E"/>
    <w:lvl w:ilvl="0" w:tplc="47F6FF0E">
      <w:start w:val="1"/>
      <w:numFmt w:val="bullet"/>
      <w:lvlText w:val="•"/>
      <w:lvlJc w:val="left"/>
      <w:pPr>
        <w:ind w:left="3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4BCC51AA">
      <w:start w:val="1"/>
      <w:numFmt w:val="bullet"/>
      <w:lvlText w:val="o"/>
      <w:lvlJc w:val="left"/>
      <w:pPr>
        <w:ind w:left="50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61B03900">
      <w:start w:val="1"/>
      <w:numFmt w:val="bullet"/>
      <w:lvlRestart w:val="0"/>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32183644">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2A1A7624">
      <w:start w:val="1"/>
      <w:numFmt w:val="bullet"/>
      <w:lvlText w:val="o"/>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DB98E994">
      <w:start w:val="1"/>
      <w:numFmt w:val="bullet"/>
      <w:lvlText w:val="▪"/>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57A6E21A">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8878C926">
      <w:start w:val="1"/>
      <w:numFmt w:val="bullet"/>
      <w:lvlText w:val="o"/>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5CA6C7B8">
      <w:start w:val="1"/>
      <w:numFmt w:val="bullet"/>
      <w:lvlText w:val="▪"/>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83" w15:restartNumberingAfterBreak="0">
    <w:nsid w:val="1E1F330C"/>
    <w:multiLevelType w:val="hybridMultilevel"/>
    <w:tmpl w:val="0346FAB4"/>
    <w:lvl w:ilvl="0" w:tplc="95904528">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07E57CC">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50AE8D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43AE18C">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91214B2">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DE6B3DE">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5A6DA20">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E122DDE">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E7E6C1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4" w15:restartNumberingAfterBreak="0">
    <w:nsid w:val="1E6377E4"/>
    <w:multiLevelType w:val="hybridMultilevel"/>
    <w:tmpl w:val="70A6F7A0"/>
    <w:lvl w:ilvl="0" w:tplc="796ED86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8667E9C">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50481F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5DE8760">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3C8BF8">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50A7808">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1DE32B0">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CD8E792">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8C4E0438">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5" w15:restartNumberingAfterBreak="0">
    <w:nsid w:val="1E7358B2"/>
    <w:multiLevelType w:val="hybridMultilevel"/>
    <w:tmpl w:val="B59A7F8A"/>
    <w:lvl w:ilvl="0" w:tplc="75C21156">
      <w:start w:val="1"/>
      <w:numFmt w:val="bullet"/>
      <w:lvlText w:val="•"/>
      <w:lvlJc w:val="left"/>
      <w:pPr>
        <w:ind w:left="285"/>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73D2D146">
      <w:start w:val="1"/>
      <w:numFmt w:val="bullet"/>
      <w:lvlText w:val="o"/>
      <w:lvlJc w:val="left"/>
      <w:pPr>
        <w:ind w:left="10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15B04430">
      <w:start w:val="1"/>
      <w:numFmt w:val="bullet"/>
      <w:lvlText w:val="▪"/>
      <w:lvlJc w:val="left"/>
      <w:pPr>
        <w:ind w:left="18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6B6A5E78">
      <w:start w:val="1"/>
      <w:numFmt w:val="bullet"/>
      <w:lvlText w:val="•"/>
      <w:lvlJc w:val="left"/>
      <w:pPr>
        <w:ind w:left="2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B5807F9C">
      <w:start w:val="1"/>
      <w:numFmt w:val="bullet"/>
      <w:lvlText w:val="o"/>
      <w:lvlJc w:val="left"/>
      <w:pPr>
        <w:ind w:left="32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F814DEAC">
      <w:start w:val="1"/>
      <w:numFmt w:val="bullet"/>
      <w:lvlText w:val="▪"/>
      <w:lvlJc w:val="left"/>
      <w:pPr>
        <w:ind w:left="39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1812DEAC">
      <w:start w:val="1"/>
      <w:numFmt w:val="bullet"/>
      <w:lvlText w:val="•"/>
      <w:lvlJc w:val="left"/>
      <w:pPr>
        <w:ind w:left="46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FEA6B3C8">
      <w:start w:val="1"/>
      <w:numFmt w:val="bullet"/>
      <w:lvlText w:val="o"/>
      <w:lvlJc w:val="left"/>
      <w:pPr>
        <w:ind w:left="54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8D86B25C">
      <w:start w:val="1"/>
      <w:numFmt w:val="bullet"/>
      <w:lvlText w:val="▪"/>
      <w:lvlJc w:val="left"/>
      <w:pPr>
        <w:ind w:left="61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86" w15:restartNumberingAfterBreak="0">
    <w:nsid w:val="1EC368D7"/>
    <w:multiLevelType w:val="hybridMultilevel"/>
    <w:tmpl w:val="A7D4E522"/>
    <w:lvl w:ilvl="0" w:tplc="FAD429E2">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E4217F4">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F8C803A">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AD439AC">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05A6B9C">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080CA8E">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1D62DFE">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260970A">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B7C74AE">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7" w15:restartNumberingAfterBreak="0">
    <w:nsid w:val="1EFD08BB"/>
    <w:multiLevelType w:val="hybridMultilevel"/>
    <w:tmpl w:val="63CE4C1E"/>
    <w:lvl w:ilvl="0" w:tplc="6D3E43E4">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FF4EEAE">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9308A5E">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DA0F3A2">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FA0B8C0">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E46C434">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7222D18">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3EE553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3D81EC8">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8" w15:restartNumberingAfterBreak="0">
    <w:nsid w:val="1F9552E2"/>
    <w:multiLevelType w:val="hybridMultilevel"/>
    <w:tmpl w:val="FBB6199A"/>
    <w:lvl w:ilvl="0" w:tplc="AB882DC8">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5FEAC3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DBA002E">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AB0CC8E">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8000058">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742B8BA">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EAAE4EA">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0EAFD1A">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3FAF6F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89" w15:restartNumberingAfterBreak="0">
    <w:nsid w:val="206B5F41"/>
    <w:multiLevelType w:val="hybridMultilevel"/>
    <w:tmpl w:val="1008522E"/>
    <w:lvl w:ilvl="0" w:tplc="42760CF0">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200DDBE">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B4E5D24">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BF8B116">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4304278">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49F215DA">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5B69348">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930D3C0">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48680A6">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90" w15:restartNumberingAfterBreak="0">
    <w:nsid w:val="206F09D3"/>
    <w:multiLevelType w:val="hybridMultilevel"/>
    <w:tmpl w:val="4D1C8544"/>
    <w:lvl w:ilvl="0" w:tplc="E3D4E246">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BFCB376">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D3E7F3A">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CB61E16">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C06EC6E">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6284640">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700DEA8">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98EA004">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0F6DBCC">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91" w15:restartNumberingAfterBreak="0">
    <w:nsid w:val="20C30EE4"/>
    <w:multiLevelType w:val="hybridMultilevel"/>
    <w:tmpl w:val="E8F468FE"/>
    <w:lvl w:ilvl="0" w:tplc="77185B1A">
      <w:start w:val="4"/>
      <w:numFmt w:val="decimal"/>
      <w:lvlText w:val="%1"/>
      <w:lvlJc w:val="left"/>
      <w:pPr>
        <w:ind w:left="82"/>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1" w:tplc="543621E8">
      <w:start w:val="1"/>
      <w:numFmt w:val="lowerLetter"/>
      <w:lvlText w:val="%2"/>
      <w:lvlJc w:val="left"/>
      <w:pPr>
        <w:ind w:left="108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2" w:tplc="36BE95BE">
      <w:start w:val="1"/>
      <w:numFmt w:val="lowerRoman"/>
      <w:lvlText w:val="%3"/>
      <w:lvlJc w:val="left"/>
      <w:pPr>
        <w:ind w:left="180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3" w:tplc="028C0F90">
      <w:start w:val="1"/>
      <w:numFmt w:val="decimal"/>
      <w:lvlText w:val="%4"/>
      <w:lvlJc w:val="left"/>
      <w:pPr>
        <w:ind w:left="252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4" w:tplc="6124F690">
      <w:start w:val="1"/>
      <w:numFmt w:val="lowerLetter"/>
      <w:lvlText w:val="%5"/>
      <w:lvlJc w:val="left"/>
      <w:pPr>
        <w:ind w:left="324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5" w:tplc="74F20BF2">
      <w:start w:val="1"/>
      <w:numFmt w:val="lowerRoman"/>
      <w:lvlText w:val="%6"/>
      <w:lvlJc w:val="left"/>
      <w:pPr>
        <w:ind w:left="396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6" w:tplc="80E45098">
      <w:start w:val="1"/>
      <w:numFmt w:val="decimal"/>
      <w:lvlText w:val="%7"/>
      <w:lvlJc w:val="left"/>
      <w:pPr>
        <w:ind w:left="468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7" w:tplc="2DBE2D22">
      <w:start w:val="1"/>
      <w:numFmt w:val="lowerLetter"/>
      <w:lvlText w:val="%8"/>
      <w:lvlJc w:val="left"/>
      <w:pPr>
        <w:ind w:left="540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8" w:tplc="E2E28D06">
      <w:start w:val="1"/>
      <w:numFmt w:val="lowerRoman"/>
      <w:lvlText w:val="%9"/>
      <w:lvlJc w:val="left"/>
      <w:pPr>
        <w:ind w:left="612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abstractNum>
  <w:abstractNum w:abstractNumId="92" w15:restartNumberingAfterBreak="0">
    <w:nsid w:val="21223E06"/>
    <w:multiLevelType w:val="hybridMultilevel"/>
    <w:tmpl w:val="78804DAC"/>
    <w:lvl w:ilvl="0" w:tplc="10CCBC70">
      <w:start w:val="1"/>
      <w:numFmt w:val="bullet"/>
      <w:lvlText w:val="–"/>
      <w:lvlJc w:val="left"/>
      <w:pPr>
        <w:ind w:left="17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B6A8FD7C">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0B809FE">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B92A95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8800EF1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1FA585A">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B2A7D3E">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1F4BE3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804B98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93" w15:restartNumberingAfterBreak="0">
    <w:nsid w:val="21671FE6"/>
    <w:multiLevelType w:val="hybridMultilevel"/>
    <w:tmpl w:val="D9BC92CE"/>
    <w:lvl w:ilvl="0" w:tplc="62689B98">
      <w:start w:val="2"/>
      <w:numFmt w:val="decimal"/>
      <w:lvlText w:val="%1."/>
      <w:lvlJc w:val="left"/>
      <w:pPr>
        <w:ind w:left="28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95E4B11C">
      <w:start w:val="1"/>
      <w:numFmt w:val="lowerLetter"/>
      <w:lvlText w:val="%2"/>
      <w:lvlJc w:val="left"/>
      <w:pPr>
        <w:ind w:left="10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F6C0CB52">
      <w:start w:val="1"/>
      <w:numFmt w:val="lowerRoman"/>
      <w:lvlText w:val="%3"/>
      <w:lvlJc w:val="left"/>
      <w:pPr>
        <w:ind w:left="18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9E48D840">
      <w:start w:val="1"/>
      <w:numFmt w:val="decimal"/>
      <w:lvlText w:val="%4"/>
      <w:lvlJc w:val="left"/>
      <w:pPr>
        <w:ind w:left="2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9D3EC428">
      <w:start w:val="1"/>
      <w:numFmt w:val="lowerLetter"/>
      <w:lvlText w:val="%5"/>
      <w:lvlJc w:val="left"/>
      <w:pPr>
        <w:ind w:left="32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BCF22A74">
      <w:start w:val="1"/>
      <w:numFmt w:val="lowerRoman"/>
      <w:lvlText w:val="%6"/>
      <w:lvlJc w:val="left"/>
      <w:pPr>
        <w:ind w:left="39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169EFD06">
      <w:start w:val="1"/>
      <w:numFmt w:val="decimal"/>
      <w:lvlText w:val="%7"/>
      <w:lvlJc w:val="left"/>
      <w:pPr>
        <w:ind w:left="46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8214D8C4">
      <w:start w:val="1"/>
      <w:numFmt w:val="lowerLetter"/>
      <w:lvlText w:val="%8"/>
      <w:lvlJc w:val="left"/>
      <w:pPr>
        <w:ind w:left="54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5F34ECE8">
      <w:start w:val="1"/>
      <w:numFmt w:val="lowerRoman"/>
      <w:lvlText w:val="%9"/>
      <w:lvlJc w:val="left"/>
      <w:pPr>
        <w:ind w:left="61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94" w15:restartNumberingAfterBreak="0">
    <w:nsid w:val="2189478F"/>
    <w:multiLevelType w:val="hybridMultilevel"/>
    <w:tmpl w:val="0BB0D3F0"/>
    <w:lvl w:ilvl="0" w:tplc="2A6A7C24">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93C57DC">
      <w:start w:val="1"/>
      <w:numFmt w:val="bullet"/>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F662C590">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C01ED33A">
      <w:start w:val="1"/>
      <w:numFmt w:val="bullet"/>
      <w:lvlText w:val="•"/>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D44018D6">
      <w:start w:val="1"/>
      <w:numFmt w:val="bullet"/>
      <w:lvlText w:val="o"/>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527250C8">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58288DC0">
      <w:start w:val="1"/>
      <w:numFmt w:val="bullet"/>
      <w:lvlText w:val="•"/>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7F0EE304">
      <w:start w:val="1"/>
      <w:numFmt w:val="bullet"/>
      <w:lvlText w:val="o"/>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98BA9F5E">
      <w:start w:val="1"/>
      <w:numFmt w:val="bullet"/>
      <w:lvlText w:val="▪"/>
      <w:lvlJc w:val="left"/>
      <w:pPr>
        <w:ind w:left="56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95" w15:restartNumberingAfterBreak="0">
    <w:nsid w:val="22AD0406"/>
    <w:multiLevelType w:val="hybridMultilevel"/>
    <w:tmpl w:val="F2AC3D82"/>
    <w:lvl w:ilvl="0" w:tplc="EE608124">
      <w:start w:val="1"/>
      <w:numFmt w:val="bullet"/>
      <w:lvlText w:val="•"/>
      <w:lvlJc w:val="left"/>
      <w:pPr>
        <w:ind w:left="2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2DC9DD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4BCBA30">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ABC43EE">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274375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02EB862">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34CCBB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E5C0CB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FD6DD86">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96" w15:restartNumberingAfterBreak="0">
    <w:nsid w:val="22D627DE"/>
    <w:multiLevelType w:val="hybridMultilevel"/>
    <w:tmpl w:val="4E1CEB20"/>
    <w:lvl w:ilvl="0" w:tplc="D22C6E22">
      <w:start w:val="1"/>
      <w:numFmt w:val="bullet"/>
      <w:lvlText w:val="•"/>
      <w:lvlJc w:val="left"/>
      <w:pPr>
        <w:ind w:left="56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ABCA5AC">
      <w:start w:val="1"/>
      <w:numFmt w:val="bullet"/>
      <w:lvlText w:val="o"/>
      <w:lvlJc w:val="left"/>
      <w:pPr>
        <w:ind w:left="13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BA0CB90">
      <w:start w:val="1"/>
      <w:numFmt w:val="bullet"/>
      <w:lvlText w:val="▪"/>
      <w:lvlJc w:val="left"/>
      <w:pPr>
        <w:ind w:left="20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E42F680">
      <w:start w:val="1"/>
      <w:numFmt w:val="bullet"/>
      <w:lvlText w:val="•"/>
      <w:lvlJc w:val="left"/>
      <w:pPr>
        <w:ind w:left="28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1E8A6B6">
      <w:start w:val="1"/>
      <w:numFmt w:val="bullet"/>
      <w:lvlText w:val="o"/>
      <w:lvlJc w:val="left"/>
      <w:pPr>
        <w:ind w:left="35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DC89898">
      <w:start w:val="1"/>
      <w:numFmt w:val="bullet"/>
      <w:lvlText w:val="▪"/>
      <w:lvlJc w:val="left"/>
      <w:pPr>
        <w:ind w:left="42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3DA2762">
      <w:start w:val="1"/>
      <w:numFmt w:val="bullet"/>
      <w:lvlText w:val="•"/>
      <w:lvlJc w:val="left"/>
      <w:pPr>
        <w:ind w:left="49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8181404">
      <w:start w:val="1"/>
      <w:numFmt w:val="bullet"/>
      <w:lvlText w:val="o"/>
      <w:lvlJc w:val="left"/>
      <w:pPr>
        <w:ind w:left="56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20C49BA">
      <w:start w:val="1"/>
      <w:numFmt w:val="bullet"/>
      <w:lvlText w:val="▪"/>
      <w:lvlJc w:val="left"/>
      <w:pPr>
        <w:ind w:left="64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97" w15:restartNumberingAfterBreak="0">
    <w:nsid w:val="22F83E2B"/>
    <w:multiLevelType w:val="hybridMultilevel"/>
    <w:tmpl w:val="7C7C2786"/>
    <w:lvl w:ilvl="0" w:tplc="BCF8F6BA">
      <w:start w:val="1"/>
      <w:numFmt w:val="bullet"/>
      <w:lvlText w:val="•"/>
      <w:lvlJc w:val="left"/>
      <w:pPr>
        <w:ind w:left="2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6C6F756">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C6055F0">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8B46F38">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55678DC">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180A04C">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1CE568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B18D024">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4A01CF4">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98" w15:restartNumberingAfterBreak="0">
    <w:nsid w:val="243B1712"/>
    <w:multiLevelType w:val="hybridMultilevel"/>
    <w:tmpl w:val="83F6EF12"/>
    <w:lvl w:ilvl="0" w:tplc="3FFAB036">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BA84CAE0">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2381696">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506C6AC">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734E28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8ECFF1E">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164B2A8">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31EC50A">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8FC27FD8">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99" w15:restartNumberingAfterBreak="0">
    <w:nsid w:val="24CC50EC"/>
    <w:multiLevelType w:val="hybridMultilevel"/>
    <w:tmpl w:val="817874B0"/>
    <w:lvl w:ilvl="0" w:tplc="EAF2CA2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FF48774">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3E2E444">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2284D30">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8E3C188C">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25094A6">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CE0BBC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17F097A2">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8B0B88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00" w15:restartNumberingAfterBreak="0">
    <w:nsid w:val="254F6F63"/>
    <w:multiLevelType w:val="hybridMultilevel"/>
    <w:tmpl w:val="0116E286"/>
    <w:lvl w:ilvl="0" w:tplc="E088738E">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2C8606C">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5787D5A">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B1C5CF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AF6CD64">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F36771C">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AD85884">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56CA93C">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EF4BC4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01" w15:restartNumberingAfterBreak="0">
    <w:nsid w:val="25736711"/>
    <w:multiLevelType w:val="hybridMultilevel"/>
    <w:tmpl w:val="99D8717E"/>
    <w:lvl w:ilvl="0" w:tplc="502AC164">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5CC2B3C">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CC29FEA">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00EDFFC">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69AC8EC">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58219B6">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3AE5E5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D2CD1C4">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A90F8FC">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02" w15:restartNumberingAfterBreak="0">
    <w:nsid w:val="262E5AB6"/>
    <w:multiLevelType w:val="hybridMultilevel"/>
    <w:tmpl w:val="75A2601C"/>
    <w:lvl w:ilvl="0" w:tplc="85D234F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C08213A">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4F63524">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23ECC82">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000C2FA">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1BC739C">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E5CAEF6">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BB8083A">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07CBCF4">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03" w15:restartNumberingAfterBreak="0">
    <w:nsid w:val="26A9481D"/>
    <w:multiLevelType w:val="hybridMultilevel"/>
    <w:tmpl w:val="837C999E"/>
    <w:lvl w:ilvl="0" w:tplc="DF80F5D4">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3A8C57E">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BF84EC0">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4DC8EFA">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0AA56CC">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4B766B3E">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8C4AEAE">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EB2B81A">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9562AF2">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04" w15:restartNumberingAfterBreak="0">
    <w:nsid w:val="270F1B93"/>
    <w:multiLevelType w:val="hybridMultilevel"/>
    <w:tmpl w:val="2988A6AA"/>
    <w:lvl w:ilvl="0" w:tplc="443289A0">
      <w:start w:val="1"/>
      <w:numFmt w:val="bullet"/>
      <w:lvlText w:val="–"/>
      <w:lvlJc w:val="left"/>
      <w:pPr>
        <w:ind w:left="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CF65AF6">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53A6366">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604D83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37AD61C">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F6458A6">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388DE84">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105051C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D3E184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05" w15:restartNumberingAfterBreak="0">
    <w:nsid w:val="271209F7"/>
    <w:multiLevelType w:val="hybridMultilevel"/>
    <w:tmpl w:val="F0C43ECC"/>
    <w:lvl w:ilvl="0" w:tplc="AC9A3250">
      <w:start w:val="1"/>
      <w:numFmt w:val="decimal"/>
      <w:lvlText w:val="%1."/>
      <w:lvlJc w:val="left"/>
      <w:pPr>
        <w:ind w:left="56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302449E">
      <w:start w:val="1"/>
      <w:numFmt w:val="bullet"/>
      <w:lvlText w:val="•"/>
      <w:lvlJc w:val="left"/>
      <w:pPr>
        <w:ind w:left="85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1DC5ECC">
      <w:start w:val="1"/>
      <w:numFmt w:val="bullet"/>
      <w:lvlText w:val=""/>
      <w:lvlJc w:val="left"/>
      <w:pPr>
        <w:ind w:left="1135"/>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0D24A366">
      <w:start w:val="1"/>
      <w:numFmt w:val="bullet"/>
      <w:lvlText w:val="•"/>
      <w:lvlJc w:val="left"/>
      <w:pPr>
        <w:ind w:left="193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F8881B14">
      <w:start w:val="1"/>
      <w:numFmt w:val="bullet"/>
      <w:lvlText w:val="o"/>
      <w:lvlJc w:val="left"/>
      <w:pPr>
        <w:ind w:left="265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0EDC7F50">
      <w:start w:val="1"/>
      <w:numFmt w:val="bullet"/>
      <w:lvlText w:val="▪"/>
      <w:lvlJc w:val="left"/>
      <w:pPr>
        <w:ind w:left="337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91085612">
      <w:start w:val="1"/>
      <w:numFmt w:val="bullet"/>
      <w:lvlText w:val="•"/>
      <w:lvlJc w:val="left"/>
      <w:pPr>
        <w:ind w:left="409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76F61950">
      <w:start w:val="1"/>
      <w:numFmt w:val="bullet"/>
      <w:lvlText w:val="o"/>
      <w:lvlJc w:val="left"/>
      <w:pPr>
        <w:ind w:left="481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825CA148">
      <w:start w:val="1"/>
      <w:numFmt w:val="bullet"/>
      <w:lvlText w:val="▪"/>
      <w:lvlJc w:val="left"/>
      <w:pPr>
        <w:ind w:left="553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06" w15:restartNumberingAfterBreak="0">
    <w:nsid w:val="277D2A8C"/>
    <w:multiLevelType w:val="hybridMultilevel"/>
    <w:tmpl w:val="DBA04438"/>
    <w:lvl w:ilvl="0" w:tplc="ABAEA38C">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804F0CC">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D0CCC6A">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B00986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974F22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2585478">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6AAB75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4A0B23E">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A94FAE8">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07" w15:restartNumberingAfterBreak="0">
    <w:nsid w:val="27CD2A62"/>
    <w:multiLevelType w:val="hybridMultilevel"/>
    <w:tmpl w:val="39A86780"/>
    <w:lvl w:ilvl="0" w:tplc="2E06F6E4">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172D954">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C60E65E">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0D074CC">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C5C2552">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02AE1FE4">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762AC3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1BA365E">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18C44A0">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08" w15:restartNumberingAfterBreak="0">
    <w:nsid w:val="285F77D3"/>
    <w:multiLevelType w:val="hybridMultilevel"/>
    <w:tmpl w:val="438A8272"/>
    <w:lvl w:ilvl="0" w:tplc="EB6C5406">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66423BC">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9A23C56">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264B400">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6ECB812">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0F50EECE">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A9E35B2">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3CE9618">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B40F73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09" w15:restartNumberingAfterBreak="0">
    <w:nsid w:val="28C96B6E"/>
    <w:multiLevelType w:val="hybridMultilevel"/>
    <w:tmpl w:val="43FA2900"/>
    <w:lvl w:ilvl="0" w:tplc="6E70614A">
      <w:start w:val="1"/>
      <w:numFmt w:val="bullet"/>
      <w:lvlText w:val="•"/>
      <w:lvlJc w:val="left"/>
      <w:pPr>
        <w:ind w:left="17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lvl w:ilvl="1" w:tplc="CB924A52">
      <w:start w:val="1"/>
      <w:numFmt w:val="bullet"/>
      <w:lvlText w:val="o"/>
      <w:lvlJc w:val="left"/>
      <w:pPr>
        <w:ind w:left="108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lvl w:ilvl="2" w:tplc="A670C344">
      <w:start w:val="1"/>
      <w:numFmt w:val="bullet"/>
      <w:lvlText w:val="▪"/>
      <w:lvlJc w:val="left"/>
      <w:pPr>
        <w:ind w:left="180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lvl w:ilvl="3" w:tplc="AC408F1C">
      <w:start w:val="1"/>
      <w:numFmt w:val="bullet"/>
      <w:lvlText w:val="•"/>
      <w:lvlJc w:val="left"/>
      <w:pPr>
        <w:ind w:left="252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lvl w:ilvl="4" w:tplc="968E5162">
      <w:start w:val="1"/>
      <w:numFmt w:val="bullet"/>
      <w:lvlText w:val="o"/>
      <w:lvlJc w:val="left"/>
      <w:pPr>
        <w:ind w:left="324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lvl w:ilvl="5" w:tplc="88FCAA74">
      <w:start w:val="1"/>
      <w:numFmt w:val="bullet"/>
      <w:lvlText w:val="▪"/>
      <w:lvlJc w:val="left"/>
      <w:pPr>
        <w:ind w:left="396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lvl w:ilvl="6" w:tplc="C474396C">
      <w:start w:val="1"/>
      <w:numFmt w:val="bullet"/>
      <w:lvlText w:val="•"/>
      <w:lvlJc w:val="left"/>
      <w:pPr>
        <w:ind w:left="468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lvl w:ilvl="7" w:tplc="4A5074FA">
      <w:start w:val="1"/>
      <w:numFmt w:val="bullet"/>
      <w:lvlText w:val="o"/>
      <w:lvlJc w:val="left"/>
      <w:pPr>
        <w:ind w:left="540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lvl w:ilvl="8" w:tplc="30721078">
      <w:start w:val="1"/>
      <w:numFmt w:val="bullet"/>
      <w:lvlText w:val="▪"/>
      <w:lvlJc w:val="left"/>
      <w:pPr>
        <w:ind w:left="612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abstractNum>
  <w:abstractNum w:abstractNumId="110" w15:restartNumberingAfterBreak="0">
    <w:nsid w:val="28F865F7"/>
    <w:multiLevelType w:val="hybridMultilevel"/>
    <w:tmpl w:val="E138B400"/>
    <w:lvl w:ilvl="0" w:tplc="F66C1378">
      <w:start w:val="2"/>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9D8B85E">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218EA86">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3DA39D8">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0EA57B2">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0921BD0">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3BA7BFA">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AC387B6E">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F3EFA1A">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11" w15:restartNumberingAfterBreak="0">
    <w:nsid w:val="29445A79"/>
    <w:multiLevelType w:val="hybridMultilevel"/>
    <w:tmpl w:val="3C88920C"/>
    <w:lvl w:ilvl="0" w:tplc="4DA2BA6E">
      <w:start w:val="1"/>
      <w:numFmt w:val="bullet"/>
      <w:lvlText w:val="–"/>
      <w:lvlJc w:val="left"/>
      <w:pPr>
        <w:ind w:left="3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C841DDE">
      <w:start w:val="1"/>
      <w:numFmt w:val="bullet"/>
      <w:lvlText w:val="o"/>
      <w:lvlJc w:val="left"/>
      <w:pPr>
        <w:ind w:left="13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6BCF54A">
      <w:start w:val="1"/>
      <w:numFmt w:val="bullet"/>
      <w:lvlText w:val="▪"/>
      <w:lvlJc w:val="left"/>
      <w:pPr>
        <w:ind w:left="202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884EF5C">
      <w:start w:val="1"/>
      <w:numFmt w:val="bullet"/>
      <w:lvlText w:val="•"/>
      <w:lvlJc w:val="left"/>
      <w:pPr>
        <w:ind w:left="274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50C1640">
      <w:start w:val="1"/>
      <w:numFmt w:val="bullet"/>
      <w:lvlText w:val="o"/>
      <w:lvlJc w:val="left"/>
      <w:pPr>
        <w:ind w:left="346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618C094">
      <w:start w:val="1"/>
      <w:numFmt w:val="bullet"/>
      <w:lvlText w:val="▪"/>
      <w:lvlJc w:val="left"/>
      <w:pPr>
        <w:ind w:left="418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02A2CDC">
      <w:start w:val="1"/>
      <w:numFmt w:val="bullet"/>
      <w:lvlText w:val="•"/>
      <w:lvlJc w:val="left"/>
      <w:pPr>
        <w:ind w:left="49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4C80C6C">
      <w:start w:val="1"/>
      <w:numFmt w:val="bullet"/>
      <w:lvlText w:val="o"/>
      <w:lvlJc w:val="left"/>
      <w:pPr>
        <w:ind w:left="562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8D47256">
      <w:start w:val="1"/>
      <w:numFmt w:val="bullet"/>
      <w:lvlText w:val="▪"/>
      <w:lvlJc w:val="left"/>
      <w:pPr>
        <w:ind w:left="634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12" w15:restartNumberingAfterBreak="0">
    <w:nsid w:val="29FA2923"/>
    <w:multiLevelType w:val="hybridMultilevel"/>
    <w:tmpl w:val="C382D954"/>
    <w:lvl w:ilvl="0" w:tplc="056659A6">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B726C886">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0D0D83C">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3AAD52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90A3CF2">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A90BA10">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94A1C1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23604F8">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AFE303A">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13" w15:restartNumberingAfterBreak="0">
    <w:nsid w:val="29FB36E0"/>
    <w:multiLevelType w:val="hybridMultilevel"/>
    <w:tmpl w:val="C8DAF0D4"/>
    <w:lvl w:ilvl="0" w:tplc="A2B6AF04">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8865EA8">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BE471D6">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5E8228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39A870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BBA608C">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696EFF0">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42AE92E">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2C6AE76">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14" w15:restartNumberingAfterBreak="0">
    <w:nsid w:val="2AB04D53"/>
    <w:multiLevelType w:val="multilevel"/>
    <w:tmpl w:val="38580E64"/>
    <w:lvl w:ilvl="0">
      <w:start w:val="3"/>
      <w:numFmt w:val="decimal"/>
      <w:lvlText w:val="%1"/>
      <w:lvlJc w:val="left"/>
      <w:pPr>
        <w:ind w:left="3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start w:val="3"/>
      <w:numFmt w:val="decimal"/>
      <w:lvlRestart w:val="0"/>
      <w:lvlText w:val="%1.%2."/>
      <w:lvlJc w:val="left"/>
      <w:pPr>
        <w:ind w:left="1366"/>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3169"/>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3889"/>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4609"/>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5329"/>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6049"/>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6769"/>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7489"/>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115" w15:restartNumberingAfterBreak="0">
    <w:nsid w:val="2B4A7FD7"/>
    <w:multiLevelType w:val="hybridMultilevel"/>
    <w:tmpl w:val="5B26264C"/>
    <w:lvl w:ilvl="0" w:tplc="9F6A4C8C">
      <w:start w:val="1"/>
      <w:numFmt w:val="decimal"/>
      <w:lvlText w:val="%1"/>
      <w:lvlJc w:val="left"/>
      <w:pPr>
        <w:ind w:left="82"/>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1" w:tplc="E7DA540C">
      <w:start w:val="1"/>
      <w:numFmt w:val="lowerLetter"/>
      <w:lvlText w:val="%2"/>
      <w:lvlJc w:val="left"/>
      <w:pPr>
        <w:ind w:left="108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2" w:tplc="D7A202C8">
      <w:start w:val="1"/>
      <w:numFmt w:val="lowerRoman"/>
      <w:lvlText w:val="%3"/>
      <w:lvlJc w:val="left"/>
      <w:pPr>
        <w:ind w:left="180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3" w:tplc="F1D4103E">
      <w:start w:val="1"/>
      <w:numFmt w:val="decimal"/>
      <w:lvlText w:val="%4"/>
      <w:lvlJc w:val="left"/>
      <w:pPr>
        <w:ind w:left="252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4" w:tplc="5DACFEE2">
      <w:start w:val="1"/>
      <w:numFmt w:val="lowerLetter"/>
      <w:lvlText w:val="%5"/>
      <w:lvlJc w:val="left"/>
      <w:pPr>
        <w:ind w:left="324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5" w:tplc="ECDA0F8C">
      <w:start w:val="1"/>
      <w:numFmt w:val="lowerRoman"/>
      <w:lvlText w:val="%6"/>
      <w:lvlJc w:val="left"/>
      <w:pPr>
        <w:ind w:left="396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6" w:tplc="AE4E9CEC">
      <w:start w:val="1"/>
      <w:numFmt w:val="decimal"/>
      <w:lvlText w:val="%7"/>
      <w:lvlJc w:val="left"/>
      <w:pPr>
        <w:ind w:left="468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7" w:tplc="A016F6C0">
      <w:start w:val="1"/>
      <w:numFmt w:val="lowerLetter"/>
      <w:lvlText w:val="%8"/>
      <w:lvlJc w:val="left"/>
      <w:pPr>
        <w:ind w:left="540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8" w:tplc="EF24E0CE">
      <w:start w:val="1"/>
      <w:numFmt w:val="lowerRoman"/>
      <w:lvlText w:val="%9"/>
      <w:lvlJc w:val="left"/>
      <w:pPr>
        <w:ind w:left="612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abstractNum>
  <w:abstractNum w:abstractNumId="116" w15:restartNumberingAfterBreak="0">
    <w:nsid w:val="2BFC1656"/>
    <w:multiLevelType w:val="hybridMultilevel"/>
    <w:tmpl w:val="0D806D4E"/>
    <w:lvl w:ilvl="0" w:tplc="D250F1B6">
      <w:start w:val="1"/>
      <w:numFmt w:val="bullet"/>
      <w:lvlText w:val="•"/>
      <w:lvlJc w:val="left"/>
      <w:pPr>
        <w:ind w:left="17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01EB286">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DE4E498">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47C30F4">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AC2F470">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F044722">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342835C">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51EB6CC">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BB28CCA">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17" w15:restartNumberingAfterBreak="0">
    <w:nsid w:val="2C0E4D8C"/>
    <w:multiLevelType w:val="hybridMultilevel"/>
    <w:tmpl w:val="6A96751E"/>
    <w:lvl w:ilvl="0" w:tplc="8B42C6B4">
      <w:start w:val="1"/>
      <w:numFmt w:val="bullet"/>
      <w:lvlText w:val="•"/>
      <w:lvlJc w:val="left"/>
      <w:pPr>
        <w:ind w:left="39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7989A00">
      <w:start w:val="1"/>
      <w:numFmt w:val="bullet"/>
      <w:lvlText w:val="o"/>
      <w:lvlJc w:val="left"/>
      <w:pPr>
        <w:ind w:left="12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8EE0A0A">
      <w:start w:val="1"/>
      <w:numFmt w:val="bullet"/>
      <w:lvlText w:val="▪"/>
      <w:lvlJc w:val="left"/>
      <w:pPr>
        <w:ind w:left="19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D16F0B0">
      <w:start w:val="1"/>
      <w:numFmt w:val="bullet"/>
      <w:lvlText w:val="•"/>
      <w:lvlJc w:val="left"/>
      <w:pPr>
        <w:ind w:left="26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9282FE2">
      <w:start w:val="1"/>
      <w:numFmt w:val="bullet"/>
      <w:lvlText w:val="o"/>
      <w:lvlJc w:val="left"/>
      <w:pPr>
        <w:ind w:left="33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366CC62">
      <w:start w:val="1"/>
      <w:numFmt w:val="bullet"/>
      <w:lvlText w:val="▪"/>
      <w:lvlJc w:val="left"/>
      <w:pPr>
        <w:ind w:left="40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EBE1DA2">
      <w:start w:val="1"/>
      <w:numFmt w:val="bullet"/>
      <w:lvlText w:val="•"/>
      <w:lvlJc w:val="left"/>
      <w:pPr>
        <w:ind w:left="48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ABEC08A">
      <w:start w:val="1"/>
      <w:numFmt w:val="bullet"/>
      <w:lvlText w:val="o"/>
      <w:lvlJc w:val="left"/>
      <w:pPr>
        <w:ind w:left="55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042C2B8">
      <w:start w:val="1"/>
      <w:numFmt w:val="bullet"/>
      <w:lvlText w:val="▪"/>
      <w:lvlJc w:val="left"/>
      <w:pPr>
        <w:ind w:left="62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18" w15:restartNumberingAfterBreak="0">
    <w:nsid w:val="2CB14422"/>
    <w:multiLevelType w:val="hybridMultilevel"/>
    <w:tmpl w:val="337C7BB0"/>
    <w:lvl w:ilvl="0" w:tplc="80A0EC14">
      <w:start w:val="1"/>
      <w:numFmt w:val="bullet"/>
      <w:lvlText w:val="9"/>
      <w:lvlJc w:val="left"/>
      <w:pPr>
        <w:ind w:left="17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7F4C0534">
      <w:start w:val="1"/>
      <w:numFmt w:val="bullet"/>
      <w:lvlText w:val="o"/>
      <w:lvlJc w:val="left"/>
      <w:pPr>
        <w:ind w:left="113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EAF43EF0">
      <w:start w:val="1"/>
      <w:numFmt w:val="bullet"/>
      <w:lvlText w:val="▪"/>
      <w:lvlJc w:val="left"/>
      <w:pPr>
        <w:ind w:left="185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01D8F96C">
      <w:start w:val="1"/>
      <w:numFmt w:val="bullet"/>
      <w:lvlText w:val="•"/>
      <w:lvlJc w:val="left"/>
      <w:pPr>
        <w:ind w:left="257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517ECC60">
      <w:start w:val="1"/>
      <w:numFmt w:val="bullet"/>
      <w:lvlText w:val="o"/>
      <w:lvlJc w:val="left"/>
      <w:pPr>
        <w:ind w:left="329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FB7C7DE8">
      <w:start w:val="1"/>
      <w:numFmt w:val="bullet"/>
      <w:lvlText w:val="▪"/>
      <w:lvlJc w:val="left"/>
      <w:pPr>
        <w:ind w:left="401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BCD6024C">
      <w:start w:val="1"/>
      <w:numFmt w:val="bullet"/>
      <w:lvlText w:val="•"/>
      <w:lvlJc w:val="left"/>
      <w:pPr>
        <w:ind w:left="473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8BD86836">
      <w:start w:val="1"/>
      <w:numFmt w:val="bullet"/>
      <w:lvlText w:val="o"/>
      <w:lvlJc w:val="left"/>
      <w:pPr>
        <w:ind w:left="545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36E4538E">
      <w:start w:val="1"/>
      <w:numFmt w:val="bullet"/>
      <w:lvlText w:val="▪"/>
      <w:lvlJc w:val="left"/>
      <w:pPr>
        <w:ind w:left="617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19" w15:restartNumberingAfterBreak="0">
    <w:nsid w:val="2CEF1847"/>
    <w:multiLevelType w:val="hybridMultilevel"/>
    <w:tmpl w:val="174AE10E"/>
    <w:lvl w:ilvl="0" w:tplc="77E2BC16">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00CE18E">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45E346E">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3E6AABE">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7E607C8">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E028912">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9EA6F62">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78274E4">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C78C06C">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20" w15:restartNumberingAfterBreak="0">
    <w:nsid w:val="2D1F32E7"/>
    <w:multiLevelType w:val="multilevel"/>
    <w:tmpl w:val="EFDEE15C"/>
    <w:lvl w:ilvl="0">
      <w:start w:val="1"/>
      <w:numFmt w:val="decimal"/>
      <w:lvlText w:val="%1."/>
      <w:lvlJc w:val="left"/>
      <w:pPr>
        <w:ind w:left="28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start w:val="1"/>
      <w:numFmt w:val="decimal"/>
      <w:lvlText w:val="%1.%2."/>
      <w:lvlJc w:val="left"/>
      <w:pPr>
        <w:ind w:left="711"/>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36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208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80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52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424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96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68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121" w15:restartNumberingAfterBreak="0">
    <w:nsid w:val="2D653812"/>
    <w:multiLevelType w:val="hybridMultilevel"/>
    <w:tmpl w:val="AF246B54"/>
    <w:lvl w:ilvl="0" w:tplc="EEE8C570">
      <w:start w:val="1"/>
      <w:numFmt w:val="bullet"/>
      <w:lvlText w:val="•"/>
      <w:lvlJc w:val="left"/>
      <w:pPr>
        <w:ind w:left="3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EBFA9272">
      <w:start w:val="1"/>
      <w:numFmt w:val="bullet"/>
      <w:lvlText w:val="o"/>
      <w:lvlJc w:val="left"/>
      <w:pPr>
        <w:ind w:left="50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961ADC72">
      <w:start w:val="1"/>
      <w:numFmt w:val="bullet"/>
      <w:lvlRestart w:val="0"/>
      <w:lvlText w:val=""/>
      <w:lvlJc w:val="left"/>
      <w:pPr>
        <w:ind w:left="56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C1F42AC2">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BACCA570">
      <w:start w:val="1"/>
      <w:numFmt w:val="bullet"/>
      <w:lvlText w:val="o"/>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5F361D3C">
      <w:start w:val="1"/>
      <w:numFmt w:val="bullet"/>
      <w:lvlText w:val="▪"/>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FFBC9BD8">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40AA3EA8">
      <w:start w:val="1"/>
      <w:numFmt w:val="bullet"/>
      <w:lvlText w:val="o"/>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064AB028">
      <w:start w:val="1"/>
      <w:numFmt w:val="bullet"/>
      <w:lvlText w:val="▪"/>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22" w15:restartNumberingAfterBreak="0">
    <w:nsid w:val="2D9E524A"/>
    <w:multiLevelType w:val="hybridMultilevel"/>
    <w:tmpl w:val="56E4C3CE"/>
    <w:lvl w:ilvl="0" w:tplc="725CA44A">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F8A6BCE">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F74D85A">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B3CE782">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ED02F16">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EF04B4C">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680A29C">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AC4C7AE8">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A96E998">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23" w15:restartNumberingAfterBreak="0">
    <w:nsid w:val="2DDC1940"/>
    <w:multiLevelType w:val="hybridMultilevel"/>
    <w:tmpl w:val="A71EB084"/>
    <w:lvl w:ilvl="0" w:tplc="4E325E10">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EF89154">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A60C52A">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B866D30">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86A8274">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9C837C6">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ED27978">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BB83CFA">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9C225EA">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24" w15:restartNumberingAfterBreak="0">
    <w:nsid w:val="2E327EC1"/>
    <w:multiLevelType w:val="hybridMultilevel"/>
    <w:tmpl w:val="E8244C9E"/>
    <w:lvl w:ilvl="0" w:tplc="98A6C298">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5946606">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2586B2C">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08A6600">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FEE46B0">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514DF58">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6C0AF8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E80449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F9C1D5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25" w15:restartNumberingAfterBreak="0">
    <w:nsid w:val="2E3C7116"/>
    <w:multiLevelType w:val="hybridMultilevel"/>
    <w:tmpl w:val="6B3E9E06"/>
    <w:lvl w:ilvl="0" w:tplc="E7F2EF30">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0FAD738">
      <w:start w:val="1"/>
      <w:numFmt w:val="bullet"/>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2BEEBD54">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CE18107E">
      <w:start w:val="1"/>
      <w:numFmt w:val="bullet"/>
      <w:lvlText w:val="•"/>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0800425E">
      <w:start w:val="1"/>
      <w:numFmt w:val="bullet"/>
      <w:lvlText w:val="o"/>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6358A132">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858E0B1A">
      <w:start w:val="1"/>
      <w:numFmt w:val="bullet"/>
      <w:lvlText w:val="•"/>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5CEE72BE">
      <w:start w:val="1"/>
      <w:numFmt w:val="bullet"/>
      <w:lvlText w:val="o"/>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6D42022E">
      <w:start w:val="1"/>
      <w:numFmt w:val="bullet"/>
      <w:lvlText w:val="▪"/>
      <w:lvlJc w:val="left"/>
      <w:pPr>
        <w:ind w:left="56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26" w15:restartNumberingAfterBreak="0">
    <w:nsid w:val="2E537061"/>
    <w:multiLevelType w:val="hybridMultilevel"/>
    <w:tmpl w:val="23D88E44"/>
    <w:lvl w:ilvl="0" w:tplc="65086298">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574A42E">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60A98BE">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824F32C">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E702AB8">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FEAB69E">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AE207EE">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05C50B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DF0BC8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27" w15:restartNumberingAfterBreak="0">
    <w:nsid w:val="2E9A0AA1"/>
    <w:multiLevelType w:val="hybridMultilevel"/>
    <w:tmpl w:val="E7B6C6B8"/>
    <w:lvl w:ilvl="0" w:tplc="F866F326">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DD683AA">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EA2317A">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B2E538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568B478">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912CF10">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726D35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52CCAA2">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7A042FA">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28" w15:restartNumberingAfterBreak="0">
    <w:nsid w:val="2EB45DF9"/>
    <w:multiLevelType w:val="hybridMultilevel"/>
    <w:tmpl w:val="E44AA652"/>
    <w:lvl w:ilvl="0" w:tplc="24D44666">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95CF816">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5A0CB2E">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E12B464">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DAC43E0">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B945488">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4580F20">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AB6A5A0">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A38C688">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29" w15:restartNumberingAfterBreak="0">
    <w:nsid w:val="2ECB4E48"/>
    <w:multiLevelType w:val="hybridMultilevel"/>
    <w:tmpl w:val="E4C4F2A2"/>
    <w:lvl w:ilvl="0" w:tplc="EA7E6EE8">
      <w:start w:val="1"/>
      <w:numFmt w:val="bullet"/>
      <w:lvlText w:val="–"/>
      <w:lvlJc w:val="left"/>
      <w:pPr>
        <w:ind w:left="3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FBA9732">
      <w:start w:val="1"/>
      <w:numFmt w:val="bullet"/>
      <w:lvlText w:val="o"/>
      <w:lvlJc w:val="left"/>
      <w:pPr>
        <w:ind w:left="130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960B66E">
      <w:start w:val="1"/>
      <w:numFmt w:val="bullet"/>
      <w:lvlText w:val="▪"/>
      <w:lvlJc w:val="left"/>
      <w:pPr>
        <w:ind w:left="20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4EA1EA8">
      <w:start w:val="1"/>
      <w:numFmt w:val="bullet"/>
      <w:lvlText w:val="•"/>
      <w:lvlJc w:val="left"/>
      <w:pPr>
        <w:ind w:left="274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D9CF0FE">
      <w:start w:val="1"/>
      <w:numFmt w:val="bullet"/>
      <w:lvlText w:val="o"/>
      <w:lvlJc w:val="left"/>
      <w:pPr>
        <w:ind w:left="346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DD007C4">
      <w:start w:val="1"/>
      <w:numFmt w:val="bullet"/>
      <w:lvlText w:val="▪"/>
      <w:lvlJc w:val="left"/>
      <w:pPr>
        <w:ind w:left="418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0CE1974">
      <w:start w:val="1"/>
      <w:numFmt w:val="bullet"/>
      <w:lvlText w:val="•"/>
      <w:lvlJc w:val="left"/>
      <w:pPr>
        <w:ind w:left="490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19AB326">
      <w:start w:val="1"/>
      <w:numFmt w:val="bullet"/>
      <w:lvlText w:val="o"/>
      <w:lvlJc w:val="left"/>
      <w:pPr>
        <w:ind w:left="56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1C8DB46">
      <w:start w:val="1"/>
      <w:numFmt w:val="bullet"/>
      <w:lvlText w:val="▪"/>
      <w:lvlJc w:val="left"/>
      <w:pPr>
        <w:ind w:left="634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30" w15:restartNumberingAfterBreak="0">
    <w:nsid w:val="2F087864"/>
    <w:multiLevelType w:val="hybridMultilevel"/>
    <w:tmpl w:val="BA3E6D72"/>
    <w:lvl w:ilvl="0" w:tplc="3DE25C6C">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E1C3598">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2B29858">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4E046B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92C6F82">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94E2BB0">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9F843CE">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58AEBAA">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F564F66">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31" w15:restartNumberingAfterBreak="0">
    <w:nsid w:val="2F3F332D"/>
    <w:multiLevelType w:val="hybridMultilevel"/>
    <w:tmpl w:val="23840290"/>
    <w:lvl w:ilvl="0" w:tplc="C31EF3C4">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78C03F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2F0F480">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338FAC2">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7ECB454">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4BE39AC">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B42D15E">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5A2EF68">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9344F1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32" w15:restartNumberingAfterBreak="0">
    <w:nsid w:val="2FB62705"/>
    <w:multiLevelType w:val="hybridMultilevel"/>
    <w:tmpl w:val="55DE908A"/>
    <w:lvl w:ilvl="0" w:tplc="73F6311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6862EA8">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C60283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69E17A8">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1DA0A4E">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FF818FC">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5EC0A60">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42E6CF4">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2F65F28">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33" w15:restartNumberingAfterBreak="0">
    <w:nsid w:val="2FF61CAF"/>
    <w:multiLevelType w:val="hybridMultilevel"/>
    <w:tmpl w:val="4880E1CE"/>
    <w:lvl w:ilvl="0" w:tplc="315CF3BE">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01E5C4A">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6F4CB84">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B26963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8329ED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73CB07C">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5B047F2">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EFC9248">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360F444">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34" w15:restartNumberingAfterBreak="0">
    <w:nsid w:val="303C316B"/>
    <w:multiLevelType w:val="hybridMultilevel"/>
    <w:tmpl w:val="21F07F56"/>
    <w:lvl w:ilvl="0" w:tplc="802A3CFA">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BE72CC88">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D64A5C8">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0A2429E">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37E17A8">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0C8F66A">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2B084BA">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93ECBBC">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9EEAFE8">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35" w15:restartNumberingAfterBreak="0">
    <w:nsid w:val="305150C7"/>
    <w:multiLevelType w:val="hybridMultilevel"/>
    <w:tmpl w:val="698CC1AC"/>
    <w:lvl w:ilvl="0" w:tplc="74F8E4D4">
      <w:start w:val="1"/>
      <w:numFmt w:val="decimal"/>
      <w:lvlText w:val="%1."/>
      <w:lvlJc w:val="left"/>
      <w:pPr>
        <w:ind w:left="56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34201B6">
      <w:start w:val="1"/>
      <w:numFmt w:val="lowerLetter"/>
      <w:lvlText w:val="%2"/>
      <w:lvlJc w:val="left"/>
      <w:pPr>
        <w:ind w:left="13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020B0D4">
      <w:start w:val="1"/>
      <w:numFmt w:val="lowerRoman"/>
      <w:lvlText w:val="%3"/>
      <w:lvlJc w:val="left"/>
      <w:pPr>
        <w:ind w:left="20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C220754">
      <w:start w:val="1"/>
      <w:numFmt w:val="decimal"/>
      <w:lvlText w:val="%4"/>
      <w:lvlJc w:val="left"/>
      <w:pPr>
        <w:ind w:left="280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072CFBC">
      <w:start w:val="1"/>
      <w:numFmt w:val="lowerLetter"/>
      <w:lvlText w:val="%5"/>
      <w:lvlJc w:val="left"/>
      <w:pPr>
        <w:ind w:left="352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8FC6D50">
      <w:start w:val="1"/>
      <w:numFmt w:val="lowerRoman"/>
      <w:lvlText w:val="%6"/>
      <w:lvlJc w:val="left"/>
      <w:pPr>
        <w:ind w:left="424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8A86032">
      <w:start w:val="1"/>
      <w:numFmt w:val="decimal"/>
      <w:lvlText w:val="%7"/>
      <w:lvlJc w:val="left"/>
      <w:pPr>
        <w:ind w:left="49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E5A0734">
      <w:start w:val="1"/>
      <w:numFmt w:val="lowerLetter"/>
      <w:lvlText w:val="%8"/>
      <w:lvlJc w:val="left"/>
      <w:pPr>
        <w:ind w:left="56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512CDFE">
      <w:start w:val="1"/>
      <w:numFmt w:val="lowerRoman"/>
      <w:lvlText w:val="%9"/>
      <w:lvlJc w:val="left"/>
      <w:pPr>
        <w:ind w:left="640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36" w15:restartNumberingAfterBreak="0">
    <w:nsid w:val="305C6722"/>
    <w:multiLevelType w:val="hybridMultilevel"/>
    <w:tmpl w:val="AF5E322E"/>
    <w:lvl w:ilvl="0" w:tplc="91AC0EBC">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4C41A8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AD04DDE">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63A56A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D82732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0D0CAF2">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860424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2C6AF0E">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63E65E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37" w15:restartNumberingAfterBreak="0">
    <w:nsid w:val="30F266DC"/>
    <w:multiLevelType w:val="hybridMultilevel"/>
    <w:tmpl w:val="AC584642"/>
    <w:lvl w:ilvl="0" w:tplc="BA3C1808">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4364820">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24A086C">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5F4B624">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D444202">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C7A9BD0">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B309E92">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308509E">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EF09C30">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38" w15:restartNumberingAfterBreak="0">
    <w:nsid w:val="310C491F"/>
    <w:multiLevelType w:val="hybridMultilevel"/>
    <w:tmpl w:val="FBF21922"/>
    <w:lvl w:ilvl="0" w:tplc="78D4CC8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04AD8F0">
      <w:start w:val="1"/>
      <w:numFmt w:val="bullet"/>
      <w:lvlText w:val="o"/>
      <w:lvlJc w:val="left"/>
      <w:pPr>
        <w:ind w:left="113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C364594">
      <w:start w:val="1"/>
      <w:numFmt w:val="bullet"/>
      <w:lvlText w:val="▪"/>
      <w:lvlJc w:val="left"/>
      <w:pPr>
        <w:ind w:left="185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F64FB86">
      <w:start w:val="1"/>
      <w:numFmt w:val="bullet"/>
      <w:lvlText w:val="•"/>
      <w:lvlJc w:val="left"/>
      <w:pPr>
        <w:ind w:left="257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0866BBC">
      <w:start w:val="1"/>
      <w:numFmt w:val="bullet"/>
      <w:lvlText w:val="o"/>
      <w:lvlJc w:val="left"/>
      <w:pPr>
        <w:ind w:left="329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4DE3298">
      <w:start w:val="1"/>
      <w:numFmt w:val="bullet"/>
      <w:lvlText w:val="▪"/>
      <w:lvlJc w:val="left"/>
      <w:pPr>
        <w:ind w:left="401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86E5760">
      <w:start w:val="1"/>
      <w:numFmt w:val="bullet"/>
      <w:lvlText w:val="•"/>
      <w:lvlJc w:val="left"/>
      <w:pPr>
        <w:ind w:left="473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F9EADF4">
      <w:start w:val="1"/>
      <w:numFmt w:val="bullet"/>
      <w:lvlText w:val="o"/>
      <w:lvlJc w:val="left"/>
      <w:pPr>
        <w:ind w:left="545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A32282C">
      <w:start w:val="1"/>
      <w:numFmt w:val="bullet"/>
      <w:lvlText w:val="▪"/>
      <w:lvlJc w:val="left"/>
      <w:pPr>
        <w:ind w:left="617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39" w15:restartNumberingAfterBreak="0">
    <w:nsid w:val="31A3682C"/>
    <w:multiLevelType w:val="hybridMultilevel"/>
    <w:tmpl w:val="504CDADE"/>
    <w:lvl w:ilvl="0" w:tplc="F878C248">
      <w:start w:val="1"/>
      <w:numFmt w:val="decimal"/>
      <w:lvlText w:val="%1."/>
      <w:lvlJc w:val="left"/>
      <w:pPr>
        <w:ind w:left="28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E48E968">
      <w:start w:val="1"/>
      <w:numFmt w:val="lowerLetter"/>
      <w:lvlText w:val="%2"/>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88C77E2">
      <w:start w:val="1"/>
      <w:numFmt w:val="lowerRoman"/>
      <w:lvlText w:val="%3"/>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0BCD692">
      <w:start w:val="1"/>
      <w:numFmt w:val="decimal"/>
      <w:lvlText w:val="%4"/>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6E6F922">
      <w:start w:val="1"/>
      <w:numFmt w:val="lowerLetter"/>
      <w:lvlText w:val="%5"/>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9C6D0FE">
      <w:start w:val="1"/>
      <w:numFmt w:val="lowerRoman"/>
      <w:lvlText w:val="%6"/>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5288E4A">
      <w:start w:val="1"/>
      <w:numFmt w:val="decimal"/>
      <w:lvlText w:val="%7"/>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8A47C3A">
      <w:start w:val="1"/>
      <w:numFmt w:val="lowerLetter"/>
      <w:lvlText w:val="%8"/>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4387644">
      <w:start w:val="1"/>
      <w:numFmt w:val="lowerRoman"/>
      <w:lvlText w:val="%9"/>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40" w15:restartNumberingAfterBreak="0">
    <w:nsid w:val="324C3C12"/>
    <w:multiLevelType w:val="hybridMultilevel"/>
    <w:tmpl w:val="968E546A"/>
    <w:lvl w:ilvl="0" w:tplc="DC646EEA">
      <w:start w:val="1"/>
      <w:numFmt w:val="bullet"/>
      <w:lvlText w:val="–"/>
      <w:lvlJc w:val="left"/>
      <w:pPr>
        <w:ind w:left="3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8A0710C">
      <w:start w:val="1"/>
      <w:numFmt w:val="bullet"/>
      <w:lvlText w:val="o"/>
      <w:lvlJc w:val="left"/>
      <w:pPr>
        <w:ind w:left="13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DB4D93A">
      <w:start w:val="1"/>
      <w:numFmt w:val="bullet"/>
      <w:lvlText w:val="▪"/>
      <w:lvlJc w:val="left"/>
      <w:pPr>
        <w:ind w:left="20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9BA094A">
      <w:start w:val="1"/>
      <w:numFmt w:val="bullet"/>
      <w:lvlText w:val="•"/>
      <w:lvlJc w:val="left"/>
      <w:pPr>
        <w:ind w:left="27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718A400">
      <w:start w:val="1"/>
      <w:numFmt w:val="bullet"/>
      <w:lvlText w:val="o"/>
      <w:lvlJc w:val="left"/>
      <w:pPr>
        <w:ind w:left="34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5640D5E">
      <w:start w:val="1"/>
      <w:numFmt w:val="bullet"/>
      <w:lvlText w:val="▪"/>
      <w:lvlJc w:val="left"/>
      <w:pPr>
        <w:ind w:left="41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CF634EC">
      <w:start w:val="1"/>
      <w:numFmt w:val="bullet"/>
      <w:lvlText w:val="•"/>
      <w:lvlJc w:val="left"/>
      <w:pPr>
        <w:ind w:left="49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DBA1484">
      <w:start w:val="1"/>
      <w:numFmt w:val="bullet"/>
      <w:lvlText w:val="o"/>
      <w:lvlJc w:val="left"/>
      <w:pPr>
        <w:ind w:left="56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2CE5D0E">
      <w:start w:val="1"/>
      <w:numFmt w:val="bullet"/>
      <w:lvlText w:val="▪"/>
      <w:lvlJc w:val="left"/>
      <w:pPr>
        <w:ind w:left="63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41" w15:restartNumberingAfterBreak="0">
    <w:nsid w:val="32C61FE4"/>
    <w:multiLevelType w:val="hybridMultilevel"/>
    <w:tmpl w:val="60A03580"/>
    <w:lvl w:ilvl="0" w:tplc="FA1A7C7C">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6527F88">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4C6F57A">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FDA9A88">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1021794">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17226F4">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87CFAD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D129824">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90A1084">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42" w15:restartNumberingAfterBreak="0">
    <w:nsid w:val="34376D45"/>
    <w:multiLevelType w:val="hybridMultilevel"/>
    <w:tmpl w:val="653A032A"/>
    <w:lvl w:ilvl="0" w:tplc="CB9245C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2B6368C">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DE41278">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FC2D0D0">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1E0F942">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005402A6">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9926C7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8CCF0A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E8C1C40">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43" w15:restartNumberingAfterBreak="0">
    <w:nsid w:val="34ED36E1"/>
    <w:multiLevelType w:val="hybridMultilevel"/>
    <w:tmpl w:val="15FE26E0"/>
    <w:lvl w:ilvl="0" w:tplc="D7325518">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20A3DB6">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096B7FC">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272D6C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1E8AD88">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F78DE80">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F904C72">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BE49C58">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384ABA4">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44" w15:restartNumberingAfterBreak="0">
    <w:nsid w:val="34FA2686"/>
    <w:multiLevelType w:val="hybridMultilevel"/>
    <w:tmpl w:val="3BC2E90A"/>
    <w:lvl w:ilvl="0" w:tplc="A25C3784">
      <w:start w:val="1"/>
      <w:numFmt w:val="bullet"/>
      <w:lvlText w:val="–"/>
      <w:lvlJc w:val="left"/>
      <w:pPr>
        <w:ind w:left="3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EACFC00">
      <w:start w:val="1"/>
      <w:numFmt w:val="bullet"/>
      <w:lvlText w:val="o"/>
      <w:lvlJc w:val="left"/>
      <w:pPr>
        <w:ind w:left="13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4FEA2EE">
      <w:start w:val="1"/>
      <w:numFmt w:val="bullet"/>
      <w:lvlText w:val="▪"/>
      <w:lvlJc w:val="left"/>
      <w:pPr>
        <w:ind w:left="202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73C55A4">
      <w:start w:val="1"/>
      <w:numFmt w:val="bullet"/>
      <w:lvlText w:val="•"/>
      <w:lvlJc w:val="left"/>
      <w:pPr>
        <w:ind w:left="274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BE6B210">
      <w:start w:val="1"/>
      <w:numFmt w:val="bullet"/>
      <w:lvlText w:val="o"/>
      <w:lvlJc w:val="left"/>
      <w:pPr>
        <w:ind w:left="346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23216D4">
      <w:start w:val="1"/>
      <w:numFmt w:val="bullet"/>
      <w:lvlText w:val="▪"/>
      <w:lvlJc w:val="left"/>
      <w:pPr>
        <w:ind w:left="418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93E841A">
      <w:start w:val="1"/>
      <w:numFmt w:val="bullet"/>
      <w:lvlText w:val="•"/>
      <w:lvlJc w:val="left"/>
      <w:pPr>
        <w:ind w:left="49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9625634">
      <w:start w:val="1"/>
      <w:numFmt w:val="bullet"/>
      <w:lvlText w:val="o"/>
      <w:lvlJc w:val="left"/>
      <w:pPr>
        <w:ind w:left="562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DD61E92">
      <w:start w:val="1"/>
      <w:numFmt w:val="bullet"/>
      <w:lvlText w:val="▪"/>
      <w:lvlJc w:val="left"/>
      <w:pPr>
        <w:ind w:left="634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45" w15:restartNumberingAfterBreak="0">
    <w:nsid w:val="3521697A"/>
    <w:multiLevelType w:val="hybridMultilevel"/>
    <w:tmpl w:val="7C8C83A8"/>
    <w:lvl w:ilvl="0" w:tplc="5B08B392">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7E8DE42">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392B6AC">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ACECB42">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590FC78">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64E2ADE">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2F6DBB4">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9B8BC4E">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FB0A7BA">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46" w15:restartNumberingAfterBreak="0">
    <w:nsid w:val="354C7148"/>
    <w:multiLevelType w:val="hybridMultilevel"/>
    <w:tmpl w:val="51A6C39E"/>
    <w:lvl w:ilvl="0" w:tplc="01A69E1E">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2466148">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370E876">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43431D4">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0D6F436">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BFE5F7A">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7DA77BC">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5DC069A">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0AEBED4">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47" w15:restartNumberingAfterBreak="0">
    <w:nsid w:val="35941AA4"/>
    <w:multiLevelType w:val="hybridMultilevel"/>
    <w:tmpl w:val="8CFE9912"/>
    <w:lvl w:ilvl="0" w:tplc="DEFE691C">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E24B84A">
      <w:start w:val="1"/>
      <w:numFmt w:val="bullet"/>
      <w:lvlText w:val="¾"/>
      <w:lvlJc w:val="left"/>
      <w:pPr>
        <w:ind w:left="70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A4027EE0">
      <w:start w:val="1"/>
      <w:numFmt w:val="bullet"/>
      <w:lvlText w:val="▪"/>
      <w:lvlJc w:val="left"/>
      <w:pPr>
        <w:ind w:left="1647"/>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F24E29BC">
      <w:start w:val="1"/>
      <w:numFmt w:val="bullet"/>
      <w:lvlText w:val="•"/>
      <w:lvlJc w:val="left"/>
      <w:pPr>
        <w:ind w:left="2367"/>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79EA73BA">
      <w:start w:val="1"/>
      <w:numFmt w:val="bullet"/>
      <w:lvlText w:val="o"/>
      <w:lvlJc w:val="left"/>
      <w:pPr>
        <w:ind w:left="3087"/>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08DC336A">
      <w:start w:val="1"/>
      <w:numFmt w:val="bullet"/>
      <w:lvlText w:val="▪"/>
      <w:lvlJc w:val="left"/>
      <w:pPr>
        <w:ind w:left="3807"/>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EA2E98C6">
      <w:start w:val="1"/>
      <w:numFmt w:val="bullet"/>
      <w:lvlText w:val="•"/>
      <w:lvlJc w:val="left"/>
      <w:pPr>
        <w:ind w:left="4527"/>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76029E52">
      <w:start w:val="1"/>
      <w:numFmt w:val="bullet"/>
      <w:lvlText w:val="o"/>
      <w:lvlJc w:val="left"/>
      <w:pPr>
        <w:ind w:left="5247"/>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5F9C4EC0">
      <w:start w:val="1"/>
      <w:numFmt w:val="bullet"/>
      <w:lvlText w:val="▪"/>
      <w:lvlJc w:val="left"/>
      <w:pPr>
        <w:ind w:left="5967"/>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48" w15:restartNumberingAfterBreak="0">
    <w:nsid w:val="372A7839"/>
    <w:multiLevelType w:val="hybridMultilevel"/>
    <w:tmpl w:val="E9305F8E"/>
    <w:lvl w:ilvl="0" w:tplc="4B5C789A">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E3CFB22">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8FCE5BC">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6146A14">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05E8CBE">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F082A46">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4FA8E4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EF05D6E">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A0E29F2">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49" w15:restartNumberingAfterBreak="0">
    <w:nsid w:val="39EA7ACB"/>
    <w:multiLevelType w:val="multilevel"/>
    <w:tmpl w:val="0BFE6998"/>
    <w:lvl w:ilvl="0">
      <w:start w:val="2"/>
      <w:numFmt w:val="decimal"/>
      <w:lvlText w:val="%1"/>
      <w:lvlJc w:val="left"/>
      <w:pPr>
        <w:ind w:left="3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start w:val="3"/>
      <w:numFmt w:val="decimal"/>
      <w:lvlRestart w:val="0"/>
      <w:lvlText w:val="%1.%2."/>
      <w:lvlJc w:val="left"/>
      <w:pPr>
        <w:ind w:left="648"/>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3835"/>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4555"/>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5275"/>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5995"/>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6715"/>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7435"/>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8155"/>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150" w15:restartNumberingAfterBreak="0">
    <w:nsid w:val="3A243F09"/>
    <w:multiLevelType w:val="hybridMultilevel"/>
    <w:tmpl w:val="E306FE16"/>
    <w:lvl w:ilvl="0" w:tplc="179E644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30676F6">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38CB844">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C361AD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91AEB18">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932318A">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61EDA98">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DF215B8">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47E6DC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51" w15:restartNumberingAfterBreak="0">
    <w:nsid w:val="3A3B3088"/>
    <w:multiLevelType w:val="hybridMultilevel"/>
    <w:tmpl w:val="013A4E5C"/>
    <w:lvl w:ilvl="0" w:tplc="854C5186">
      <w:start w:val="1"/>
      <w:numFmt w:val="bullet"/>
      <w:lvlText w:val="–"/>
      <w:lvlJc w:val="left"/>
      <w:pPr>
        <w:ind w:left="17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5281F74">
      <w:start w:val="1"/>
      <w:numFmt w:val="bullet"/>
      <w:lvlText w:val="o"/>
      <w:lvlJc w:val="left"/>
      <w:pPr>
        <w:ind w:left="13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6B2DF48">
      <w:start w:val="1"/>
      <w:numFmt w:val="bullet"/>
      <w:lvlText w:val="▪"/>
      <w:lvlJc w:val="left"/>
      <w:pPr>
        <w:ind w:left="20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276EA86">
      <w:start w:val="1"/>
      <w:numFmt w:val="bullet"/>
      <w:lvlText w:val="•"/>
      <w:lvlJc w:val="left"/>
      <w:pPr>
        <w:ind w:left="27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3B011BE">
      <w:start w:val="1"/>
      <w:numFmt w:val="bullet"/>
      <w:lvlText w:val="o"/>
      <w:lvlJc w:val="left"/>
      <w:pPr>
        <w:ind w:left="34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D128DEE">
      <w:start w:val="1"/>
      <w:numFmt w:val="bullet"/>
      <w:lvlText w:val="▪"/>
      <w:lvlJc w:val="left"/>
      <w:pPr>
        <w:ind w:left="41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4D0B5C0">
      <w:start w:val="1"/>
      <w:numFmt w:val="bullet"/>
      <w:lvlText w:val="•"/>
      <w:lvlJc w:val="left"/>
      <w:pPr>
        <w:ind w:left="49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1BCCB0F4">
      <w:start w:val="1"/>
      <w:numFmt w:val="bullet"/>
      <w:lvlText w:val="o"/>
      <w:lvlJc w:val="left"/>
      <w:pPr>
        <w:ind w:left="56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46E3FD0">
      <w:start w:val="1"/>
      <w:numFmt w:val="bullet"/>
      <w:lvlText w:val="▪"/>
      <w:lvlJc w:val="left"/>
      <w:pPr>
        <w:ind w:left="63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52" w15:restartNumberingAfterBreak="0">
    <w:nsid w:val="3A8670AC"/>
    <w:multiLevelType w:val="hybridMultilevel"/>
    <w:tmpl w:val="8A0218C8"/>
    <w:lvl w:ilvl="0" w:tplc="06A67808">
      <w:start w:val="1"/>
      <w:numFmt w:val="decimal"/>
      <w:lvlText w:val="%1."/>
      <w:lvlJc w:val="left"/>
      <w:pPr>
        <w:ind w:left="28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2C3ECA58">
      <w:start w:val="1"/>
      <w:numFmt w:val="lowerLetter"/>
      <w:lvlText w:val="%2"/>
      <w:lvlJc w:val="left"/>
      <w:pPr>
        <w:ind w:left="10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48485A4C">
      <w:start w:val="1"/>
      <w:numFmt w:val="lowerRoman"/>
      <w:lvlText w:val="%3"/>
      <w:lvlJc w:val="left"/>
      <w:pPr>
        <w:ind w:left="18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6C8CA66E">
      <w:start w:val="1"/>
      <w:numFmt w:val="decimal"/>
      <w:lvlText w:val="%4"/>
      <w:lvlJc w:val="left"/>
      <w:pPr>
        <w:ind w:left="2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49D62594">
      <w:start w:val="1"/>
      <w:numFmt w:val="lowerLetter"/>
      <w:lvlText w:val="%5"/>
      <w:lvlJc w:val="left"/>
      <w:pPr>
        <w:ind w:left="32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11B24A6C">
      <w:start w:val="1"/>
      <w:numFmt w:val="lowerRoman"/>
      <w:lvlText w:val="%6"/>
      <w:lvlJc w:val="left"/>
      <w:pPr>
        <w:ind w:left="39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A2EA6686">
      <w:start w:val="1"/>
      <w:numFmt w:val="decimal"/>
      <w:lvlText w:val="%7"/>
      <w:lvlJc w:val="left"/>
      <w:pPr>
        <w:ind w:left="46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B3A08216">
      <w:start w:val="1"/>
      <w:numFmt w:val="lowerLetter"/>
      <w:lvlText w:val="%8"/>
      <w:lvlJc w:val="left"/>
      <w:pPr>
        <w:ind w:left="54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0D0C02C6">
      <w:start w:val="1"/>
      <w:numFmt w:val="lowerRoman"/>
      <w:lvlText w:val="%9"/>
      <w:lvlJc w:val="left"/>
      <w:pPr>
        <w:ind w:left="61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153" w15:restartNumberingAfterBreak="0">
    <w:nsid w:val="3A867739"/>
    <w:multiLevelType w:val="hybridMultilevel"/>
    <w:tmpl w:val="3522AAD8"/>
    <w:lvl w:ilvl="0" w:tplc="B5DE7F38">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93861BA">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62427DE">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C2414F8">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7A230D0">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F8444AC">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C0E5106">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A3EC13DA">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152B1B2">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54" w15:restartNumberingAfterBreak="0">
    <w:nsid w:val="3A980D01"/>
    <w:multiLevelType w:val="hybridMultilevel"/>
    <w:tmpl w:val="3ABCC404"/>
    <w:lvl w:ilvl="0" w:tplc="62BC2AB0">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FECD5E8">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4D87C12">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726CB5C">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DDA6020">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7B4BAC4">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0DC3F5A">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042C70C">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DA08A14">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55" w15:restartNumberingAfterBreak="0">
    <w:nsid w:val="3AE81AEA"/>
    <w:multiLevelType w:val="hybridMultilevel"/>
    <w:tmpl w:val="782E0C4E"/>
    <w:lvl w:ilvl="0" w:tplc="60F2824E">
      <w:start w:val="1"/>
      <w:numFmt w:val="bullet"/>
      <w:lvlText w:val="•"/>
      <w:lvlJc w:val="left"/>
      <w:pPr>
        <w:ind w:left="17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55BC9654">
      <w:start w:val="1"/>
      <w:numFmt w:val="bullet"/>
      <w:lvlText w:val="o"/>
      <w:lvlJc w:val="left"/>
      <w:pPr>
        <w:ind w:left="11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84B482AE">
      <w:start w:val="1"/>
      <w:numFmt w:val="bullet"/>
      <w:lvlText w:val="▪"/>
      <w:lvlJc w:val="left"/>
      <w:pPr>
        <w:ind w:left="18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DF16DD08">
      <w:start w:val="1"/>
      <w:numFmt w:val="bullet"/>
      <w:lvlText w:val="•"/>
      <w:lvlJc w:val="left"/>
      <w:pPr>
        <w:ind w:left="25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2E1A160E">
      <w:start w:val="1"/>
      <w:numFmt w:val="bullet"/>
      <w:lvlText w:val="o"/>
      <w:lvlJc w:val="left"/>
      <w:pPr>
        <w:ind w:left="329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68FC205C">
      <w:start w:val="1"/>
      <w:numFmt w:val="bullet"/>
      <w:lvlText w:val="▪"/>
      <w:lvlJc w:val="left"/>
      <w:pPr>
        <w:ind w:left="401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C7189EA4">
      <w:start w:val="1"/>
      <w:numFmt w:val="bullet"/>
      <w:lvlText w:val="•"/>
      <w:lvlJc w:val="left"/>
      <w:pPr>
        <w:ind w:left="47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95FE9A60">
      <w:start w:val="1"/>
      <w:numFmt w:val="bullet"/>
      <w:lvlText w:val="o"/>
      <w:lvlJc w:val="left"/>
      <w:pPr>
        <w:ind w:left="54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FAA8AC46">
      <w:start w:val="1"/>
      <w:numFmt w:val="bullet"/>
      <w:lvlText w:val="▪"/>
      <w:lvlJc w:val="left"/>
      <w:pPr>
        <w:ind w:left="61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156" w15:restartNumberingAfterBreak="0">
    <w:nsid w:val="3B7D7427"/>
    <w:multiLevelType w:val="hybridMultilevel"/>
    <w:tmpl w:val="B5086E22"/>
    <w:lvl w:ilvl="0" w:tplc="88360EAA">
      <w:start w:val="1"/>
      <w:numFmt w:val="bullet"/>
      <w:lvlText w:val="•"/>
      <w:lvlJc w:val="left"/>
      <w:pPr>
        <w:ind w:left="28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E6D035D8">
      <w:start w:val="1"/>
      <w:numFmt w:val="bullet"/>
      <w:lvlText w:val="o"/>
      <w:lvlJc w:val="left"/>
      <w:pPr>
        <w:ind w:left="10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1B724E52">
      <w:start w:val="1"/>
      <w:numFmt w:val="bullet"/>
      <w:lvlText w:val="▪"/>
      <w:lvlJc w:val="left"/>
      <w:pPr>
        <w:ind w:left="18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1A94F212">
      <w:start w:val="1"/>
      <w:numFmt w:val="bullet"/>
      <w:lvlText w:val="•"/>
      <w:lvlJc w:val="left"/>
      <w:pPr>
        <w:ind w:left="2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47D2D9F2">
      <w:start w:val="1"/>
      <w:numFmt w:val="bullet"/>
      <w:lvlText w:val="o"/>
      <w:lvlJc w:val="left"/>
      <w:pPr>
        <w:ind w:left="32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C11CE2DE">
      <w:start w:val="1"/>
      <w:numFmt w:val="bullet"/>
      <w:lvlText w:val="▪"/>
      <w:lvlJc w:val="left"/>
      <w:pPr>
        <w:ind w:left="39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03BED4DC">
      <w:start w:val="1"/>
      <w:numFmt w:val="bullet"/>
      <w:lvlText w:val="•"/>
      <w:lvlJc w:val="left"/>
      <w:pPr>
        <w:ind w:left="46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8D6C0456">
      <w:start w:val="1"/>
      <w:numFmt w:val="bullet"/>
      <w:lvlText w:val="o"/>
      <w:lvlJc w:val="left"/>
      <w:pPr>
        <w:ind w:left="54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BC70B116">
      <w:start w:val="1"/>
      <w:numFmt w:val="bullet"/>
      <w:lvlText w:val="▪"/>
      <w:lvlJc w:val="left"/>
      <w:pPr>
        <w:ind w:left="61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157" w15:restartNumberingAfterBreak="0">
    <w:nsid w:val="3BEC11AC"/>
    <w:multiLevelType w:val="hybridMultilevel"/>
    <w:tmpl w:val="3FCA7A06"/>
    <w:lvl w:ilvl="0" w:tplc="C80AD756">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DE0688C">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1BA8DEE">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784D60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83E44A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18A9160">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962DA80">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20037A4">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790453A">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58" w15:restartNumberingAfterBreak="0">
    <w:nsid w:val="3CE85FAA"/>
    <w:multiLevelType w:val="hybridMultilevel"/>
    <w:tmpl w:val="912E1ECC"/>
    <w:lvl w:ilvl="0" w:tplc="CEEE17FC">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A92682E">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18E3882">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9A2FCB2">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6A2D1CE">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A7E8B64">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CC01854">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7C6C6F6">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8102A0E6">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59" w15:restartNumberingAfterBreak="0">
    <w:nsid w:val="3CFA0C75"/>
    <w:multiLevelType w:val="hybridMultilevel"/>
    <w:tmpl w:val="1B04D93A"/>
    <w:lvl w:ilvl="0" w:tplc="3BBA9946">
      <w:start w:val="1"/>
      <w:numFmt w:val="decimal"/>
      <w:lvlText w:val="%1."/>
      <w:lvlJc w:val="left"/>
      <w:pPr>
        <w:ind w:left="283"/>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1" w:tplc="A47E2632">
      <w:start w:val="1"/>
      <w:numFmt w:val="bullet"/>
      <w:lvlText w:val="•"/>
      <w:lvlJc w:val="left"/>
      <w:pPr>
        <w:ind w:left="56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8EAEDEE">
      <w:start w:val="1"/>
      <w:numFmt w:val="bullet"/>
      <w:lvlText w:val="▪"/>
      <w:lvlJc w:val="left"/>
      <w:pPr>
        <w:ind w:left="13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FEEB55E">
      <w:start w:val="1"/>
      <w:numFmt w:val="bullet"/>
      <w:lvlText w:val="•"/>
      <w:lvlJc w:val="left"/>
      <w:pPr>
        <w:ind w:left="20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8E3E7B70">
      <w:start w:val="1"/>
      <w:numFmt w:val="bullet"/>
      <w:lvlText w:val="o"/>
      <w:lvlJc w:val="left"/>
      <w:pPr>
        <w:ind w:left="280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8D88B34">
      <w:start w:val="1"/>
      <w:numFmt w:val="bullet"/>
      <w:lvlText w:val="▪"/>
      <w:lvlJc w:val="left"/>
      <w:pPr>
        <w:ind w:left="352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414D574">
      <w:start w:val="1"/>
      <w:numFmt w:val="bullet"/>
      <w:lvlText w:val="•"/>
      <w:lvlJc w:val="left"/>
      <w:pPr>
        <w:ind w:left="424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02CEBF8">
      <w:start w:val="1"/>
      <w:numFmt w:val="bullet"/>
      <w:lvlText w:val="o"/>
      <w:lvlJc w:val="left"/>
      <w:pPr>
        <w:ind w:left="49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732E238">
      <w:start w:val="1"/>
      <w:numFmt w:val="bullet"/>
      <w:lvlText w:val="▪"/>
      <w:lvlJc w:val="left"/>
      <w:pPr>
        <w:ind w:left="56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60" w15:restartNumberingAfterBreak="0">
    <w:nsid w:val="3D7169C9"/>
    <w:multiLevelType w:val="hybridMultilevel"/>
    <w:tmpl w:val="02EED2B6"/>
    <w:lvl w:ilvl="0" w:tplc="0FF0E194">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FE01848">
      <w:start w:val="1"/>
      <w:numFmt w:val="bullet"/>
      <w:lvlText w:val="o"/>
      <w:lvlJc w:val="left"/>
      <w:pPr>
        <w:ind w:left="113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EBC40DA">
      <w:start w:val="1"/>
      <w:numFmt w:val="bullet"/>
      <w:lvlText w:val="▪"/>
      <w:lvlJc w:val="left"/>
      <w:pPr>
        <w:ind w:left="185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966497A">
      <w:start w:val="1"/>
      <w:numFmt w:val="bullet"/>
      <w:lvlText w:val="•"/>
      <w:lvlJc w:val="left"/>
      <w:pPr>
        <w:ind w:left="25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E743D32">
      <w:start w:val="1"/>
      <w:numFmt w:val="bullet"/>
      <w:lvlText w:val="o"/>
      <w:lvlJc w:val="left"/>
      <w:pPr>
        <w:ind w:left="329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3F6C0CA">
      <w:start w:val="1"/>
      <w:numFmt w:val="bullet"/>
      <w:lvlText w:val="▪"/>
      <w:lvlJc w:val="left"/>
      <w:pPr>
        <w:ind w:left="401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BA0EE76">
      <w:start w:val="1"/>
      <w:numFmt w:val="bullet"/>
      <w:lvlText w:val="•"/>
      <w:lvlJc w:val="left"/>
      <w:pPr>
        <w:ind w:left="473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8B2DC56">
      <w:start w:val="1"/>
      <w:numFmt w:val="bullet"/>
      <w:lvlText w:val="o"/>
      <w:lvlJc w:val="left"/>
      <w:pPr>
        <w:ind w:left="545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2940A5A">
      <w:start w:val="1"/>
      <w:numFmt w:val="bullet"/>
      <w:lvlText w:val="▪"/>
      <w:lvlJc w:val="left"/>
      <w:pPr>
        <w:ind w:left="61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61" w15:restartNumberingAfterBreak="0">
    <w:nsid w:val="3D8E27BD"/>
    <w:multiLevelType w:val="hybridMultilevel"/>
    <w:tmpl w:val="8A28BAD8"/>
    <w:lvl w:ilvl="0" w:tplc="A3846B88">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36099F0">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CE48C04">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9644B2A">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41A4194">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47806408">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372211A">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8C2F6B2">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2468902">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62" w15:restartNumberingAfterBreak="0">
    <w:nsid w:val="3DE009BD"/>
    <w:multiLevelType w:val="hybridMultilevel"/>
    <w:tmpl w:val="6E425D8A"/>
    <w:lvl w:ilvl="0" w:tplc="FB72EC6C">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696F300">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6B012BE">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31C3A7A">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218EBC4">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CE2923E">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9C06794">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91AEC34">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5A64EE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63" w15:restartNumberingAfterBreak="0">
    <w:nsid w:val="3DED6DDA"/>
    <w:multiLevelType w:val="hybridMultilevel"/>
    <w:tmpl w:val="42A646BA"/>
    <w:lvl w:ilvl="0" w:tplc="CCE28628">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F8422EA">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2E4C956">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8805B04">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EACDC82">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70C3190">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E121572">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3C20FB6">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E0875A2">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64" w15:restartNumberingAfterBreak="0">
    <w:nsid w:val="3E435C29"/>
    <w:multiLevelType w:val="hybridMultilevel"/>
    <w:tmpl w:val="D74AB082"/>
    <w:lvl w:ilvl="0" w:tplc="F1EED7D6">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FC4F56C">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48090EA">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5E68342">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436E09E">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B2EA0EA">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3203EF6">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FAC587C">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B946D14">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65" w15:restartNumberingAfterBreak="0">
    <w:nsid w:val="3E5172E6"/>
    <w:multiLevelType w:val="hybridMultilevel"/>
    <w:tmpl w:val="6EA2C8B8"/>
    <w:lvl w:ilvl="0" w:tplc="BBAC5B38">
      <w:start w:val="1"/>
      <w:numFmt w:val="bullet"/>
      <w:lvlText w:val="•"/>
      <w:lvlJc w:val="left"/>
      <w:pPr>
        <w:ind w:left="56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C666B06">
      <w:start w:val="1"/>
      <w:numFmt w:val="bullet"/>
      <w:lvlText w:val="o"/>
      <w:lvlJc w:val="left"/>
      <w:pPr>
        <w:ind w:left="13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1FAAF2C">
      <w:start w:val="1"/>
      <w:numFmt w:val="bullet"/>
      <w:lvlText w:val="▪"/>
      <w:lvlJc w:val="left"/>
      <w:pPr>
        <w:ind w:left="20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ECE7A7C">
      <w:start w:val="1"/>
      <w:numFmt w:val="bullet"/>
      <w:lvlText w:val="•"/>
      <w:lvlJc w:val="left"/>
      <w:pPr>
        <w:ind w:left="28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0D42A00">
      <w:start w:val="1"/>
      <w:numFmt w:val="bullet"/>
      <w:lvlText w:val="o"/>
      <w:lvlJc w:val="left"/>
      <w:pPr>
        <w:ind w:left="35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B50FBD8">
      <w:start w:val="1"/>
      <w:numFmt w:val="bullet"/>
      <w:lvlText w:val="▪"/>
      <w:lvlJc w:val="left"/>
      <w:pPr>
        <w:ind w:left="42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B9AFEE6">
      <w:start w:val="1"/>
      <w:numFmt w:val="bullet"/>
      <w:lvlText w:val="•"/>
      <w:lvlJc w:val="left"/>
      <w:pPr>
        <w:ind w:left="49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B321C38">
      <w:start w:val="1"/>
      <w:numFmt w:val="bullet"/>
      <w:lvlText w:val="o"/>
      <w:lvlJc w:val="left"/>
      <w:pPr>
        <w:ind w:left="56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61C54CC">
      <w:start w:val="1"/>
      <w:numFmt w:val="bullet"/>
      <w:lvlText w:val="▪"/>
      <w:lvlJc w:val="left"/>
      <w:pPr>
        <w:ind w:left="64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66" w15:restartNumberingAfterBreak="0">
    <w:nsid w:val="3E6B46C6"/>
    <w:multiLevelType w:val="hybridMultilevel"/>
    <w:tmpl w:val="98D0C842"/>
    <w:lvl w:ilvl="0" w:tplc="4054547A">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B9EBA96">
      <w:start w:val="1"/>
      <w:numFmt w:val="bullet"/>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B9B62546">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67C681F2">
      <w:start w:val="1"/>
      <w:numFmt w:val="bullet"/>
      <w:lvlText w:val="•"/>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8952A9C2">
      <w:start w:val="1"/>
      <w:numFmt w:val="bullet"/>
      <w:lvlText w:val="o"/>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1026F6CC">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A7DE6D64">
      <w:start w:val="1"/>
      <w:numFmt w:val="bullet"/>
      <w:lvlText w:val="•"/>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F27050FC">
      <w:start w:val="1"/>
      <w:numFmt w:val="bullet"/>
      <w:lvlText w:val="o"/>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564E7428">
      <w:start w:val="1"/>
      <w:numFmt w:val="bullet"/>
      <w:lvlText w:val="▪"/>
      <w:lvlJc w:val="left"/>
      <w:pPr>
        <w:ind w:left="56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67" w15:restartNumberingAfterBreak="0">
    <w:nsid w:val="3EA500D8"/>
    <w:multiLevelType w:val="hybridMultilevel"/>
    <w:tmpl w:val="3CDC119E"/>
    <w:lvl w:ilvl="0" w:tplc="5F50D33C">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BE2C0A0">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FF65036">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790DA9E">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3D257FC">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DEEDB38">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BCCA87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314D812">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6367268">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68" w15:restartNumberingAfterBreak="0">
    <w:nsid w:val="3EAB5816"/>
    <w:multiLevelType w:val="hybridMultilevel"/>
    <w:tmpl w:val="17A44DB4"/>
    <w:lvl w:ilvl="0" w:tplc="43C692FE">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6722F32">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D745878">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4FE9088">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63CCF88">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BA6DCC4">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0947084">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518E4D2">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1FC57E6">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69" w15:restartNumberingAfterBreak="0">
    <w:nsid w:val="3F3F0302"/>
    <w:multiLevelType w:val="hybridMultilevel"/>
    <w:tmpl w:val="0E9E3806"/>
    <w:lvl w:ilvl="0" w:tplc="C19299A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B3F08A06">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CE86F4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1005AB0">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85ABA22">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162300C">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5B4D30E">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99271BE">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A0A1AB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70" w15:restartNumberingAfterBreak="0">
    <w:nsid w:val="3F6F382D"/>
    <w:multiLevelType w:val="hybridMultilevel"/>
    <w:tmpl w:val="85801304"/>
    <w:lvl w:ilvl="0" w:tplc="E7AA06CE">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C18A1F8">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0A0CA06">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C6AB39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A3C1180">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3A0B248">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7B0FBA4">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A4E7C04">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550873A">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71" w15:restartNumberingAfterBreak="0">
    <w:nsid w:val="3FBD72E0"/>
    <w:multiLevelType w:val="hybridMultilevel"/>
    <w:tmpl w:val="897AAAEA"/>
    <w:lvl w:ilvl="0" w:tplc="735290D0">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4F2DB48">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8DEF5B6">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7402EE4">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F8E48A6">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FB45E6E">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C5876CC">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B3626BA">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3E64DEE">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72" w15:restartNumberingAfterBreak="0">
    <w:nsid w:val="3FC652BB"/>
    <w:multiLevelType w:val="hybridMultilevel"/>
    <w:tmpl w:val="1A966E3E"/>
    <w:lvl w:ilvl="0" w:tplc="A6209B08">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0F21A4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EA2C43E">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60AC09E">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DD83E18">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E446F66">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EF4912A">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D744AA4">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73EC6A0">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73" w15:restartNumberingAfterBreak="0">
    <w:nsid w:val="3FD518C4"/>
    <w:multiLevelType w:val="hybridMultilevel"/>
    <w:tmpl w:val="828A70C6"/>
    <w:lvl w:ilvl="0" w:tplc="FDD0C164">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E380C48">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3D02E5C">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4244D3C">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1D253F2">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D482482">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D62A3AC">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B84CBD2">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B263718">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74" w15:restartNumberingAfterBreak="0">
    <w:nsid w:val="40053B4E"/>
    <w:multiLevelType w:val="hybridMultilevel"/>
    <w:tmpl w:val="DB6C5EDC"/>
    <w:lvl w:ilvl="0" w:tplc="8CB8E956">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3709842">
      <w:start w:val="1"/>
      <w:numFmt w:val="lowerLetter"/>
      <w:lvlText w:val="%2"/>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A102584">
      <w:start w:val="1"/>
      <w:numFmt w:val="lowerRoman"/>
      <w:lvlText w:val="%3"/>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2D2D6FA">
      <w:start w:val="1"/>
      <w:numFmt w:val="decimal"/>
      <w:lvlText w:val="%4"/>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98EF098">
      <w:start w:val="1"/>
      <w:numFmt w:val="lowerLetter"/>
      <w:lvlText w:val="%5"/>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CBC4D46">
      <w:start w:val="1"/>
      <w:numFmt w:val="lowerRoman"/>
      <w:lvlText w:val="%6"/>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1F01982">
      <w:start w:val="1"/>
      <w:numFmt w:val="decimal"/>
      <w:lvlText w:val="%7"/>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170213C">
      <w:start w:val="1"/>
      <w:numFmt w:val="lowerLetter"/>
      <w:lvlText w:val="%8"/>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DD2E3D6">
      <w:start w:val="1"/>
      <w:numFmt w:val="lowerRoman"/>
      <w:lvlText w:val="%9"/>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75" w15:restartNumberingAfterBreak="0">
    <w:nsid w:val="41342207"/>
    <w:multiLevelType w:val="hybridMultilevel"/>
    <w:tmpl w:val="27961AC0"/>
    <w:lvl w:ilvl="0" w:tplc="B344D5C2">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A8808F0">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9C687F0">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8F25ECC">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EB0E96C">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BAA479E">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C207DC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948636A">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5562298">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76" w15:restartNumberingAfterBreak="0">
    <w:nsid w:val="416A541F"/>
    <w:multiLevelType w:val="hybridMultilevel"/>
    <w:tmpl w:val="C49E8A48"/>
    <w:lvl w:ilvl="0" w:tplc="813449AE">
      <w:start w:val="1"/>
      <w:numFmt w:val="decimal"/>
      <w:lvlText w:val="%1."/>
      <w:lvlJc w:val="left"/>
      <w:pPr>
        <w:ind w:left="2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E6C805E">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11A8192">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192AA90">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B7AA5AC">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00C3FD4">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11CA878">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A844CBFE">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276C868">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77" w15:restartNumberingAfterBreak="0">
    <w:nsid w:val="41E957E6"/>
    <w:multiLevelType w:val="hybridMultilevel"/>
    <w:tmpl w:val="B4CEC8CE"/>
    <w:lvl w:ilvl="0" w:tplc="1B0E62E2">
      <w:start w:val="1"/>
      <w:numFmt w:val="bullet"/>
      <w:lvlText w:val="–"/>
      <w:lvlJc w:val="left"/>
      <w:pPr>
        <w:ind w:left="32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1782BD8">
      <w:start w:val="1"/>
      <w:numFmt w:val="bullet"/>
      <w:lvlText w:val="o"/>
      <w:lvlJc w:val="left"/>
      <w:pPr>
        <w:ind w:left="380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D6E5A0C">
      <w:start w:val="1"/>
      <w:numFmt w:val="bullet"/>
      <w:lvlText w:val="▪"/>
      <w:lvlJc w:val="left"/>
      <w:pPr>
        <w:ind w:left="45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872AF04">
      <w:start w:val="1"/>
      <w:numFmt w:val="bullet"/>
      <w:lvlText w:val="•"/>
      <w:lvlJc w:val="left"/>
      <w:pPr>
        <w:ind w:left="524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6868342">
      <w:start w:val="1"/>
      <w:numFmt w:val="bullet"/>
      <w:lvlText w:val="o"/>
      <w:lvlJc w:val="left"/>
      <w:pPr>
        <w:ind w:left="596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F348D10">
      <w:start w:val="1"/>
      <w:numFmt w:val="bullet"/>
      <w:lvlText w:val="▪"/>
      <w:lvlJc w:val="left"/>
      <w:pPr>
        <w:ind w:left="668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838D9EE">
      <w:start w:val="1"/>
      <w:numFmt w:val="bullet"/>
      <w:lvlText w:val="•"/>
      <w:lvlJc w:val="left"/>
      <w:pPr>
        <w:ind w:left="740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B74E12C">
      <w:start w:val="1"/>
      <w:numFmt w:val="bullet"/>
      <w:lvlText w:val="o"/>
      <w:lvlJc w:val="left"/>
      <w:pPr>
        <w:ind w:left="81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00AA446">
      <w:start w:val="1"/>
      <w:numFmt w:val="bullet"/>
      <w:lvlText w:val="▪"/>
      <w:lvlJc w:val="left"/>
      <w:pPr>
        <w:ind w:left="884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78" w15:restartNumberingAfterBreak="0">
    <w:nsid w:val="423D4E9A"/>
    <w:multiLevelType w:val="hybridMultilevel"/>
    <w:tmpl w:val="465A739E"/>
    <w:lvl w:ilvl="0" w:tplc="0752278A">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27ACD98">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ADE5166">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3EEB84A">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E06E66A">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E0007BC">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332BB42">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7DED70C">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8F124332">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79" w15:restartNumberingAfterBreak="0">
    <w:nsid w:val="423E740C"/>
    <w:multiLevelType w:val="hybridMultilevel"/>
    <w:tmpl w:val="9174A806"/>
    <w:lvl w:ilvl="0" w:tplc="6C961312">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58CC8FE">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97E195E">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38C278E">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C8662A4">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83C5EF2">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D18FD2A">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712AF78">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CE406CE">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80" w15:restartNumberingAfterBreak="0">
    <w:nsid w:val="42587328"/>
    <w:multiLevelType w:val="hybridMultilevel"/>
    <w:tmpl w:val="355A1B92"/>
    <w:lvl w:ilvl="0" w:tplc="1376F63E">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7CA2CCC">
      <w:start w:val="1"/>
      <w:numFmt w:val="bullet"/>
      <w:lvlText w:val="o"/>
      <w:lvlJc w:val="left"/>
      <w:pPr>
        <w:ind w:left="10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916A9F0">
      <w:start w:val="1"/>
      <w:numFmt w:val="bullet"/>
      <w:lvlText w:val="▪"/>
      <w:lvlJc w:val="left"/>
      <w:pPr>
        <w:ind w:left="18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6BA3290">
      <w:start w:val="1"/>
      <w:numFmt w:val="bullet"/>
      <w:lvlText w:val="•"/>
      <w:lvlJc w:val="left"/>
      <w:pPr>
        <w:ind w:left="25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B584BE2">
      <w:start w:val="1"/>
      <w:numFmt w:val="bullet"/>
      <w:lvlText w:val="o"/>
      <w:lvlJc w:val="left"/>
      <w:pPr>
        <w:ind w:left="32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3800F70">
      <w:start w:val="1"/>
      <w:numFmt w:val="bullet"/>
      <w:lvlText w:val="▪"/>
      <w:lvlJc w:val="left"/>
      <w:pPr>
        <w:ind w:left="396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664169A">
      <w:start w:val="1"/>
      <w:numFmt w:val="bullet"/>
      <w:lvlText w:val="•"/>
      <w:lvlJc w:val="left"/>
      <w:pPr>
        <w:ind w:left="46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6C8F1CA">
      <w:start w:val="1"/>
      <w:numFmt w:val="bullet"/>
      <w:lvlText w:val="o"/>
      <w:lvlJc w:val="left"/>
      <w:pPr>
        <w:ind w:left="54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6C63A9C">
      <w:start w:val="1"/>
      <w:numFmt w:val="bullet"/>
      <w:lvlText w:val="▪"/>
      <w:lvlJc w:val="left"/>
      <w:pPr>
        <w:ind w:left="61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81" w15:restartNumberingAfterBreak="0">
    <w:nsid w:val="42656C33"/>
    <w:multiLevelType w:val="hybridMultilevel"/>
    <w:tmpl w:val="7E6C6900"/>
    <w:lvl w:ilvl="0" w:tplc="AEF43218">
      <w:start w:val="1"/>
      <w:numFmt w:val="bullet"/>
      <w:lvlText w:val="¾"/>
      <w:lvlJc w:val="left"/>
      <w:pPr>
        <w:ind w:left="28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53567A3C">
      <w:start w:val="1"/>
      <w:numFmt w:val="bullet"/>
      <w:lvlText w:val="o"/>
      <w:lvlJc w:val="left"/>
      <w:pPr>
        <w:ind w:left="108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B06211AE">
      <w:start w:val="1"/>
      <w:numFmt w:val="bullet"/>
      <w:lvlText w:val="▪"/>
      <w:lvlJc w:val="left"/>
      <w:pPr>
        <w:ind w:left="180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AA2C01A4">
      <w:start w:val="1"/>
      <w:numFmt w:val="bullet"/>
      <w:lvlText w:val="•"/>
      <w:lvlJc w:val="left"/>
      <w:pPr>
        <w:ind w:left="252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28B628AC">
      <w:start w:val="1"/>
      <w:numFmt w:val="bullet"/>
      <w:lvlText w:val="o"/>
      <w:lvlJc w:val="left"/>
      <w:pPr>
        <w:ind w:left="324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CA500F88">
      <w:start w:val="1"/>
      <w:numFmt w:val="bullet"/>
      <w:lvlText w:val="▪"/>
      <w:lvlJc w:val="left"/>
      <w:pPr>
        <w:ind w:left="39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20B64EF4">
      <w:start w:val="1"/>
      <w:numFmt w:val="bullet"/>
      <w:lvlText w:val="•"/>
      <w:lvlJc w:val="left"/>
      <w:pPr>
        <w:ind w:left="468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5B7AF40E">
      <w:start w:val="1"/>
      <w:numFmt w:val="bullet"/>
      <w:lvlText w:val="o"/>
      <w:lvlJc w:val="left"/>
      <w:pPr>
        <w:ind w:left="540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87C06FFA">
      <w:start w:val="1"/>
      <w:numFmt w:val="bullet"/>
      <w:lvlText w:val="▪"/>
      <w:lvlJc w:val="left"/>
      <w:pPr>
        <w:ind w:left="612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82" w15:restartNumberingAfterBreak="0">
    <w:nsid w:val="42A15730"/>
    <w:multiLevelType w:val="hybridMultilevel"/>
    <w:tmpl w:val="31FE32F6"/>
    <w:lvl w:ilvl="0" w:tplc="8B26C060">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B17C537C">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D2A3FC8">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1A23C1A">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02013B6">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E38AE40">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CF8806E">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89CC3A4">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608277A">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83" w15:restartNumberingAfterBreak="0">
    <w:nsid w:val="42C42B40"/>
    <w:multiLevelType w:val="hybridMultilevel"/>
    <w:tmpl w:val="FA066010"/>
    <w:lvl w:ilvl="0" w:tplc="9BCC80AC">
      <w:start w:val="1"/>
      <w:numFmt w:val="bullet"/>
      <w:lvlText w:val="•"/>
      <w:lvlJc w:val="left"/>
      <w:pPr>
        <w:ind w:left="4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C16B29A">
      <w:start w:val="1"/>
      <w:numFmt w:val="bullet"/>
      <w:lvlText w:val="o"/>
      <w:lvlJc w:val="left"/>
      <w:pPr>
        <w:ind w:left="13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A98F558">
      <w:start w:val="1"/>
      <w:numFmt w:val="bullet"/>
      <w:lvlText w:val="▪"/>
      <w:lvlJc w:val="left"/>
      <w:pPr>
        <w:ind w:left="204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D38C626">
      <w:start w:val="1"/>
      <w:numFmt w:val="bullet"/>
      <w:lvlText w:val="•"/>
      <w:lvlJc w:val="left"/>
      <w:pPr>
        <w:ind w:left="276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F32EB14">
      <w:start w:val="1"/>
      <w:numFmt w:val="bullet"/>
      <w:lvlText w:val="o"/>
      <w:lvlJc w:val="left"/>
      <w:pPr>
        <w:ind w:left="348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354A3C4">
      <w:start w:val="1"/>
      <w:numFmt w:val="bullet"/>
      <w:lvlText w:val="▪"/>
      <w:lvlJc w:val="left"/>
      <w:pPr>
        <w:ind w:left="420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B166D78">
      <w:start w:val="1"/>
      <w:numFmt w:val="bullet"/>
      <w:lvlText w:val="•"/>
      <w:lvlJc w:val="left"/>
      <w:pPr>
        <w:ind w:left="49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D88EC3A">
      <w:start w:val="1"/>
      <w:numFmt w:val="bullet"/>
      <w:lvlText w:val="o"/>
      <w:lvlJc w:val="left"/>
      <w:pPr>
        <w:ind w:left="564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7404D0E">
      <w:start w:val="1"/>
      <w:numFmt w:val="bullet"/>
      <w:lvlText w:val="▪"/>
      <w:lvlJc w:val="left"/>
      <w:pPr>
        <w:ind w:left="636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84" w15:restartNumberingAfterBreak="0">
    <w:nsid w:val="42EE6A55"/>
    <w:multiLevelType w:val="hybridMultilevel"/>
    <w:tmpl w:val="16AE797E"/>
    <w:lvl w:ilvl="0" w:tplc="62BC483A">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64A06BC">
      <w:start w:val="1"/>
      <w:numFmt w:val="bullet"/>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A47C9B66">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05AA898C">
      <w:start w:val="1"/>
      <w:numFmt w:val="bullet"/>
      <w:lvlText w:val="•"/>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406CF282">
      <w:start w:val="1"/>
      <w:numFmt w:val="bullet"/>
      <w:lvlText w:val="o"/>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E872F31E">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71F2A9EE">
      <w:start w:val="1"/>
      <w:numFmt w:val="bullet"/>
      <w:lvlText w:val="•"/>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B6D22028">
      <w:start w:val="1"/>
      <w:numFmt w:val="bullet"/>
      <w:lvlText w:val="o"/>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28F828EE">
      <w:start w:val="1"/>
      <w:numFmt w:val="bullet"/>
      <w:lvlText w:val="▪"/>
      <w:lvlJc w:val="left"/>
      <w:pPr>
        <w:ind w:left="56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85" w15:restartNumberingAfterBreak="0">
    <w:nsid w:val="430C6EDF"/>
    <w:multiLevelType w:val="hybridMultilevel"/>
    <w:tmpl w:val="7C0C5722"/>
    <w:lvl w:ilvl="0" w:tplc="0BBA1EE8">
      <w:start w:val="1"/>
      <w:numFmt w:val="bullet"/>
      <w:lvlText w:val="•"/>
      <w:lvlJc w:val="left"/>
      <w:pPr>
        <w:ind w:left="3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0BD0A07C">
      <w:start w:val="1"/>
      <w:numFmt w:val="bullet"/>
      <w:lvlText w:val="o"/>
      <w:lvlJc w:val="left"/>
      <w:pPr>
        <w:ind w:left="50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4A981D76">
      <w:start w:val="1"/>
      <w:numFmt w:val="bullet"/>
      <w:lvlRestart w:val="0"/>
      <w:lvlText w:val=""/>
      <w:lvlJc w:val="left"/>
      <w:pPr>
        <w:ind w:left="56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89366D7C">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CF929D32">
      <w:start w:val="1"/>
      <w:numFmt w:val="bullet"/>
      <w:lvlText w:val="o"/>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2B441F48">
      <w:start w:val="1"/>
      <w:numFmt w:val="bullet"/>
      <w:lvlText w:val="▪"/>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885A47E4">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53E28960">
      <w:start w:val="1"/>
      <w:numFmt w:val="bullet"/>
      <w:lvlText w:val="o"/>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D0388916">
      <w:start w:val="1"/>
      <w:numFmt w:val="bullet"/>
      <w:lvlText w:val="▪"/>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86" w15:restartNumberingAfterBreak="0">
    <w:nsid w:val="43107A5A"/>
    <w:multiLevelType w:val="hybridMultilevel"/>
    <w:tmpl w:val="219E26E6"/>
    <w:lvl w:ilvl="0" w:tplc="CE38D512">
      <w:start w:val="1"/>
      <w:numFmt w:val="decimal"/>
      <w:lvlText w:val="%1."/>
      <w:lvlJc w:val="left"/>
      <w:pPr>
        <w:ind w:left="2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24CC42A">
      <w:start w:val="1"/>
      <w:numFmt w:val="lowerLetter"/>
      <w:lvlText w:val="%2"/>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874A24A">
      <w:start w:val="1"/>
      <w:numFmt w:val="lowerRoman"/>
      <w:lvlText w:val="%3"/>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34266F2">
      <w:start w:val="1"/>
      <w:numFmt w:val="decimal"/>
      <w:lvlText w:val="%4"/>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4E848B0">
      <w:start w:val="1"/>
      <w:numFmt w:val="lowerLetter"/>
      <w:lvlText w:val="%5"/>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CF85FB4">
      <w:start w:val="1"/>
      <w:numFmt w:val="lowerRoman"/>
      <w:lvlText w:val="%6"/>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EFC9052">
      <w:start w:val="1"/>
      <w:numFmt w:val="decimal"/>
      <w:lvlText w:val="%7"/>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2961DD0">
      <w:start w:val="1"/>
      <w:numFmt w:val="lowerLetter"/>
      <w:lvlText w:val="%8"/>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2907278">
      <w:start w:val="1"/>
      <w:numFmt w:val="lowerRoman"/>
      <w:lvlText w:val="%9"/>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87" w15:restartNumberingAfterBreak="0">
    <w:nsid w:val="432D45D7"/>
    <w:multiLevelType w:val="hybridMultilevel"/>
    <w:tmpl w:val="128A7DF0"/>
    <w:lvl w:ilvl="0" w:tplc="05C25B24">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AFA7F74">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09813F0">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9801298">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37A6800">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B7EC906">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E36177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7DE8B04">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74E254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88" w15:restartNumberingAfterBreak="0">
    <w:nsid w:val="435303DF"/>
    <w:multiLevelType w:val="hybridMultilevel"/>
    <w:tmpl w:val="6C904982"/>
    <w:lvl w:ilvl="0" w:tplc="59101606">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418EF6C">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03819FE">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3FAA5DC">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4EEFB7C">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51624AE">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48223BA">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2927F82">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4EA9960">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89" w15:restartNumberingAfterBreak="0">
    <w:nsid w:val="4376563F"/>
    <w:multiLevelType w:val="hybridMultilevel"/>
    <w:tmpl w:val="C8E6DC70"/>
    <w:lvl w:ilvl="0" w:tplc="378E9696">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CC65DB4">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73201D2">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1B8AE6CE">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B768F3E">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8C299AE">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F68A980">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E5639DE">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B6CB4C0">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90" w15:restartNumberingAfterBreak="0">
    <w:nsid w:val="43822411"/>
    <w:multiLevelType w:val="hybridMultilevel"/>
    <w:tmpl w:val="B484E11E"/>
    <w:lvl w:ilvl="0" w:tplc="D77685A6">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F68F640">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326AF78">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0C076EC">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4A22400">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4660EE2">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8E67328">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634B9BA">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F04FAD8">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91" w15:restartNumberingAfterBreak="0">
    <w:nsid w:val="43AD1410"/>
    <w:multiLevelType w:val="hybridMultilevel"/>
    <w:tmpl w:val="CF50A960"/>
    <w:lvl w:ilvl="0" w:tplc="6A302820">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220A4C4">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AB8405C">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99465D4">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4BCB408">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9F29A28">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424E39C">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95A19E4">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02AEE96">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92" w15:restartNumberingAfterBreak="0">
    <w:nsid w:val="43E019F9"/>
    <w:multiLevelType w:val="hybridMultilevel"/>
    <w:tmpl w:val="2A4C0AD4"/>
    <w:lvl w:ilvl="0" w:tplc="E1AAF0A8">
      <w:start w:val="1"/>
      <w:numFmt w:val="bullet"/>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E1004ECA">
      <w:start w:val="1"/>
      <w:numFmt w:val="bullet"/>
      <w:lvlText w:val="o"/>
      <w:lvlJc w:val="left"/>
      <w:pPr>
        <w:ind w:left="136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FC120468">
      <w:start w:val="1"/>
      <w:numFmt w:val="bullet"/>
      <w:lvlText w:val="▪"/>
      <w:lvlJc w:val="left"/>
      <w:pPr>
        <w:ind w:left="208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8AEE3EBC">
      <w:start w:val="1"/>
      <w:numFmt w:val="bullet"/>
      <w:lvlText w:val="•"/>
      <w:lvlJc w:val="left"/>
      <w:pPr>
        <w:ind w:left="280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29785014">
      <w:start w:val="1"/>
      <w:numFmt w:val="bullet"/>
      <w:lvlText w:val="o"/>
      <w:lvlJc w:val="left"/>
      <w:pPr>
        <w:ind w:left="352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62ACBE52">
      <w:start w:val="1"/>
      <w:numFmt w:val="bullet"/>
      <w:lvlText w:val="▪"/>
      <w:lvlJc w:val="left"/>
      <w:pPr>
        <w:ind w:left="424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DD00CB20">
      <w:start w:val="1"/>
      <w:numFmt w:val="bullet"/>
      <w:lvlText w:val="•"/>
      <w:lvlJc w:val="left"/>
      <w:pPr>
        <w:ind w:left="496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2E6A1A30">
      <w:start w:val="1"/>
      <w:numFmt w:val="bullet"/>
      <w:lvlText w:val="o"/>
      <w:lvlJc w:val="left"/>
      <w:pPr>
        <w:ind w:left="568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2188AE90">
      <w:start w:val="1"/>
      <w:numFmt w:val="bullet"/>
      <w:lvlText w:val="▪"/>
      <w:lvlJc w:val="left"/>
      <w:pPr>
        <w:ind w:left="640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93" w15:restartNumberingAfterBreak="0">
    <w:nsid w:val="44983701"/>
    <w:multiLevelType w:val="hybridMultilevel"/>
    <w:tmpl w:val="CCFC5912"/>
    <w:lvl w:ilvl="0" w:tplc="A156D238">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1A01910">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434AEBA">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37645EE">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4902A5E">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CE01BA4">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D4410C0">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18A48AE0">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DB6BFCA">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94" w15:restartNumberingAfterBreak="0">
    <w:nsid w:val="44B93240"/>
    <w:multiLevelType w:val="hybridMultilevel"/>
    <w:tmpl w:val="153ADAFC"/>
    <w:lvl w:ilvl="0" w:tplc="7666B3EA">
      <w:start w:val="1"/>
      <w:numFmt w:val="bullet"/>
      <w:lvlText w:val="•"/>
      <w:lvlJc w:val="left"/>
      <w:pPr>
        <w:ind w:left="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4CE3EFA">
      <w:start w:val="1"/>
      <w:numFmt w:val="bullet"/>
      <w:lvlText w:val="o"/>
      <w:lvlJc w:val="left"/>
      <w:pPr>
        <w:ind w:left="50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2849F7E">
      <w:start w:val="1"/>
      <w:numFmt w:val="bullet"/>
      <w:lvlRestart w:val="0"/>
      <w:lvlText w:val="•"/>
      <w:lvlJc w:val="left"/>
      <w:pPr>
        <w:ind w:left="56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BE2543A">
      <w:start w:val="1"/>
      <w:numFmt w:val="bullet"/>
      <w:lvlText w:val="•"/>
      <w:lvlJc w:val="left"/>
      <w:pPr>
        <w:ind w:left="13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9B2B986">
      <w:start w:val="1"/>
      <w:numFmt w:val="bullet"/>
      <w:lvlText w:val="o"/>
      <w:lvlJc w:val="left"/>
      <w:pPr>
        <w:ind w:left="20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C541E86">
      <w:start w:val="1"/>
      <w:numFmt w:val="bullet"/>
      <w:lvlText w:val="▪"/>
      <w:lvlJc w:val="left"/>
      <w:pPr>
        <w:ind w:left="28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82C18EA">
      <w:start w:val="1"/>
      <w:numFmt w:val="bullet"/>
      <w:lvlText w:val="•"/>
      <w:lvlJc w:val="left"/>
      <w:pPr>
        <w:ind w:left="35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7F03A72">
      <w:start w:val="1"/>
      <w:numFmt w:val="bullet"/>
      <w:lvlText w:val="o"/>
      <w:lvlJc w:val="left"/>
      <w:pPr>
        <w:ind w:left="42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244B106">
      <w:start w:val="1"/>
      <w:numFmt w:val="bullet"/>
      <w:lvlText w:val="▪"/>
      <w:lvlJc w:val="left"/>
      <w:pPr>
        <w:ind w:left="49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95" w15:restartNumberingAfterBreak="0">
    <w:nsid w:val="44C56A4C"/>
    <w:multiLevelType w:val="hybridMultilevel"/>
    <w:tmpl w:val="8328F54A"/>
    <w:lvl w:ilvl="0" w:tplc="C9741FE8">
      <w:start w:val="1"/>
      <w:numFmt w:val="bullet"/>
      <w:lvlText w:val="•"/>
      <w:lvlJc w:val="left"/>
      <w:pPr>
        <w:ind w:left="3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8D742106">
      <w:start w:val="1"/>
      <w:numFmt w:val="bullet"/>
      <w:lvlText w:val="o"/>
      <w:lvlJc w:val="left"/>
      <w:pPr>
        <w:ind w:left="50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29F04228">
      <w:start w:val="1"/>
      <w:numFmt w:val="bullet"/>
      <w:lvlRestart w:val="0"/>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5BD2DDD6">
      <w:start w:val="1"/>
      <w:numFmt w:val="bullet"/>
      <w:lvlText w:val="•"/>
      <w:lvlJc w:val="left"/>
      <w:pPr>
        <w:ind w:left="136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F87C2DC8">
      <w:start w:val="1"/>
      <w:numFmt w:val="bullet"/>
      <w:lvlText w:val="o"/>
      <w:lvlJc w:val="left"/>
      <w:pPr>
        <w:ind w:left="208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9B522E00">
      <w:start w:val="1"/>
      <w:numFmt w:val="bullet"/>
      <w:lvlText w:val="▪"/>
      <w:lvlJc w:val="left"/>
      <w:pPr>
        <w:ind w:left="280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18ACFEDA">
      <w:start w:val="1"/>
      <w:numFmt w:val="bullet"/>
      <w:lvlText w:val="•"/>
      <w:lvlJc w:val="left"/>
      <w:pPr>
        <w:ind w:left="352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B832F8F2">
      <w:start w:val="1"/>
      <w:numFmt w:val="bullet"/>
      <w:lvlText w:val="o"/>
      <w:lvlJc w:val="left"/>
      <w:pPr>
        <w:ind w:left="424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0F4E7DC4">
      <w:start w:val="1"/>
      <w:numFmt w:val="bullet"/>
      <w:lvlText w:val="▪"/>
      <w:lvlJc w:val="left"/>
      <w:pPr>
        <w:ind w:left="496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96" w15:restartNumberingAfterBreak="0">
    <w:nsid w:val="452B367F"/>
    <w:multiLevelType w:val="hybridMultilevel"/>
    <w:tmpl w:val="B5FCFDE4"/>
    <w:lvl w:ilvl="0" w:tplc="B740B2BE">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204A1B2">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60C354A">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446C090">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0C0DC70">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732DE38">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5E86604">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2446120">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570375A">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97" w15:restartNumberingAfterBreak="0">
    <w:nsid w:val="45575EC6"/>
    <w:multiLevelType w:val="hybridMultilevel"/>
    <w:tmpl w:val="1BE0D41A"/>
    <w:lvl w:ilvl="0" w:tplc="7628738E">
      <w:start w:val="1"/>
      <w:numFmt w:val="bullet"/>
      <w:lvlText w:val="–"/>
      <w:lvlJc w:val="left"/>
      <w:pPr>
        <w:ind w:left="3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B862F28">
      <w:start w:val="1"/>
      <w:numFmt w:val="bullet"/>
      <w:lvlText w:val="o"/>
      <w:lvlJc w:val="left"/>
      <w:pPr>
        <w:ind w:left="13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3148ABC">
      <w:start w:val="1"/>
      <w:numFmt w:val="bullet"/>
      <w:lvlText w:val="▪"/>
      <w:lvlJc w:val="left"/>
      <w:pPr>
        <w:ind w:left="20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320AE56">
      <w:start w:val="1"/>
      <w:numFmt w:val="bullet"/>
      <w:lvlText w:val="•"/>
      <w:lvlJc w:val="left"/>
      <w:pPr>
        <w:ind w:left="27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5F432E4">
      <w:start w:val="1"/>
      <w:numFmt w:val="bullet"/>
      <w:lvlText w:val="o"/>
      <w:lvlJc w:val="left"/>
      <w:pPr>
        <w:ind w:left="34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15AF1CE">
      <w:start w:val="1"/>
      <w:numFmt w:val="bullet"/>
      <w:lvlText w:val="▪"/>
      <w:lvlJc w:val="left"/>
      <w:pPr>
        <w:ind w:left="41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026014E">
      <w:start w:val="1"/>
      <w:numFmt w:val="bullet"/>
      <w:lvlText w:val="•"/>
      <w:lvlJc w:val="left"/>
      <w:pPr>
        <w:ind w:left="49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7B6396E">
      <w:start w:val="1"/>
      <w:numFmt w:val="bullet"/>
      <w:lvlText w:val="o"/>
      <w:lvlJc w:val="left"/>
      <w:pPr>
        <w:ind w:left="56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8AAC84A">
      <w:start w:val="1"/>
      <w:numFmt w:val="bullet"/>
      <w:lvlText w:val="▪"/>
      <w:lvlJc w:val="left"/>
      <w:pPr>
        <w:ind w:left="63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98" w15:restartNumberingAfterBreak="0">
    <w:nsid w:val="456563CF"/>
    <w:multiLevelType w:val="hybridMultilevel"/>
    <w:tmpl w:val="A6C08C34"/>
    <w:lvl w:ilvl="0" w:tplc="4E2A328E">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7C43486">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780B3B0">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AAA4F5C">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F2C6DE4">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BB69B16">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3420C88">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89E5832">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76E3B3A">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99" w15:restartNumberingAfterBreak="0">
    <w:nsid w:val="45DD62D1"/>
    <w:multiLevelType w:val="hybridMultilevel"/>
    <w:tmpl w:val="7682FE6A"/>
    <w:lvl w:ilvl="0" w:tplc="E45C40F8">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57A4D42">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E50BB36">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5861744">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7B6CD74">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6D2EFFE">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B148EC0">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0C09490">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EF6D19A">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00" w15:restartNumberingAfterBreak="0">
    <w:nsid w:val="45F913BD"/>
    <w:multiLevelType w:val="hybridMultilevel"/>
    <w:tmpl w:val="E46A5948"/>
    <w:lvl w:ilvl="0" w:tplc="9C6A0164">
      <w:start w:val="1"/>
      <w:numFmt w:val="bullet"/>
      <w:lvlText w:val="•"/>
      <w:lvlJc w:val="left"/>
      <w:pPr>
        <w:ind w:left="17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AC98B99E">
      <w:start w:val="1"/>
      <w:numFmt w:val="bullet"/>
      <w:lvlText w:val="o"/>
      <w:lvlJc w:val="left"/>
      <w:pPr>
        <w:ind w:left="11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7A605590">
      <w:start w:val="1"/>
      <w:numFmt w:val="bullet"/>
      <w:lvlText w:val="▪"/>
      <w:lvlJc w:val="left"/>
      <w:pPr>
        <w:ind w:left="18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EA6009A0">
      <w:start w:val="1"/>
      <w:numFmt w:val="bullet"/>
      <w:lvlText w:val="•"/>
      <w:lvlJc w:val="left"/>
      <w:pPr>
        <w:ind w:left="25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BE4AC20E">
      <w:start w:val="1"/>
      <w:numFmt w:val="bullet"/>
      <w:lvlText w:val="o"/>
      <w:lvlJc w:val="left"/>
      <w:pPr>
        <w:ind w:left="329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0ADCF910">
      <w:start w:val="1"/>
      <w:numFmt w:val="bullet"/>
      <w:lvlText w:val="▪"/>
      <w:lvlJc w:val="left"/>
      <w:pPr>
        <w:ind w:left="401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A844C94C">
      <w:start w:val="1"/>
      <w:numFmt w:val="bullet"/>
      <w:lvlText w:val="•"/>
      <w:lvlJc w:val="left"/>
      <w:pPr>
        <w:ind w:left="47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1B004750">
      <w:start w:val="1"/>
      <w:numFmt w:val="bullet"/>
      <w:lvlText w:val="o"/>
      <w:lvlJc w:val="left"/>
      <w:pPr>
        <w:ind w:left="54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5588B8BA">
      <w:start w:val="1"/>
      <w:numFmt w:val="bullet"/>
      <w:lvlText w:val="▪"/>
      <w:lvlJc w:val="left"/>
      <w:pPr>
        <w:ind w:left="61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201" w15:restartNumberingAfterBreak="0">
    <w:nsid w:val="467425CD"/>
    <w:multiLevelType w:val="hybridMultilevel"/>
    <w:tmpl w:val="CE1EDF68"/>
    <w:lvl w:ilvl="0" w:tplc="2A22B93E">
      <w:start w:val="1"/>
      <w:numFmt w:val="bullet"/>
      <w:lvlText w:val="–"/>
      <w:lvlJc w:val="left"/>
      <w:pPr>
        <w:ind w:left="3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48C23A8">
      <w:start w:val="1"/>
      <w:numFmt w:val="bullet"/>
      <w:lvlText w:val="o"/>
      <w:lvlJc w:val="left"/>
      <w:pPr>
        <w:ind w:left="13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46C4FE0">
      <w:start w:val="1"/>
      <w:numFmt w:val="bullet"/>
      <w:lvlText w:val="▪"/>
      <w:lvlJc w:val="left"/>
      <w:pPr>
        <w:ind w:left="20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CCEB44E">
      <w:start w:val="1"/>
      <w:numFmt w:val="bullet"/>
      <w:lvlText w:val="•"/>
      <w:lvlJc w:val="left"/>
      <w:pPr>
        <w:ind w:left="27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3741368">
      <w:start w:val="1"/>
      <w:numFmt w:val="bullet"/>
      <w:lvlText w:val="o"/>
      <w:lvlJc w:val="left"/>
      <w:pPr>
        <w:ind w:left="34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FF8190C">
      <w:start w:val="1"/>
      <w:numFmt w:val="bullet"/>
      <w:lvlText w:val="▪"/>
      <w:lvlJc w:val="left"/>
      <w:pPr>
        <w:ind w:left="41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5567570">
      <w:start w:val="1"/>
      <w:numFmt w:val="bullet"/>
      <w:lvlText w:val="•"/>
      <w:lvlJc w:val="left"/>
      <w:pPr>
        <w:ind w:left="49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34C96C6">
      <w:start w:val="1"/>
      <w:numFmt w:val="bullet"/>
      <w:lvlText w:val="o"/>
      <w:lvlJc w:val="left"/>
      <w:pPr>
        <w:ind w:left="56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0D4640A">
      <w:start w:val="1"/>
      <w:numFmt w:val="bullet"/>
      <w:lvlText w:val="▪"/>
      <w:lvlJc w:val="left"/>
      <w:pPr>
        <w:ind w:left="63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02" w15:restartNumberingAfterBreak="0">
    <w:nsid w:val="47222C22"/>
    <w:multiLevelType w:val="hybridMultilevel"/>
    <w:tmpl w:val="85B4BAD6"/>
    <w:lvl w:ilvl="0" w:tplc="48AC4240">
      <w:start w:val="1"/>
      <w:numFmt w:val="bullet"/>
      <w:lvlText w:val="–"/>
      <w:lvlJc w:val="left"/>
      <w:pPr>
        <w:ind w:left="3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572D096">
      <w:start w:val="1"/>
      <w:numFmt w:val="bullet"/>
      <w:lvlText w:val="o"/>
      <w:lvlJc w:val="left"/>
      <w:pPr>
        <w:ind w:left="13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EBE1ABC">
      <w:start w:val="1"/>
      <w:numFmt w:val="bullet"/>
      <w:lvlText w:val="▪"/>
      <w:lvlJc w:val="left"/>
      <w:pPr>
        <w:ind w:left="20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89E066C">
      <w:start w:val="1"/>
      <w:numFmt w:val="bullet"/>
      <w:lvlText w:val="•"/>
      <w:lvlJc w:val="left"/>
      <w:pPr>
        <w:ind w:left="27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8820B5A">
      <w:start w:val="1"/>
      <w:numFmt w:val="bullet"/>
      <w:lvlText w:val="o"/>
      <w:lvlJc w:val="left"/>
      <w:pPr>
        <w:ind w:left="34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700668A">
      <w:start w:val="1"/>
      <w:numFmt w:val="bullet"/>
      <w:lvlText w:val="▪"/>
      <w:lvlJc w:val="left"/>
      <w:pPr>
        <w:ind w:left="41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D60FC5E">
      <w:start w:val="1"/>
      <w:numFmt w:val="bullet"/>
      <w:lvlText w:val="•"/>
      <w:lvlJc w:val="left"/>
      <w:pPr>
        <w:ind w:left="49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27E7158">
      <w:start w:val="1"/>
      <w:numFmt w:val="bullet"/>
      <w:lvlText w:val="o"/>
      <w:lvlJc w:val="left"/>
      <w:pPr>
        <w:ind w:left="56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23C1AD6">
      <w:start w:val="1"/>
      <w:numFmt w:val="bullet"/>
      <w:lvlText w:val="▪"/>
      <w:lvlJc w:val="left"/>
      <w:pPr>
        <w:ind w:left="63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03" w15:restartNumberingAfterBreak="0">
    <w:nsid w:val="4793195A"/>
    <w:multiLevelType w:val="hybridMultilevel"/>
    <w:tmpl w:val="70CCA67C"/>
    <w:lvl w:ilvl="0" w:tplc="56BCF92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3F2C746">
      <w:start w:val="1"/>
      <w:numFmt w:val="bullet"/>
      <w:lvlText w:val="o"/>
      <w:lvlJc w:val="left"/>
      <w:pPr>
        <w:ind w:left="113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C2E791E">
      <w:start w:val="1"/>
      <w:numFmt w:val="bullet"/>
      <w:lvlText w:val="▪"/>
      <w:lvlJc w:val="left"/>
      <w:pPr>
        <w:ind w:left="185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9B44CEE">
      <w:start w:val="1"/>
      <w:numFmt w:val="bullet"/>
      <w:lvlText w:val="•"/>
      <w:lvlJc w:val="left"/>
      <w:pPr>
        <w:ind w:left="25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3F8B044">
      <w:start w:val="1"/>
      <w:numFmt w:val="bullet"/>
      <w:lvlText w:val="o"/>
      <w:lvlJc w:val="left"/>
      <w:pPr>
        <w:ind w:left="329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392ADD0">
      <w:start w:val="1"/>
      <w:numFmt w:val="bullet"/>
      <w:lvlText w:val="▪"/>
      <w:lvlJc w:val="left"/>
      <w:pPr>
        <w:ind w:left="401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74A90CE">
      <w:start w:val="1"/>
      <w:numFmt w:val="bullet"/>
      <w:lvlText w:val="•"/>
      <w:lvlJc w:val="left"/>
      <w:pPr>
        <w:ind w:left="473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A03459D0">
      <w:start w:val="1"/>
      <w:numFmt w:val="bullet"/>
      <w:lvlText w:val="o"/>
      <w:lvlJc w:val="left"/>
      <w:pPr>
        <w:ind w:left="545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B247840">
      <w:start w:val="1"/>
      <w:numFmt w:val="bullet"/>
      <w:lvlText w:val="▪"/>
      <w:lvlJc w:val="left"/>
      <w:pPr>
        <w:ind w:left="61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04" w15:restartNumberingAfterBreak="0">
    <w:nsid w:val="479611EE"/>
    <w:multiLevelType w:val="hybridMultilevel"/>
    <w:tmpl w:val="F81047A4"/>
    <w:lvl w:ilvl="0" w:tplc="EDFA1352">
      <w:start w:val="1"/>
      <w:numFmt w:val="decimal"/>
      <w:lvlText w:val="%1."/>
      <w:lvlJc w:val="left"/>
      <w:pPr>
        <w:ind w:left="28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8CE225B8">
      <w:start w:val="1"/>
      <w:numFmt w:val="lowerLetter"/>
      <w:lvlText w:val="%2"/>
      <w:lvlJc w:val="left"/>
      <w:pPr>
        <w:ind w:left="10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58262BE4">
      <w:start w:val="1"/>
      <w:numFmt w:val="lowerRoman"/>
      <w:lvlText w:val="%3"/>
      <w:lvlJc w:val="left"/>
      <w:pPr>
        <w:ind w:left="18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22E2A1AE">
      <w:start w:val="1"/>
      <w:numFmt w:val="decimal"/>
      <w:lvlText w:val="%4"/>
      <w:lvlJc w:val="left"/>
      <w:pPr>
        <w:ind w:left="2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2E049E3E">
      <w:start w:val="1"/>
      <w:numFmt w:val="lowerLetter"/>
      <w:lvlText w:val="%5"/>
      <w:lvlJc w:val="left"/>
      <w:pPr>
        <w:ind w:left="32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2F2CF13E">
      <w:start w:val="1"/>
      <w:numFmt w:val="lowerRoman"/>
      <w:lvlText w:val="%6"/>
      <w:lvlJc w:val="left"/>
      <w:pPr>
        <w:ind w:left="39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665EC45C">
      <w:start w:val="1"/>
      <w:numFmt w:val="decimal"/>
      <w:lvlText w:val="%7"/>
      <w:lvlJc w:val="left"/>
      <w:pPr>
        <w:ind w:left="46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78340084">
      <w:start w:val="1"/>
      <w:numFmt w:val="lowerLetter"/>
      <w:lvlText w:val="%8"/>
      <w:lvlJc w:val="left"/>
      <w:pPr>
        <w:ind w:left="54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1F5E9E8E">
      <w:start w:val="1"/>
      <w:numFmt w:val="lowerRoman"/>
      <w:lvlText w:val="%9"/>
      <w:lvlJc w:val="left"/>
      <w:pPr>
        <w:ind w:left="61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205" w15:restartNumberingAfterBreak="0">
    <w:nsid w:val="47C81A0B"/>
    <w:multiLevelType w:val="hybridMultilevel"/>
    <w:tmpl w:val="80EEB808"/>
    <w:lvl w:ilvl="0" w:tplc="B240EFEE">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E384D8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E02A030">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1DA32D0">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026136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5EAA28C">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13CBFD4">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A4C482E4">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802A7D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06" w15:restartNumberingAfterBreak="0">
    <w:nsid w:val="47FC40C5"/>
    <w:multiLevelType w:val="hybridMultilevel"/>
    <w:tmpl w:val="1706AD44"/>
    <w:lvl w:ilvl="0" w:tplc="8C0C0FF2">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A9A8554">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0107044">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FA2DF1E">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DE4ECD6">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626E9FC">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F8243F8">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E144A0C">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23270D6">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07" w15:restartNumberingAfterBreak="0">
    <w:nsid w:val="485652ED"/>
    <w:multiLevelType w:val="hybridMultilevel"/>
    <w:tmpl w:val="19B69D66"/>
    <w:lvl w:ilvl="0" w:tplc="FC6C54BC">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25E07CE">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76AA6DC">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A88FAB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8D00AE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A288DEC">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5B2C440">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07E987E">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36060C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08" w15:restartNumberingAfterBreak="0">
    <w:nsid w:val="487F67EB"/>
    <w:multiLevelType w:val="hybridMultilevel"/>
    <w:tmpl w:val="BF7CAAAA"/>
    <w:lvl w:ilvl="0" w:tplc="C5A0FFC0">
      <w:start w:val="1"/>
      <w:numFmt w:val="bullet"/>
      <w:lvlText w:val="•"/>
      <w:lvlJc w:val="left"/>
      <w:pPr>
        <w:ind w:left="4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200A4F8">
      <w:start w:val="1"/>
      <w:numFmt w:val="bullet"/>
      <w:lvlText w:val="o"/>
      <w:lvlJc w:val="left"/>
      <w:pPr>
        <w:ind w:left="13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2F03858">
      <w:start w:val="1"/>
      <w:numFmt w:val="bullet"/>
      <w:lvlText w:val="▪"/>
      <w:lvlJc w:val="left"/>
      <w:pPr>
        <w:ind w:left="204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14B2510C">
      <w:start w:val="1"/>
      <w:numFmt w:val="bullet"/>
      <w:lvlText w:val="•"/>
      <w:lvlJc w:val="left"/>
      <w:pPr>
        <w:ind w:left="276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534570A">
      <w:start w:val="1"/>
      <w:numFmt w:val="bullet"/>
      <w:lvlText w:val="o"/>
      <w:lvlJc w:val="left"/>
      <w:pPr>
        <w:ind w:left="348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1667006">
      <w:start w:val="1"/>
      <w:numFmt w:val="bullet"/>
      <w:lvlText w:val="▪"/>
      <w:lvlJc w:val="left"/>
      <w:pPr>
        <w:ind w:left="420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784442C">
      <w:start w:val="1"/>
      <w:numFmt w:val="bullet"/>
      <w:lvlText w:val="•"/>
      <w:lvlJc w:val="left"/>
      <w:pPr>
        <w:ind w:left="49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194CDE0">
      <w:start w:val="1"/>
      <w:numFmt w:val="bullet"/>
      <w:lvlText w:val="o"/>
      <w:lvlJc w:val="left"/>
      <w:pPr>
        <w:ind w:left="564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0D8A6F6">
      <w:start w:val="1"/>
      <w:numFmt w:val="bullet"/>
      <w:lvlText w:val="▪"/>
      <w:lvlJc w:val="left"/>
      <w:pPr>
        <w:ind w:left="636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09" w15:restartNumberingAfterBreak="0">
    <w:nsid w:val="48965409"/>
    <w:multiLevelType w:val="hybridMultilevel"/>
    <w:tmpl w:val="57EEDC16"/>
    <w:lvl w:ilvl="0" w:tplc="B59E0AA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49E2D1A">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C90653A">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DC4855E">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72D0E0">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74EB940">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B784668">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440EDFC">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AEE6E74">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10" w15:restartNumberingAfterBreak="0">
    <w:nsid w:val="49201320"/>
    <w:multiLevelType w:val="hybridMultilevel"/>
    <w:tmpl w:val="C2F4856C"/>
    <w:lvl w:ilvl="0" w:tplc="E618AE6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64ADBDA">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4A66A48">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AF8F53C">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E56BDB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F7474C4">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B8A93F8">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15944B0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B5627F8">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11" w15:restartNumberingAfterBreak="0">
    <w:nsid w:val="49A74F97"/>
    <w:multiLevelType w:val="hybridMultilevel"/>
    <w:tmpl w:val="111A94E0"/>
    <w:lvl w:ilvl="0" w:tplc="FD820970">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F68066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B0C0C08">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3C68810">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0AEAED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5A02CDE">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01683A0">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19A4032">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6B443F4">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12" w15:restartNumberingAfterBreak="0">
    <w:nsid w:val="4A8939FF"/>
    <w:multiLevelType w:val="hybridMultilevel"/>
    <w:tmpl w:val="7348082C"/>
    <w:lvl w:ilvl="0" w:tplc="D45C478C">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3A259D0">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8EC06A6">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0245888">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11ED30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428E8AE">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83CFFD8">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87E48AE">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396DC98">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13" w15:restartNumberingAfterBreak="0">
    <w:nsid w:val="4A9A40CC"/>
    <w:multiLevelType w:val="hybridMultilevel"/>
    <w:tmpl w:val="1D4AF0F4"/>
    <w:lvl w:ilvl="0" w:tplc="75441832">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E9089E4">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0C84594">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E549AB0">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182FD94">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6786FAA">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1F25C7C">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808D192">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39E7F62">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14" w15:restartNumberingAfterBreak="0">
    <w:nsid w:val="4AC7790B"/>
    <w:multiLevelType w:val="hybridMultilevel"/>
    <w:tmpl w:val="E9829CA4"/>
    <w:lvl w:ilvl="0" w:tplc="B914AE92">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6A826E4">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6042EA2">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68E212A">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25E7104">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E86436C">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6D0CEC0">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0E43E1E">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B92291A">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15" w15:restartNumberingAfterBreak="0">
    <w:nsid w:val="4AD05543"/>
    <w:multiLevelType w:val="hybridMultilevel"/>
    <w:tmpl w:val="4B8A3C22"/>
    <w:lvl w:ilvl="0" w:tplc="67BAD728">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09A5ADA">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550C8DC">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702BB0E">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96AEE0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F4E0F16">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5FEAD32">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086E15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F92B980">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16" w15:restartNumberingAfterBreak="0">
    <w:nsid w:val="4B7C092E"/>
    <w:multiLevelType w:val="hybridMultilevel"/>
    <w:tmpl w:val="D7C896FA"/>
    <w:lvl w:ilvl="0" w:tplc="91002C46">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E7A71E0">
      <w:start w:val="1"/>
      <w:numFmt w:val="lowerLetter"/>
      <w:lvlText w:val="%2"/>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3A08D02">
      <w:start w:val="1"/>
      <w:numFmt w:val="lowerRoman"/>
      <w:lvlText w:val="%3"/>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E8E6742">
      <w:start w:val="1"/>
      <w:numFmt w:val="decimal"/>
      <w:lvlText w:val="%4"/>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F20985A">
      <w:start w:val="1"/>
      <w:numFmt w:val="lowerLetter"/>
      <w:lvlText w:val="%5"/>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EEEAE90">
      <w:start w:val="1"/>
      <w:numFmt w:val="lowerRoman"/>
      <w:lvlText w:val="%6"/>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6D24DFA">
      <w:start w:val="1"/>
      <w:numFmt w:val="decimal"/>
      <w:lvlText w:val="%7"/>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5684344">
      <w:start w:val="1"/>
      <w:numFmt w:val="lowerLetter"/>
      <w:lvlText w:val="%8"/>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8024060">
      <w:start w:val="1"/>
      <w:numFmt w:val="lowerRoman"/>
      <w:lvlText w:val="%9"/>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17" w15:restartNumberingAfterBreak="0">
    <w:nsid w:val="4B8F5F39"/>
    <w:multiLevelType w:val="hybridMultilevel"/>
    <w:tmpl w:val="B8C259FA"/>
    <w:lvl w:ilvl="0" w:tplc="2208D668">
      <w:start w:val="1"/>
      <w:numFmt w:val="bullet"/>
      <w:lvlText w:val="•"/>
      <w:lvlJc w:val="left"/>
      <w:pPr>
        <w:ind w:left="2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6C019DE">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38C065A">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45E0A1C">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694CC2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510705A">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4C4D79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CB08624">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C5A7FE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18" w15:restartNumberingAfterBreak="0">
    <w:nsid w:val="4BC16118"/>
    <w:multiLevelType w:val="hybridMultilevel"/>
    <w:tmpl w:val="1FD460A0"/>
    <w:lvl w:ilvl="0" w:tplc="77DC9400">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274E1A2">
      <w:start w:val="1"/>
      <w:numFmt w:val="bullet"/>
      <w:lvlText w:val=""/>
      <w:lvlJc w:val="left"/>
      <w:pPr>
        <w:ind w:left="567"/>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C0E82E6C">
      <w:start w:val="1"/>
      <w:numFmt w:val="bullet"/>
      <w:lvlText w:val="▪"/>
      <w:lvlJc w:val="left"/>
      <w:pPr>
        <w:ind w:left="136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3132C746">
      <w:start w:val="1"/>
      <w:numFmt w:val="bullet"/>
      <w:lvlText w:val="•"/>
      <w:lvlJc w:val="left"/>
      <w:pPr>
        <w:ind w:left="208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646A8D5A">
      <w:start w:val="1"/>
      <w:numFmt w:val="bullet"/>
      <w:lvlText w:val="o"/>
      <w:lvlJc w:val="left"/>
      <w:pPr>
        <w:ind w:left="280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626C3C8C">
      <w:start w:val="1"/>
      <w:numFmt w:val="bullet"/>
      <w:lvlText w:val="▪"/>
      <w:lvlJc w:val="left"/>
      <w:pPr>
        <w:ind w:left="352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3E0266E6">
      <w:start w:val="1"/>
      <w:numFmt w:val="bullet"/>
      <w:lvlText w:val="•"/>
      <w:lvlJc w:val="left"/>
      <w:pPr>
        <w:ind w:left="424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F402A44C">
      <w:start w:val="1"/>
      <w:numFmt w:val="bullet"/>
      <w:lvlText w:val="o"/>
      <w:lvlJc w:val="left"/>
      <w:pPr>
        <w:ind w:left="496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6BF03100">
      <w:start w:val="1"/>
      <w:numFmt w:val="bullet"/>
      <w:lvlText w:val="▪"/>
      <w:lvlJc w:val="left"/>
      <w:pPr>
        <w:ind w:left="5683"/>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219" w15:restartNumberingAfterBreak="0">
    <w:nsid w:val="4BF70108"/>
    <w:multiLevelType w:val="hybridMultilevel"/>
    <w:tmpl w:val="859C23DA"/>
    <w:lvl w:ilvl="0" w:tplc="D66CA822">
      <w:start w:val="1"/>
      <w:numFmt w:val="bullet"/>
      <w:lvlText w:val="-"/>
      <w:lvlJc w:val="left"/>
      <w:pPr>
        <w:ind w:left="17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9A66C6C8">
      <w:start w:val="1"/>
      <w:numFmt w:val="bullet"/>
      <w:lvlText w:val="o"/>
      <w:lvlJc w:val="left"/>
      <w:pPr>
        <w:ind w:left="11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9F949136">
      <w:start w:val="1"/>
      <w:numFmt w:val="bullet"/>
      <w:lvlText w:val="▪"/>
      <w:lvlJc w:val="left"/>
      <w:pPr>
        <w:ind w:left="18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552A9870">
      <w:start w:val="1"/>
      <w:numFmt w:val="bullet"/>
      <w:lvlText w:val="•"/>
      <w:lvlJc w:val="left"/>
      <w:pPr>
        <w:ind w:left="25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873A1F56">
      <w:start w:val="1"/>
      <w:numFmt w:val="bullet"/>
      <w:lvlText w:val="o"/>
      <w:lvlJc w:val="left"/>
      <w:pPr>
        <w:ind w:left="329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A8FC3DDC">
      <w:start w:val="1"/>
      <w:numFmt w:val="bullet"/>
      <w:lvlText w:val="▪"/>
      <w:lvlJc w:val="left"/>
      <w:pPr>
        <w:ind w:left="401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69C4E60C">
      <w:start w:val="1"/>
      <w:numFmt w:val="bullet"/>
      <w:lvlText w:val="•"/>
      <w:lvlJc w:val="left"/>
      <w:pPr>
        <w:ind w:left="47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141CB9F8">
      <w:start w:val="1"/>
      <w:numFmt w:val="bullet"/>
      <w:lvlText w:val="o"/>
      <w:lvlJc w:val="left"/>
      <w:pPr>
        <w:ind w:left="54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E65A9684">
      <w:start w:val="1"/>
      <w:numFmt w:val="bullet"/>
      <w:lvlText w:val="▪"/>
      <w:lvlJc w:val="left"/>
      <w:pPr>
        <w:ind w:left="61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220" w15:restartNumberingAfterBreak="0">
    <w:nsid w:val="4C5C1A27"/>
    <w:multiLevelType w:val="hybridMultilevel"/>
    <w:tmpl w:val="DE76D550"/>
    <w:lvl w:ilvl="0" w:tplc="FAEA644E">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45E254A">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A86A370">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9DC59EC">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B000820">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416A566">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9A05DD0">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8888880">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BD245F2">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21" w15:restartNumberingAfterBreak="0">
    <w:nsid w:val="4C65028E"/>
    <w:multiLevelType w:val="hybridMultilevel"/>
    <w:tmpl w:val="5F7EEBBA"/>
    <w:lvl w:ilvl="0" w:tplc="DC3A36B8">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4C2569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860C47C">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9EAB2D8">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6FA33D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8B67BF2">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61C7884">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B306BB2">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CF2BCB8">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22" w15:restartNumberingAfterBreak="0">
    <w:nsid w:val="4C842F7B"/>
    <w:multiLevelType w:val="hybridMultilevel"/>
    <w:tmpl w:val="7C483CD0"/>
    <w:lvl w:ilvl="0" w:tplc="7EE0BB8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1FE5F24">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282469C">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44209F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1BA5B9C">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DD6BFF0">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E52AFC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68E489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CD6564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23" w15:restartNumberingAfterBreak="0">
    <w:nsid w:val="4CAD5716"/>
    <w:multiLevelType w:val="hybridMultilevel"/>
    <w:tmpl w:val="4AF2AE92"/>
    <w:lvl w:ilvl="0" w:tplc="A1C47B24">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242672C">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4BCB8E0">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2D6AA16">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D62D05C">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A440700">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A84E3AC">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642444C">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893E8320">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24" w15:restartNumberingAfterBreak="0">
    <w:nsid w:val="4CC72A28"/>
    <w:multiLevelType w:val="hybridMultilevel"/>
    <w:tmpl w:val="D38C2896"/>
    <w:lvl w:ilvl="0" w:tplc="8F845B5E">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BA62858">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F5CF7F6">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03A800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7866BDE">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9B04688">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162C3C4">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24EBD94">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80CA4D1A">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25" w15:restartNumberingAfterBreak="0">
    <w:nsid w:val="4E1954D6"/>
    <w:multiLevelType w:val="hybridMultilevel"/>
    <w:tmpl w:val="A8A09CEE"/>
    <w:lvl w:ilvl="0" w:tplc="EC38E6C4">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F0E98B2">
      <w:start w:val="1"/>
      <w:numFmt w:val="bullet"/>
      <w:lvlText w:val="•"/>
      <w:lvlJc w:val="left"/>
      <w:pPr>
        <w:ind w:left="56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D0A55FE">
      <w:start w:val="1"/>
      <w:numFmt w:val="bullet"/>
      <w:lvlText w:val="▪"/>
      <w:lvlJc w:val="left"/>
      <w:pPr>
        <w:ind w:left="13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680AA60">
      <w:start w:val="1"/>
      <w:numFmt w:val="bullet"/>
      <w:lvlText w:val="•"/>
      <w:lvlJc w:val="left"/>
      <w:pPr>
        <w:ind w:left="20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970BFFE">
      <w:start w:val="1"/>
      <w:numFmt w:val="bullet"/>
      <w:lvlText w:val="o"/>
      <w:lvlJc w:val="left"/>
      <w:pPr>
        <w:ind w:left="280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F10F49E">
      <w:start w:val="1"/>
      <w:numFmt w:val="bullet"/>
      <w:lvlText w:val="▪"/>
      <w:lvlJc w:val="left"/>
      <w:pPr>
        <w:ind w:left="352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C2C0886">
      <w:start w:val="1"/>
      <w:numFmt w:val="bullet"/>
      <w:lvlText w:val="•"/>
      <w:lvlJc w:val="left"/>
      <w:pPr>
        <w:ind w:left="424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70029FE">
      <w:start w:val="1"/>
      <w:numFmt w:val="bullet"/>
      <w:lvlText w:val="o"/>
      <w:lvlJc w:val="left"/>
      <w:pPr>
        <w:ind w:left="49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3904494">
      <w:start w:val="1"/>
      <w:numFmt w:val="bullet"/>
      <w:lvlText w:val="▪"/>
      <w:lvlJc w:val="left"/>
      <w:pPr>
        <w:ind w:left="56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26" w15:restartNumberingAfterBreak="0">
    <w:nsid w:val="4E4854E4"/>
    <w:multiLevelType w:val="hybridMultilevel"/>
    <w:tmpl w:val="081C8FA8"/>
    <w:lvl w:ilvl="0" w:tplc="948E9E66">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45EF4A8">
      <w:start w:val="1"/>
      <w:numFmt w:val="bullet"/>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83D4EBD6">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FBE89268">
      <w:start w:val="1"/>
      <w:numFmt w:val="bullet"/>
      <w:lvlText w:val="•"/>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34EC9810">
      <w:start w:val="1"/>
      <w:numFmt w:val="bullet"/>
      <w:lvlText w:val="o"/>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2C82D4C4">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1ADCB320">
      <w:start w:val="1"/>
      <w:numFmt w:val="bullet"/>
      <w:lvlText w:val="•"/>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7C02E222">
      <w:start w:val="1"/>
      <w:numFmt w:val="bullet"/>
      <w:lvlText w:val="o"/>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C4A8ED7A">
      <w:start w:val="1"/>
      <w:numFmt w:val="bullet"/>
      <w:lvlText w:val="▪"/>
      <w:lvlJc w:val="left"/>
      <w:pPr>
        <w:ind w:left="56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227" w15:restartNumberingAfterBreak="0">
    <w:nsid w:val="4E6951E0"/>
    <w:multiLevelType w:val="hybridMultilevel"/>
    <w:tmpl w:val="769C9A8E"/>
    <w:lvl w:ilvl="0" w:tplc="D5C0DBB2">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03E6ED2">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D42FC04">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748B348">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5E6EC02">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0400426">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6DA9DEC">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EBC0124">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52A6E66">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28" w15:restartNumberingAfterBreak="0">
    <w:nsid w:val="4E98690A"/>
    <w:multiLevelType w:val="hybridMultilevel"/>
    <w:tmpl w:val="C84EF1D2"/>
    <w:lvl w:ilvl="0" w:tplc="86F25A04">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B2782028">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0AA76A4">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C6CDD0C">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D72B8F8">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25AD012">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40C1B94">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BB2E5B4">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346AC02">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29" w15:restartNumberingAfterBreak="0">
    <w:nsid w:val="4EAF57E4"/>
    <w:multiLevelType w:val="hybridMultilevel"/>
    <w:tmpl w:val="2CAAF882"/>
    <w:lvl w:ilvl="0" w:tplc="1F26433E">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E86F19E">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66ED840">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53C3F8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D8C710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EE803F2">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8C6F28E">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AB4B12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857425A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30" w15:restartNumberingAfterBreak="0">
    <w:nsid w:val="4F5C49AA"/>
    <w:multiLevelType w:val="hybridMultilevel"/>
    <w:tmpl w:val="73B8E4DC"/>
    <w:lvl w:ilvl="0" w:tplc="8B0A697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D50F70A">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1E4D344">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B543FDE">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52E47F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06AC74A">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A425FAE">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9BE73CA">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4F667B2">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31" w15:restartNumberingAfterBreak="0">
    <w:nsid w:val="4FC449EF"/>
    <w:multiLevelType w:val="hybridMultilevel"/>
    <w:tmpl w:val="43EC3938"/>
    <w:lvl w:ilvl="0" w:tplc="9B94E1F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B5AC302">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B667D32">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25E3CB8">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A76DCD2">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E2A6E72">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1AE78A2">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AE0A7AC">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42E83FE">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32" w15:restartNumberingAfterBreak="0">
    <w:nsid w:val="50115EB8"/>
    <w:multiLevelType w:val="hybridMultilevel"/>
    <w:tmpl w:val="16D0A6D2"/>
    <w:lvl w:ilvl="0" w:tplc="7A685A50">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79C3FA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542FB4E">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4B209CA">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F009410">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5EA98D0">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196CEA4">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930359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F109BA0">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33" w15:restartNumberingAfterBreak="0">
    <w:nsid w:val="501A35A0"/>
    <w:multiLevelType w:val="hybridMultilevel"/>
    <w:tmpl w:val="D97C2752"/>
    <w:lvl w:ilvl="0" w:tplc="EDCA02BE">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A767B50">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5D83D1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6CC224A">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7C683EE">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9CE2F82">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37A7FD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47EC7E2">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13C7F24">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34" w15:restartNumberingAfterBreak="0">
    <w:nsid w:val="50BC0AB8"/>
    <w:multiLevelType w:val="hybridMultilevel"/>
    <w:tmpl w:val="E05A8D3C"/>
    <w:lvl w:ilvl="0" w:tplc="AEBCEB84">
      <w:start w:val="1"/>
      <w:numFmt w:val="bullet"/>
      <w:lvlText w:val="•"/>
      <w:lvlJc w:val="left"/>
      <w:pPr>
        <w:ind w:left="3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AC1C251E">
      <w:start w:val="2024"/>
      <w:numFmt w:val="decimal"/>
      <w:lvlText w:val="%2."/>
      <w:lvlJc w:val="left"/>
      <w:pPr>
        <w:ind w:left="782"/>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63F8A0A8">
      <w:start w:val="1"/>
      <w:numFmt w:val="lowerRoman"/>
      <w:lvlText w:val="%3"/>
      <w:lvlJc w:val="left"/>
      <w:pPr>
        <w:ind w:left="14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F5766CC0">
      <w:start w:val="1"/>
      <w:numFmt w:val="decimal"/>
      <w:lvlText w:val="%4"/>
      <w:lvlJc w:val="left"/>
      <w:pPr>
        <w:ind w:left="21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97028BF4">
      <w:start w:val="1"/>
      <w:numFmt w:val="lowerLetter"/>
      <w:lvlText w:val="%5"/>
      <w:lvlJc w:val="left"/>
      <w:pPr>
        <w:ind w:left="28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B526F230">
      <w:start w:val="1"/>
      <w:numFmt w:val="lowerRoman"/>
      <w:lvlText w:val="%6"/>
      <w:lvlJc w:val="left"/>
      <w:pPr>
        <w:ind w:left="36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C63A23F2">
      <w:start w:val="1"/>
      <w:numFmt w:val="decimal"/>
      <w:lvlText w:val="%7"/>
      <w:lvlJc w:val="left"/>
      <w:pPr>
        <w:ind w:left="43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4DC88806">
      <w:start w:val="1"/>
      <w:numFmt w:val="lowerLetter"/>
      <w:lvlText w:val="%8"/>
      <w:lvlJc w:val="left"/>
      <w:pPr>
        <w:ind w:left="50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F416A366">
      <w:start w:val="1"/>
      <w:numFmt w:val="lowerRoman"/>
      <w:lvlText w:val="%9"/>
      <w:lvlJc w:val="left"/>
      <w:pPr>
        <w:ind w:left="57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235" w15:restartNumberingAfterBreak="0">
    <w:nsid w:val="50E4759A"/>
    <w:multiLevelType w:val="hybridMultilevel"/>
    <w:tmpl w:val="EC866818"/>
    <w:lvl w:ilvl="0" w:tplc="E140E5B8">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032A3B2">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E60CF48">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410D456">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516D3F4">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21E5D5E">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0DED57C">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E2C7B2C">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272940E">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36" w15:restartNumberingAfterBreak="0">
    <w:nsid w:val="511264D0"/>
    <w:multiLevelType w:val="hybridMultilevel"/>
    <w:tmpl w:val="ADCC1D46"/>
    <w:lvl w:ilvl="0" w:tplc="48E637C6">
      <w:start w:val="1"/>
      <w:numFmt w:val="bullet"/>
      <w:lvlText w:val="*"/>
      <w:lvlJc w:val="left"/>
      <w:pPr>
        <w:ind w:left="1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05B2D434">
      <w:start w:val="1"/>
      <w:numFmt w:val="bullet"/>
      <w:lvlText w:val="o"/>
      <w:lvlJc w:val="left"/>
      <w:pPr>
        <w:ind w:left="1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613EE088">
      <w:start w:val="1"/>
      <w:numFmt w:val="bullet"/>
      <w:lvlText w:val="▪"/>
      <w:lvlJc w:val="left"/>
      <w:pPr>
        <w:ind w:left="1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569E3C72">
      <w:start w:val="1"/>
      <w:numFmt w:val="bullet"/>
      <w:lvlText w:val="•"/>
      <w:lvlJc w:val="left"/>
      <w:pPr>
        <w:ind w:left="2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3D1A95D2">
      <w:start w:val="1"/>
      <w:numFmt w:val="bullet"/>
      <w:lvlText w:val="o"/>
      <w:lvlJc w:val="left"/>
      <w:pPr>
        <w:ind w:left="3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1422BBA8">
      <w:start w:val="1"/>
      <w:numFmt w:val="bullet"/>
      <w:lvlText w:val="▪"/>
      <w:lvlJc w:val="left"/>
      <w:pPr>
        <w:ind w:left="39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B42EDF4E">
      <w:start w:val="1"/>
      <w:numFmt w:val="bullet"/>
      <w:lvlText w:val="•"/>
      <w:lvlJc w:val="left"/>
      <w:pPr>
        <w:ind w:left="46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6256E348">
      <w:start w:val="1"/>
      <w:numFmt w:val="bullet"/>
      <w:lvlText w:val="o"/>
      <w:lvlJc w:val="left"/>
      <w:pPr>
        <w:ind w:left="54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07ACB9FA">
      <w:start w:val="1"/>
      <w:numFmt w:val="bullet"/>
      <w:lvlText w:val="▪"/>
      <w:lvlJc w:val="left"/>
      <w:pPr>
        <w:ind w:left="61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237" w15:restartNumberingAfterBreak="0">
    <w:nsid w:val="514E712E"/>
    <w:multiLevelType w:val="hybridMultilevel"/>
    <w:tmpl w:val="900CAE90"/>
    <w:lvl w:ilvl="0" w:tplc="7A82584A">
      <w:start w:val="1"/>
      <w:numFmt w:val="bullet"/>
      <w:lvlText w:val="•"/>
      <w:lvlJc w:val="left"/>
      <w:pPr>
        <w:ind w:left="17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692C5AA0">
      <w:start w:val="1"/>
      <w:numFmt w:val="bullet"/>
      <w:lvlText w:val="o"/>
      <w:lvlJc w:val="left"/>
      <w:pPr>
        <w:ind w:left="11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234EECAC">
      <w:start w:val="1"/>
      <w:numFmt w:val="bullet"/>
      <w:lvlText w:val="▪"/>
      <w:lvlJc w:val="left"/>
      <w:pPr>
        <w:ind w:left="18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25185CC6">
      <w:start w:val="1"/>
      <w:numFmt w:val="bullet"/>
      <w:lvlText w:val="•"/>
      <w:lvlJc w:val="left"/>
      <w:pPr>
        <w:ind w:left="25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736ED7A2">
      <w:start w:val="1"/>
      <w:numFmt w:val="bullet"/>
      <w:lvlText w:val="o"/>
      <w:lvlJc w:val="left"/>
      <w:pPr>
        <w:ind w:left="329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1FCE622E">
      <w:start w:val="1"/>
      <w:numFmt w:val="bullet"/>
      <w:lvlText w:val="▪"/>
      <w:lvlJc w:val="left"/>
      <w:pPr>
        <w:ind w:left="401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D5665AE4">
      <w:start w:val="1"/>
      <w:numFmt w:val="bullet"/>
      <w:lvlText w:val="•"/>
      <w:lvlJc w:val="left"/>
      <w:pPr>
        <w:ind w:left="47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542A52C2">
      <w:start w:val="1"/>
      <w:numFmt w:val="bullet"/>
      <w:lvlText w:val="o"/>
      <w:lvlJc w:val="left"/>
      <w:pPr>
        <w:ind w:left="54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47307EC6">
      <w:start w:val="1"/>
      <w:numFmt w:val="bullet"/>
      <w:lvlText w:val="▪"/>
      <w:lvlJc w:val="left"/>
      <w:pPr>
        <w:ind w:left="61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238" w15:restartNumberingAfterBreak="0">
    <w:nsid w:val="51A14365"/>
    <w:multiLevelType w:val="hybridMultilevel"/>
    <w:tmpl w:val="92A66F5E"/>
    <w:lvl w:ilvl="0" w:tplc="DF94C924">
      <w:start w:val="1"/>
      <w:numFmt w:val="bullet"/>
      <w:lvlText w:val="•"/>
      <w:lvlJc w:val="left"/>
      <w:pPr>
        <w:ind w:left="3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E7A65E40">
      <w:start w:val="1"/>
      <w:numFmt w:val="bullet"/>
      <w:lvlText w:val="o"/>
      <w:lvlJc w:val="left"/>
      <w:pPr>
        <w:ind w:left="50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4934B264">
      <w:start w:val="1"/>
      <w:numFmt w:val="bullet"/>
      <w:lvlRestart w:val="0"/>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34C4BFD2">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806E8AC2">
      <w:start w:val="1"/>
      <w:numFmt w:val="bullet"/>
      <w:lvlText w:val="o"/>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BAD4E9C2">
      <w:start w:val="1"/>
      <w:numFmt w:val="bullet"/>
      <w:lvlText w:val="▪"/>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7BE0BE26">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4BA8FFF0">
      <w:start w:val="1"/>
      <w:numFmt w:val="bullet"/>
      <w:lvlText w:val="o"/>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2B1C1DD4">
      <w:start w:val="1"/>
      <w:numFmt w:val="bullet"/>
      <w:lvlText w:val="▪"/>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239" w15:restartNumberingAfterBreak="0">
    <w:nsid w:val="51E62414"/>
    <w:multiLevelType w:val="hybridMultilevel"/>
    <w:tmpl w:val="BD8E6EBE"/>
    <w:lvl w:ilvl="0" w:tplc="CEDA3946">
      <w:start w:val="1"/>
      <w:numFmt w:val="bullet"/>
      <w:lvlText w:val="–"/>
      <w:lvlJc w:val="left"/>
      <w:pPr>
        <w:ind w:left="17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0980046">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516529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4104BDA">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87EC4D4">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94C7B84">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72E5600">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3063DD4">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EBA288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40" w15:restartNumberingAfterBreak="0">
    <w:nsid w:val="523C7DB3"/>
    <w:multiLevelType w:val="hybridMultilevel"/>
    <w:tmpl w:val="2E609AAA"/>
    <w:lvl w:ilvl="0" w:tplc="01C2CCEC">
      <w:start w:val="1"/>
      <w:numFmt w:val="bullet"/>
      <w:lvlText w:val="•"/>
      <w:lvlJc w:val="left"/>
      <w:pPr>
        <w:ind w:left="17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lvl w:ilvl="1" w:tplc="1084FA34">
      <w:start w:val="1"/>
      <w:numFmt w:val="bullet"/>
      <w:lvlText w:val="o"/>
      <w:lvlJc w:val="left"/>
      <w:pPr>
        <w:ind w:left="108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lvl w:ilvl="2" w:tplc="3A5C3CB6">
      <w:start w:val="1"/>
      <w:numFmt w:val="bullet"/>
      <w:lvlText w:val="▪"/>
      <w:lvlJc w:val="left"/>
      <w:pPr>
        <w:ind w:left="180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lvl w:ilvl="3" w:tplc="94BEC6AE">
      <w:start w:val="1"/>
      <w:numFmt w:val="bullet"/>
      <w:lvlText w:val="•"/>
      <w:lvlJc w:val="left"/>
      <w:pPr>
        <w:ind w:left="252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lvl w:ilvl="4" w:tplc="BC56CCF0">
      <w:start w:val="1"/>
      <w:numFmt w:val="bullet"/>
      <w:lvlText w:val="o"/>
      <w:lvlJc w:val="left"/>
      <w:pPr>
        <w:ind w:left="324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lvl w:ilvl="5" w:tplc="C6BA5788">
      <w:start w:val="1"/>
      <w:numFmt w:val="bullet"/>
      <w:lvlText w:val="▪"/>
      <w:lvlJc w:val="left"/>
      <w:pPr>
        <w:ind w:left="396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lvl w:ilvl="6" w:tplc="6D9ED882">
      <w:start w:val="1"/>
      <w:numFmt w:val="bullet"/>
      <w:lvlText w:val="•"/>
      <w:lvlJc w:val="left"/>
      <w:pPr>
        <w:ind w:left="468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lvl w:ilvl="7" w:tplc="78EA40F8">
      <w:start w:val="1"/>
      <w:numFmt w:val="bullet"/>
      <w:lvlText w:val="o"/>
      <w:lvlJc w:val="left"/>
      <w:pPr>
        <w:ind w:left="540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lvl w:ilvl="8" w:tplc="DF4E52FA">
      <w:start w:val="1"/>
      <w:numFmt w:val="bullet"/>
      <w:lvlText w:val="▪"/>
      <w:lvlJc w:val="left"/>
      <w:pPr>
        <w:ind w:left="6120"/>
      </w:pPr>
      <w:rPr>
        <w:rFonts w:ascii="Calibri" w:eastAsia="Calibri" w:hAnsi="Calibri" w:cs="Calibri"/>
        <w:b w:val="0"/>
        <w:i/>
        <w:iCs/>
        <w:strike w:val="0"/>
        <w:dstrike w:val="0"/>
        <w:color w:val="000000"/>
        <w:sz w:val="16"/>
        <w:szCs w:val="16"/>
        <w:u w:val="none" w:color="000000"/>
        <w:bdr w:val="none" w:sz="0" w:space="0" w:color="auto"/>
        <w:shd w:val="clear" w:color="auto" w:fill="auto"/>
        <w:vertAlign w:val="baseline"/>
      </w:rPr>
    </w:lvl>
  </w:abstractNum>
  <w:abstractNum w:abstractNumId="241" w15:restartNumberingAfterBreak="0">
    <w:nsid w:val="54C1496B"/>
    <w:multiLevelType w:val="hybridMultilevel"/>
    <w:tmpl w:val="9BA6C676"/>
    <w:lvl w:ilvl="0" w:tplc="2592D228">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1B49B14">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1C07488">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75C1774">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0662A76">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EE02442">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6D46A4C">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C020D86">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898F306">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42" w15:restartNumberingAfterBreak="0">
    <w:nsid w:val="54EC35E3"/>
    <w:multiLevelType w:val="hybridMultilevel"/>
    <w:tmpl w:val="07627E90"/>
    <w:lvl w:ilvl="0" w:tplc="E3E43D22">
      <w:start w:val="1"/>
      <w:numFmt w:val="bullet"/>
      <w:lvlText w:val="–"/>
      <w:lvlJc w:val="left"/>
      <w:pPr>
        <w:ind w:left="2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39A50B2">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6E06DDE">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F7CD720">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1DA4A30">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7BA2750">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782D618">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B48DBF8">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6209F96">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43" w15:restartNumberingAfterBreak="0">
    <w:nsid w:val="55724731"/>
    <w:multiLevelType w:val="hybridMultilevel"/>
    <w:tmpl w:val="AA5E88E0"/>
    <w:lvl w:ilvl="0" w:tplc="7AFC8A4E">
      <w:start w:val="1"/>
      <w:numFmt w:val="decimal"/>
      <w:lvlText w:val="%1"/>
      <w:lvlJc w:val="left"/>
      <w:pPr>
        <w:ind w:left="93"/>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1" w:tplc="3ECC8A3E">
      <w:start w:val="1"/>
      <w:numFmt w:val="lowerLetter"/>
      <w:lvlText w:val="%2"/>
      <w:lvlJc w:val="left"/>
      <w:pPr>
        <w:ind w:left="1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2" w:tplc="DEFE528A">
      <w:start w:val="1"/>
      <w:numFmt w:val="lowerRoman"/>
      <w:lvlText w:val="%3"/>
      <w:lvlJc w:val="left"/>
      <w:pPr>
        <w:ind w:left="1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3" w:tplc="11DEED3C">
      <w:start w:val="1"/>
      <w:numFmt w:val="decimal"/>
      <w:lvlText w:val="%4"/>
      <w:lvlJc w:val="left"/>
      <w:pPr>
        <w:ind w:left="2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4" w:tplc="945ACD56">
      <w:start w:val="1"/>
      <w:numFmt w:val="lowerLetter"/>
      <w:lvlText w:val="%5"/>
      <w:lvlJc w:val="left"/>
      <w:pPr>
        <w:ind w:left="3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5" w:tplc="DC3A6124">
      <w:start w:val="1"/>
      <w:numFmt w:val="lowerRoman"/>
      <w:lvlText w:val="%6"/>
      <w:lvlJc w:val="left"/>
      <w:pPr>
        <w:ind w:left="39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6" w:tplc="293AF2C2">
      <w:start w:val="1"/>
      <w:numFmt w:val="decimal"/>
      <w:lvlText w:val="%7"/>
      <w:lvlJc w:val="left"/>
      <w:pPr>
        <w:ind w:left="46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7" w:tplc="93F495CC">
      <w:start w:val="1"/>
      <w:numFmt w:val="lowerLetter"/>
      <w:lvlText w:val="%8"/>
      <w:lvlJc w:val="left"/>
      <w:pPr>
        <w:ind w:left="54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8" w:tplc="468CFD6E">
      <w:start w:val="1"/>
      <w:numFmt w:val="lowerRoman"/>
      <w:lvlText w:val="%9"/>
      <w:lvlJc w:val="left"/>
      <w:pPr>
        <w:ind w:left="61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abstractNum>
  <w:abstractNum w:abstractNumId="244" w15:restartNumberingAfterBreak="0">
    <w:nsid w:val="56E42D5E"/>
    <w:multiLevelType w:val="hybridMultilevel"/>
    <w:tmpl w:val="344A7220"/>
    <w:lvl w:ilvl="0" w:tplc="B92C5176">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CBA0F30">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62020D8">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DA040A0">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BDA2262">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9AA3CEC">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8EC458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DD82488">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CFC2F52">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45" w15:restartNumberingAfterBreak="0">
    <w:nsid w:val="570C2348"/>
    <w:multiLevelType w:val="hybridMultilevel"/>
    <w:tmpl w:val="8EBAE8B4"/>
    <w:lvl w:ilvl="0" w:tplc="BFE0A7D6">
      <w:start w:val="1"/>
      <w:numFmt w:val="decimal"/>
      <w:lvlText w:val="%1."/>
      <w:lvlJc w:val="left"/>
      <w:pPr>
        <w:ind w:left="2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8467BF8">
      <w:start w:val="1"/>
      <w:numFmt w:val="lowerLetter"/>
      <w:lvlText w:val="%2"/>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EEA3A64">
      <w:start w:val="1"/>
      <w:numFmt w:val="lowerRoman"/>
      <w:lvlText w:val="%3"/>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014E87E">
      <w:start w:val="1"/>
      <w:numFmt w:val="decimal"/>
      <w:lvlText w:val="%4"/>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EBE06CA">
      <w:start w:val="1"/>
      <w:numFmt w:val="lowerLetter"/>
      <w:lvlText w:val="%5"/>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0DE4F90">
      <w:start w:val="1"/>
      <w:numFmt w:val="lowerRoman"/>
      <w:lvlText w:val="%6"/>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6046020">
      <w:start w:val="1"/>
      <w:numFmt w:val="decimal"/>
      <w:lvlText w:val="%7"/>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44A76CC">
      <w:start w:val="1"/>
      <w:numFmt w:val="lowerLetter"/>
      <w:lvlText w:val="%8"/>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DD0D3D8">
      <w:start w:val="1"/>
      <w:numFmt w:val="lowerRoman"/>
      <w:lvlText w:val="%9"/>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46" w15:restartNumberingAfterBreak="0">
    <w:nsid w:val="57441E0D"/>
    <w:multiLevelType w:val="hybridMultilevel"/>
    <w:tmpl w:val="20001B64"/>
    <w:lvl w:ilvl="0" w:tplc="1F1E2574">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0D42AB4">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67A75C4">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7E232B0">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86C7396">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04E7782">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85E1BC0">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61C64C8">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970B382">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47" w15:restartNumberingAfterBreak="0">
    <w:nsid w:val="57BB78D2"/>
    <w:multiLevelType w:val="hybridMultilevel"/>
    <w:tmpl w:val="A94416E8"/>
    <w:lvl w:ilvl="0" w:tplc="192866FC">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0185CA0">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2FE30A0">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FAEF1FA">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5503D00">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D726A5C">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BBC8398">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4D0BD3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74A41E4">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48" w15:restartNumberingAfterBreak="0">
    <w:nsid w:val="57DA14BB"/>
    <w:multiLevelType w:val="hybridMultilevel"/>
    <w:tmpl w:val="1B7CCCD6"/>
    <w:lvl w:ilvl="0" w:tplc="DBB40438">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4142E4A">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15C1D5E">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1983F76">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1BCA6DC">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4642AE4">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A2CAB4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C26D262">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4F26C2E">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49" w15:restartNumberingAfterBreak="0">
    <w:nsid w:val="587412EE"/>
    <w:multiLevelType w:val="hybridMultilevel"/>
    <w:tmpl w:val="B3AEA836"/>
    <w:lvl w:ilvl="0" w:tplc="8DA2FD6C">
      <w:start w:val="1"/>
      <w:numFmt w:val="bullet"/>
      <w:lvlText w:val="•"/>
      <w:lvlJc w:val="left"/>
      <w:pPr>
        <w:ind w:left="3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BC28DF8A">
      <w:start w:val="1"/>
      <w:numFmt w:val="bullet"/>
      <w:lvlText w:val="o"/>
      <w:lvlJc w:val="left"/>
      <w:pPr>
        <w:ind w:left="50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49FCCB62">
      <w:start w:val="1"/>
      <w:numFmt w:val="bullet"/>
      <w:lvlRestart w:val="0"/>
      <w:lvlText w:val=""/>
      <w:lvlJc w:val="left"/>
      <w:pPr>
        <w:ind w:left="56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EC262C6E">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CFC67B90">
      <w:start w:val="1"/>
      <w:numFmt w:val="bullet"/>
      <w:lvlText w:val="o"/>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E3C6D646">
      <w:start w:val="1"/>
      <w:numFmt w:val="bullet"/>
      <w:lvlText w:val="▪"/>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EBE683EE">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AA9A67AE">
      <w:start w:val="1"/>
      <w:numFmt w:val="bullet"/>
      <w:lvlText w:val="o"/>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E4308552">
      <w:start w:val="1"/>
      <w:numFmt w:val="bullet"/>
      <w:lvlText w:val="▪"/>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250" w15:restartNumberingAfterBreak="0">
    <w:nsid w:val="5A177787"/>
    <w:multiLevelType w:val="hybridMultilevel"/>
    <w:tmpl w:val="8B6C43E8"/>
    <w:lvl w:ilvl="0" w:tplc="8F3C7CE0">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16AAF38">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DD63AF8">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6B6F0D2">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C74BF14">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0BC4D828">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25CA208">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2EE7790">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61E56A8">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51" w15:restartNumberingAfterBreak="0">
    <w:nsid w:val="5A1E6908"/>
    <w:multiLevelType w:val="hybridMultilevel"/>
    <w:tmpl w:val="25825D90"/>
    <w:lvl w:ilvl="0" w:tplc="B4489DF0">
      <w:start w:val="1"/>
      <w:numFmt w:val="decimal"/>
      <w:lvlText w:val="%1"/>
      <w:lvlJc w:val="left"/>
      <w:pPr>
        <w:ind w:left="1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1" w:tplc="AD6C8DB0">
      <w:start w:val="1"/>
      <w:numFmt w:val="lowerLetter"/>
      <w:lvlText w:val="%2"/>
      <w:lvlJc w:val="left"/>
      <w:pPr>
        <w:ind w:left="108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2" w:tplc="38884A0E">
      <w:start w:val="1"/>
      <w:numFmt w:val="lowerRoman"/>
      <w:lvlText w:val="%3"/>
      <w:lvlJc w:val="left"/>
      <w:pPr>
        <w:ind w:left="180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3" w:tplc="5490A71E">
      <w:start w:val="1"/>
      <w:numFmt w:val="decimal"/>
      <w:lvlText w:val="%4"/>
      <w:lvlJc w:val="left"/>
      <w:pPr>
        <w:ind w:left="252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4" w:tplc="B15CA918">
      <w:start w:val="1"/>
      <w:numFmt w:val="lowerLetter"/>
      <w:lvlText w:val="%5"/>
      <w:lvlJc w:val="left"/>
      <w:pPr>
        <w:ind w:left="324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5" w:tplc="A80E94E8">
      <w:start w:val="1"/>
      <w:numFmt w:val="lowerRoman"/>
      <w:lvlText w:val="%6"/>
      <w:lvlJc w:val="left"/>
      <w:pPr>
        <w:ind w:left="396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6" w:tplc="1402D610">
      <w:start w:val="1"/>
      <w:numFmt w:val="decimal"/>
      <w:lvlText w:val="%7"/>
      <w:lvlJc w:val="left"/>
      <w:pPr>
        <w:ind w:left="468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7" w:tplc="C25A88AA">
      <w:start w:val="1"/>
      <w:numFmt w:val="lowerLetter"/>
      <w:lvlText w:val="%8"/>
      <w:lvlJc w:val="left"/>
      <w:pPr>
        <w:ind w:left="540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8" w:tplc="733C3A72">
      <w:start w:val="1"/>
      <w:numFmt w:val="lowerRoman"/>
      <w:lvlText w:val="%9"/>
      <w:lvlJc w:val="left"/>
      <w:pPr>
        <w:ind w:left="612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abstractNum>
  <w:abstractNum w:abstractNumId="252" w15:restartNumberingAfterBreak="0">
    <w:nsid w:val="5A7741D3"/>
    <w:multiLevelType w:val="hybridMultilevel"/>
    <w:tmpl w:val="F4BC9404"/>
    <w:lvl w:ilvl="0" w:tplc="DD909FE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1E4FAA0">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B32B772">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1F5A0A1E">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8F9CD872">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0904634E">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7E4F69E">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6267DBA">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8087A4A">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53" w15:restartNumberingAfterBreak="0">
    <w:nsid w:val="5B047AB7"/>
    <w:multiLevelType w:val="hybridMultilevel"/>
    <w:tmpl w:val="4508D8DA"/>
    <w:lvl w:ilvl="0" w:tplc="B7E20DEE">
      <w:start w:val="1"/>
      <w:numFmt w:val="bullet"/>
      <w:lvlText w:val="–"/>
      <w:lvlJc w:val="left"/>
      <w:pPr>
        <w:ind w:left="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0D2B056">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FDE3A5A">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C841532">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CFC7714">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1BA560E">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A9A5AEA">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66AA0BA">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97275E2">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54" w15:restartNumberingAfterBreak="0">
    <w:nsid w:val="5B6B62B4"/>
    <w:multiLevelType w:val="hybridMultilevel"/>
    <w:tmpl w:val="A6B28370"/>
    <w:lvl w:ilvl="0" w:tplc="C9846066">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B1C5520">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7C25650">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75E1A38">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F1AE620">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D6E7CBC">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0E04830">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514F29C">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6AE49E6">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55" w15:restartNumberingAfterBreak="0">
    <w:nsid w:val="5C393E76"/>
    <w:multiLevelType w:val="hybridMultilevel"/>
    <w:tmpl w:val="D052519E"/>
    <w:lvl w:ilvl="0" w:tplc="6BEA5208">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1964562">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D5CB73A">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8C484A4">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972A168">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7EA8A4A">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69808C4">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498BD9C">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95C0AA8">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56" w15:restartNumberingAfterBreak="0">
    <w:nsid w:val="5C3F3806"/>
    <w:multiLevelType w:val="hybridMultilevel"/>
    <w:tmpl w:val="F3906EF0"/>
    <w:lvl w:ilvl="0" w:tplc="7CA8CC2C">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C040ECC">
      <w:start w:val="1"/>
      <w:numFmt w:val="bullet"/>
      <w:lvlText w:val=""/>
      <w:lvlJc w:val="left"/>
      <w:pPr>
        <w:ind w:left="56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EBB0450C">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5DF4E78C">
      <w:start w:val="1"/>
      <w:numFmt w:val="bullet"/>
      <w:lvlText w:val="•"/>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7D905FFA">
      <w:start w:val="1"/>
      <w:numFmt w:val="bullet"/>
      <w:lvlText w:val="o"/>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565ED0E0">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B95EEDA6">
      <w:start w:val="1"/>
      <w:numFmt w:val="bullet"/>
      <w:lvlText w:val="•"/>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821ABA9E">
      <w:start w:val="1"/>
      <w:numFmt w:val="bullet"/>
      <w:lvlText w:val="o"/>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C6565B30">
      <w:start w:val="1"/>
      <w:numFmt w:val="bullet"/>
      <w:lvlText w:val="▪"/>
      <w:lvlJc w:val="left"/>
      <w:pPr>
        <w:ind w:left="56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257" w15:restartNumberingAfterBreak="0">
    <w:nsid w:val="5C433BB2"/>
    <w:multiLevelType w:val="hybridMultilevel"/>
    <w:tmpl w:val="C2F0E382"/>
    <w:lvl w:ilvl="0" w:tplc="743A6F8E">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EDC8918">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0E416C4">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2422DB0">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97CD168">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7A2EFA0">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C9CDB9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2EC1280">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D2A21E8">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58" w15:restartNumberingAfterBreak="0">
    <w:nsid w:val="5CF86690"/>
    <w:multiLevelType w:val="hybridMultilevel"/>
    <w:tmpl w:val="FC66A180"/>
    <w:lvl w:ilvl="0" w:tplc="310ABDF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7E0F19E">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EDC533C">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B8A2580">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E8AD2C2">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DF07794">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256079A">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A0696A2">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04EE4FA">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59" w15:restartNumberingAfterBreak="0">
    <w:nsid w:val="5D2D421A"/>
    <w:multiLevelType w:val="hybridMultilevel"/>
    <w:tmpl w:val="31F04BE6"/>
    <w:lvl w:ilvl="0" w:tplc="32A8DCFE">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40E4FE4">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416C9DA">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A0A4140">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89A5BA8">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B5C4B6A">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9040144">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1ACDE70">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BD886CC">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60" w15:restartNumberingAfterBreak="0">
    <w:nsid w:val="5D914A57"/>
    <w:multiLevelType w:val="hybridMultilevel"/>
    <w:tmpl w:val="6D086954"/>
    <w:lvl w:ilvl="0" w:tplc="496055A4">
      <w:start w:val="1"/>
      <w:numFmt w:val="decimal"/>
      <w:lvlText w:val="%1."/>
      <w:lvlJc w:val="left"/>
      <w:pPr>
        <w:ind w:left="28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E49CEE90">
      <w:start w:val="1"/>
      <w:numFmt w:val="bullet"/>
      <w:lvlText w:val="•"/>
      <w:lvlJc w:val="left"/>
      <w:pPr>
        <w:ind w:left="56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E7291C6">
      <w:start w:val="1"/>
      <w:numFmt w:val="bullet"/>
      <w:lvlText w:val="▪"/>
      <w:lvlJc w:val="left"/>
      <w:pPr>
        <w:ind w:left="13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B489810">
      <w:start w:val="1"/>
      <w:numFmt w:val="bullet"/>
      <w:lvlText w:val="•"/>
      <w:lvlJc w:val="left"/>
      <w:pPr>
        <w:ind w:left="20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FCA05C2">
      <w:start w:val="1"/>
      <w:numFmt w:val="bullet"/>
      <w:lvlText w:val="o"/>
      <w:lvlJc w:val="left"/>
      <w:pPr>
        <w:ind w:left="280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E14B6C6">
      <w:start w:val="1"/>
      <w:numFmt w:val="bullet"/>
      <w:lvlText w:val="▪"/>
      <w:lvlJc w:val="left"/>
      <w:pPr>
        <w:ind w:left="352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56069F8">
      <w:start w:val="1"/>
      <w:numFmt w:val="bullet"/>
      <w:lvlText w:val="•"/>
      <w:lvlJc w:val="left"/>
      <w:pPr>
        <w:ind w:left="424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438BBDC">
      <w:start w:val="1"/>
      <w:numFmt w:val="bullet"/>
      <w:lvlText w:val="o"/>
      <w:lvlJc w:val="left"/>
      <w:pPr>
        <w:ind w:left="49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A408916">
      <w:start w:val="1"/>
      <w:numFmt w:val="bullet"/>
      <w:lvlText w:val="▪"/>
      <w:lvlJc w:val="left"/>
      <w:pPr>
        <w:ind w:left="56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61" w15:restartNumberingAfterBreak="0">
    <w:nsid w:val="5DCE6093"/>
    <w:multiLevelType w:val="hybridMultilevel"/>
    <w:tmpl w:val="73C0ED6A"/>
    <w:lvl w:ilvl="0" w:tplc="C034088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37ED6E6">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192A360">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1D58355E">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A00681E">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DF250B0">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6B8A1A8">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66CCA6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63A7C5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62" w15:restartNumberingAfterBreak="0">
    <w:nsid w:val="5EBA48C1"/>
    <w:multiLevelType w:val="hybridMultilevel"/>
    <w:tmpl w:val="A228585C"/>
    <w:lvl w:ilvl="0" w:tplc="567E9012">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6F81BB4">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FFEDD9C">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196727E">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74C6420">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3666A02">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60ABDE0">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4B695AA">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904C726">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63" w15:restartNumberingAfterBreak="0">
    <w:nsid w:val="5EC031A7"/>
    <w:multiLevelType w:val="hybridMultilevel"/>
    <w:tmpl w:val="30C44430"/>
    <w:lvl w:ilvl="0" w:tplc="4A1EE5EA">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AD85464">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3723EFA">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CB00A38">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3523302">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32E397A">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DE21082">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B52ACC8">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05C82EC">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64" w15:restartNumberingAfterBreak="0">
    <w:nsid w:val="5ECF713B"/>
    <w:multiLevelType w:val="hybridMultilevel"/>
    <w:tmpl w:val="7550E9CC"/>
    <w:lvl w:ilvl="0" w:tplc="BC301D48">
      <w:start w:val="1"/>
      <w:numFmt w:val="bullet"/>
      <w:lvlText w:val="–"/>
      <w:lvlJc w:val="left"/>
      <w:pPr>
        <w:ind w:left="3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E34A3FA">
      <w:start w:val="1"/>
      <w:numFmt w:val="bullet"/>
      <w:lvlText w:val="o"/>
      <w:lvlJc w:val="left"/>
      <w:pPr>
        <w:ind w:left="13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4E2CE12">
      <w:start w:val="1"/>
      <w:numFmt w:val="bullet"/>
      <w:lvlText w:val="▪"/>
      <w:lvlJc w:val="left"/>
      <w:pPr>
        <w:ind w:left="20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A228E42">
      <w:start w:val="1"/>
      <w:numFmt w:val="bullet"/>
      <w:lvlText w:val="•"/>
      <w:lvlJc w:val="left"/>
      <w:pPr>
        <w:ind w:left="27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1273BE">
      <w:start w:val="1"/>
      <w:numFmt w:val="bullet"/>
      <w:lvlText w:val="o"/>
      <w:lvlJc w:val="left"/>
      <w:pPr>
        <w:ind w:left="34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BC6023E">
      <w:start w:val="1"/>
      <w:numFmt w:val="bullet"/>
      <w:lvlText w:val="▪"/>
      <w:lvlJc w:val="left"/>
      <w:pPr>
        <w:ind w:left="41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B04B686">
      <w:start w:val="1"/>
      <w:numFmt w:val="bullet"/>
      <w:lvlText w:val="•"/>
      <w:lvlJc w:val="left"/>
      <w:pPr>
        <w:ind w:left="49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1B0252C">
      <w:start w:val="1"/>
      <w:numFmt w:val="bullet"/>
      <w:lvlText w:val="o"/>
      <w:lvlJc w:val="left"/>
      <w:pPr>
        <w:ind w:left="56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8CB4707A">
      <w:start w:val="1"/>
      <w:numFmt w:val="bullet"/>
      <w:lvlText w:val="▪"/>
      <w:lvlJc w:val="left"/>
      <w:pPr>
        <w:ind w:left="63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65" w15:restartNumberingAfterBreak="0">
    <w:nsid w:val="5F365D22"/>
    <w:multiLevelType w:val="hybridMultilevel"/>
    <w:tmpl w:val="3D9E2FBA"/>
    <w:lvl w:ilvl="0" w:tplc="4F4EEE44">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BFAE3CC">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2B8B036">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554319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5A4D7B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AC67BA6">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3B47B5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84E8FA2">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3EA31B4">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66" w15:restartNumberingAfterBreak="0">
    <w:nsid w:val="602A655F"/>
    <w:multiLevelType w:val="hybridMultilevel"/>
    <w:tmpl w:val="6514284E"/>
    <w:lvl w:ilvl="0" w:tplc="91A296EE">
      <w:start w:val="1"/>
      <w:numFmt w:val="bullet"/>
      <w:lvlText w:val="•"/>
      <w:lvlJc w:val="left"/>
      <w:pPr>
        <w:ind w:left="3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B8E25950">
      <w:start w:val="1"/>
      <w:numFmt w:val="bullet"/>
      <w:lvlText w:val="o"/>
      <w:lvlJc w:val="left"/>
      <w:pPr>
        <w:ind w:left="50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EC006E1A">
      <w:start w:val="1"/>
      <w:numFmt w:val="bullet"/>
      <w:lvlRestart w:val="0"/>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34646968">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1BA010E0">
      <w:start w:val="1"/>
      <w:numFmt w:val="bullet"/>
      <w:lvlText w:val="o"/>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D47E82D0">
      <w:start w:val="1"/>
      <w:numFmt w:val="bullet"/>
      <w:lvlText w:val="▪"/>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C3D8AE48">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9B62698E">
      <w:start w:val="1"/>
      <w:numFmt w:val="bullet"/>
      <w:lvlText w:val="o"/>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E70074EE">
      <w:start w:val="1"/>
      <w:numFmt w:val="bullet"/>
      <w:lvlText w:val="▪"/>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267" w15:restartNumberingAfterBreak="0">
    <w:nsid w:val="60A858EA"/>
    <w:multiLevelType w:val="hybridMultilevel"/>
    <w:tmpl w:val="7FE8824A"/>
    <w:lvl w:ilvl="0" w:tplc="C14E876A">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0CAB080">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F487D14">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00E3A80">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1AA0F4C">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04C5AEE">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2BE4F88">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02801F8">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7187C2C">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68" w15:restartNumberingAfterBreak="0">
    <w:nsid w:val="60CA5EDA"/>
    <w:multiLevelType w:val="hybridMultilevel"/>
    <w:tmpl w:val="202A5524"/>
    <w:lvl w:ilvl="0" w:tplc="B8EE0CE4">
      <w:start w:val="1"/>
      <w:numFmt w:val="decimal"/>
      <w:lvlText w:val="%1"/>
      <w:lvlJc w:val="left"/>
      <w:pPr>
        <w:ind w:left="84"/>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1" w:tplc="F68E48DC">
      <w:start w:val="1"/>
      <w:numFmt w:val="lowerLetter"/>
      <w:lvlText w:val="%2"/>
      <w:lvlJc w:val="left"/>
      <w:pPr>
        <w:ind w:left="1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2" w:tplc="7024A88A">
      <w:start w:val="1"/>
      <w:numFmt w:val="lowerRoman"/>
      <w:lvlText w:val="%3"/>
      <w:lvlJc w:val="left"/>
      <w:pPr>
        <w:ind w:left="1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3" w:tplc="4CEA3CC8">
      <w:start w:val="1"/>
      <w:numFmt w:val="decimal"/>
      <w:lvlText w:val="%4"/>
      <w:lvlJc w:val="left"/>
      <w:pPr>
        <w:ind w:left="2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4" w:tplc="40128508">
      <w:start w:val="1"/>
      <w:numFmt w:val="lowerLetter"/>
      <w:lvlText w:val="%5"/>
      <w:lvlJc w:val="left"/>
      <w:pPr>
        <w:ind w:left="3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5" w:tplc="F3D853B8">
      <w:start w:val="1"/>
      <w:numFmt w:val="lowerRoman"/>
      <w:lvlText w:val="%6"/>
      <w:lvlJc w:val="left"/>
      <w:pPr>
        <w:ind w:left="39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6" w:tplc="0C14B988">
      <w:start w:val="1"/>
      <w:numFmt w:val="decimal"/>
      <w:lvlText w:val="%7"/>
      <w:lvlJc w:val="left"/>
      <w:pPr>
        <w:ind w:left="46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7" w:tplc="1190380C">
      <w:start w:val="1"/>
      <w:numFmt w:val="lowerLetter"/>
      <w:lvlText w:val="%8"/>
      <w:lvlJc w:val="left"/>
      <w:pPr>
        <w:ind w:left="54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8" w:tplc="7442777A">
      <w:start w:val="1"/>
      <w:numFmt w:val="lowerRoman"/>
      <w:lvlText w:val="%9"/>
      <w:lvlJc w:val="left"/>
      <w:pPr>
        <w:ind w:left="61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abstractNum>
  <w:abstractNum w:abstractNumId="269" w15:restartNumberingAfterBreak="0">
    <w:nsid w:val="610C6586"/>
    <w:multiLevelType w:val="hybridMultilevel"/>
    <w:tmpl w:val="27CE620C"/>
    <w:lvl w:ilvl="0" w:tplc="D0C4847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39A6AD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DF0F998">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A702AE0">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1F6CF8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E52A8B2">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7ECB0C0">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F12BEE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B120374">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70" w15:restartNumberingAfterBreak="0">
    <w:nsid w:val="61472FD5"/>
    <w:multiLevelType w:val="hybridMultilevel"/>
    <w:tmpl w:val="7BE69236"/>
    <w:lvl w:ilvl="0" w:tplc="8DA2255A">
      <w:start w:val="1"/>
      <w:numFmt w:val="bullet"/>
      <w:lvlText w:val="•"/>
      <w:lvlJc w:val="left"/>
      <w:pPr>
        <w:ind w:left="17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4194255C">
      <w:start w:val="1"/>
      <w:numFmt w:val="bullet"/>
      <w:lvlText w:val="o"/>
      <w:lvlJc w:val="left"/>
      <w:pPr>
        <w:ind w:left="11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90F46428">
      <w:start w:val="1"/>
      <w:numFmt w:val="bullet"/>
      <w:lvlText w:val="▪"/>
      <w:lvlJc w:val="left"/>
      <w:pPr>
        <w:ind w:left="18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E01082D0">
      <w:start w:val="1"/>
      <w:numFmt w:val="bullet"/>
      <w:lvlText w:val="•"/>
      <w:lvlJc w:val="left"/>
      <w:pPr>
        <w:ind w:left="25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C8E4827C">
      <w:start w:val="1"/>
      <w:numFmt w:val="bullet"/>
      <w:lvlText w:val="o"/>
      <w:lvlJc w:val="left"/>
      <w:pPr>
        <w:ind w:left="329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6C0EF77C">
      <w:start w:val="1"/>
      <w:numFmt w:val="bullet"/>
      <w:lvlText w:val="▪"/>
      <w:lvlJc w:val="left"/>
      <w:pPr>
        <w:ind w:left="401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EEF6E060">
      <w:start w:val="1"/>
      <w:numFmt w:val="bullet"/>
      <w:lvlText w:val="•"/>
      <w:lvlJc w:val="left"/>
      <w:pPr>
        <w:ind w:left="47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6896E27E">
      <w:start w:val="1"/>
      <w:numFmt w:val="bullet"/>
      <w:lvlText w:val="o"/>
      <w:lvlJc w:val="left"/>
      <w:pPr>
        <w:ind w:left="54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9E2CABC4">
      <w:start w:val="1"/>
      <w:numFmt w:val="bullet"/>
      <w:lvlText w:val="▪"/>
      <w:lvlJc w:val="left"/>
      <w:pPr>
        <w:ind w:left="61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271" w15:restartNumberingAfterBreak="0">
    <w:nsid w:val="62576480"/>
    <w:multiLevelType w:val="hybridMultilevel"/>
    <w:tmpl w:val="8FC4E964"/>
    <w:lvl w:ilvl="0" w:tplc="46188422">
      <w:start w:val="1"/>
      <w:numFmt w:val="bullet"/>
      <w:lvlText w:val="•"/>
      <w:lvlJc w:val="left"/>
      <w:pPr>
        <w:ind w:left="17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751409E4">
      <w:start w:val="1"/>
      <w:numFmt w:val="bullet"/>
      <w:lvlText w:val="o"/>
      <w:lvlJc w:val="left"/>
      <w:pPr>
        <w:ind w:left="11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C5528716">
      <w:start w:val="1"/>
      <w:numFmt w:val="bullet"/>
      <w:lvlText w:val="▪"/>
      <w:lvlJc w:val="left"/>
      <w:pPr>
        <w:ind w:left="18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C8E82394">
      <w:start w:val="1"/>
      <w:numFmt w:val="bullet"/>
      <w:lvlText w:val="•"/>
      <w:lvlJc w:val="left"/>
      <w:pPr>
        <w:ind w:left="25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7020E462">
      <w:start w:val="1"/>
      <w:numFmt w:val="bullet"/>
      <w:lvlText w:val="o"/>
      <w:lvlJc w:val="left"/>
      <w:pPr>
        <w:ind w:left="329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0B2047E2">
      <w:start w:val="1"/>
      <w:numFmt w:val="bullet"/>
      <w:lvlText w:val="▪"/>
      <w:lvlJc w:val="left"/>
      <w:pPr>
        <w:ind w:left="401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1DB05F9E">
      <w:start w:val="1"/>
      <w:numFmt w:val="bullet"/>
      <w:lvlText w:val="•"/>
      <w:lvlJc w:val="left"/>
      <w:pPr>
        <w:ind w:left="47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C846AED8">
      <w:start w:val="1"/>
      <w:numFmt w:val="bullet"/>
      <w:lvlText w:val="o"/>
      <w:lvlJc w:val="left"/>
      <w:pPr>
        <w:ind w:left="54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2CF06D40">
      <w:start w:val="1"/>
      <w:numFmt w:val="bullet"/>
      <w:lvlText w:val="▪"/>
      <w:lvlJc w:val="left"/>
      <w:pPr>
        <w:ind w:left="61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272" w15:restartNumberingAfterBreak="0">
    <w:nsid w:val="62941A19"/>
    <w:multiLevelType w:val="hybridMultilevel"/>
    <w:tmpl w:val="EE640974"/>
    <w:lvl w:ilvl="0" w:tplc="E1AE533C">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8ECDBC2">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6E40124">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11D0CBF6">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842CDB2">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84473B2">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7627A8C">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2B4C198">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45E0794">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73" w15:restartNumberingAfterBreak="0">
    <w:nsid w:val="62C14E4D"/>
    <w:multiLevelType w:val="hybridMultilevel"/>
    <w:tmpl w:val="66401BA2"/>
    <w:lvl w:ilvl="0" w:tplc="59269914">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A4A3C3E">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BBACB84">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78C50C8">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0ECA338">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91A087E">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76E60C4">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08A2922">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CD44FB2">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74" w15:restartNumberingAfterBreak="0">
    <w:nsid w:val="62E95DBB"/>
    <w:multiLevelType w:val="hybridMultilevel"/>
    <w:tmpl w:val="556476C2"/>
    <w:lvl w:ilvl="0" w:tplc="632E50BA">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7AE17EA">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A3C7118">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00A09EE">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FB0D542">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05EED546">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35CE0F0">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4E64D22">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5D0DDA8">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75" w15:restartNumberingAfterBreak="0">
    <w:nsid w:val="62FB1330"/>
    <w:multiLevelType w:val="hybridMultilevel"/>
    <w:tmpl w:val="A88698D6"/>
    <w:lvl w:ilvl="0" w:tplc="B47C6CCC">
      <w:start w:val="1"/>
      <w:numFmt w:val="bullet"/>
      <w:lvlText w:val="–"/>
      <w:lvlJc w:val="left"/>
      <w:pPr>
        <w:ind w:left="17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E966562">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6FA969C">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3CE3EE6">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0DC133C">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BAA6A36">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D5244EC">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D9A116E">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3FC1DDC">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76" w15:restartNumberingAfterBreak="0">
    <w:nsid w:val="631D0EDC"/>
    <w:multiLevelType w:val="hybridMultilevel"/>
    <w:tmpl w:val="94E0F614"/>
    <w:lvl w:ilvl="0" w:tplc="0F1AA196">
      <w:start w:val="1"/>
      <w:numFmt w:val="bullet"/>
      <w:lvlText w:val="•"/>
      <w:lvlJc w:val="left"/>
      <w:pPr>
        <w:ind w:left="283"/>
      </w:pPr>
      <w:rPr>
        <w:rFonts w:ascii="Calibri" w:eastAsia="Calibri" w:hAnsi="Calibri" w:cs="Calibri"/>
        <w:b/>
        <w:bCs/>
        <w:i/>
        <w:iCs/>
        <w:strike w:val="0"/>
        <w:dstrike w:val="0"/>
        <w:color w:val="000000"/>
        <w:sz w:val="20"/>
        <w:szCs w:val="20"/>
        <w:u w:val="none" w:color="000000"/>
        <w:bdr w:val="none" w:sz="0" w:space="0" w:color="auto"/>
        <w:shd w:val="clear" w:color="auto" w:fill="auto"/>
        <w:vertAlign w:val="baseline"/>
      </w:rPr>
    </w:lvl>
    <w:lvl w:ilvl="1" w:tplc="A9F21D88">
      <w:start w:val="1"/>
      <w:numFmt w:val="bullet"/>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404618A4">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A880BA38">
      <w:start w:val="1"/>
      <w:numFmt w:val="bullet"/>
      <w:lvlText w:val="•"/>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6798B678">
      <w:start w:val="1"/>
      <w:numFmt w:val="bullet"/>
      <w:lvlText w:val="o"/>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C068E7A4">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26EEC008">
      <w:start w:val="1"/>
      <w:numFmt w:val="bullet"/>
      <w:lvlText w:val="•"/>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6D46AC8C">
      <w:start w:val="1"/>
      <w:numFmt w:val="bullet"/>
      <w:lvlText w:val="o"/>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ECB2E762">
      <w:start w:val="1"/>
      <w:numFmt w:val="bullet"/>
      <w:lvlText w:val="▪"/>
      <w:lvlJc w:val="left"/>
      <w:pPr>
        <w:ind w:left="56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277" w15:restartNumberingAfterBreak="0">
    <w:nsid w:val="6397632E"/>
    <w:multiLevelType w:val="hybridMultilevel"/>
    <w:tmpl w:val="67685ED8"/>
    <w:lvl w:ilvl="0" w:tplc="E784535C">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8B01C1E">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1CA9C1E">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AB28FB0">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0E6A364">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278FF2C">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92AD1A2">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D92E8E4">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4F043A6">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78" w15:restartNumberingAfterBreak="0">
    <w:nsid w:val="63A575B0"/>
    <w:multiLevelType w:val="hybridMultilevel"/>
    <w:tmpl w:val="61EAB0A8"/>
    <w:lvl w:ilvl="0" w:tplc="9574F270">
      <w:start w:val="1"/>
      <w:numFmt w:val="bullet"/>
      <w:lvlText w:val="–"/>
      <w:lvlJc w:val="left"/>
      <w:pPr>
        <w:ind w:left="17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6EADA36">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B64DA8E">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35CC44C">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1662372">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1DACF36">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F52A01A">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ECCA948">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5DE4482">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79" w15:restartNumberingAfterBreak="0">
    <w:nsid w:val="63A62EC3"/>
    <w:multiLevelType w:val="hybridMultilevel"/>
    <w:tmpl w:val="64D23BCA"/>
    <w:lvl w:ilvl="0" w:tplc="33269C36">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88EAA0C">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3EAF350">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1DA2B80">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26861C8">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ED6F18E">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D0E1432">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12C6EA8">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C387ECC">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80" w15:restartNumberingAfterBreak="0">
    <w:nsid w:val="63F75411"/>
    <w:multiLevelType w:val="hybridMultilevel"/>
    <w:tmpl w:val="C3067118"/>
    <w:lvl w:ilvl="0" w:tplc="156AC43E">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18A333A">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E58879E">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446B1F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C2874FE">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46E314C">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97ECB7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CB40C7C">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8C00F00">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81" w15:restartNumberingAfterBreak="0">
    <w:nsid w:val="6430575B"/>
    <w:multiLevelType w:val="hybridMultilevel"/>
    <w:tmpl w:val="0C9C0F7C"/>
    <w:lvl w:ilvl="0" w:tplc="60C25C78">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05E95AE">
      <w:start w:val="1"/>
      <w:numFmt w:val="bullet"/>
      <w:lvlText w:val="•"/>
      <w:lvlJc w:val="left"/>
      <w:pPr>
        <w:ind w:left="56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4F4144E">
      <w:start w:val="1"/>
      <w:numFmt w:val="bullet"/>
      <w:lvlText w:val="▪"/>
      <w:lvlJc w:val="left"/>
      <w:pPr>
        <w:ind w:left="13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E7638AA">
      <w:start w:val="1"/>
      <w:numFmt w:val="bullet"/>
      <w:lvlText w:val="•"/>
      <w:lvlJc w:val="left"/>
      <w:pPr>
        <w:ind w:left="20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902862C">
      <w:start w:val="1"/>
      <w:numFmt w:val="bullet"/>
      <w:lvlText w:val="o"/>
      <w:lvlJc w:val="left"/>
      <w:pPr>
        <w:ind w:left="280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4E6B8DC">
      <w:start w:val="1"/>
      <w:numFmt w:val="bullet"/>
      <w:lvlText w:val="▪"/>
      <w:lvlJc w:val="left"/>
      <w:pPr>
        <w:ind w:left="352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9021BAE">
      <w:start w:val="1"/>
      <w:numFmt w:val="bullet"/>
      <w:lvlText w:val="•"/>
      <w:lvlJc w:val="left"/>
      <w:pPr>
        <w:ind w:left="424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9F41C3A">
      <w:start w:val="1"/>
      <w:numFmt w:val="bullet"/>
      <w:lvlText w:val="o"/>
      <w:lvlJc w:val="left"/>
      <w:pPr>
        <w:ind w:left="49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C764AA6">
      <w:start w:val="1"/>
      <w:numFmt w:val="bullet"/>
      <w:lvlText w:val="▪"/>
      <w:lvlJc w:val="left"/>
      <w:pPr>
        <w:ind w:left="56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82" w15:restartNumberingAfterBreak="0">
    <w:nsid w:val="64317E7B"/>
    <w:multiLevelType w:val="hybridMultilevel"/>
    <w:tmpl w:val="23C827E4"/>
    <w:lvl w:ilvl="0" w:tplc="D2687404">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6B0862C">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228D084">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C4EE280">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5DA97B2">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F980128">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0D0DC90">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65A988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462D3F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83" w15:restartNumberingAfterBreak="0">
    <w:nsid w:val="644E5B48"/>
    <w:multiLevelType w:val="hybridMultilevel"/>
    <w:tmpl w:val="3AA2E194"/>
    <w:lvl w:ilvl="0" w:tplc="6DEC536C">
      <w:start w:val="1"/>
      <w:numFmt w:val="bullet"/>
      <w:lvlText w:val="•"/>
      <w:lvlJc w:val="left"/>
      <w:pPr>
        <w:ind w:left="3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BC8263FE">
      <w:start w:val="1"/>
      <w:numFmt w:val="bullet"/>
      <w:lvlText w:val="o"/>
      <w:lvlJc w:val="left"/>
      <w:pPr>
        <w:ind w:left="50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8594FC86">
      <w:start w:val="1"/>
      <w:numFmt w:val="bullet"/>
      <w:lvlRestart w:val="0"/>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34ECAAEE">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E36A0DC6">
      <w:start w:val="1"/>
      <w:numFmt w:val="bullet"/>
      <w:lvlText w:val="o"/>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BAAE2C14">
      <w:start w:val="1"/>
      <w:numFmt w:val="bullet"/>
      <w:lvlText w:val="▪"/>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5AB66550">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29B09DEE">
      <w:start w:val="1"/>
      <w:numFmt w:val="bullet"/>
      <w:lvlText w:val="o"/>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58761284">
      <w:start w:val="1"/>
      <w:numFmt w:val="bullet"/>
      <w:lvlText w:val="▪"/>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284" w15:restartNumberingAfterBreak="0">
    <w:nsid w:val="64DE5C57"/>
    <w:multiLevelType w:val="hybridMultilevel"/>
    <w:tmpl w:val="59F0A57A"/>
    <w:lvl w:ilvl="0" w:tplc="D3B20472">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8A4DAFA">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7D87AE4">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7C250F8">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E680466">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2A8D962">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B42D4C4">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2129688">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81A1E66">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85" w15:restartNumberingAfterBreak="0">
    <w:nsid w:val="6501272A"/>
    <w:multiLevelType w:val="hybridMultilevel"/>
    <w:tmpl w:val="599E9B10"/>
    <w:lvl w:ilvl="0" w:tplc="257EB9D4">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6526E18">
      <w:start w:val="1"/>
      <w:numFmt w:val="bullet"/>
      <w:lvlText w:val="•"/>
      <w:lvlJc w:val="left"/>
      <w:pPr>
        <w:ind w:left="56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1144B18">
      <w:start w:val="1"/>
      <w:numFmt w:val="bullet"/>
      <w:lvlText w:val="▪"/>
      <w:lvlJc w:val="left"/>
      <w:pPr>
        <w:ind w:left="13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3021BEC">
      <w:start w:val="1"/>
      <w:numFmt w:val="bullet"/>
      <w:lvlText w:val="•"/>
      <w:lvlJc w:val="left"/>
      <w:pPr>
        <w:ind w:left="20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3824870">
      <w:start w:val="1"/>
      <w:numFmt w:val="bullet"/>
      <w:lvlText w:val="o"/>
      <w:lvlJc w:val="left"/>
      <w:pPr>
        <w:ind w:left="280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3205D4E">
      <w:start w:val="1"/>
      <w:numFmt w:val="bullet"/>
      <w:lvlText w:val="▪"/>
      <w:lvlJc w:val="left"/>
      <w:pPr>
        <w:ind w:left="352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8085E16">
      <w:start w:val="1"/>
      <w:numFmt w:val="bullet"/>
      <w:lvlText w:val="•"/>
      <w:lvlJc w:val="left"/>
      <w:pPr>
        <w:ind w:left="424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71C1180">
      <w:start w:val="1"/>
      <w:numFmt w:val="bullet"/>
      <w:lvlText w:val="o"/>
      <w:lvlJc w:val="left"/>
      <w:pPr>
        <w:ind w:left="49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B5AB9BC">
      <w:start w:val="1"/>
      <w:numFmt w:val="bullet"/>
      <w:lvlText w:val="▪"/>
      <w:lvlJc w:val="left"/>
      <w:pPr>
        <w:ind w:left="56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86" w15:restartNumberingAfterBreak="0">
    <w:nsid w:val="65331115"/>
    <w:multiLevelType w:val="hybridMultilevel"/>
    <w:tmpl w:val="F0F47C9C"/>
    <w:lvl w:ilvl="0" w:tplc="D8801DC4">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944B418">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EC4D2C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E20C28A">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B9279CC">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7043A1C">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F643600">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D64B07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B7E323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87" w15:restartNumberingAfterBreak="0">
    <w:nsid w:val="65BA6432"/>
    <w:multiLevelType w:val="hybridMultilevel"/>
    <w:tmpl w:val="63121ED8"/>
    <w:lvl w:ilvl="0" w:tplc="A3741D30">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50CE95E">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B36FF4C">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5A2C012">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7260F12">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74CCA50">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A6A9E86">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44E7136">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312980A">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88" w15:restartNumberingAfterBreak="0">
    <w:nsid w:val="65BC2D5E"/>
    <w:multiLevelType w:val="hybridMultilevel"/>
    <w:tmpl w:val="7B2E15DC"/>
    <w:lvl w:ilvl="0" w:tplc="F222A0C0">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396AF62">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66EAE4A">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5188338">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866C77F4">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37507634">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C7085F4">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688E60A">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9DA6C82">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89" w15:restartNumberingAfterBreak="0">
    <w:nsid w:val="66004DB7"/>
    <w:multiLevelType w:val="hybridMultilevel"/>
    <w:tmpl w:val="660435C2"/>
    <w:lvl w:ilvl="0" w:tplc="D1DA2E2E">
      <w:start w:val="1"/>
      <w:numFmt w:val="bullet"/>
      <w:lvlText w:val="•"/>
      <w:lvlJc w:val="left"/>
      <w:pPr>
        <w:ind w:left="3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028ADFB8">
      <w:start w:val="1"/>
      <w:numFmt w:val="bullet"/>
      <w:lvlText w:val="o"/>
      <w:lvlJc w:val="left"/>
      <w:pPr>
        <w:ind w:left="50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3006A4BC">
      <w:start w:val="1"/>
      <w:numFmt w:val="bullet"/>
      <w:lvlRestart w:val="0"/>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41CC7C54">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1CAAF79E">
      <w:start w:val="1"/>
      <w:numFmt w:val="bullet"/>
      <w:lvlText w:val="o"/>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2078F658">
      <w:start w:val="1"/>
      <w:numFmt w:val="bullet"/>
      <w:lvlText w:val="▪"/>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1132F332">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861089AE">
      <w:start w:val="1"/>
      <w:numFmt w:val="bullet"/>
      <w:lvlText w:val="o"/>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6FD48EF8">
      <w:start w:val="1"/>
      <w:numFmt w:val="bullet"/>
      <w:lvlText w:val="▪"/>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290" w15:restartNumberingAfterBreak="0">
    <w:nsid w:val="66BA4A02"/>
    <w:multiLevelType w:val="hybridMultilevel"/>
    <w:tmpl w:val="FF4EDFFE"/>
    <w:lvl w:ilvl="0" w:tplc="A85EB7EE">
      <w:start w:val="1"/>
      <w:numFmt w:val="bullet"/>
      <w:lvlText w:val="•"/>
      <w:lvlJc w:val="left"/>
      <w:pPr>
        <w:ind w:left="36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A7CA93B6">
      <w:start w:val="1"/>
      <w:numFmt w:val="bullet"/>
      <w:lvlText w:val="o"/>
      <w:lvlJc w:val="left"/>
      <w:pPr>
        <w:ind w:left="50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1C541A30">
      <w:start w:val="1"/>
      <w:numFmt w:val="bullet"/>
      <w:lvlRestart w:val="0"/>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0FC444FE">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3314E6FC">
      <w:start w:val="1"/>
      <w:numFmt w:val="bullet"/>
      <w:lvlText w:val="o"/>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0E4A9EC8">
      <w:start w:val="1"/>
      <w:numFmt w:val="bullet"/>
      <w:lvlText w:val="▪"/>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0EBC8020">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D60AE37C">
      <w:start w:val="1"/>
      <w:numFmt w:val="bullet"/>
      <w:lvlText w:val="o"/>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B7B63702">
      <w:start w:val="1"/>
      <w:numFmt w:val="bullet"/>
      <w:lvlText w:val="▪"/>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291" w15:restartNumberingAfterBreak="0">
    <w:nsid w:val="671C6CDE"/>
    <w:multiLevelType w:val="hybridMultilevel"/>
    <w:tmpl w:val="9B86D30C"/>
    <w:lvl w:ilvl="0" w:tplc="2D544086">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8BC4EC6">
      <w:start w:val="1"/>
      <w:numFmt w:val="bullet"/>
      <w:lvlText w:val="o"/>
      <w:lvlJc w:val="left"/>
      <w:pPr>
        <w:ind w:left="13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2C0BB80">
      <w:start w:val="1"/>
      <w:numFmt w:val="bullet"/>
      <w:lvlText w:val="▪"/>
      <w:lvlJc w:val="left"/>
      <w:pPr>
        <w:ind w:left="202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EE270BC">
      <w:start w:val="1"/>
      <w:numFmt w:val="bullet"/>
      <w:lvlText w:val="•"/>
      <w:lvlJc w:val="left"/>
      <w:pPr>
        <w:ind w:left="274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F9ACF66">
      <w:start w:val="1"/>
      <w:numFmt w:val="bullet"/>
      <w:lvlText w:val="o"/>
      <w:lvlJc w:val="left"/>
      <w:pPr>
        <w:ind w:left="346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6DEB586">
      <w:start w:val="1"/>
      <w:numFmt w:val="bullet"/>
      <w:lvlText w:val="▪"/>
      <w:lvlJc w:val="left"/>
      <w:pPr>
        <w:ind w:left="418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D7CE16A">
      <w:start w:val="1"/>
      <w:numFmt w:val="bullet"/>
      <w:lvlText w:val="•"/>
      <w:lvlJc w:val="left"/>
      <w:pPr>
        <w:ind w:left="49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EFA1A30">
      <w:start w:val="1"/>
      <w:numFmt w:val="bullet"/>
      <w:lvlText w:val="o"/>
      <w:lvlJc w:val="left"/>
      <w:pPr>
        <w:ind w:left="562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3280C6E">
      <w:start w:val="1"/>
      <w:numFmt w:val="bullet"/>
      <w:lvlText w:val="▪"/>
      <w:lvlJc w:val="left"/>
      <w:pPr>
        <w:ind w:left="634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92" w15:restartNumberingAfterBreak="0">
    <w:nsid w:val="681C5410"/>
    <w:multiLevelType w:val="hybridMultilevel"/>
    <w:tmpl w:val="84542B7E"/>
    <w:lvl w:ilvl="0" w:tplc="FCFE5C0A">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E68D62C">
      <w:start w:val="1"/>
      <w:numFmt w:val="bullet"/>
      <w:lvlText w:val=""/>
      <w:lvlJc w:val="left"/>
      <w:pPr>
        <w:ind w:left="56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F15CDBE2">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1652ACEC">
      <w:start w:val="1"/>
      <w:numFmt w:val="bullet"/>
      <w:lvlText w:val="•"/>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4A74CAF8">
      <w:start w:val="1"/>
      <w:numFmt w:val="bullet"/>
      <w:lvlText w:val="o"/>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377E272C">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2DD4A3F0">
      <w:start w:val="1"/>
      <w:numFmt w:val="bullet"/>
      <w:lvlText w:val="•"/>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B0D67CA2">
      <w:start w:val="1"/>
      <w:numFmt w:val="bullet"/>
      <w:lvlText w:val="o"/>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CD189006">
      <w:start w:val="1"/>
      <w:numFmt w:val="bullet"/>
      <w:lvlText w:val="▪"/>
      <w:lvlJc w:val="left"/>
      <w:pPr>
        <w:ind w:left="56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293" w15:restartNumberingAfterBreak="0">
    <w:nsid w:val="686C3EEC"/>
    <w:multiLevelType w:val="hybridMultilevel"/>
    <w:tmpl w:val="31CA77A2"/>
    <w:lvl w:ilvl="0" w:tplc="17CEB8CE">
      <w:start w:val="1"/>
      <w:numFmt w:val="decimal"/>
      <w:lvlText w:val="%1."/>
      <w:lvlJc w:val="left"/>
      <w:pPr>
        <w:ind w:left="56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57C6AC0">
      <w:start w:val="1"/>
      <w:numFmt w:val="lowerLetter"/>
      <w:lvlText w:val="%2"/>
      <w:lvlJc w:val="left"/>
      <w:pPr>
        <w:ind w:left="13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8D6BFC0">
      <w:start w:val="1"/>
      <w:numFmt w:val="lowerRoman"/>
      <w:lvlText w:val="%3"/>
      <w:lvlJc w:val="left"/>
      <w:pPr>
        <w:ind w:left="20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88A342A">
      <w:start w:val="1"/>
      <w:numFmt w:val="decimal"/>
      <w:lvlText w:val="%4"/>
      <w:lvlJc w:val="left"/>
      <w:pPr>
        <w:ind w:left="280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E06F234">
      <w:start w:val="1"/>
      <w:numFmt w:val="lowerLetter"/>
      <w:lvlText w:val="%5"/>
      <w:lvlJc w:val="left"/>
      <w:pPr>
        <w:ind w:left="352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A4EEEBA">
      <w:start w:val="1"/>
      <w:numFmt w:val="lowerRoman"/>
      <w:lvlText w:val="%6"/>
      <w:lvlJc w:val="left"/>
      <w:pPr>
        <w:ind w:left="424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A30C06E">
      <w:start w:val="1"/>
      <w:numFmt w:val="decimal"/>
      <w:lvlText w:val="%7"/>
      <w:lvlJc w:val="left"/>
      <w:pPr>
        <w:ind w:left="49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6F250CA">
      <w:start w:val="1"/>
      <w:numFmt w:val="lowerLetter"/>
      <w:lvlText w:val="%8"/>
      <w:lvlJc w:val="left"/>
      <w:pPr>
        <w:ind w:left="56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D70F32C">
      <w:start w:val="1"/>
      <w:numFmt w:val="lowerRoman"/>
      <w:lvlText w:val="%9"/>
      <w:lvlJc w:val="left"/>
      <w:pPr>
        <w:ind w:left="640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94" w15:restartNumberingAfterBreak="0">
    <w:nsid w:val="69151D4F"/>
    <w:multiLevelType w:val="hybridMultilevel"/>
    <w:tmpl w:val="376EF21E"/>
    <w:lvl w:ilvl="0" w:tplc="EC786468">
      <w:start w:val="1"/>
      <w:numFmt w:val="bullet"/>
      <w:lvlText w:val="–"/>
      <w:lvlJc w:val="left"/>
      <w:pPr>
        <w:ind w:left="3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7462160">
      <w:start w:val="1"/>
      <w:numFmt w:val="bullet"/>
      <w:lvlText w:val="o"/>
      <w:lvlJc w:val="left"/>
      <w:pPr>
        <w:ind w:left="130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17E7EFE">
      <w:start w:val="1"/>
      <w:numFmt w:val="bullet"/>
      <w:lvlText w:val="▪"/>
      <w:lvlJc w:val="left"/>
      <w:pPr>
        <w:ind w:left="20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18A9760">
      <w:start w:val="1"/>
      <w:numFmt w:val="bullet"/>
      <w:lvlText w:val="•"/>
      <w:lvlJc w:val="left"/>
      <w:pPr>
        <w:ind w:left="274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794F2CC">
      <w:start w:val="1"/>
      <w:numFmt w:val="bullet"/>
      <w:lvlText w:val="o"/>
      <w:lvlJc w:val="left"/>
      <w:pPr>
        <w:ind w:left="346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866435A">
      <w:start w:val="1"/>
      <w:numFmt w:val="bullet"/>
      <w:lvlText w:val="▪"/>
      <w:lvlJc w:val="left"/>
      <w:pPr>
        <w:ind w:left="418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8A0E832">
      <w:start w:val="1"/>
      <w:numFmt w:val="bullet"/>
      <w:lvlText w:val="•"/>
      <w:lvlJc w:val="left"/>
      <w:pPr>
        <w:ind w:left="490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C948CFA">
      <w:start w:val="1"/>
      <w:numFmt w:val="bullet"/>
      <w:lvlText w:val="o"/>
      <w:lvlJc w:val="left"/>
      <w:pPr>
        <w:ind w:left="56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280CD26">
      <w:start w:val="1"/>
      <w:numFmt w:val="bullet"/>
      <w:lvlText w:val="▪"/>
      <w:lvlJc w:val="left"/>
      <w:pPr>
        <w:ind w:left="634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95" w15:restartNumberingAfterBreak="0">
    <w:nsid w:val="69827E49"/>
    <w:multiLevelType w:val="hybridMultilevel"/>
    <w:tmpl w:val="0C9ACDB0"/>
    <w:lvl w:ilvl="0" w:tplc="662E4B82">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CD02E8A">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B3A9022">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904AA72">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D6C8DD8">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2CC977C">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0720D6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11CE450">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C540280">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96" w15:restartNumberingAfterBreak="0">
    <w:nsid w:val="69A229A2"/>
    <w:multiLevelType w:val="hybridMultilevel"/>
    <w:tmpl w:val="AF48CF80"/>
    <w:lvl w:ilvl="0" w:tplc="1D4A1F4A">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1B81F0C">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368CD82">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12A88EE">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C46E4CC">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2161C7A">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19401BA">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82E9BDE">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A4202FC">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97" w15:restartNumberingAfterBreak="0">
    <w:nsid w:val="6A08066C"/>
    <w:multiLevelType w:val="hybridMultilevel"/>
    <w:tmpl w:val="25CA1B82"/>
    <w:lvl w:ilvl="0" w:tplc="A2D69A56">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F881742">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D6A7CE4">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970AF8C">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3301F30">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C42509C">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3088C74">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E6C3778">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8A85C10">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98" w15:restartNumberingAfterBreak="0">
    <w:nsid w:val="6A102C26"/>
    <w:multiLevelType w:val="hybridMultilevel"/>
    <w:tmpl w:val="CCB6E43E"/>
    <w:lvl w:ilvl="0" w:tplc="CC5EEF2A">
      <w:start w:val="1"/>
      <w:numFmt w:val="bullet"/>
      <w:lvlText w:val="•"/>
      <w:lvlJc w:val="left"/>
      <w:pPr>
        <w:ind w:left="17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BDB42780">
      <w:start w:val="1"/>
      <w:numFmt w:val="bullet"/>
      <w:lvlText w:val="o"/>
      <w:lvlJc w:val="left"/>
      <w:pPr>
        <w:ind w:left="113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7122C36">
      <w:start w:val="1"/>
      <w:numFmt w:val="bullet"/>
      <w:lvlText w:val="▪"/>
      <w:lvlJc w:val="left"/>
      <w:pPr>
        <w:ind w:left="185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0366838">
      <w:start w:val="1"/>
      <w:numFmt w:val="bullet"/>
      <w:lvlText w:val="•"/>
      <w:lvlJc w:val="left"/>
      <w:pPr>
        <w:ind w:left="25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E3E2AD0">
      <w:start w:val="1"/>
      <w:numFmt w:val="bullet"/>
      <w:lvlText w:val="o"/>
      <w:lvlJc w:val="left"/>
      <w:pPr>
        <w:ind w:left="329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822F224">
      <w:start w:val="1"/>
      <w:numFmt w:val="bullet"/>
      <w:lvlText w:val="▪"/>
      <w:lvlJc w:val="left"/>
      <w:pPr>
        <w:ind w:left="401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F7E7506">
      <w:start w:val="1"/>
      <w:numFmt w:val="bullet"/>
      <w:lvlText w:val="•"/>
      <w:lvlJc w:val="left"/>
      <w:pPr>
        <w:ind w:left="473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014B15C">
      <w:start w:val="1"/>
      <w:numFmt w:val="bullet"/>
      <w:lvlText w:val="o"/>
      <w:lvlJc w:val="left"/>
      <w:pPr>
        <w:ind w:left="545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8A46295E">
      <w:start w:val="1"/>
      <w:numFmt w:val="bullet"/>
      <w:lvlText w:val="▪"/>
      <w:lvlJc w:val="left"/>
      <w:pPr>
        <w:ind w:left="617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99" w15:restartNumberingAfterBreak="0">
    <w:nsid w:val="6ACE2CE1"/>
    <w:multiLevelType w:val="hybridMultilevel"/>
    <w:tmpl w:val="DC344E80"/>
    <w:lvl w:ilvl="0" w:tplc="FB1AC858">
      <w:start w:val="1"/>
      <w:numFmt w:val="bullet"/>
      <w:lvlText w:val="–"/>
      <w:lvlJc w:val="left"/>
      <w:pPr>
        <w:ind w:left="2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E80892A">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7B10795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EC42D0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1705D24">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BAE97DA">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1425224">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1A44FB2">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D32D32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00" w15:restartNumberingAfterBreak="0">
    <w:nsid w:val="6C05482E"/>
    <w:multiLevelType w:val="hybridMultilevel"/>
    <w:tmpl w:val="BF5E2650"/>
    <w:lvl w:ilvl="0" w:tplc="4142FA62">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6F68E94">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5BA08DA">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EF04E06">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6A6E332">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E3A908C">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36C214E">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DA69DF8">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2D83A20">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01" w15:restartNumberingAfterBreak="0">
    <w:nsid w:val="6C4E4865"/>
    <w:multiLevelType w:val="hybridMultilevel"/>
    <w:tmpl w:val="1F4E5690"/>
    <w:lvl w:ilvl="0" w:tplc="26A4A7B4">
      <w:start w:val="2"/>
      <w:numFmt w:val="decimal"/>
      <w:lvlText w:val="%1"/>
      <w:lvlJc w:val="left"/>
      <w:pPr>
        <w:ind w:left="1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1" w:tplc="30E8B934">
      <w:start w:val="1"/>
      <w:numFmt w:val="lowerLetter"/>
      <w:lvlText w:val="%2"/>
      <w:lvlJc w:val="left"/>
      <w:pPr>
        <w:ind w:left="108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2" w:tplc="8ACC4B20">
      <w:start w:val="1"/>
      <w:numFmt w:val="lowerRoman"/>
      <w:lvlText w:val="%3"/>
      <w:lvlJc w:val="left"/>
      <w:pPr>
        <w:ind w:left="180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3" w:tplc="8DB6F15E">
      <w:start w:val="1"/>
      <w:numFmt w:val="decimal"/>
      <w:lvlText w:val="%4"/>
      <w:lvlJc w:val="left"/>
      <w:pPr>
        <w:ind w:left="252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4" w:tplc="3D205528">
      <w:start w:val="1"/>
      <w:numFmt w:val="lowerLetter"/>
      <w:lvlText w:val="%5"/>
      <w:lvlJc w:val="left"/>
      <w:pPr>
        <w:ind w:left="324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5" w:tplc="782CA0D0">
      <w:start w:val="1"/>
      <w:numFmt w:val="lowerRoman"/>
      <w:lvlText w:val="%6"/>
      <w:lvlJc w:val="left"/>
      <w:pPr>
        <w:ind w:left="396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6" w:tplc="DCC87B22">
      <w:start w:val="1"/>
      <w:numFmt w:val="decimal"/>
      <w:lvlText w:val="%7"/>
      <w:lvlJc w:val="left"/>
      <w:pPr>
        <w:ind w:left="468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7" w:tplc="39C83A46">
      <w:start w:val="1"/>
      <w:numFmt w:val="lowerLetter"/>
      <w:lvlText w:val="%8"/>
      <w:lvlJc w:val="left"/>
      <w:pPr>
        <w:ind w:left="540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lvl w:ilvl="8" w:tplc="016E32FC">
      <w:start w:val="1"/>
      <w:numFmt w:val="lowerRoman"/>
      <w:lvlText w:val="%9"/>
      <w:lvlJc w:val="left"/>
      <w:pPr>
        <w:ind w:left="6120"/>
      </w:pPr>
      <w:rPr>
        <w:rFonts w:ascii="Calibri" w:eastAsia="Calibri" w:hAnsi="Calibri" w:cs="Calibri"/>
        <w:b w:val="0"/>
        <w:i w:val="0"/>
        <w:strike w:val="0"/>
        <w:dstrike w:val="0"/>
        <w:color w:val="000000"/>
        <w:sz w:val="14"/>
        <w:szCs w:val="14"/>
        <w:u w:val="none" w:color="000000"/>
        <w:bdr w:val="none" w:sz="0" w:space="0" w:color="auto"/>
        <w:shd w:val="clear" w:color="auto" w:fill="auto"/>
        <w:vertAlign w:val="superscript"/>
      </w:rPr>
    </w:lvl>
  </w:abstractNum>
  <w:abstractNum w:abstractNumId="302" w15:restartNumberingAfterBreak="0">
    <w:nsid w:val="6C64067B"/>
    <w:multiLevelType w:val="hybridMultilevel"/>
    <w:tmpl w:val="85940CB6"/>
    <w:lvl w:ilvl="0" w:tplc="DD964848">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83A14BE">
      <w:start w:val="1"/>
      <w:numFmt w:val="bullet"/>
      <w:lvlText w:val="–"/>
      <w:lvlJc w:val="left"/>
      <w:pPr>
        <w:ind w:left="56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026D81C">
      <w:start w:val="1"/>
      <w:numFmt w:val="bullet"/>
      <w:lvlText w:val="▪"/>
      <w:lvlJc w:val="left"/>
      <w:pPr>
        <w:ind w:left="13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208E714">
      <w:start w:val="1"/>
      <w:numFmt w:val="bullet"/>
      <w:lvlText w:val="•"/>
      <w:lvlJc w:val="left"/>
      <w:pPr>
        <w:ind w:left="20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AF69682">
      <w:start w:val="1"/>
      <w:numFmt w:val="bullet"/>
      <w:lvlText w:val="o"/>
      <w:lvlJc w:val="left"/>
      <w:pPr>
        <w:ind w:left="280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B8C1F4C">
      <w:start w:val="1"/>
      <w:numFmt w:val="bullet"/>
      <w:lvlText w:val="▪"/>
      <w:lvlJc w:val="left"/>
      <w:pPr>
        <w:ind w:left="352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9A2ADC6">
      <w:start w:val="1"/>
      <w:numFmt w:val="bullet"/>
      <w:lvlText w:val="•"/>
      <w:lvlJc w:val="left"/>
      <w:pPr>
        <w:ind w:left="424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11E6F75A">
      <w:start w:val="1"/>
      <w:numFmt w:val="bullet"/>
      <w:lvlText w:val="o"/>
      <w:lvlJc w:val="left"/>
      <w:pPr>
        <w:ind w:left="49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412ED68">
      <w:start w:val="1"/>
      <w:numFmt w:val="bullet"/>
      <w:lvlText w:val="▪"/>
      <w:lvlJc w:val="left"/>
      <w:pPr>
        <w:ind w:left="56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03" w15:restartNumberingAfterBreak="0">
    <w:nsid w:val="6D117BD0"/>
    <w:multiLevelType w:val="hybridMultilevel"/>
    <w:tmpl w:val="6568CC0E"/>
    <w:lvl w:ilvl="0" w:tplc="B73C0850">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F48E810">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51CBEFC">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78254AE">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716E49E">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43A0C582">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C9A197A">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EAEE570">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85046D46">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04" w15:restartNumberingAfterBreak="0">
    <w:nsid w:val="6D286CB4"/>
    <w:multiLevelType w:val="hybridMultilevel"/>
    <w:tmpl w:val="FA366DEA"/>
    <w:lvl w:ilvl="0" w:tplc="1F4CEC66">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74EDEA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352237A">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600D480">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258D32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FFA3E82">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47E365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104EEC2">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3AE0FD2">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05" w15:restartNumberingAfterBreak="0">
    <w:nsid w:val="6D4F2B9E"/>
    <w:multiLevelType w:val="hybridMultilevel"/>
    <w:tmpl w:val="2854641E"/>
    <w:lvl w:ilvl="0" w:tplc="460C960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100BA9A">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F7ABBC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4CA9C2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E5EAC7E">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ACEF31A">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034954E">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95E25A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DA2D74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06" w15:restartNumberingAfterBreak="0">
    <w:nsid w:val="6DBB5E2D"/>
    <w:multiLevelType w:val="hybridMultilevel"/>
    <w:tmpl w:val="55AACF2E"/>
    <w:lvl w:ilvl="0" w:tplc="9078F2BE">
      <w:start w:val="1"/>
      <w:numFmt w:val="bullet"/>
      <w:lvlText w:val="•"/>
      <w:lvlJc w:val="left"/>
      <w:pPr>
        <w:ind w:left="17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15FE3622">
      <w:start w:val="1"/>
      <w:numFmt w:val="bullet"/>
      <w:lvlText w:val="o"/>
      <w:lvlJc w:val="left"/>
      <w:pPr>
        <w:ind w:left="11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26A02812">
      <w:start w:val="1"/>
      <w:numFmt w:val="bullet"/>
      <w:lvlText w:val="▪"/>
      <w:lvlJc w:val="left"/>
      <w:pPr>
        <w:ind w:left="18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99B65E8C">
      <w:start w:val="1"/>
      <w:numFmt w:val="bullet"/>
      <w:lvlText w:val="•"/>
      <w:lvlJc w:val="left"/>
      <w:pPr>
        <w:ind w:left="25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8BF6E0A0">
      <w:start w:val="1"/>
      <w:numFmt w:val="bullet"/>
      <w:lvlText w:val="o"/>
      <w:lvlJc w:val="left"/>
      <w:pPr>
        <w:ind w:left="329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1C6A85FA">
      <w:start w:val="1"/>
      <w:numFmt w:val="bullet"/>
      <w:lvlText w:val="▪"/>
      <w:lvlJc w:val="left"/>
      <w:pPr>
        <w:ind w:left="401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3806B98C">
      <w:start w:val="1"/>
      <w:numFmt w:val="bullet"/>
      <w:lvlText w:val="•"/>
      <w:lvlJc w:val="left"/>
      <w:pPr>
        <w:ind w:left="473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D562A15E">
      <w:start w:val="1"/>
      <w:numFmt w:val="bullet"/>
      <w:lvlText w:val="o"/>
      <w:lvlJc w:val="left"/>
      <w:pPr>
        <w:ind w:left="545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06DC8650">
      <w:start w:val="1"/>
      <w:numFmt w:val="bullet"/>
      <w:lvlText w:val="▪"/>
      <w:lvlJc w:val="left"/>
      <w:pPr>
        <w:ind w:left="617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307" w15:restartNumberingAfterBreak="0">
    <w:nsid w:val="6E6578BF"/>
    <w:multiLevelType w:val="hybridMultilevel"/>
    <w:tmpl w:val="1CB6E84C"/>
    <w:lvl w:ilvl="0" w:tplc="5EB6FD4C">
      <w:start w:val="1"/>
      <w:numFmt w:val="upperRoman"/>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3B65536">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AEC6916">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8105C70">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FEEE6E6">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BB6B94E">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06A1CE0">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5661172">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BDAAA02">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08" w15:restartNumberingAfterBreak="0">
    <w:nsid w:val="6E70176C"/>
    <w:multiLevelType w:val="hybridMultilevel"/>
    <w:tmpl w:val="70143804"/>
    <w:lvl w:ilvl="0" w:tplc="3ABEE79C">
      <w:start w:val="1"/>
      <w:numFmt w:val="bullet"/>
      <w:lvlText w:val="•"/>
      <w:lvlJc w:val="left"/>
      <w:pPr>
        <w:ind w:left="17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134EC36">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FD28B5A">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674D4C6">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7B0DC6A">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FD6FD4E">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81E5CC6">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7A096D8">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39E882A">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09" w15:restartNumberingAfterBreak="0">
    <w:nsid w:val="6EA21689"/>
    <w:multiLevelType w:val="hybridMultilevel"/>
    <w:tmpl w:val="7A1602D4"/>
    <w:lvl w:ilvl="0" w:tplc="C7F0BE2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71C9A58">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848A788">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4A27500">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F90FD0C">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09867CC">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1FEAF56">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B4E9294">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A66452E">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10" w15:restartNumberingAfterBreak="0">
    <w:nsid w:val="6ED47E91"/>
    <w:multiLevelType w:val="hybridMultilevel"/>
    <w:tmpl w:val="85D4842A"/>
    <w:lvl w:ilvl="0" w:tplc="A88C92C8">
      <w:start w:val="1"/>
      <w:numFmt w:val="decimal"/>
      <w:lvlText w:val="%1."/>
      <w:lvlJc w:val="left"/>
      <w:pPr>
        <w:ind w:left="28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AB846AC6">
      <w:start w:val="1"/>
      <w:numFmt w:val="lowerLetter"/>
      <w:lvlText w:val="%2"/>
      <w:lvlJc w:val="left"/>
      <w:pPr>
        <w:ind w:left="10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B7FA7666">
      <w:start w:val="1"/>
      <w:numFmt w:val="lowerRoman"/>
      <w:lvlText w:val="%3"/>
      <w:lvlJc w:val="left"/>
      <w:pPr>
        <w:ind w:left="18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B596D186">
      <w:start w:val="1"/>
      <w:numFmt w:val="decimal"/>
      <w:lvlText w:val="%4"/>
      <w:lvlJc w:val="left"/>
      <w:pPr>
        <w:ind w:left="2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C102EECA">
      <w:start w:val="1"/>
      <w:numFmt w:val="lowerLetter"/>
      <w:lvlText w:val="%5"/>
      <w:lvlJc w:val="left"/>
      <w:pPr>
        <w:ind w:left="32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5958D920">
      <w:start w:val="1"/>
      <w:numFmt w:val="lowerRoman"/>
      <w:lvlText w:val="%6"/>
      <w:lvlJc w:val="left"/>
      <w:pPr>
        <w:ind w:left="39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1E12FCF6">
      <w:start w:val="1"/>
      <w:numFmt w:val="decimal"/>
      <w:lvlText w:val="%7"/>
      <w:lvlJc w:val="left"/>
      <w:pPr>
        <w:ind w:left="46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31C6F3B8">
      <w:start w:val="1"/>
      <w:numFmt w:val="lowerLetter"/>
      <w:lvlText w:val="%8"/>
      <w:lvlJc w:val="left"/>
      <w:pPr>
        <w:ind w:left="54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5B0C35B6">
      <w:start w:val="1"/>
      <w:numFmt w:val="lowerRoman"/>
      <w:lvlText w:val="%9"/>
      <w:lvlJc w:val="left"/>
      <w:pPr>
        <w:ind w:left="61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311" w15:restartNumberingAfterBreak="0">
    <w:nsid w:val="6F26525D"/>
    <w:multiLevelType w:val="hybridMultilevel"/>
    <w:tmpl w:val="17E4E360"/>
    <w:lvl w:ilvl="0" w:tplc="7A1C1E00">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06A8F84">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0744CA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8A4A2AC">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C5A947E">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038DBA6">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746299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A84CD78A">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84469A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12" w15:restartNumberingAfterBreak="0">
    <w:nsid w:val="6F6B2019"/>
    <w:multiLevelType w:val="hybridMultilevel"/>
    <w:tmpl w:val="1EA03842"/>
    <w:lvl w:ilvl="0" w:tplc="987C4B20">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A50D95C">
      <w:start w:val="1"/>
      <w:numFmt w:val="bullet"/>
      <w:lvlText w:val="o"/>
      <w:lvlJc w:val="left"/>
      <w:pPr>
        <w:ind w:left="113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A22C9B0">
      <w:start w:val="1"/>
      <w:numFmt w:val="bullet"/>
      <w:lvlText w:val="▪"/>
      <w:lvlJc w:val="left"/>
      <w:pPr>
        <w:ind w:left="185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A986E4E">
      <w:start w:val="1"/>
      <w:numFmt w:val="bullet"/>
      <w:lvlText w:val="•"/>
      <w:lvlJc w:val="left"/>
      <w:pPr>
        <w:ind w:left="257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0ACEEFE">
      <w:start w:val="1"/>
      <w:numFmt w:val="bullet"/>
      <w:lvlText w:val="o"/>
      <w:lvlJc w:val="left"/>
      <w:pPr>
        <w:ind w:left="329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4914F6E8">
      <w:start w:val="1"/>
      <w:numFmt w:val="bullet"/>
      <w:lvlText w:val="▪"/>
      <w:lvlJc w:val="left"/>
      <w:pPr>
        <w:ind w:left="401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46ED0D4">
      <w:start w:val="1"/>
      <w:numFmt w:val="bullet"/>
      <w:lvlText w:val="•"/>
      <w:lvlJc w:val="left"/>
      <w:pPr>
        <w:ind w:left="473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6EE129C">
      <w:start w:val="1"/>
      <w:numFmt w:val="bullet"/>
      <w:lvlText w:val="o"/>
      <w:lvlJc w:val="left"/>
      <w:pPr>
        <w:ind w:left="545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3243728">
      <w:start w:val="1"/>
      <w:numFmt w:val="bullet"/>
      <w:lvlText w:val="▪"/>
      <w:lvlJc w:val="left"/>
      <w:pPr>
        <w:ind w:left="617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13" w15:restartNumberingAfterBreak="0">
    <w:nsid w:val="6F8339F0"/>
    <w:multiLevelType w:val="hybridMultilevel"/>
    <w:tmpl w:val="BB22BC88"/>
    <w:lvl w:ilvl="0" w:tplc="2D881962">
      <w:start w:val="1"/>
      <w:numFmt w:val="bullet"/>
      <w:lvlText w:val="•"/>
      <w:lvlJc w:val="left"/>
      <w:pPr>
        <w:ind w:left="17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BA0F408">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61903AF4">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C68FD34">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81E6028">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12EE836">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A86DE72">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7081060">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829065F4">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14" w15:restartNumberingAfterBreak="0">
    <w:nsid w:val="701A62B9"/>
    <w:multiLevelType w:val="hybridMultilevel"/>
    <w:tmpl w:val="3B3270C2"/>
    <w:lvl w:ilvl="0" w:tplc="47C6EB1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864E0C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A2C07D4">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E86284C">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B44F4A0">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429A8D2E">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A8AA10FE">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BE4DBA4">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B461D26">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15" w15:restartNumberingAfterBreak="0">
    <w:nsid w:val="70A53E58"/>
    <w:multiLevelType w:val="hybridMultilevel"/>
    <w:tmpl w:val="F98282F6"/>
    <w:lvl w:ilvl="0" w:tplc="89B8EE56">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7AEE3B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DB096D8">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80E4DE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0225E2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57ECE3E">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F840E5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49468D98">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92037C8">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16" w15:restartNumberingAfterBreak="0">
    <w:nsid w:val="70E67F82"/>
    <w:multiLevelType w:val="hybridMultilevel"/>
    <w:tmpl w:val="D4A0BD70"/>
    <w:lvl w:ilvl="0" w:tplc="231893E0">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46E7774">
      <w:start w:val="1"/>
      <w:numFmt w:val="bullet"/>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10923326">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B8EA6B06">
      <w:start w:val="1"/>
      <w:numFmt w:val="bullet"/>
      <w:lvlText w:val="•"/>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1C007F46">
      <w:start w:val="1"/>
      <w:numFmt w:val="bullet"/>
      <w:lvlText w:val="o"/>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2BEEABB0">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0C86DE42">
      <w:start w:val="1"/>
      <w:numFmt w:val="bullet"/>
      <w:lvlText w:val="•"/>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49BABF00">
      <w:start w:val="1"/>
      <w:numFmt w:val="bullet"/>
      <w:lvlText w:val="o"/>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015EC718">
      <w:start w:val="1"/>
      <w:numFmt w:val="bullet"/>
      <w:lvlText w:val="▪"/>
      <w:lvlJc w:val="left"/>
      <w:pPr>
        <w:ind w:left="56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317" w15:restartNumberingAfterBreak="0">
    <w:nsid w:val="713A1529"/>
    <w:multiLevelType w:val="hybridMultilevel"/>
    <w:tmpl w:val="F9722F08"/>
    <w:lvl w:ilvl="0" w:tplc="CE669E6E">
      <w:start w:val="1"/>
      <w:numFmt w:val="bullet"/>
      <w:lvlText w:val="•"/>
      <w:lvlJc w:val="left"/>
      <w:pPr>
        <w:ind w:left="39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42CF88E">
      <w:start w:val="1"/>
      <w:numFmt w:val="bullet"/>
      <w:lvlText w:val="o"/>
      <w:lvlJc w:val="left"/>
      <w:pPr>
        <w:ind w:left="12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7263DF2">
      <w:start w:val="1"/>
      <w:numFmt w:val="bullet"/>
      <w:lvlText w:val="▪"/>
      <w:lvlJc w:val="left"/>
      <w:pPr>
        <w:ind w:left="19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34EDCA8">
      <w:start w:val="1"/>
      <w:numFmt w:val="bullet"/>
      <w:lvlText w:val="•"/>
      <w:lvlJc w:val="left"/>
      <w:pPr>
        <w:ind w:left="26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8289CBC">
      <w:start w:val="1"/>
      <w:numFmt w:val="bullet"/>
      <w:lvlText w:val="o"/>
      <w:lvlJc w:val="left"/>
      <w:pPr>
        <w:ind w:left="33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9EE9142">
      <w:start w:val="1"/>
      <w:numFmt w:val="bullet"/>
      <w:lvlText w:val="▪"/>
      <w:lvlJc w:val="left"/>
      <w:pPr>
        <w:ind w:left="40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3FAB0C2">
      <w:start w:val="1"/>
      <w:numFmt w:val="bullet"/>
      <w:lvlText w:val="•"/>
      <w:lvlJc w:val="left"/>
      <w:pPr>
        <w:ind w:left="48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E48F8EC">
      <w:start w:val="1"/>
      <w:numFmt w:val="bullet"/>
      <w:lvlText w:val="o"/>
      <w:lvlJc w:val="left"/>
      <w:pPr>
        <w:ind w:left="55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0340A34">
      <w:start w:val="1"/>
      <w:numFmt w:val="bullet"/>
      <w:lvlText w:val="▪"/>
      <w:lvlJc w:val="left"/>
      <w:pPr>
        <w:ind w:left="62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18" w15:restartNumberingAfterBreak="0">
    <w:nsid w:val="719231CC"/>
    <w:multiLevelType w:val="hybridMultilevel"/>
    <w:tmpl w:val="26D41638"/>
    <w:lvl w:ilvl="0" w:tplc="B0E49160">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7B091EC">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2400C6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D8EA888">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83CB6A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0DB63CDA">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A8C1BB2">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E46ED118">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CAAA12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19" w15:restartNumberingAfterBreak="0">
    <w:nsid w:val="721D13BD"/>
    <w:multiLevelType w:val="hybridMultilevel"/>
    <w:tmpl w:val="B6265102"/>
    <w:lvl w:ilvl="0" w:tplc="51CA385C">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F5C95B0">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4506DC6">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752F738">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3868FCE">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09465B6">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D16D0EE">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4A8843C">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4DE2554">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20" w15:restartNumberingAfterBreak="0">
    <w:nsid w:val="721E41F3"/>
    <w:multiLevelType w:val="hybridMultilevel"/>
    <w:tmpl w:val="6EB0D29C"/>
    <w:lvl w:ilvl="0" w:tplc="27648286">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D202179C">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8C46BD4">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57EFE98">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B68539A">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A54408E">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CE0C2E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19CAA24">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2725D50">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21" w15:restartNumberingAfterBreak="0">
    <w:nsid w:val="72475A55"/>
    <w:multiLevelType w:val="hybridMultilevel"/>
    <w:tmpl w:val="767AC6B0"/>
    <w:lvl w:ilvl="0" w:tplc="F5D6A41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95A990A">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486DA92">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CBE67EE">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8DC07CBE">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3C2EDEC">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CB66F20">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F8A75F0">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7F44726">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22" w15:restartNumberingAfterBreak="0">
    <w:nsid w:val="730B2BF6"/>
    <w:multiLevelType w:val="hybridMultilevel"/>
    <w:tmpl w:val="89A03048"/>
    <w:lvl w:ilvl="0" w:tplc="BC6AC2A8">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2FCDC26">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74C83D2">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7C0C45B0">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01BCE6A6">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063C9C54">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6623D94">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794338A">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8D1E3226">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23" w15:restartNumberingAfterBreak="0">
    <w:nsid w:val="73590067"/>
    <w:multiLevelType w:val="hybridMultilevel"/>
    <w:tmpl w:val="3050B23A"/>
    <w:lvl w:ilvl="0" w:tplc="D52A58EA">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68E6860">
      <w:start w:val="1"/>
      <w:numFmt w:val="bullet"/>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859660E8">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06DA4680">
      <w:start w:val="1"/>
      <w:numFmt w:val="bullet"/>
      <w:lvlText w:val="•"/>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162A8F78">
      <w:start w:val="1"/>
      <w:numFmt w:val="bullet"/>
      <w:lvlText w:val="o"/>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954E46E6">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6D42011C">
      <w:start w:val="1"/>
      <w:numFmt w:val="bullet"/>
      <w:lvlText w:val="•"/>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0F06D91E">
      <w:start w:val="1"/>
      <w:numFmt w:val="bullet"/>
      <w:lvlText w:val="o"/>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F7C627A0">
      <w:start w:val="1"/>
      <w:numFmt w:val="bullet"/>
      <w:lvlText w:val="▪"/>
      <w:lvlJc w:val="left"/>
      <w:pPr>
        <w:ind w:left="56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324" w15:restartNumberingAfterBreak="0">
    <w:nsid w:val="73CD5E1E"/>
    <w:multiLevelType w:val="hybridMultilevel"/>
    <w:tmpl w:val="E4D0B99C"/>
    <w:lvl w:ilvl="0" w:tplc="3C04DEF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420D56C">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DDCACEE">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D6A0820">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568BBFE">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F02A910">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01EC664">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BA85202">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E3A4564">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25" w15:restartNumberingAfterBreak="0">
    <w:nsid w:val="73ED0931"/>
    <w:multiLevelType w:val="hybridMultilevel"/>
    <w:tmpl w:val="B948AC76"/>
    <w:lvl w:ilvl="0" w:tplc="D49AB97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2D43E0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3A8547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E1E8088">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4F81EA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3F65112">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26044F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DDE789E">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E3A2D76">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26" w15:restartNumberingAfterBreak="0">
    <w:nsid w:val="74245F11"/>
    <w:multiLevelType w:val="hybridMultilevel"/>
    <w:tmpl w:val="93A21D6E"/>
    <w:lvl w:ilvl="0" w:tplc="706ECCAC">
      <w:start w:val="1"/>
      <w:numFmt w:val="bullet"/>
      <w:lvlText w:val="9"/>
      <w:lvlJc w:val="left"/>
      <w:pPr>
        <w:ind w:left="17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73EC8146">
      <w:start w:val="1"/>
      <w:numFmt w:val="bullet"/>
      <w:lvlText w:val="o"/>
      <w:lvlJc w:val="left"/>
      <w:pPr>
        <w:ind w:left="1135"/>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E7BE03EA">
      <w:start w:val="1"/>
      <w:numFmt w:val="bullet"/>
      <w:lvlText w:val="▪"/>
      <w:lvlJc w:val="left"/>
      <w:pPr>
        <w:ind w:left="1855"/>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939A040C">
      <w:start w:val="1"/>
      <w:numFmt w:val="bullet"/>
      <w:lvlText w:val="•"/>
      <w:lvlJc w:val="left"/>
      <w:pPr>
        <w:ind w:left="2575"/>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91C007F2">
      <w:start w:val="1"/>
      <w:numFmt w:val="bullet"/>
      <w:lvlText w:val="o"/>
      <w:lvlJc w:val="left"/>
      <w:pPr>
        <w:ind w:left="3295"/>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274E6714">
      <w:start w:val="1"/>
      <w:numFmt w:val="bullet"/>
      <w:lvlText w:val="▪"/>
      <w:lvlJc w:val="left"/>
      <w:pPr>
        <w:ind w:left="4015"/>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CA024026">
      <w:start w:val="1"/>
      <w:numFmt w:val="bullet"/>
      <w:lvlText w:val="•"/>
      <w:lvlJc w:val="left"/>
      <w:pPr>
        <w:ind w:left="4735"/>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74E29F88">
      <w:start w:val="1"/>
      <w:numFmt w:val="bullet"/>
      <w:lvlText w:val="o"/>
      <w:lvlJc w:val="left"/>
      <w:pPr>
        <w:ind w:left="5455"/>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98604A56">
      <w:start w:val="1"/>
      <w:numFmt w:val="bullet"/>
      <w:lvlText w:val="▪"/>
      <w:lvlJc w:val="left"/>
      <w:pPr>
        <w:ind w:left="6175"/>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327" w15:restartNumberingAfterBreak="0">
    <w:nsid w:val="74257090"/>
    <w:multiLevelType w:val="hybridMultilevel"/>
    <w:tmpl w:val="0B4C9FA2"/>
    <w:lvl w:ilvl="0" w:tplc="9E1ACF4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E82563C">
      <w:start w:val="1"/>
      <w:numFmt w:val="bullet"/>
      <w:lvlText w:val="o"/>
      <w:lvlJc w:val="left"/>
      <w:pPr>
        <w:ind w:left="11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D28BBE2">
      <w:start w:val="1"/>
      <w:numFmt w:val="bullet"/>
      <w:lvlText w:val="▪"/>
      <w:lvlJc w:val="left"/>
      <w:pPr>
        <w:ind w:left="18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7E85696">
      <w:start w:val="1"/>
      <w:numFmt w:val="bullet"/>
      <w:lvlText w:val="•"/>
      <w:lvlJc w:val="left"/>
      <w:pPr>
        <w:ind w:left="25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0D2609E">
      <w:start w:val="1"/>
      <w:numFmt w:val="bullet"/>
      <w:lvlText w:val="o"/>
      <w:lvlJc w:val="left"/>
      <w:pPr>
        <w:ind w:left="329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C066500">
      <w:start w:val="1"/>
      <w:numFmt w:val="bullet"/>
      <w:lvlText w:val="▪"/>
      <w:lvlJc w:val="left"/>
      <w:pPr>
        <w:ind w:left="401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774F598">
      <w:start w:val="1"/>
      <w:numFmt w:val="bullet"/>
      <w:lvlText w:val="•"/>
      <w:lvlJc w:val="left"/>
      <w:pPr>
        <w:ind w:left="473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47A343A">
      <w:start w:val="1"/>
      <w:numFmt w:val="bullet"/>
      <w:lvlText w:val="o"/>
      <w:lvlJc w:val="left"/>
      <w:pPr>
        <w:ind w:left="545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20495AE">
      <w:start w:val="1"/>
      <w:numFmt w:val="bullet"/>
      <w:lvlText w:val="▪"/>
      <w:lvlJc w:val="left"/>
      <w:pPr>
        <w:ind w:left="617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28" w15:restartNumberingAfterBreak="0">
    <w:nsid w:val="742F7F43"/>
    <w:multiLevelType w:val="hybridMultilevel"/>
    <w:tmpl w:val="DF2C3536"/>
    <w:lvl w:ilvl="0" w:tplc="C63C959A">
      <w:start w:val="1"/>
      <w:numFmt w:val="decimal"/>
      <w:lvlText w:val="%1."/>
      <w:lvlJc w:val="left"/>
      <w:pPr>
        <w:ind w:left="283"/>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BE74076A">
      <w:start w:val="1"/>
      <w:numFmt w:val="lowerLetter"/>
      <w:lvlText w:val="%2"/>
      <w:lvlJc w:val="left"/>
      <w:pPr>
        <w:ind w:left="10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B864644A">
      <w:start w:val="1"/>
      <w:numFmt w:val="lowerRoman"/>
      <w:lvlText w:val="%3"/>
      <w:lvlJc w:val="left"/>
      <w:pPr>
        <w:ind w:left="18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E9620DF8">
      <w:start w:val="1"/>
      <w:numFmt w:val="decimal"/>
      <w:lvlText w:val="%4"/>
      <w:lvlJc w:val="left"/>
      <w:pPr>
        <w:ind w:left="2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21BCB580">
      <w:start w:val="1"/>
      <w:numFmt w:val="lowerLetter"/>
      <w:lvlText w:val="%5"/>
      <w:lvlJc w:val="left"/>
      <w:pPr>
        <w:ind w:left="32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7ED2C3E4">
      <w:start w:val="1"/>
      <w:numFmt w:val="lowerRoman"/>
      <w:lvlText w:val="%6"/>
      <w:lvlJc w:val="left"/>
      <w:pPr>
        <w:ind w:left="39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BAF270AE">
      <w:start w:val="1"/>
      <w:numFmt w:val="decimal"/>
      <w:lvlText w:val="%7"/>
      <w:lvlJc w:val="left"/>
      <w:pPr>
        <w:ind w:left="46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3EE2D1AC">
      <w:start w:val="1"/>
      <w:numFmt w:val="lowerLetter"/>
      <w:lvlText w:val="%8"/>
      <w:lvlJc w:val="left"/>
      <w:pPr>
        <w:ind w:left="54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6660FC6C">
      <w:start w:val="1"/>
      <w:numFmt w:val="lowerRoman"/>
      <w:lvlText w:val="%9"/>
      <w:lvlJc w:val="left"/>
      <w:pPr>
        <w:ind w:left="61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329" w15:restartNumberingAfterBreak="0">
    <w:nsid w:val="74EE1F18"/>
    <w:multiLevelType w:val="hybridMultilevel"/>
    <w:tmpl w:val="34AC09A4"/>
    <w:lvl w:ilvl="0" w:tplc="5B8A388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604F26E">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D3E2B88">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B0EBAC0">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396A2DC">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2D4C1A8">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27C8FF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DC0EAF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9A3A4A08">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30" w15:restartNumberingAfterBreak="0">
    <w:nsid w:val="7505118D"/>
    <w:multiLevelType w:val="hybridMultilevel"/>
    <w:tmpl w:val="02A014A0"/>
    <w:lvl w:ilvl="0" w:tplc="91ACFDE0">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5988E44">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94E8228">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7244070">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76C0BBC">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ACCC9CE">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CD4EF5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BE4A130">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D6A3FD0">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31" w15:restartNumberingAfterBreak="0">
    <w:nsid w:val="75160D73"/>
    <w:multiLevelType w:val="hybridMultilevel"/>
    <w:tmpl w:val="6D14F3FA"/>
    <w:lvl w:ilvl="0" w:tplc="5F90A3B6">
      <w:start w:val="1"/>
      <w:numFmt w:val="bullet"/>
      <w:lvlText w:val="–"/>
      <w:lvlJc w:val="left"/>
      <w:pPr>
        <w:ind w:left="3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8E621CC">
      <w:start w:val="1"/>
      <w:numFmt w:val="bullet"/>
      <w:lvlText w:val="o"/>
      <w:lvlJc w:val="left"/>
      <w:pPr>
        <w:ind w:left="13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C8C66E4">
      <w:start w:val="1"/>
      <w:numFmt w:val="bullet"/>
      <w:lvlText w:val="▪"/>
      <w:lvlJc w:val="left"/>
      <w:pPr>
        <w:ind w:left="20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D8E569A">
      <w:start w:val="1"/>
      <w:numFmt w:val="bullet"/>
      <w:lvlText w:val="•"/>
      <w:lvlJc w:val="left"/>
      <w:pPr>
        <w:ind w:left="27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DBC7D5C">
      <w:start w:val="1"/>
      <w:numFmt w:val="bullet"/>
      <w:lvlText w:val="o"/>
      <w:lvlJc w:val="left"/>
      <w:pPr>
        <w:ind w:left="346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922B11C">
      <w:start w:val="1"/>
      <w:numFmt w:val="bullet"/>
      <w:lvlText w:val="▪"/>
      <w:lvlJc w:val="left"/>
      <w:pPr>
        <w:ind w:left="418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6500786">
      <w:start w:val="1"/>
      <w:numFmt w:val="bullet"/>
      <w:lvlText w:val="•"/>
      <w:lvlJc w:val="left"/>
      <w:pPr>
        <w:ind w:left="490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125493BC">
      <w:start w:val="1"/>
      <w:numFmt w:val="bullet"/>
      <w:lvlText w:val="o"/>
      <w:lvlJc w:val="left"/>
      <w:pPr>
        <w:ind w:left="562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B26D990">
      <w:start w:val="1"/>
      <w:numFmt w:val="bullet"/>
      <w:lvlText w:val="▪"/>
      <w:lvlJc w:val="left"/>
      <w:pPr>
        <w:ind w:left="6346"/>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32" w15:restartNumberingAfterBreak="0">
    <w:nsid w:val="754D5839"/>
    <w:multiLevelType w:val="hybridMultilevel"/>
    <w:tmpl w:val="9F5E46FA"/>
    <w:lvl w:ilvl="0" w:tplc="3A9CF584">
      <w:start w:val="1"/>
      <w:numFmt w:val="decimal"/>
      <w:lvlText w:val="%1."/>
      <w:lvlJc w:val="left"/>
      <w:pPr>
        <w:ind w:left="2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BBA92E4">
      <w:start w:val="1"/>
      <w:numFmt w:val="lowerLetter"/>
      <w:lvlText w:val="%2"/>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7F29174">
      <w:start w:val="1"/>
      <w:numFmt w:val="lowerRoman"/>
      <w:lvlText w:val="%3"/>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0B2BF9E">
      <w:start w:val="1"/>
      <w:numFmt w:val="decimal"/>
      <w:lvlText w:val="%4"/>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8F2EFAC">
      <w:start w:val="1"/>
      <w:numFmt w:val="lowerLetter"/>
      <w:lvlText w:val="%5"/>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30C4574">
      <w:start w:val="1"/>
      <w:numFmt w:val="lowerRoman"/>
      <w:lvlText w:val="%6"/>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88C3274">
      <w:start w:val="1"/>
      <w:numFmt w:val="decimal"/>
      <w:lvlText w:val="%7"/>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4E60A06">
      <w:start w:val="1"/>
      <w:numFmt w:val="lowerLetter"/>
      <w:lvlText w:val="%8"/>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D7A63D0">
      <w:start w:val="1"/>
      <w:numFmt w:val="lowerRoman"/>
      <w:lvlText w:val="%9"/>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33" w15:restartNumberingAfterBreak="0">
    <w:nsid w:val="77327C3C"/>
    <w:multiLevelType w:val="hybridMultilevel"/>
    <w:tmpl w:val="97981E66"/>
    <w:lvl w:ilvl="0" w:tplc="6FB26B4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570A0D8">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2ACE8CA">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9C4B8E8">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6F65804">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D0254EC">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A38BB22">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ACA530E">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5329970">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34" w15:restartNumberingAfterBreak="0">
    <w:nsid w:val="777F1DED"/>
    <w:multiLevelType w:val="hybridMultilevel"/>
    <w:tmpl w:val="6C4ACF64"/>
    <w:lvl w:ilvl="0" w:tplc="C8388352">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2628A5A">
      <w:start w:val="1"/>
      <w:numFmt w:val="bullet"/>
      <w:lvlText w:val="o"/>
      <w:lvlJc w:val="left"/>
      <w:pPr>
        <w:ind w:left="10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2DF8C762">
      <w:start w:val="1"/>
      <w:numFmt w:val="bullet"/>
      <w:lvlText w:val="▪"/>
      <w:lvlJc w:val="left"/>
      <w:pPr>
        <w:ind w:left="18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650C8DC">
      <w:start w:val="1"/>
      <w:numFmt w:val="bullet"/>
      <w:lvlText w:val="•"/>
      <w:lvlJc w:val="left"/>
      <w:pPr>
        <w:ind w:left="25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EDAADEC">
      <w:start w:val="1"/>
      <w:numFmt w:val="bullet"/>
      <w:lvlText w:val="o"/>
      <w:lvlJc w:val="left"/>
      <w:pPr>
        <w:ind w:left="324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F7EF6DE">
      <w:start w:val="1"/>
      <w:numFmt w:val="bullet"/>
      <w:lvlText w:val="▪"/>
      <w:lvlJc w:val="left"/>
      <w:pPr>
        <w:ind w:left="396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C08FD84">
      <w:start w:val="1"/>
      <w:numFmt w:val="bullet"/>
      <w:lvlText w:val="•"/>
      <w:lvlJc w:val="left"/>
      <w:pPr>
        <w:ind w:left="468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32C026A">
      <w:start w:val="1"/>
      <w:numFmt w:val="bullet"/>
      <w:lvlText w:val="o"/>
      <w:lvlJc w:val="left"/>
      <w:pPr>
        <w:ind w:left="540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9CE2DF8">
      <w:start w:val="1"/>
      <w:numFmt w:val="bullet"/>
      <w:lvlText w:val="▪"/>
      <w:lvlJc w:val="left"/>
      <w:pPr>
        <w:ind w:left="612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35" w15:restartNumberingAfterBreak="0">
    <w:nsid w:val="77960507"/>
    <w:multiLevelType w:val="hybridMultilevel"/>
    <w:tmpl w:val="053AC6B0"/>
    <w:lvl w:ilvl="0" w:tplc="D90E9196">
      <w:start w:val="1"/>
      <w:numFmt w:val="bullet"/>
      <w:lvlText w:val="•"/>
      <w:lvlJc w:val="left"/>
      <w:pPr>
        <w:ind w:left="56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41C8E08">
      <w:start w:val="1"/>
      <w:numFmt w:val="bullet"/>
      <w:lvlText w:val="o"/>
      <w:lvlJc w:val="left"/>
      <w:pPr>
        <w:ind w:left="13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5763150">
      <w:start w:val="1"/>
      <w:numFmt w:val="bullet"/>
      <w:lvlText w:val="▪"/>
      <w:lvlJc w:val="left"/>
      <w:pPr>
        <w:ind w:left="20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6AE6108">
      <w:start w:val="1"/>
      <w:numFmt w:val="bullet"/>
      <w:lvlText w:val="•"/>
      <w:lvlJc w:val="left"/>
      <w:pPr>
        <w:ind w:left="28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330479E">
      <w:start w:val="1"/>
      <w:numFmt w:val="bullet"/>
      <w:lvlText w:val="o"/>
      <w:lvlJc w:val="left"/>
      <w:pPr>
        <w:ind w:left="35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67A602A">
      <w:start w:val="1"/>
      <w:numFmt w:val="bullet"/>
      <w:lvlText w:val="▪"/>
      <w:lvlJc w:val="left"/>
      <w:pPr>
        <w:ind w:left="42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59C32E4">
      <w:start w:val="1"/>
      <w:numFmt w:val="bullet"/>
      <w:lvlText w:val="•"/>
      <w:lvlJc w:val="left"/>
      <w:pPr>
        <w:ind w:left="49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A24E21A2">
      <w:start w:val="1"/>
      <w:numFmt w:val="bullet"/>
      <w:lvlText w:val="o"/>
      <w:lvlJc w:val="left"/>
      <w:pPr>
        <w:ind w:left="56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68A2B04">
      <w:start w:val="1"/>
      <w:numFmt w:val="bullet"/>
      <w:lvlText w:val="▪"/>
      <w:lvlJc w:val="left"/>
      <w:pPr>
        <w:ind w:left="64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36" w15:restartNumberingAfterBreak="0">
    <w:nsid w:val="77B2373A"/>
    <w:multiLevelType w:val="hybridMultilevel"/>
    <w:tmpl w:val="D88050AA"/>
    <w:lvl w:ilvl="0" w:tplc="DFCE6EE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5521A6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77C1B44">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BB0DEE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D382EE4">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443E87BE">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152C404">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3FE5048">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3368716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37" w15:restartNumberingAfterBreak="0">
    <w:nsid w:val="78261B87"/>
    <w:multiLevelType w:val="hybridMultilevel"/>
    <w:tmpl w:val="79067064"/>
    <w:lvl w:ilvl="0" w:tplc="39389D92">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500C2F2">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3D21DC2">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ECC24FE4">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E866F3C">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44CB172">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07EC3B2">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4B805D0">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B08CEFC">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38" w15:restartNumberingAfterBreak="0">
    <w:nsid w:val="7845405E"/>
    <w:multiLevelType w:val="hybridMultilevel"/>
    <w:tmpl w:val="2B5CB948"/>
    <w:lvl w:ilvl="0" w:tplc="A3C65018">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4183738">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73C4C40">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79C8182">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C1A2114">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85C07698">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1B07A34">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CE8DFD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5449020">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39" w15:restartNumberingAfterBreak="0">
    <w:nsid w:val="78D549AE"/>
    <w:multiLevelType w:val="hybridMultilevel"/>
    <w:tmpl w:val="9CC474EA"/>
    <w:lvl w:ilvl="0" w:tplc="AD922EDE">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6869452">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83862D06">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D444DC2">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867EEFA8">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2EE00F2">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27C4DA2">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AC6E71C0">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3A2DFF4">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40" w15:restartNumberingAfterBreak="0">
    <w:nsid w:val="79190F7A"/>
    <w:multiLevelType w:val="hybridMultilevel"/>
    <w:tmpl w:val="EC02BD80"/>
    <w:lvl w:ilvl="0" w:tplc="661219F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0B20A22">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1B23D7C">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EE40FBC">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0126672">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BE5C418E">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49DABCE4">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FDC52AE">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3A84CE0">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41" w15:restartNumberingAfterBreak="0">
    <w:nsid w:val="791F7937"/>
    <w:multiLevelType w:val="hybridMultilevel"/>
    <w:tmpl w:val="22244B20"/>
    <w:lvl w:ilvl="0" w:tplc="98CC6FFE">
      <w:start w:val="1"/>
      <w:numFmt w:val="bullet"/>
      <w:lvlText w:val="–"/>
      <w:lvlJc w:val="left"/>
      <w:pPr>
        <w:ind w:left="34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C1214C4">
      <w:start w:val="1"/>
      <w:numFmt w:val="bullet"/>
      <w:lvlText w:val="o"/>
      <w:lvlJc w:val="left"/>
      <w:pPr>
        <w:ind w:left="130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0B4DA62">
      <w:start w:val="1"/>
      <w:numFmt w:val="bullet"/>
      <w:lvlText w:val="▪"/>
      <w:lvlJc w:val="left"/>
      <w:pPr>
        <w:ind w:left="20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3D44802">
      <w:start w:val="1"/>
      <w:numFmt w:val="bullet"/>
      <w:lvlText w:val="•"/>
      <w:lvlJc w:val="left"/>
      <w:pPr>
        <w:ind w:left="274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7848D46">
      <w:start w:val="1"/>
      <w:numFmt w:val="bullet"/>
      <w:lvlText w:val="o"/>
      <w:lvlJc w:val="left"/>
      <w:pPr>
        <w:ind w:left="346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A40A4D4">
      <w:start w:val="1"/>
      <w:numFmt w:val="bullet"/>
      <w:lvlText w:val="▪"/>
      <w:lvlJc w:val="left"/>
      <w:pPr>
        <w:ind w:left="418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D0CE610">
      <w:start w:val="1"/>
      <w:numFmt w:val="bullet"/>
      <w:lvlText w:val="•"/>
      <w:lvlJc w:val="left"/>
      <w:pPr>
        <w:ind w:left="490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6C29D94">
      <w:start w:val="1"/>
      <w:numFmt w:val="bullet"/>
      <w:lvlText w:val="o"/>
      <w:lvlJc w:val="left"/>
      <w:pPr>
        <w:ind w:left="562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6E802D4">
      <w:start w:val="1"/>
      <w:numFmt w:val="bullet"/>
      <w:lvlText w:val="▪"/>
      <w:lvlJc w:val="left"/>
      <w:pPr>
        <w:ind w:left="634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42" w15:restartNumberingAfterBreak="0">
    <w:nsid w:val="795E6A5E"/>
    <w:multiLevelType w:val="hybridMultilevel"/>
    <w:tmpl w:val="CEA89CB8"/>
    <w:lvl w:ilvl="0" w:tplc="E5569302">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B1C3190">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074EF8C">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1DA6E0C">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CC2D2FC">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1B2936C">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2F9E2468">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19EE2440">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7C614BC">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43" w15:restartNumberingAfterBreak="0">
    <w:nsid w:val="7960242E"/>
    <w:multiLevelType w:val="hybridMultilevel"/>
    <w:tmpl w:val="405A3456"/>
    <w:lvl w:ilvl="0" w:tplc="4454E1C0">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41BC2E1A">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67ACDE8">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BC1C2EAE">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7B8C128">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D647BB8">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FEC0C1E">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23E0BCBE">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4847E10">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44" w15:restartNumberingAfterBreak="0">
    <w:nsid w:val="7A3C3369"/>
    <w:multiLevelType w:val="hybridMultilevel"/>
    <w:tmpl w:val="E77E4A28"/>
    <w:lvl w:ilvl="0" w:tplc="722A20EA">
      <w:start w:val="1"/>
      <w:numFmt w:val="bullet"/>
      <w:lvlText w:val="•"/>
      <w:lvlJc w:val="left"/>
      <w:pPr>
        <w:ind w:left="17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18BE879A">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F362E4E">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500EAC4">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F72C764">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D4D4443A">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F800BF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17FA56EE">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4F2E2FE4">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45" w15:restartNumberingAfterBreak="0">
    <w:nsid w:val="7B860D9B"/>
    <w:multiLevelType w:val="hybridMultilevel"/>
    <w:tmpl w:val="664002E0"/>
    <w:lvl w:ilvl="0" w:tplc="B3C8992A">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50A51CA">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EB291EA">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3A4E9D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CF4A85A">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C30ABF0">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A02D9C6">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04F2031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8C87170">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46" w15:restartNumberingAfterBreak="0">
    <w:nsid w:val="7C2D1FE4"/>
    <w:multiLevelType w:val="hybridMultilevel"/>
    <w:tmpl w:val="2B888B42"/>
    <w:lvl w:ilvl="0" w:tplc="CAC46C20">
      <w:start w:val="1"/>
      <w:numFmt w:val="bullet"/>
      <w:lvlText w:val=""/>
      <w:lvlJc w:val="left"/>
      <w:pPr>
        <w:ind w:left="340"/>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1" w:tplc="A97C6A20">
      <w:start w:val="1"/>
      <w:numFmt w:val="bullet"/>
      <w:lvlText w:val="o"/>
      <w:lvlJc w:val="left"/>
      <w:pPr>
        <w:ind w:left="1307"/>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DC58A8FE">
      <w:start w:val="1"/>
      <w:numFmt w:val="bullet"/>
      <w:lvlText w:val="▪"/>
      <w:lvlJc w:val="left"/>
      <w:pPr>
        <w:ind w:left="2027"/>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96AE3594">
      <w:start w:val="1"/>
      <w:numFmt w:val="bullet"/>
      <w:lvlText w:val="•"/>
      <w:lvlJc w:val="left"/>
      <w:pPr>
        <w:ind w:left="2747"/>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F514BB80">
      <w:start w:val="1"/>
      <w:numFmt w:val="bullet"/>
      <w:lvlText w:val="o"/>
      <w:lvlJc w:val="left"/>
      <w:pPr>
        <w:ind w:left="3467"/>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CC58FBB2">
      <w:start w:val="1"/>
      <w:numFmt w:val="bullet"/>
      <w:lvlText w:val="▪"/>
      <w:lvlJc w:val="left"/>
      <w:pPr>
        <w:ind w:left="4187"/>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67A0C272">
      <w:start w:val="1"/>
      <w:numFmt w:val="bullet"/>
      <w:lvlText w:val="•"/>
      <w:lvlJc w:val="left"/>
      <w:pPr>
        <w:ind w:left="4907"/>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28A81BEE">
      <w:start w:val="1"/>
      <w:numFmt w:val="bullet"/>
      <w:lvlText w:val="o"/>
      <w:lvlJc w:val="left"/>
      <w:pPr>
        <w:ind w:left="5627"/>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FD00A97E">
      <w:start w:val="1"/>
      <w:numFmt w:val="bullet"/>
      <w:lvlText w:val="▪"/>
      <w:lvlJc w:val="left"/>
      <w:pPr>
        <w:ind w:left="6347"/>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347" w15:restartNumberingAfterBreak="0">
    <w:nsid w:val="7C3A038E"/>
    <w:multiLevelType w:val="hybridMultilevel"/>
    <w:tmpl w:val="2098E098"/>
    <w:lvl w:ilvl="0" w:tplc="B1C0AC08">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26E302A">
      <w:start w:val="1"/>
      <w:numFmt w:val="bullet"/>
      <w:lvlText w:val="•"/>
      <w:lvlJc w:val="left"/>
      <w:pPr>
        <w:ind w:left="56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0167FE8">
      <w:start w:val="1"/>
      <w:numFmt w:val="bullet"/>
      <w:lvlText w:val="▪"/>
      <w:lvlJc w:val="left"/>
      <w:pPr>
        <w:ind w:left="14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64CA8D8">
      <w:start w:val="1"/>
      <w:numFmt w:val="bullet"/>
      <w:lvlText w:val="•"/>
      <w:lvlJc w:val="left"/>
      <w:pPr>
        <w:ind w:left="21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E2800414">
      <w:start w:val="1"/>
      <w:numFmt w:val="bullet"/>
      <w:lvlText w:val="o"/>
      <w:lvlJc w:val="left"/>
      <w:pPr>
        <w:ind w:left="29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AA8C620">
      <w:start w:val="1"/>
      <w:numFmt w:val="bullet"/>
      <w:lvlText w:val="▪"/>
      <w:lvlJc w:val="left"/>
      <w:pPr>
        <w:ind w:left="36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5B8AF04">
      <w:start w:val="1"/>
      <w:numFmt w:val="bullet"/>
      <w:lvlText w:val="•"/>
      <w:lvlJc w:val="left"/>
      <w:pPr>
        <w:ind w:left="43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F825E04">
      <w:start w:val="1"/>
      <w:numFmt w:val="bullet"/>
      <w:lvlText w:val="o"/>
      <w:lvlJc w:val="left"/>
      <w:pPr>
        <w:ind w:left="50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A469630">
      <w:start w:val="1"/>
      <w:numFmt w:val="bullet"/>
      <w:lvlText w:val="▪"/>
      <w:lvlJc w:val="left"/>
      <w:pPr>
        <w:ind w:left="57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48" w15:restartNumberingAfterBreak="0">
    <w:nsid w:val="7C3C4F5A"/>
    <w:multiLevelType w:val="hybridMultilevel"/>
    <w:tmpl w:val="D938D570"/>
    <w:lvl w:ilvl="0" w:tplc="DF8473D6">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D7493F8">
      <w:start w:val="1"/>
      <w:numFmt w:val="bullet"/>
      <w:lvlText w:val=""/>
      <w:lvlJc w:val="left"/>
      <w:pPr>
        <w:ind w:left="569"/>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F45895A4">
      <w:start w:val="1"/>
      <w:numFmt w:val="bullet"/>
      <w:lvlText w:val="▪"/>
      <w:lvlJc w:val="left"/>
      <w:pPr>
        <w:ind w:left="13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2016659C">
      <w:start w:val="1"/>
      <w:numFmt w:val="bullet"/>
      <w:lvlText w:val="•"/>
      <w:lvlJc w:val="left"/>
      <w:pPr>
        <w:ind w:left="20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7CB6AE38">
      <w:start w:val="1"/>
      <w:numFmt w:val="bullet"/>
      <w:lvlText w:val="o"/>
      <w:lvlJc w:val="left"/>
      <w:pPr>
        <w:ind w:left="280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5014622A">
      <w:start w:val="1"/>
      <w:numFmt w:val="bullet"/>
      <w:lvlText w:val="▪"/>
      <w:lvlJc w:val="left"/>
      <w:pPr>
        <w:ind w:left="352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8530F8DA">
      <w:start w:val="1"/>
      <w:numFmt w:val="bullet"/>
      <w:lvlText w:val="•"/>
      <w:lvlJc w:val="left"/>
      <w:pPr>
        <w:ind w:left="424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72C68E22">
      <w:start w:val="1"/>
      <w:numFmt w:val="bullet"/>
      <w:lvlText w:val="o"/>
      <w:lvlJc w:val="left"/>
      <w:pPr>
        <w:ind w:left="496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3AC05C7E">
      <w:start w:val="1"/>
      <w:numFmt w:val="bullet"/>
      <w:lvlText w:val="▪"/>
      <w:lvlJc w:val="left"/>
      <w:pPr>
        <w:ind w:left="5684"/>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349" w15:restartNumberingAfterBreak="0">
    <w:nsid w:val="7C4A03FB"/>
    <w:multiLevelType w:val="hybridMultilevel"/>
    <w:tmpl w:val="E5DA956C"/>
    <w:lvl w:ilvl="0" w:tplc="D294076C">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8C41D9A">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1ED2AD70">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420CAC0">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D82EE4B0">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790273E">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0E2190E">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9AD8EA04">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3109C8C">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50" w15:restartNumberingAfterBreak="0">
    <w:nsid w:val="7C690F23"/>
    <w:multiLevelType w:val="hybridMultilevel"/>
    <w:tmpl w:val="DEA06330"/>
    <w:lvl w:ilvl="0" w:tplc="9740E7F4">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32C87FAA">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A583A8C">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2E88286">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BB1E02C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A082418E">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1C2152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7C3C85F6">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F7EEB32">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51" w15:restartNumberingAfterBreak="0">
    <w:nsid w:val="7C995685"/>
    <w:multiLevelType w:val="hybridMultilevel"/>
    <w:tmpl w:val="D89A0BF0"/>
    <w:lvl w:ilvl="0" w:tplc="38F0D13E">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20EDBA8">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44C43C6">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F645510">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AB4EF0A">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0CEC688">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C5A24A2">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940EB92">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4742010">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52" w15:restartNumberingAfterBreak="0">
    <w:nsid w:val="7CD1234A"/>
    <w:multiLevelType w:val="hybridMultilevel"/>
    <w:tmpl w:val="F0080880"/>
    <w:lvl w:ilvl="0" w:tplc="4F6E8B14">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2366601C">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AA2BEC0">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B586F26">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9EBE8A96">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D7ED798">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8C8673B0">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CAA47482">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2A94B67E">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53" w15:restartNumberingAfterBreak="0">
    <w:nsid w:val="7CFE70F2"/>
    <w:multiLevelType w:val="hybridMultilevel"/>
    <w:tmpl w:val="6EAE66C6"/>
    <w:lvl w:ilvl="0" w:tplc="304E896C">
      <w:start w:val="1"/>
      <w:numFmt w:val="decimal"/>
      <w:lvlText w:val="%1"/>
      <w:lvlJc w:val="left"/>
      <w:pPr>
        <w:ind w:left="82"/>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1" w:tplc="69D0B3E2">
      <w:start w:val="1"/>
      <w:numFmt w:val="lowerLetter"/>
      <w:lvlText w:val="%2"/>
      <w:lvlJc w:val="left"/>
      <w:pPr>
        <w:ind w:left="1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2" w:tplc="5566BF7E">
      <w:start w:val="1"/>
      <w:numFmt w:val="lowerRoman"/>
      <w:lvlText w:val="%3"/>
      <w:lvlJc w:val="left"/>
      <w:pPr>
        <w:ind w:left="1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3" w:tplc="D368C376">
      <w:start w:val="1"/>
      <w:numFmt w:val="decimal"/>
      <w:lvlText w:val="%4"/>
      <w:lvlJc w:val="left"/>
      <w:pPr>
        <w:ind w:left="2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4" w:tplc="17BE144E">
      <w:start w:val="1"/>
      <w:numFmt w:val="lowerLetter"/>
      <w:lvlText w:val="%5"/>
      <w:lvlJc w:val="left"/>
      <w:pPr>
        <w:ind w:left="3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5" w:tplc="3CFE36B4">
      <w:start w:val="1"/>
      <w:numFmt w:val="lowerRoman"/>
      <w:lvlText w:val="%6"/>
      <w:lvlJc w:val="left"/>
      <w:pPr>
        <w:ind w:left="39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6" w:tplc="EE9C58B0">
      <w:start w:val="1"/>
      <w:numFmt w:val="decimal"/>
      <w:lvlText w:val="%7"/>
      <w:lvlJc w:val="left"/>
      <w:pPr>
        <w:ind w:left="46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7" w:tplc="DD824D18">
      <w:start w:val="1"/>
      <w:numFmt w:val="lowerLetter"/>
      <w:lvlText w:val="%8"/>
      <w:lvlJc w:val="left"/>
      <w:pPr>
        <w:ind w:left="54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lvl w:ilvl="8" w:tplc="2216F042">
      <w:start w:val="1"/>
      <w:numFmt w:val="lowerRoman"/>
      <w:lvlText w:val="%9"/>
      <w:lvlJc w:val="left"/>
      <w:pPr>
        <w:ind w:left="61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superscript"/>
      </w:rPr>
    </w:lvl>
  </w:abstractNum>
  <w:abstractNum w:abstractNumId="354" w15:restartNumberingAfterBreak="0">
    <w:nsid w:val="7D131BB6"/>
    <w:multiLevelType w:val="hybridMultilevel"/>
    <w:tmpl w:val="86E6A112"/>
    <w:lvl w:ilvl="0" w:tplc="B54CCC0E">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BCE0594C">
      <w:start w:val="1"/>
      <w:numFmt w:val="bullet"/>
      <w:lvlText w:val="•"/>
      <w:lvlJc w:val="left"/>
      <w:pPr>
        <w:ind w:left="56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E1E9976">
      <w:start w:val="1"/>
      <w:numFmt w:val="bullet"/>
      <w:lvlText w:val="▪"/>
      <w:lvlJc w:val="left"/>
      <w:pPr>
        <w:ind w:left="13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D7AC5A5E">
      <w:start w:val="1"/>
      <w:numFmt w:val="bullet"/>
      <w:lvlText w:val="•"/>
      <w:lvlJc w:val="left"/>
      <w:pPr>
        <w:ind w:left="20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CB424EA">
      <w:start w:val="1"/>
      <w:numFmt w:val="bullet"/>
      <w:lvlText w:val="o"/>
      <w:lvlJc w:val="left"/>
      <w:pPr>
        <w:ind w:left="280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671897DA">
      <w:start w:val="1"/>
      <w:numFmt w:val="bullet"/>
      <w:lvlText w:val="▪"/>
      <w:lvlJc w:val="left"/>
      <w:pPr>
        <w:ind w:left="352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34CABB5C">
      <w:start w:val="1"/>
      <w:numFmt w:val="bullet"/>
      <w:lvlText w:val="•"/>
      <w:lvlJc w:val="left"/>
      <w:pPr>
        <w:ind w:left="424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CCCA914">
      <w:start w:val="1"/>
      <w:numFmt w:val="bullet"/>
      <w:lvlText w:val="o"/>
      <w:lvlJc w:val="left"/>
      <w:pPr>
        <w:ind w:left="496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8AA8F3A">
      <w:start w:val="1"/>
      <w:numFmt w:val="bullet"/>
      <w:lvlText w:val="▪"/>
      <w:lvlJc w:val="left"/>
      <w:pPr>
        <w:ind w:left="56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55" w15:restartNumberingAfterBreak="0">
    <w:nsid w:val="7DB42328"/>
    <w:multiLevelType w:val="hybridMultilevel"/>
    <w:tmpl w:val="FCA03E58"/>
    <w:lvl w:ilvl="0" w:tplc="359C0844">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6A84904">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E98C556">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8F22C68">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2080174E">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2DE831C">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046D96C">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3C062EE">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7EE91BE">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56" w15:restartNumberingAfterBreak="0">
    <w:nsid w:val="7E41457E"/>
    <w:multiLevelType w:val="hybridMultilevel"/>
    <w:tmpl w:val="5B0A27FA"/>
    <w:lvl w:ilvl="0" w:tplc="0A1E939C">
      <w:start w:val="1"/>
      <w:numFmt w:val="decimal"/>
      <w:lvlText w:val="%1."/>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F441308">
      <w:start w:val="1"/>
      <w:numFmt w:val="bullet"/>
      <w:lvlText w:val="•"/>
      <w:lvlJc w:val="left"/>
      <w:pPr>
        <w:ind w:left="569"/>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7BDC35EC">
      <w:start w:val="1"/>
      <w:numFmt w:val="bullet"/>
      <w:lvlText w:val="▪"/>
      <w:lvlJc w:val="left"/>
      <w:pPr>
        <w:ind w:left="136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1624DF9A">
      <w:start w:val="1"/>
      <w:numFmt w:val="bullet"/>
      <w:lvlText w:val="•"/>
      <w:lvlJc w:val="left"/>
      <w:pPr>
        <w:ind w:left="208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BB08D5F6">
      <w:start w:val="1"/>
      <w:numFmt w:val="bullet"/>
      <w:lvlText w:val="o"/>
      <w:lvlJc w:val="left"/>
      <w:pPr>
        <w:ind w:left="280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BEB26AEA">
      <w:start w:val="1"/>
      <w:numFmt w:val="bullet"/>
      <w:lvlText w:val="▪"/>
      <w:lvlJc w:val="left"/>
      <w:pPr>
        <w:ind w:left="352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0C824626">
      <w:start w:val="1"/>
      <w:numFmt w:val="bullet"/>
      <w:lvlText w:val="•"/>
      <w:lvlJc w:val="left"/>
      <w:pPr>
        <w:ind w:left="424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9320A7C4">
      <w:start w:val="1"/>
      <w:numFmt w:val="bullet"/>
      <w:lvlText w:val="o"/>
      <w:lvlJc w:val="left"/>
      <w:pPr>
        <w:ind w:left="496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73BC6E6A">
      <w:start w:val="1"/>
      <w:numFmt w:val="bullet"/>
      <w:lvlText w:val="▪"/>
      <w:lvlJc w:val="left"/>
      <w:pPr>
        <w:ind w:left="5684"/>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357" w15:restartNumberingAfterBreak="0">
    <w:nsid w:val="7ED87967"/>
    <w:multiLevelType w:val="hybridMultilevel"/>
    <w:tmpl w:val="73BEDACA"/>
    <w:lvl w:ilvl="0" w:tplc="F9A03AD8">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5A6C694">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9FC6130">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01FEAF64">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DEE20B6">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9848D16">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CD064B6">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1F44D0CA">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10A2080">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58" w15:restartNumberingAfterBreak="0">
    <w:nsid w:val="7F257852"/>
    <w:multiLevelType w:val="hybridMultilevel"/>
    <w:tmpl w:val="8894388C"/>
    <w:lvl w:ilvl="0" w:tplc="C1929574">
      <w:start w:val="1"/>
      <w:numFmt w:val="bullet"/>
      <w:lvlText w:val="•"/>
      <w:lvlJc w:val="left"/>
      <w:pPr>
        <w:ind w:left="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1C0EFF2">
      <w:start w:val="1"/>
      <w:numFmt w:val="bullet"/>
      <w:lvlText w:val="o"/>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D6AE567C">
      <w:start w:val="1"/>
      <w:numFmt w:val="bullet"/>
      <w:lvlText w:val="▪"/>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E4E1DBA">
      <w:start w:val="1"/>
      <w:numFmt w:val="bullet"/>
      <w:lvlText w:val="•"/>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AE881952">
      <w:start w:val="1"/>
      <w:numFmt w:val="bullet"/>
      <w:lvlText w:val="o"/>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F643DC6">
      <w:start w:val="1"/>
      <w:numFmt w:val="bullet"/>
      <w:lvlText w:val="▪"/>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792DC48">
      <w:start w:val="1"/>
      <w:numFmt w:val="bullet"/>
      <w:lvlText w:val="•"/>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6622A76E">
      <w:start w:val="1"/>
      <w:numFmt w:val="bullet"/>
      <w:lvlText w:val="o"/>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DB9A3070">
      <w:start w:val="1"/>
      <w:numFmt w:val="bullet"/>
      <w:lvlText w:val="▪"/>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59" w15:restartNumberingAfterBreak="0">
    <w:nsid w:val="7F84488C"/>
    <w:multiLevelType w:val="hybridMultilevel"/>
    <w:tmpl w:val="CB30A306"/>
    <w:lvl w:ilvl="0" w:tplc="C0AE4430">
      <w:start w:val="1"/>
      <w:numFmt w:val="bullet"/>
      <w:lvlText w:val="•"/>
      <w:lvlJc w:val="left"/>
      <w:pPr>
        <w:ind w:left="17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6292140C">
      <w:start w:val="1"/>
      <w:numFmt w:val="bullet"/>
      <w:lvlText w:val="o"/>
      <w:lvlJc w:val="left"/>
      <w:pPr>
        <w:ind w:left="1137"/>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51160DA2">
      <w:start w:val="1"/>
      <w:numFmt w:val="bullet"/>
      <w:lvlText w:val="▪"/>
      <w:lvlJc w:val="left"/>
      <w:pPr>
        <w:ind w:left="1857"/>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7506F5C0">
      <w:start w:val="1"/>
      <w:numFmt w:val="bullet"/>
      <w:lvlText w:val="•"/>
      <w:lvlJc w:val="left"/>
      <w:pPr>
        <w:ind w:left="2577"/>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7C624D9A">
      <w:start w:val="1"/>
      <w:numFmt w:val="bullet"/>
      <w:lvlText w:val="o"/>
      <w:lvlJc w:val="left"/>
      <w:pPr>
        <w:ind w:left="3297"/>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9B22EA0A">
      <w:start w:val="1"/>
      <w:numFmt w:val="bullet"/>
      <w:lvlText w:val="▪"/>
      <w:lvlJc w:val="left"/>
      <w:pPr>
        <w:ind w:left="4017"/>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1152DFF0">
      <w:start w:val="1"/>
      <w:numFmt w:val="bullet"/>
      <w:lvlText w:val="•"/>
      <w:lvlJc w:val="left"/>
      <w:pPr>
        <w:ind w:left="4737"/>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84D08078">
      <w:start w:val="1"/>
      <w:numFmt w:val="bullet"/>
      <w:lvlText w:val="o"/>
      <w:lvlJc w:val="left"/>
      <w:pPr>
        <w:ind w:left="5457"/>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1038A49A">
      <w:start w:val="1"/>
      <w:numFmt w:val="bullet"/>
      <w:lvlText w:val="▪"/>
      <w:lvlJc w:val="left"/>
      <w:pPr>
        <w:ind w:left="6177"/>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360" w15:restartNumberingAfterBreak="0">
    <w:nsid w:val="7F942A62"/>
    <w:multiLevelType w:val="hybridMultilevel"/>
    <w:tmpl w:val="5986DB52"/>
    <w:lvl w:ilvl="0" w:tplc="8904C8BC">
      <w:start w:val="1"/>
      <w:numFmt w:val="bullet"/>
      <w:lvlText w:val="•"/>
      <w:lvlJc w:val="left"/>
      <w:pPr>
        <w:ind w:left="17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78245758">
      <w:start w:val="1"/>
      <w:numFmt w:val="bullet"/>
      <w:lvlText w:val="o"/>
      <w:lvlJc w:val="left"/>
      <w:pPr>
        <w:ind w:left="11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07C8142">
      <w:start w:val="1"/>
      <w:numFmt w:val="bullet"/>
      <w:lvlText w:val="▪"/>
      <w:lvlJc w:val="left"/>
      <w:pPr>
        <w:ind w:left="18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24BC89DE">
      <w:start w:val="1"/>
      <w:numFmt w:val="bullet"/>
      <w:lvlText w:val="•"/>
      <w:lvlJc w:val="left"/>
      <w:pPr>
        <w:ind w:left="25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FAA4586">
      <w:start w:val="1"/>
      <w:numFmt w:val="bullet"/>
      <w:lvlText w:val="o"/>
      <w:lvlJc w:val="left"/>
      <w:pPr>
        <w:ind w:left="32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870887E">
      <w:start w:val="1"/>
      <w:numFmt w:val="bullet"/>
      <w:lvlText w:val="▪"/>
      <w:lvlJc w:val="left"/>
      <w:pPr>
        <w:ind w:left="40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E4A8D9A">
      <w:start w:val="1"/>
      <w:numFmt w:val="bullet"/>
      <w:lvlText w:val="•"/>
      <w:lvlJc w:val="left"/>
      <w:pPr>
        <w:ind w:left="47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1A2B1D2">
      <w:start w:val="1"/>
      <w:numFmt w:val="bullet"/>
      <w:lvlText w:val="o"/>
      <w:lvlJc w:val="left"/>
      <w:pPr>
        <w:ind w:left="54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4EC0090">
      <w:start w:val="1"/>
      <w:numFmt w:val="bullet"/>
      <w:lvlText w:val="▪"/>
      <w:lvlJc w:val="left"/>
      <w:pPr>
        <w:ind w:left="61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num w:numId="1">
    <w:abstractNumId w:val="46"/>
  </w:num>
  <w:num w:numId="2">
    <w:abstractNumId w:val="276"/>
  </w:num>
  <w:num w:numId="3">
    <w:abstractNumId w:val="52"/>
  </w:num>
  <w:num w:numId="4">
    <w:abstractNumId w:val="236"/>
  </w:num>
  <w:num w:numId="5">
    <w:abstractNumId w:val="72"/>
  </w:num>
  <w:num w:numId="6">
    <w:abstractNumId w:val="178"/>
  </w:num>
  <w:num w:numId="7">
    <w:abstractNumId w:val="62"/>
  </w:num>
  <w:num w:numId="8">
    <w:abstractNumId w:val="149"/>
  </w:num>
  <w:num w:numId="9">
    <w:abstractNumId w:val="115"/>
  </w:num>
  <w:num w:numId="10">
    <w:abstractNumId w:val="297"/>
  </w:num>
  <w:num w:numId="11">
    <w:abstractNumId w:val="58"/>
  </w:num>
  <w:num w:numId="12">
    <w:abstractNumId w:val="114"/>
  </w:num>
  <w:num w:numId="13">
    <w:abstractNumId w:val="195"/>
  </w:num>
  <w:num w:numId="14">
    <w:abstractNumId w:val="59"/>
  </w:num>
  <w:num w:numId="15">
    <w:abstractNumId w:val="213"/>
  </w:num>
  <w:num w:numId="16">
    <w:abstractNumId w:val="159"/>
  </w:num>
  <w:num w:numId="17">
    <w:abstractNumId w:val="19"/>
  </w:num>
  <w:num w:numId="18">
    <w:abstractNumId w:val="289"/>
  </w:num>
  <w:num w:numId="19">
    <w:abstractNumId w:val="82"/>
  </w:num>
  <w:num w:numId="20">
    <w:abstractNumId w:val="154"/>
  </w:num>
  <w:num w:numId="21">
    <w:abstractNumId w:val="184"/>
  </w:num>
  <w:num w:numId="22">
    <w:abstractNumId w:val="246"/>
  </w:num>
  <w:num w:numId="23">
    <w:abstractNumId w:val="45"/>
  </w:num>
  <w:num w:numId="24">
    <w:abstractNumId w:val="56"/>
  </w:num>
  <w:num w:numId="25">
    <w:abstractNumId w:val="292"/>
  </w:num>
  <w:num w:numId="26">
    <w:abstractNumId w:val="240"/>
  </w:num>
  <w:num w:numId="27">
    <w:abstractNumId w:val="301"/>
  </w:num>
  <w:num w:numId="28">
    <w:abstractNumId w:val="109"/>
  </w:num>
  <w:num w:numId="29">
    <w:abstractNumId w:val="91"/>
  </w:num>
  <w:num w:numId="30">
    <w:abstractNumId w:val="272"/>
  </w:num>
  <w:num w:numId="31">
    <w:abstractNumId w:val="80"/>
  </w:num>
  <w:num w:numId="32">
    <w:abstractNumId w:val="1"/>
  </w:num>
  <w:num w:numId="33">
    <w:abstractNumId w:val="122"/>
  </w:num>
  <w:num w:numId="34">
    <w:abstractNumId w:val="66"/>
  </w:num>
  <w:num w:numId="35">
    <w:abstractNumId w:val="349"/>
  </w:num>
  <w:num w:numId="36">
    <w:abstractNumId w:val="74"/>
  </w:num>
  <w:num w:numId="37">
    <w:abstractNumId w:val="185"/>
  </w:num>
  <w:num w:numId="38">
    <w:abstractNumId w:val="249"/>
  </w:num>
  <w:num w:numId="39">
    <w:abstractNumId w:val="18"/>
  </w:num>
  <w:num w:numId="40">
    <w:abstractNumId w:val="238"/>
  </w:num>
  <w:num w:numId="41">
    <w:abstractNumId w:val="266"/>
  </w:num>
  <w:num w:numId="42">
    <w:abstractNumId w:val="121"/>
  </w:num>
  <w:num w:numId="43">
    <w:abstractNumId w:val="180"/>
  </w:num>
  <w:num w:numId="44">
    <w:abstractNumId w:val="279"/>
  </w:num>
  <w:num w:numId="45">
    <w:abstractNumId w:val="274"/>
  </w:num>
  <w:num w:numId="46">
    <w:abstractNumId w:val="356"/>
  </w:num>
  <w:num w:numId="47">
    <w:abstractNumId w:val="117"/>
  </w:num>
  <w:num w:numId="48">
    <w:abstractNumId w:val="255"/>
  </w:num>
  <w:num w:numId="49">
    <w:abstractNumId w:val="29"/>
  </w:num>
  <w:num w:numId="50">
    <w:abstractNumId w:val="141"/>
  </w:num>
  <w:num w:numId="51">
    <w:abstractNumId w:val="296"/>
  </w:num>
  <w:num w:numId="52">
    <w:abstractNumId w:val="300"/>
  </w:num>
  <w:num w:numId="53">
    <w:abstractNumId w:val="134"/>
  </w:num>
  <w:num w:numId="54">
    <w:abstractNumId w:val="11"/>
  </w:num>
  <w:num w:numId="55">
    <w:abstractNumId w:val="67"/>
  </w:num>
  <w:num w:numId="56">
    <w:abstractNumId w:val="323"/>
  </w:num>
  <w:num w:numId="57">
    <w:abstractNumId w:val="171"/>
  </w:num>
  <w:num w:numId="58">
    <w:abstractNumId w:val="33"/>
  </w:num>
  <w:num w:numId="59">
    <w:abstractNumId w:val="199"/>
  </w:num>
  <w:num w:numId="60">
    <w:abstractNumId w:val="260"/>
  </w:num>
  <w:num w:numId="61">
    <w:abstractNumId w:val="235"/>
  </w:num>
  <w:num w:numId="62">
    <w:abstractNumId w:val="194"/>
  </w:num>
  <w:num w:numId="63">
    <w:abstractNumId w:val="317"/>
  </w:num>
  <w:num w:numId="64">
    <w:abstractNumId w:val="337"/>
  </w:num>
  <w:num w:numId="65">
    <w:abstractNumId w:val="101"/>
  </w:num>
  <w:num w:numId="66">
    <w:abstractNumId w:val="146"/>
  </w:num>
  <w:num w:numId="67">
    <w:abstractNumId w:val="86"/>
  </w:num>
  <w:num w:numId="68">
    <w:abstractNumId w:val="214"/>
  </w:num>
  <w:num w:numId="69">
    <w:abstractNumId w:val="31"/>
  </w:num>
  <w:num w:numId="70">
    <w:abstractNumId w:val="182"/>
  </w:num>
  <w:num w:numId="71">
    <w:abstractNumId w:val="288"/>
  </w:num>
  <w:num w:numId="72">
    <w:abstractNumId w:val="17"/>
  </w:num>
  <w:num w:numId="73">
    <w:abstractNumId w:val="41"/>
  </w:num>
  <w:num w:numId="74">
    <w:abstractNumId w:val="283"/>
  </w:num>
  <w:num w:numId="75">
    <w:abstractNumId w:val="290"/>
  </w:num>
  <w:num w:numId="76">
    <w:abstractNumId w:val="226"/>
  </w:num>
  <w:num w:numId="77">
    <w:abstractNumId w:val="12"/>
  </w:num>
  <w:num w:numId="78">
    <w:abstractNumId w:val="244"/>
  </w:num>
  <w:num w:numId="79">
    <w:abstractNumId w:val="250"/>
  </w:num>
  <w:num w:numId="80">
    <w:abstractNumId w:val="358"/>
  </w:num>
  <w:num w:numId="81">
    <w:abstractNumId w:val="267"/>
  </w:num>
  <w:num w:numId="82">
    <w:abstractNumId w:val="39"/>
  </w:num>
  <w:num w:numId="83">
    <w:abstractNumId w:val="107"/>
  </w:num>
  <w:num w:numId="84">
    <w:abstractNumId w:val="37"/>
  </w:num>
  <w:num w:numId="85">
    <w:abstractNumId w:val="9"/>
  </w:num>
  <w:num w:numId="86">
    <w:abstractNumId w:val="248"/>
  </w:num>
  <w:num w:numId="87">
    <w:abstractNumId w:val="163"/>
  </w:num>
  <w:num w:numId="88">
    <w:abstractNumId w:val="145"/>
  </w:num>
  <w:num w:numId="89">
    <w:abstractNumId w:val="53"/>
  </w:num>
  <w:num w:numId="90">
    <w:abstractNumId w:val="277"/>
  </w:num>
  <w:num w:numId="91">
    <w:abstractNumId w:val="262"/>
  </w:num>
  <w:num w:numId="92">
    <w:abstractNumId w:val="179"/>
  </w:num>
  <w:num w:numId="93">
    <w:abstractNumId w:val="152"/>
  </w:num>
  <w:num w:numId="94">
    <w:abstractNumId w:val="328"/>
  </w:num>
  <w:num w:numId="95">
    <w:abstractNumId w:val="120"/>
  </w:num>
  <w:num w:numId="96">
    <w:abstractNumId w:val="93"/>
  </w:num>
  <w:num w:numId="97">
    <w:abstractNumId w:val="34"/>
  </w:num>
  <w:num w:numId="98">
    <w:abstractNumId w:val="330"/>
  </w:num>
  <w:num w:numId="99">
    <w:abstractNumId w:val="173"/>
  </w:num>
  <w:num w:numId="100">
    <w:abstractNumId w:val="351"/>
  </w:num>
  <w:num w:numId="101">
    <w:abstractNumId w:val="128"/>
  </w:num>
  <w:num w:numId="102">
    <w:abstractNumId w:val="357"/>
  </w:num>
  <w:num w:numId="103">
    <w:abstractNumId w:val="105"/>
  </w:num>
  <w:num w:numId="104">
    <w:abstractNumId w:val="293"/>
  </w:num>
  <w:num w:numId="105">
    <w:abstractNumId w:val="135"/>
  </w:num>
  <w:num w:numId="106">
    <w:abstractNumId w:val="27"/>
  </w:num>
  <w:num w:numId="107">
    <w:abstractNumId w:val="307"/>
  </w:num>
  <w:num w:numId="108">
    <w:abstractNumId w:val="263"/>
  </w:num>
  <w:num w:numId="109">
    <w:abstractNumId w:val="73"/>
  </w:num>
  <w:num w:numId="110">
    <w:abstractNumId w:val="284"/>
  </w:num>
  <w:num w:numId="111">
    <w:abstractNumId w:val="190"/>
  </w:num>
  <w:num w:numId="112">
    <w:abstractNumId w:val="254"/>
  </w:num>
  <w:num w:numId="113">
    <w:abstractNumId w:val="148"/>
  </w:num>
  <w:num w:numId="114">
    <w:abstractNumId w:val="191"/>
  </w:num>
  <w:num w:numId="115">
    <w:abstractNumId w:val="161"/>
  </w:num>
  <w:num w:numId="116">
    <w:abstractNumId w:val="223"/>
  </w:num>
  <w:num w:numId="117">
    <w:abstractNumId w:val="354"/>
  </w:num>
  <w:num w:numId="118">
    <w:abstractNumId w:val="85"/>
  </w:num>
  <w:num w:numId="119">
    <w:abstractNumId w:val="316"/>
  </w:num>
  <w:num w:numId="120">
    <w:abstractNumId w:val="192"/>
  </w:num>
  <w:num w:numId="121">
    <w:abstractNumId w:val="78"/>
  </w:num>
  <w:num w:numId="122">
    <w:abstractNumId w:val="228"/>
  </w:num>
  <w:num w:numId="123">
    <w:abstractNumId w:val="75"/>
  </w:num>
  <w:num w:numId="124">
    <w:abstractNumId w:val="339"/>
  </w:num>
  <w:num w:numId="125">
    <w:abstractNumId w:val="35"/>
  </w:num>
  <w:num w:numId="126">
    <w:abstractNumId w:val="176"/>
  </w:num>
  <w:num w:numId="127">
    <w:abstractNumId w:val="257"/>
  </w:num>
  <w:num w:numId="128">
    <w:abstractNumId w:val="26"/>
  </w:num>
  <w:num w:numId="129">
    <w:abstractNumId w:val="319"/>
  </w:num>
  <w:num w:numId="130">
    <w:abstractNumId w:val="156"/>
  </w:num>
  <w:num w:numId="131">
    <w:abstractNumId w:val="94"/>
  </w:num>
  <w:num w:numId="132">
    <w:abstractNumId w:val="125"/>
  </w:num>
  <w:num w:numId="133">
    <w:abstractNumId w:val="348"/>
  </w:num>
  <w:num w:numId="134">
    <w:abstractNumId w:val="303"/>
  </w:num>
  <w:num w:numId="135">
    <w:abstractNumId w:val="166"/>
  </w:num>
  <w:num w:numId="136">
    <w:abstractNumId w:val="189"/>
  </w:num>
  <w:num w:numId="137">
    <w:abstractNumId w:val="251"/>
  </w:num>
  <w:num w:numId="138">
    <w:abstractNumId w:val="225"/>
  </w:num>
  <w:num w:numId="139">
    <w:abstractNumId w:val="96"/>
  </w:num>
  <w:num w:numId="140">
    <w:abstractNumId w:val="335"/>
  </w:num>
  <w:num w:numId="141">
    <w:abstractNumId w:val="165"/>
  </w:num>
  <w:num w:numId="142">
    <w:abstractNumId w:val="243"/>
  </w:num>
  <w:num w:numId="143">
    <w:abstractNumId w:val="54"/>
  </w:num>
  <w:num w:numId="144">
    <w:abstractNumId w:val="352"/>
  </w:num>
  <w:num w:numId="145">
    <w:abstractNumId w:val="188"/>
  </w:num>
  <w:num w:numId="146">
    <w:abstractNumId w:val="158"/>
  </w:num>
  <w:num w:numId="147">
    <w:abstractNumId w:val="60"/>
  </w:num>
  <w:num w:numId="148">
    <w:abstractNumId w:val="23"/>
  </w:num>
  <w:num w:numId="149">
    <w:abstractNumId w:val="177"/>
  </w:num>
  <w:num w:numId="150">
    <w:abstractNumId w:val="183"/>
  </w:num>
  <w:num w:numId="151">
    <w:abstractNumId w:val="208"/>
  </w:num>
  <w:num w:numId="152">
    <w:abstractNumId w:val="302"/>
  </w:num>
  <w:num w:numId="153">
    <w:abstractNumId w:val="137"/>
  </w:num>
  <w:num w:numId="154">
    <w:abstractNumId w:val="167"/>
  </w:num>
  <w:num w:numId="155">
    <w:abstractNumId w:val="206"/>
  </w:num>
  <w:num w:numId="156">
    <w:abstractNumId w:val="71"/>
  </w:num>
  <w:num w:numId="157">
    <w:abstractNumId w:val="204"/>
  </w:num>
  <w:num w:numId="158">
    <w:abstractNumId w:val="38"/>
  </w:num>
  <w:num w:numId="159">
    <w:abstractNumId w:val="353"/>
  </w:num>
  <w:num w:numId="160">
    <w:abstractNumId w:val="218"/>
  </w:num>
  <w:num w:numId="161">
    <w:abstractNumId w:val="48"/>
  </w:num>
  <w:num w:numId="162">
    <w:abstractNumId w:val="285"/>
  </w:num>
  <w:num w:numId="163">
    <w:abstractNumId w:val="20"/>
  </w:num>
  <w:num w:numId="164">
    <w:abstractNumId w:val="89"/>
  </w:num>
  <w:num w:numId="165">
    <w:abstractNumId w:val="281"/>
  </w:num>
  <w:num w:numId="166">
    <w:abstractNumId w:val="103"/>
  </w:num>
  <w:num w:numId="167">
    <w:abstractNumId w:val="343"/>
  </w:num>
  <w:num w:numId="168">
    <w:abstractNumId w:val="259"/>
  </w:num>
  <w:num w:numId="169">
    <w:abstractNumId w:val="295"/>
  </w:num>
  <w:num w:numId="170">
    <w:abstractNumId w:val="110"/>
  </w:num>
  <w:num w:numId="171">
    <w:abstractNumId w:val="175"/>
  </w:num>
  <w:num w:numId="172">
    <w:abstractNumId w:val="227"/>
  </w:num>
  <w:num w:numId="173">
    <w:abstractNumId w:val="256"/>
  </w:num>
  <w:num w:numId="174">
    <w:abstractNumId w:val="268"/>
  </w:num>
  <w:num w:numId="175">
    <w:abstractNumId w:val="14"/>
  </w:num>
  <w:num w:numId="176">
    <w:abstractNumId w:val="0"/>
  </w:num>
  <w:num w:numId="177">
    <w:abstractNumId w:val="25"/>
  </w:num>
  <w:num w:numId="178">
    <w:abstractNumId w:val="334"/>
  </w:num>
  <w:num w:numId="179">
    <w:abstractNumId w:val="22"/>
  </w:num>
  <w:num w:numId="180">
    <w:abstractNumId w:val="310"/>
  </w:num>
  <w:num w:numId="181">
    <w:abstractNumId w:val="6"/>
  </w:num>
  <w:num w:numId="182">
    <w:abstractNumId w:val="147"/>
  </w:num>
  <w:num w:numId="183">
    <w:abstractNumId w:val="181"/>
  </w:num>
  <w:num w:numId="184">
    <w:abstractNumId w:val="90"/>
  </w:num>
  <w:num w:numId="185">
    <w:abstractNumId w:val="234"/>
  </w:num>
  <w:num w:numId="186">
    <w:abstractNumId w:val="359"/>
  </w:num>
  <w:num w:numId="187">
    <w:abstractNumId w:val="68"/>
  </w:num>
  <w:num w:numId="188">
    <w:abstractNumId w:val="49"/>
  </w:num>
  <w:num w:numId="189">
    <w:abstractNumId w:val="341"/>
  </w:num>
  <w:num w:numId="190">
    <w:abstractNumId w:val="294"/>
  </w:num>
  <w:num w:numId="191">
    <w:abstractNumId w:val="264"/>
  </w:num>
  <w:num w:numId="192">
    <w:abstractNumId w:val="197"/>
  </w:num>
  <w:num w:numId="193">
    <w:abstractNumId w:val="140"/>
  </w:num>
  <w:num w:numId="194">
    <w:abstractNumId w:val="151"/>
  </w:num>
  <w:num w:numId="195">
    <w:abstractNumId w:val="144"/>
  </w:num>
  <w:num w:numId="196">
    <w:abstractNumId w:val="111"/>
  </w:num>
  <w:num w:numId="197">
    <w:abstractNumId w:val="291"/>
  </w:num>
  <w:num w:numId="198">
    <w:abstractNumId w:val="61"/>
  </w:num>
  <w:num w:numId="199">
    <w:abstractNumId w:val="44"/>
  </w:num>
  <w:num w:numId="200">
    <w:abstractNumId w:val="201"/>
  </w:num>
  <w:num w:numId="201">
    <w:abstractNumId w:val="76"/>
  </w:num>
  <w:num w:numId="202">
    <w:abstractNumId w:val="331"/>
  </w:num>
  <w:num w:numId="203">
    <w:abstractNumId w:val="10"/>
  </w:num>
  <w:num w:numId="204">
    <w:abstractNumId w:val="99"/>
  </w:num>
  <w:num w:numId="205">
    <w:abstractNumId w:val="142"/>
  </w:num>
  <w:num w:numId="206">
    <w:abstractNumId w:val="57"/>
  </w:num>
  <w:num w:numId="207">
    <w:abstractNumId w:val="242"/>
  </w:num>
  <w:num w:numId="208">
    <w:abstractNumId w:val="320"/>
  </w:num>
  <w:num w:numId="209">
    <w:abstractNumId w:val="127"/>
  </w:num>
  <w:num w:numId="210">
    <w:abstractNumId w:val="308"/>
  </w:num>
  <w:num w:numId="211">
    <w:abstractNumId w:val="64"/>
  </w:num>
  <w:num w:numId="212">
    <w:abstractNumId w:val="50"/>
  </w:num>
  <w:num w:numId="213">
    <w:abstractNumId w:val="298"/>
  </w:num>
  <w:num w:numId="214">
    <w:abstractNumId w:val="160"/>
  </w:num>
  <w:num w:numId="215">
    <w:abstractNumId w:val="203"/>
  </w:num>
  <w:num w:numId="216">
    <w:abstractNumId w:val="232"/>
  </w:num>
  <w:num w:numId="217">
    <w:abstractNumId w:val="287"/>
  </w:num>
  <w:num w:numId="218">
    <w:abstractNumId w:val="131"/>
  </w:num>
  <w:num w:numId="219">
    <w:abstractNumId w:val="212"/>
  </w:num>
  <w:num w:numId="220">
    <w:abstractNumId w:val="88"/>
  </w:num>
  <w:num w:numId="221">
    <w:abstractNumId w:val="311"/>
  </w:num>
  <w:num w:numId="222">
    <w:abstractNumId w:val="123"/>
  </w:num>
  <w:num w:numId="223">
    <w:abstractNumId w:val="355"/>
  </w:num>
  <w:num w:numId="224">
    <w:abstractNumId w:val="252"/>
  </w:num>
  <w:num w:numId="225">
    <w:abstractNumId w:val="304"/>
  </w:num>
  <w:num w:numId="226">
    <w:abstractNumId w:val="69"/>
  </w:num>
  <w:num w:numId="227">
    <w:abstractNumId w:val="112"/>
  </w:num>
  <w:num w:numId="228">
    <w:abstractNumId w:val="224"/>
  </w:num>
  <w:num w:numId="229">
    <w:abstractNumId w:val="130"/>
  </w:num>
  <w:num w:numId="230">
    <w:abstractNumId w:val="100"/>
  </w:num>
  <w:num w:numId="231">
    <w:abstractNumId w:val="219"/>
  </w:num>
  <w:num w:numId="232">
    <w:abstractNumId w:val="247"/>
  </w:num>
  <w:num w:numId="233">
    <w:abstractNumId w:val="83"/>
  </w:num>
  <w:num w:numId="234">
    <w:abstractNumId w:val="345"/>
  </w:num>
  <w:num w:numId="235">
    <w:abstractNumId w:val="98"/>
  </w:num>
  <w:num w:numId="236">
    <w:abstractNumId w:val="13"/>
  </w:num>
  <w:num w:numId="237">
    <w:abstractNumId w:val="318"/>
  </w:num>
  <w:num w:numId="238">
    <w:abstractNumId w:val="229"/>
  </w:num>
  <w:num w:numId="239">
    <w:abstractNumId w:val="211"/>
  </w:num>
  <w:num w:numId="240">
    <w:abstractNumId w:val="87"/>
  </w:num>
  <w:num w:numId="241">
    <w:abstractNumId w:val="40"/>
  </w:num>
  <w:num w:numId="242">
    <w:abstractNumId w:val="84"/>
  </w:num>
  <w:num w:numId="243">
    <w:abstractNumId w:val="113"/>
  </w:num>
  <w:num w:numId="244">
    <w:abstractNumId w:val="187"/>
  </w:num>
  <w:num w:numId="245">
    <w:abstractNumId w:val="172"/>
  </w:num>
  <w:num w:numId="246">
    <w:abstractNumId w:val="196"/>
  </w:num>
  <w:num w:numId="247">
    <w:abstractNumId w:val="327"/>
  </w:num>
  <w:num w:numId="248">
    <w:abstractNumId w:val="261"/>
  </w:num>
  <w:num w:numId="249">
    <w:abstractNumId w:val="70"/>
  </w:num>
  <w:num w:numId="250">
    <w:abstractNumId w:val="42"/>
  </w:num>
  <w:num w:numId="251">
    <w:abstractNumId w:val="162"/>
  </w:num>
  <w:num w:numId="252">
    <w:abstractNumId w:val="215"/>
  </w:num>
  <w:num w:numId="253">
    <w:abstractNumId w:val="329"/>
  </w:num>
  <w:num w:numId="254">
    <w:abstractNumId w:val="233"/>
  </w:num>
  <w:num w:numId="255">
    <w:abstractNumId w:val="55"/>
  </w:num>
  <w:num w:numId="256">
    <w:abstractNumId w:val="350"/>
  </w:num>
  <w:num w:numId="257">
    <w:abstractNumId w:val="150"/>
  </w:num>
  <w:num w:numId="258">
    <w:abstractNumId w:val="193"/>
  </w:num>
  <w:num w:numId="259">
    <w:abstractNumId w:val="116"/>
  </w:num>
  <w:num w:numId="260">
    <w:abstractNumId w:val="241"/>
  </w:num>
  <w:num w:numId="261">
    <w:abstractNumId w:val="338"/>
  </w:num>
  <w:num w:numId="262">
    <w:abstractNumId w:val="221"/>
  </w:num>
  <w:num w:numId="263">
    <w:abstractNumId w:val="106"/>
  </w:num>
  <w:num w:numId="264">
    <w:abstractNumId w:val="51"/>
  </w:num>
  <w:num w:numId="265">
    <w:abstractNumId w:val="28"/>
  </w:num>
  <w:num w:numId="266">
    <w:abstractNumId w:val="174"/>
  </w:num>
  <w:num w:numId="267">
    <w:abstractNumId w:val="81"/>
  </w:num>
  <w:num w:numId="268">
    <w:abstractNumId w:val="155"/>
  </w:num>
  <w:num w:numId="269">
    <w:abstractNumId w:val="200"/>
  </w:num>
  <w:num w:numId="270">
    <w:abstractNumId w:val="79"/>
  </w:num>
  <w:num w:numId="271">
    <w:abstractNumId w:val="271"/>
  </w:num>
  <w:num w:numId="272">
    <w:abstractNumId w:val="270"/>
  </w:num>
  <w:num w:numId="273">
    <w:abstractNumId w:val="8"/>
  </w:num>
  <w:num w:numId="274">
    <w:abstractNumId w:val="237"/>
  </w:num>
  <w:num w:numId="275">
    <w:abstractNumId w:val="306"/>
  </w:num>
  <w:num w:numId="276">
    <w:abstractNumId w:val="16"/>
  </w:num>
  <w:num w:numId="277">
    <w:abstractNumId w:val="143"/>
  </w:num>
  <w:num w:numId="278">
    <w:abstractNumId w:val="97"/>
  </w:num>
  <w:num w:numId="279">
    <w:abstractNumId w:val="77"/>
  </w:num>
  <w:num w:numId="280">
    <w:abstractNumId w:val="347"/>
  </w:num>
  <w:num w:numId="281">
    <w:abstractNumId w:val="63"/>
  </w:num>
  <w:num w:numId="282">
    <w:abstractNumId w:val="325"/>
  </w:num>
  <w:num w:numId="283">
    <w:abstractNumId w:val="186"/>
  </w:num>
  <w:num w:numId="284">
    <w:abstractNumId w:val="332"/>
  </w:num>
  <w:num w:numId="285">
    <w:abstractNumId w:val="245"/>
  </w:num>
  <w:num w:numId="286">
    <w:abstractNumId w:val="216"/>
  </w:num>
  <w:num w:numId="287">
    <w:abstractNumId w:val="5"/>
  </w:num>
  <w:num w:numId="288">
    <w:abstractNumId w:val="322"/>
  </w:num>
  <w:num w:numId="289">
    <w:abstractNumId w:val="119"/>
  </w:num>
  <w:num w:numId="290">
    <w:abstractNumId w:val="231"/>
  </w:num>
  <w:num w:numId="291">
    <w:abstractNumId w:val="24"/>
  </w:num>
  <w:num w:numId="292">
    <w:abstractNumId w:val="95"/>
  </w:num>
  <w:num w:numId="293">
    <w:abstractNumId w:val="7"/>
  </w:num>
  <w:num w:numId="294">
    <w:abstractNumId w:val="65"/>
  </w:num>
  <w:num w:numId="295">
    <w:abstractNumId w:val="265"/>
  </w:num>
  <w:num w:numId="296">
    <w:abstractNumId w:val="104"/>
  </w:num>
  <w:num w:numId="297">
    <w:abstractNumId w:val="220"/>
  </w:num>
  <w:num w:numId="298">
    <w:abstractNumId w:val="313"/>
  </w:num>
  <w:num w:numId="299">
    <w:abstractNumId w:val="217"/>
  </w:num>
  <w:num w:numId="300">
    <w:abstractNumId w:val="15"/>
  </w:num>
  <w:num w:numId="301">
    <w:abstractNumId w:val="2"/>
  </w:num>
  <w:num w:numId="302">
    <w:abstractNumId w:val="132"/>
  </w:num>
  <w:num w:numId="303">
    <w:abstractNumId w:val="346"/>
  </w:num>
  <w:num w:numId="304">
    <w:abstractNumId w:val="344"/>
  </w:num>
  <w:num w:numId="305">
    <w:abstractNumId w:val="258"/>
  </w:num>
  <w:num w:numId="306">
    <w:abstractNumId w:val="324"/>
  </w:num>
  <w:num w:numId="307">
    <w:abstractNumId w:val="209"/>
  </w:num>
  <w:num w:numId="308">
    <w:abstractNumId w:val="299"/>
  </w:num>
  <w:num w:numId="309">
    <w:abstractNumId w:val="286"/>
  </w:num>
  <w:num w:numId="310">
    <w:abstractNumId w:val="342"/>
  </w:num>
  <w:num w:numId="311">
    <w:abstractNumId w:val="333"/>
  </w:num>
  <w:num w:numId="312">
    <w:abstractNumId w:val="269"/>
  </w:num>
  <w:num w:numId="313">
    <w:abstractNumId w:val="280"/>
  </w:num>
  <w:num w:numId="314">
    <w:abstractNumId w:val="282"/>
  </w:num>
  <w:num w:numId="315">
    <w:abstractNumId w:val="4"/>
  </w:num>
  <w:num w:numId="316">
    <w:abstractNumId w:val="210"/>
  </w:num>
  <w:num w:numId="317">
    <w:abstractNumId w:val="305"/>
  </w:num>
  <w:num w:numId="318">
    <w:abstractNumId w:val="36"/>
  </w:num>
  <w:num w:numId="319">
    <w:abstractNumId w:val="360"/>
  </w:num>
  <w:num w:numId="320">
    <w:abstractNumId w:val="340"/>
  </w:num>
  <w:num w:numId="321">
    <w:abstractNumId w:val="170"/>
  </w:num>
  <w:num w:numId="322">
    <w:abstractNumId w:val="133"/>
  </w:num>
  <w:num w:numId="323">
    <w:abstractNumId w:val="230"/>
  </w:num>
  <w:num w:numId="324">
    <w:abstractNumId w:val="207"/>
  </w:num>
  <w:num w:numId="325">
    <w:abstractNumId w:val="326"/>
  </w:num>
  <w:num w:numId="326">
    <w:abstractNumId w:val="118"/>
  </w:num>
  <w:num w:numId="327">
    <w:abstractNumId w:val="312"/>
  </w:num>
  <w:num w:numId="328">
    <w:abstractNumId w:val="138"/>
  </w:num>
  <w:num w:numId="329">
    <w:abstractNumId w:val="157"/>
  </w:num>
  <w:num w:numId="330">
    <w:abstractNumId w:val="32"/>
  </w:num>
  <w:num w:numId="331">
    <w:abstractNumId w:val="124"/>
  </w:num>
  <w:num w:numId="332">
    <w:abstractNumId w:val="273"/>
  </w:num>
  <w:num w:numId="333">
    <w:abstractNumId w:val="309"/>
  </w:num>
  <w:num w:numId="334">
    <w:abstractNumId w:val="102"/>
  </w:num>
  <w:num w:numId="335">
    <w:abstractNumId w:val="153"/>
  </w:num>
  <w:num w:numId="336">
    <w:abstractNumId w:val="222"/>
  </w:num>
  <w:num w:numId="337">
    <w:abstractNumId w:val="136"/>
  </w:num>
  <w:num w:numId="338">
    <w:abstractNumId w:val="314"/>
  </w:num>
  <w:num w:numId="339">
    <w:abstractNumId w:val="198"/>
  </w:num>
  <w:num w:numId="340">
    <w:abstractNumId w:val="168"/>
  </w:num>
  <w:num w:numId="341">
    <w:abstractNumId w:val="164"/>
  </w:num>
  <w:num w:numId="342">
    <w:abstractNumId w:val="336"/>
  </w:num>
  <w:num w:numId="343">
    <w:abstractNumId w:val="43"/>
  </w:num>
  <w:num w:numId="344">
    <w:abstractNumId w:val="47"/>
  </w:num>
  <w:num w:numId="345">
    <w:abstractNumId w:val="169"/>
  </w:num>
  <w:num w:numId="346">
    <w:abstractNumId w:val="315"/>
  </w:num>
  <w:num w:numId="347">
    <w:abstractNumId w:val="126"/>
  </w:num>
  <w:num w:numId="348">
    <w:abstractNumId w:val="30"/>
  </w:num>
  <w:num w:numId="349">
    <w:abstractNumId w:val="108"/>
  </w:num>
  <w:num w:numId="350">
    <w:abstractNumId w:val="205"/>
  </w:num>
  <w:num w:numId="351">
    <w:abstractNumId w:val="239"/>
  </w:num>
  <w:num w:numId="352">
    <w:abstractNumId w:val="92"/>
  </w:num>
  <w:num w:numId="353">
    <w:abstractNumId w:val="253"/>
  </w:num>
  <w:num w:numId="354">
    <w:abstractNumId w:val="278"/>
  </w:num>
  <w:num w:numId="355">
    <w:abstractNumId w:val="275"/>
  </w:num>
  <w:num w:numId="356">
    <w:abstractNumId w:val="321"/>
  </w:num>
  <w:num w:numId="357">
    <w:abstractNumId w:val="21"/>
  </w:num>
  <w:num w:numId="358">
    <w:abstractNumId w:val="129"/>
  </w:num>
  <w:num w:numId="359">
    <w:abstractNumId w:val="202"/>
  </w:num>
  <w:num w:numId="360">
    <w:abstractNumId w:val="3"/>
  </w:num>
  <w:num w:numId="361">
    <w:abstractNumId w:val="139"/>
  </w:num>
  <w:numIdMacAtCleanup w:val="3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revisionView w:inkAnnotations="0"/>
  <w:defaultTabStop w:val="720"/>
  <w:evenAndOddHeaders/>
  <w:characterSpacingControl w:val="doNotCompres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7BC6"/>
    <w:rsid w:val="004D5071"/>
    <w:rsid w:val="00D27B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2F9CBEFD-EFE8-4E67-8229-8E8304791E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5" w:line="248" w:lineRule="auto"/>
      <w:ind w:left="206" w:right="5" w:hanging="10"/>
      <w:jc w:val="both"/>
    </w:pPr>
    <w:rPr>
      <w:rFonts w:ascii="Calibri" w:eastAsia="Calibri" w:hAnsi="Calibri" w:cs="Calibri"/>
      <w:color w:val="000000"/>
      <w:sz w:val="20"/>
    </w:rPr>
  </w:style>
  <w:style w:type="paragraph" w:styleId="Heading1">
    <w:name w:val="heading 1"/>
    <w:next w:val="Normal"/>
    <w:link w:val="Heading1Char"/>
    <w:uiPriority w:val="9"/>
    <w:unhideWhenUsed/>
    <w:qFormat/>
    <w:pPr>
      <w:keepNext/>
      <w:keepLines/>
      <w:spacing w:after="14" w:line="248" w:lineRule="auto"/>
      <w:ind w:left="10" w:right="660" w:hanging="10"/>
      <w:jc w:val="center"/>
      <w:outlineLvl w:val="0"/>
    </w:pPr>
    <w:rPr>
      <w:rFonts w:ascii="Calibri" w:eastAsia="Calibri" w:hAnsi="Calibri" w:cs="Calibri"/>
      <w:b/>
      <w:color w:val="000000"/>
      <w:sz w:val="24"/>
    </w:rPr>
  </w:style>
  <w:style w:type="paragraph" w:styleId="Heading2">
    <w:name w:val="heading 2"/>
    <w:next w:val="Normal"/>
    <w:link w:val="Heading2Char"/>
    <w:uiPriority w:val="9"/>
    <w:unhideWhenUsed/>
    <w:qFormat/>
    <w:pPr>
      <w:keepNext/>
      <w:keepLines/>
      <w:spacing w:after="0"/>
      <w:ind w:left="12" w:hanging="10"/>
      <w:outlineLvl w:val="1"/>
    </w:pPr>
    <w:rPr>
      <w:rFonts w:ascii="Calibri" w:eastAsia="Calibri" w:hAnsi="Calibri" w:cs="Calibri"/>
      <w:b/>
      <w:color w:val="6F6F6E"/>
      <w:sz w:val="20"/>
    </w:rPr>
  </w:style>
  <w:style w:type="paragraph" w:styleId="Heading3">
    <w:name w:val="heading 3"/>
    <w:next w:val="Normal"/>
    <w:link w:val="Heading3Char"/>
    <w:uiPriority w:val="9"/>
    <w:unhideWhenUsed/>
    <w:qFormat/>
    <w:pPr>
      <w:keepNext/>
      <w:keepLines/>
      <w:spacing w:after="229" w:line="248" w:lineRule="auto"/>
      <w:ind w:left="10" w:right="4" w:hanging="10"/>
      <w:jc w:val="center"/>
      <w:outlineLvl w:val="2"/>
    </w:pPr>
    <w:rPr>
      <w:rFonts w:ascii="Calibri" w:eastAsia="Calibri" w:hAnsi="Calibri" w:cs="Calibri"/>
      <w:b/>
      <w:color w:val="1E5D99"/>
      <w:sz w:val="20"/>
    </w:rPr>
  </w:style>
  <w:style w:type="paragraph" w:styleId="Heading4">
    <w:name w:val="heading 4"/>
    <w:next w:val="Normal"/>
    <w:link w:val="Heading4Char"/>
    <w:uiPriority w:val="9"/>
    <w:unhideWhenUsed/>
    <w:qFormat/>
    <w:pPr>
      <w:keepNext/>
      <w:keepLines/>
      <w:spacing w:after="0"/>
      <w:ind w:left="13"/>
      <w:jc w:val="center"/>
      <w:outlineLvl w:val="3"/>
    </w:pPr>
    <w:rPr>
      <w:rFonts w:ascii="Calibri" w:eastAsia="Calibri" w:hAnsi="Calibri" w:cs="Calibri"/>
      <w:color w:val="000000"/>
      <w:sz w:val="20"/>
      <w:u w:val="single" w:color="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Pr>
      <w:rFonts w:ascii="Calibri" w:eastAsia="Calibri" w:hAnsi="Calibri" w:cs="Calibri"/>
      <w:color w:val="000000"/>
      <w:sz w:val="20"/>
      <w:u w:val="single" w:color="000000"/>
    </w:rPr>
  </w:style>
  <w:style w:type="character" w:customStyle="1" w:styleId="Heading2Char">
    <w:name w:val="Heading 2 Char"/>
    <w:link w:val="Heading2"/>
    <w:rPr>
      <w:rFonts w:ascii="Calibri" w:eastAsia="Calibri" w:hAnsi="Calibri" w:cs="Calibri"/>
      <w:b/>
      <w:color w:val="6F6F6E"/>
      <w:sz w:val="20"/>
    </w:rPr>
  </w:style>
  <w:style w:type="paragraph" w:customStyle="1" w:styleId="footnotedescription">
    <w:name w:val="footnote description"/>
    <w:next w:val="Normal"/>
    <w:link w:val="footnotedescriptionChar"/>
    <w:hidden/>
    <w:pPr>
      <w:spacing w:after="0"/>
      <w:ind w:left="2"/>
    </w:pPr>
    <w:rPr>
      <w:rFonts w:ascii="Calibri" w:eastAsia="Calibri" w:hAnsi="Calibri" w:cs="Calibri"/>
      <w:color w:val="000000"/>
      <w:sz w:val="16"/>
    </w:rPr>
  </w:style>
  <w:style w:type="character" w:customStyle="1" w:styleId="footnotedescriptionChar">
    <w:name w:val="footnote description Char"/>
    <w:link w:val="footnotedescription"/>
    <w:rPr>
      <w:rFonts w:ascii="Calibri" w:eastAsia="Calibri" w:hAnsi="Calibri" w:cs="Calibri"/>
      <w:color w:val="000000"/>
      <w:sz w:val="16"/>
    </w:rPr>
  </w:style>
  <w:style w:type="character" w:customStyle="1" w:styleId="Heading1Char">
    <w:name w:val="Heading 1 Char"/>
    <w:link w:val="Heading1"/>
    <w:rPr>
      <w:rFonts w:ascii="Calibri" w:eastAsia="Calibri" w:hAnsi="Calibri" w:cs="Calibri"/>
      <w:b/>
      <w:color w:val="000000"/>
      <w:sz w:val="24"/>
    </w:rPr>
  </w:style>
  <w:style w:type="character" w:customStyle="1" w:styleId="Heading3Char">
    <w:name w:val="Heading 3 Char"/>
    <w:link w:val="Heading3"/>
    <w:rPr>
      <w:rFonts w:ascii="Calibri" w:eastAsia="Calibri" w:hAnsi="Calibri" w:cs="Calibri"/>
      <w:b/>
      <w:color w:val="1E5D99"/>
      <w:sz w:val="20"/>
    </w:rPr>
  </w:style>
  <w:style w:type="character" w:customStyle="1" w:styleId="footnotemark">
    <w:name w:val="footnote mark"/>
    <w:hidden/>
    <w:rPr>
      <w:rFonts w:ascii="Calibri" w:eastAsia="Calibri" w:hAnsi="Calibri" w:cs="Calibri"/>
      <w:color w:val="000000"/>
      <w:sz w:val="14"/>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hyperlink" Target="https://www.ncbi.nlm.nih.gov/pubmed/?term=Rasmussen%20S%5BAuthor%5D&amp;cauthor=true&amp;cauthor_uid=28854085" TargetMode="External"/><Relationship Id="rId63" Type="http://schemas.openxmlformats.org/officeDocument/2006/relationships/header" Target="header1.xml"/><Relationship Id="rId84" Type="http://schemas.openxmlformats.org/officeDocument/2006/relationships/footer" Target="footer5.xml"/><Relationship Id="rId138" Type="http://schemas.openxmlformats.org/officeDocument/2006/relationships/hyperlink" Target="https://www.ncbi.nlm.nih.gov/pubmed/?term=Pettersson%20J%5BAuthor%5D&amp;cauthor=true&amp;cauthor_uid=27633186" TargetMode="External"/><Relationship Id="rId159" Type="http://schemas.openxmlformats.org/officeDocument/2006/relationships/hyperlink" Target="https://www.ncbi.nlm.nih.gov/pubmed/?term=Kastelein%20JJ%5BAuthor%5D&amp;cauthor=true&amp;cauthor_uid=25780262" TargetMode="External"/><Relationship Id="rId170" Type="http://schemas.openxmlformats.org/officeDocument/2006/relationships/hyperlink" Target="https://www.ncbi.nlm.nih.gov/pubmed/?term=Perkovic%20V%5BAuthor%5D&amp;cauthor=true&amp;cauthor_uid=28605608" TargetMode="External"/><Relationship Id="rId191" Type="http://schemas.openxmlformats.org/officeDocument/2006/relationships/hyperlink" Target="https://www.ncbi.nlm.nih.gov/pubmed/?term=Broedl%20UC%5BAuthor%5D&amp;cauthor=true&amp;cauthor_uid=28904068" TargetMode="External"/><Relationship Id="rId205" Type="http://schemas.openxmlformats.org/officeDocument/2006/relationships/fontTable" Target="fontTable.xml"/><Relationship Id="rId107" Type="http://schemas.openxmlformats.org/officeDocument/2006/relationships/hyperlink" Target="https://pubmed.ncbi.nlm.nih.gov/36250644/" TargetMode="External"/><Relationship Id="rId11" Type="http://schemas.openxmlformats.org/officeDocument/2006/relationships/image" Target="media/image5.png"/><Relationship Id="rId74" Type="http://schemas.openxmlformats.org/officeDocument/2006/relationships/image" Target="media/image14.png"/><Relationship Id="rId128" Type="http://schemas.openxmlformats.org/officeDocument/2006/relationships/hyperlink" Target="https://www.ncbi.nlm.nih.gov/pubmed/?term=Eliaschewitz%20FG%5BAuthor%5D&amp;cauthor=true&amp;cauthor_uid=27633186" TargetMode="External"/><Relationship Id="rId149" Type="http://schemas.openxmlformats.org/officeDocument/2006/relationships/hyperlink" Target="https://www.ncbi.nlm.nih.gov/pubmed/?term=Haahr%20PM%5BAuthor%5D&amp;cauthor=true&amp;cauthor_uid=27595693" TargetMode="External"/><Relationship Id="rId5" Type="http://schemas.openxmlformats.org/officeDocument/2006/relationships/footnotes" Target="footnotes.xml"/><Relationship Id="rId95" Type="http://schemas.openxmlformats.org/officeDocument/2006/relationships/header" Target="header11.xml"/><Relationship Id="rId160" Type="http://schemas.openxmlformats.org/officeDocument/2006/relationships/hyperlink" Target="https://www.ncbi.nlm.nih.gov/pubmed/?term=Lachin%20JM%5BAuthor%5D&amp;cauthor=true&amp;cauthor_uid=25780262" TargetMode="External"/><Relationship Id="rId181" Type="http://schemas.openxmlformats.org/officeDocument/2006/relationships/hyperlink" Target="https://www.ncbi.nlm.nih.gov/pubmed/28605608" TargetMode="External"/><Relationship Id="rId64" Type="http://schemas.openxmlformats.org/officeDocument/2006/relationships/header" Target="header2.xml"/><Relationship Id="rId118" Type="http://schemas.openxmlformats.org/officeDocument/2006/relationships/hyperlink" Target="https://www.ncbi.nlm.nih.gov/pubmed/?term=Torn%C3%B8e%20K%5BAuthor%5D&amp;cauthor=true&amp;cauthor_uid=28854085" TargetMode="External"/><Relationship Id="rId139" Type="http://schemas.openxmlformats.org/officeDocument/2006/relationships/hyperlink" Target="https://www.ncbi.nlm.nih.gov/pubmed/?term=Vilsb%C3%B8ll%20T%5BAuthor%5D&amp;cauthor=true&amp;cauthor_uid=27633186" TargetMode="External"/><Relationship Id="rId80" Type="http://schemas.openxmlformats.org/officeDocument/2006/relationships/image" Target="media/image20.png"/><Relationship Id="rId85" Type="http://schemas.openxmlformats.org/officeDocument/2006/relationships/header" Target="header6.xml"/><Relationship Id="rId150" Type="http://schemas.openxmlformats.org/officeDocument/2006/relationships/hyperlink" Target="https://www.ncbi.nlm.nih.gov/pubmed/?term=Lange%20M%5BAuthor%5D&amp;cauthor=true&amp;cauthor_uid=27595693" TargetMode="External"/><Relationship Id="rId155" Type="http://schemas.openxmlformats.org/officeDocument/2006/relationships/hyperlink" Target="https://www.ncbi.nlm.nih.gov/pubmed/?term=Marx%20N%5BAuthor%5D&amp;cauthor=true&amp;cauthor_uid=25780262" TargetMode="External"/><Relationship Id="rId171" Type="http://schemas.openxmlformats.org/officeDocument/2006/relationships/hyperlink" Target="https://www.ncbi.nlm.nih.gov/pubmed/?term=Mahaffey%20KW%5BAuthor%5D&amp;cauthor=true&amp;cauthor_uid=28605608" TargetMode="External"/><Relationship Id="rId176" Type="http://schemas.openxmlformats.org/officeDocument/2006/relationships/hyperlink" Target="https://www.ncbi.nlm.nih.gov/pubmed/?term=Law%20G%5BAuthor%5D&amp;cauthor=true&amp;cauthor_uid=28605608" TargetMode="External"/><Relationship Id="rId192" Type="http://schemas.openxmlformats.org/officeDocument/2006/relationships/hyperlink" Target="https://www.ncbi.nlm.nih.gov/pubmed/?term=von%20Eynatten%20M%5BAuthor%5D&amp;cauthor=true&amp;cauthor_uid=28904068" TargetMode="External"/><Relationship Id="rId197" Type="http://schemas.openxmlformats.org/officeDocument/2006/relationships/hyperlink" Target="https://www.ncbi.nlm.nih.gov/pubmed/30415602" TargetMode="External"/><Relationship Id="rId206" Type="http://schemas.openxmlformats.org/officeDocument/2006/relationships/theme" Target="theme/theme1.xml"/><Relationship Id="rId201" Type="http://schemas.openxmlformats.org/officeDocument/2006/relationships/footer" Target="footer13.xml"/><Relationship Id="rId59" Type="http://schemas.openxmlformats.org/officeDocument/2006/relationships/image" Target="media/image8.png"/><Relationship Id="rId103" Type="http://schemas.openxmlformats.org/officeDocument/2006/relationships/hyperlink" Target="https://pubmed.ncbi.nlm.nih.gov/36151309/" TargetMode="External"/><Relationship Id="rId108" Type="http://schemas.openxmlformats.org/officeDocument/2006/relationships/hyperlink" Target="https://doi.org/10.1159/000543156" TargetMode="External"/><Relationship Id="rId124" Type="http://schemas.openxmlformats.org/officeDocument/2006/relationships/hyperlink" Target="https://www.ncbi.nlm.nih.gov/pubmed/28854085" TargetMode="External"/><Relationship Id="rId129" Type="http://schemas.openxmlformats.org/officeDocument/2006/relationships/hyperlink" Target="https://www.ncbi.nlm.nih.gov/pubmed/?term=J%C3%B3dar%20E%5BAuthor%5D&amp;cauthor=true&amp;cauthor_uid=27633186" TargetMode="External"/><Relationship Id="rId70" Type="http://schemas.openxmlformats.org/officeDocument/2006/relationships/image" Target="media/image7.png"/><Relationship Id="rId75" Type="http://schemas.openxmlformats.org/officeDocument/2006/relationships/image" Target="media/image15.png"/><Relationship Id="rId91" Type="http://schemas.openxmlformats.org/officeDocument/2006/relationships/header" Target="header9.xml"/><Relationship Id="rId96" Type="http://schemas.openxmlformats.org/officeDocument/2006/relationships/footer" Target="footer10.xml"/><Relationship Id="rId140" Type="http://schemas.openxmlformats.org/officeDocument/2006/relationships/hyperlink" Target="https://www.ncbi.nlm.nih.gov/pubmed/?term=SUSTAIN-6%20Investigators%5BCorporate%20Author%5D" TargetMode="External"/><Relationship Id="rId145" Type="http://schemas.openxmlformats.org/officeDocument/2006/relationships/hyperlink" Target="https://www.ncbi.nlm.nih.gov/pubmed/?term=Poulter%20NR%5BAuthor%5D&amp;cauthor=true&amp;cauthor_uid=27595693" TargetMode="External"/><Relationship Id="rId161" Type="http://schemas.openxmlformats.org/officeDocument/2006/relationships/hyperlink" Target="https://www.ncbi.nlm.nih.gov/pubmed/?term=Espeland%20MA%5BAuthor%5D&amp;cauthor=true&amp;cauthor_uid=25780262" TargetMode="External"/><Relationship Id="rId166" Type="http://schemas.openxmlformats.org/officeDocument/2006/relationships/hyperlink" Target="https://www.ncbi.nlm.nih.gov/pubmed/?term=Johansen%20OE%5BAuthor%5D&amp;cauthor=true&amp;cauthor_uid=25780262" TargetMode="External"/><Relationship Id="rId182" Type="http://schemas.openxmlformats.org/officeDocument/2006/relationships/hyperlink" Target="https://pubmed.ncbi.nlm.nih.gov/?term=SCORE2-Diabetes+Working+Group+and+the+ESC+Cardiovascular+Risk+Collaboration%5BCorporate+Author%5D" TargetMode="External"/><Relationship Id="rId187" Type="http://schemas.openxmlformats.org/officeDocument/2006/relationships/hyperlink" Target="https://www.ncbi.nlm.nih.gov/pubmed/?term=Fitchett%20D%5BAuthor%5D&amp;cauthor=true&amp;cauthor_uid=28904068" TargetMode="External"/><Relationship Id="rId1" Type="http://schemas.openxmlformats.org/officeDocument/2006/relationships/numbering" Target="numbering.xml"/><Relationship Id="rId6" Type="http://schemas.openxmlformats.org/officeDocument/2006/relationships/endnotes" Target="endnotes.xml"/><Relationship Id="rId114" Type="http://schemas.openxmlformats.org/officeDocument/2006/relationships/hyperlink" Target="https://www.ncbi.nlm.nih.gov/pubmed/?term=Brown-Frandsen%20K%5BAuthor%5D&amp;cauthor=true&amp;cauthor_uid=28854085" TargetMode="External"/><Relationship Id="rId119" Type="http://schemas.openxmlformats.org/officeDocument/2006/relationships/hyperlink" Target="https://www.ncbi.nlm.nih.gov/pubmed/?term=Zinman%20B%5BAuthor%5D&amp;cauthor=true&amp;cauthor_uid=28854085" TargetMode="External"/><Relationship Id="rId60" Type="http://schemas.openxmlformats.org/officeDocument/2006/relationships/image" Target="media/image21.png"/><Relationship Id="rId65" Type="http://schemas.openxmlformats.org/officeDocument/2006/relationships/footer" Target="footer1.xml"/><Relationship Id="rId81" Type="http://schemas.openxmlformats.org/officeDocument/2006/relationships/header" Target="header4.xml"/><Relationship Id="rId86" Type="http://schemas.openxmlformats.org/officeDocument/2006/relationships/footer" Target="footer6.xml"/><Relationship Id="rId130" Type="http://schemas.openxmlformats.org/officeDocument/2006/relationships/hyperlink" Target="https://www.ncbi.nlm.nih.gov/pubmed/?term=Leiter%20LA%5BAuthor%5D&amp;cauthor=true&amp;cauthor_uid=27633186" TargetMode="External"/><Relationship Id="rId135" Type="http://schemas.openxmlformats.org/officeDocument/2006/relationships/hyperlink" Target="https://www.ncbi.nlm.nih.gov/pubmed/?term=Woo%20V%5BAuthor%5D&amp;cauthor=true&amp;cauthor_uid=27633186" TargetMode="External"/><Relationship Id="rId151" Type="http://schemas.openxmlformats.org/officeDocument/2006/relationships/hyperlink" Target="https://www.ncbi.nlm.nih.gov/pubmed/?term=Frandsen%20KB%5BAuthor%5D&amp;cauthor=true&amp;cauthor_uid=27595693" TargetMode="External"/><Relationship Id="rId156" Type="http://schemas.openxmlformats.org/officeDocument/2006/relationships/hyperlink" Target="https://www.ncbi.nlm.nih.gov/pubmed/?term=Rosenstock%20J%5BAuthor%5D&amp;cauthor=true&amp;cauthor_uid=25780262" TargetMode="External"/><Relationship Id="rId177" Type="http://schemas.openxmlformats.org/officeDocument/2006/relationships/hyperlink" Target="https://www.ncbi.nlm.nih.gov/pubmed/?term=Desai%20M%5BAuthor%5D&amp;cauthor=true&amp;cauthor_uid=28605608" TargetMode="External"/><Relationship Id="rId198" Type="http://schemas.openxmlformats.org/officeDocument/2006/relationships/hyperlink" Target="https://www.ncbi.nlm.nih.gov/pubmed/30415602" TargetMode="External"/><Relationship Id="rId172" Type="http://schemas.openxmlformats.org/officeDocument/2006/relationships/hyperlink" Target="https://www.ncbi.nlm.nih.gov/pubmed/?term=de%20Zeeuw%20D%5BAuthor%5D&amp;cauthor=true&amp;cauthor_uid=28605608" TargetMode="External"/><Relationship Id="rId193" Type="http://schemas.openxmlformats.org/officeDocument/2006/relationships/hyperlink" Target="https://www.ncbi.nlm.nih.gov/pubmed/?term=Zinman%20B%5BAuthor%5D&amp;cauthor=true&amp;cauthor_uid=28904068" TargetMode="External"/><Relationship Id="rId202" Type="http://schemas.openxmlformats.org/officeDocument/2006/relationships/footer" Target="footer14.xml"/><Relationship Id="rId109" Type="http://schemas.openxmlformats.org/officeDocument/2006/relationships/hyperlink" Target="https://www.ncbi.nlm.nih.gov/pubmed/?term=Kaul%20S%5BAuthor%5D&amp;cauthor=true&amp;cauthor_uid=28637887" TargetMode="External"/><Relationship Id="rId76" Type="http://schemas.openxmlformats.org/officeDocument/2006/relationships/image" Target="media/image16.jpg"/><Relationship Id="rId97" Type="http://schemas.openxmlformats.org/officeDocument/2006/relationships/footer" Target="footer11.xml"/><Relationship Id="rId104" Type="http://schemas.openxmlformats.org/officeDocument/2006/relationships/hyperlink" Target="https://pubmed.ncbi.nlm.nih.gov/36151309/" TargetMode="External"/><Relationship Id="rId120" Type="http://schemas.openxmlformats.org/officeDocument/2006/relationships/hyperlink" Target="https://www.ncbi.nlm.nih.gov/pubmed/?term=Buse%20JB%5BAuthor%5D&amp;cauthor=true&amp;cauthor_uid=28854085" TargetMode="External"/><Relationship Id="rId125" Type="http://schemas.openxmlformats.org/officeDocument/2006/relationships/hyperlink" Target="https://www.ncbi.nlm.nih.gov/pubmed/?term=Marso%20SP%5BAuthor%5D&amp;cauthor=true&amp;cauthor_uid=27633186" TargetMode="External"/><Relationship Id="rId141" Type="http://schemas.openxmlformats.org/officeDocument/2006/relationships/hyperlink" Target="https://www.ncbi.nlm.nih.gov/pubmed/?term=Sustain+semaglutid" TargetMode="External"/><Relationship Id="rId146" Type="http://schemas.openxmlformats.org/officeDocument/2006/relationships/hyperlink" Target="https://www.ncbi.nlm.nih.gov/pubmed/?term=Emerson%20SS%5BAuthor%5D&amp;cauthor=true&amp;cauthor_uid=27595693" TargetMode="External"/><Relationship Id="rId167" Type="http://schemas.openxmlformats.org/officeDocument/2006/relationships/hyperlink" Target="https://www.ncbi.nlm.nih.gov/pubmed/?term=Woerle%20HJ%5BAuthor%5D&amp;cauthor=true&amp;cauthor_uid=25780262" TargetMode="External"/><Relationship Id="rId188" Type="http://schemas.openxmlformats.org/officeDocument/2006/relationships/hyperlink" Target="https://www.ncbi.nlm.nih.gov/pubmed/?term=Mattheus%20M%5BAuthor%5D&amp;cauthor=true&amp;cauthor_uid=28904068" TargetMode="External"/><Relationship Id="rId7" Type="http://schemas.openxmlformats.org/officeDocument/2006/relationships/image" Target="media/image1.jpg"/><Relationship Id="rId71" Type="http://schemas.openxmlformats.org/officeDocument/2006/relationships/image" Target="media/image11.png"/><Relationship Id="rId92" Type="http://schemas.openxmlformats.org/officeDocument/2006/relationships/footer" Target="footer9.xml"/><Relationship Id="rId162" Type="http://schemas.openxmlformats.org/officeDocument/2006/relationships/hyperlink" Target="https://www.ncbi.nlm.nih.gov/pubmed/?term=Bluhmki%20E%5BAuthor%5D&amp;cauthor=true&amp;cauthor_uid=25780262" TargetMode="External"/><Relationship Id="rId183" Type="http://schemas.openxmlformats.org/officeDocument/2006/relationships/hyperlink" Target="https://pubmed.ncbi.nlm.nih.gov/?term=SCORE2-Diabetes+Working+Group+and+the+ESC+Cardiovascular+Risk+Collaboration%5BCorporate+Author%5D" TargetMode="External"/><Relationship Id="rId2" Type="http://schemas.openxmlformats.org/officeDocument/2006/relationships/styles" Target="styles.xml"/><Relationship Id="rId66" Type="http://schemas.openxmlformats.org/officeDocument/2006/relationships/footer" Target="footer2.xml"/><Relationship Id="rId87" Type="http://schemas.openxmlformats.org/officeDocument/2006/relationships/header" Target="header7.xml"/><Relationship Id="rId110" Type="http://schemas.openxmlformats.org/officeDocument/2006/relationships/hyperlink" Target="https://www.kidney-international.org/article/S0085-2538(23)00766-4/fulltext" TargetMode="External"/><Relationship Id="rId115" Type="http://schemas.openxmlformats.org/officeDocument/2006/relationships/hyperlink" Target="https://www.ncbi.nlm.nih.gov/pubmed/?term=Marso%20SP%5BAuthor%5D&amp;cauthor=true&amp;cauthor_uid=28854085" TargetMode="External"/><Relationship Id="rId131" Type="http://schemas.openxmlformats.org/officeDocument/2006/relationships/hyperlink" Target="https://www.ncbi.nlm.nih.gov/pubmed/?term=Lingvay%20I%5BAuthor%5D&amp;cauthor=true&amp;cauthor_uid=27633186" TargetMode="External"/><Relationship Id="rId136" Type="http://schemas.openxmlformats.org/officeDocument/2006/relationships/hyperlink" Target="https://www.ncbi.nlm.nih.gov/pubmed/?term=Hansen%20O%5BAuthor%5D&amp;cauthor=true&amp;cauthor_uid=27633186" TargetMode="External"/><Relationship Id="rId157" Type="http://schemas.openxmlformats.org/officeDocument/2006/relationships/hyperlink" Target="https://www.ncbi.nlm.nih.gov/pubmed/?term=Kahn%20SE%5BAuthor%5D&amp;cauthor=true&amp;cauthor_uid=25780262" TargetMode="External"/><Relationship Id="rId178" Type="http://schemas.openxmlformats.org/officeDocument/2006/relationships/hyperlink" Target="https://www.ncbi.nlm.nih.gov/pubmed/?term=Matthews%20DR%5BAuthor%5D&amp;cauthor=true&amp;cauthor_uid=28605608" TargetMode="External"/><Relationship Id="rId61" Type="http://schemas.openxmlformats.org/officeDocument/2006/relationships/image" Target="media/image9.png"/><Relationship Id="rId82" Type="http://schemas.openxmlformats.org/officeDocument/2006/relationships/header" Target="header5.xml"/><Relationship Id="rId152" Type="http://schemas.openxmlformats.org/officeDocument/2006/relationships/hyperlink" Target="https://www.ncbi.nlm.nih.gov/pubmed/?term=Rab%C3%B8l%20R%5BAuthor%5D&amp;cauthor=true&amp;cauthor_uid=27595693" TargetMode="External"/><Relationship Id="rId173" Type="http://schemas.openxmlformats.org/officeDocument/2006/relationships/hyperlink" Target="https://www.ncbi.nlm.nih.gov/pubmed/?term=Fulcher%20G%5BAuthor%5D&amp;cauthor=true&amp;cauthor_uid=28605608" TargetMode="External"/><Relationship Id="rId194" Type="http://schemas.openxmlformats.org/officeDocument/2006/relationships/hyperlink" Target="https://www.ncbi.nlm.nih.gov/pubmed/?term=EMPA-REG%20OUTCOME%20Investigators%5BCorporate%20Author%5D" TargetMode="External"/><Relationship Id="rId199" Type="http://schemas.openxmlformats.org/officeDocument/2006/relationships/header" Target="header13.xml"/><Relationship Id="rId203" Type="http://schemas.openxmlformats.org/officeDocument/2006/relationships/header" Target="header15.xml"/><Relationship Id="rId77" Type="http://schemas.openxmlformats.org/officeDocument/2006/relationships/image" Target="media/image17.jpg"/><Relationship Id="rId100" Type="http://schemas.openxmlformats.org/officeDocument/2006/relationships/hyperlink" Target="https://drive.google.com/file/d/1eO4kz5jjSNxJzHvAklVN3CdPwOW8ZH10/view" TargetMode="External"/><Relationship Id="rId105" Type="http://schemas.openxmlformats.org/officeDocument/2006/relationships/hyperlink" Target="https://pubmed.ncbi.nlm.nih.gov/36151309/" TargetMode="External"/><Relationship Id="rId126" Type="http://schemas.openxmlformats.org/officeDocument/2006/relationships/hyperlink" Target="https://www.ncbi.nlm.nih.gov/pubmed/?term=Bain%20SC%5BAuthor%5D&amp;cauthor=true&amp;cauthor_uid=27633186" TargetMode="External"/><Relationship Id="rId147" Type="http://schemas.openxmlformats.org/officeDocument/2006/relationships/hyperlink" Target="https://www.ncbi.nlm.nih.gov/pubmed/?term=Pieber%20TR%5BAuthor%5D&amp;cauthor=true&amp;cauthor_uid=27595693" TargetMode="External"/><Relationship Id="rId168" Type="http://schemas.openxmlformats.org/officeDocument/2006/relationships/hyperlink" Target="https://www.ncbi.nlm.nih.gov/pubmed/25780262" TargetMode="External"/><Relationship Id="rId8" Type="http://schemas.openxmlformats.org/officeDocument/2006/relationships/image" Target="media/image2.png"/><Relationship Id="rId72" Type="http://schemas.openxmlformats.org/officeDocument/2006/relationships/image" Target="media/image12.png"/><Relationship Id="rId93" Type="http://schemas.openxmlformats.org/officeDocument/2006/relationships/hyperlink" Target="https://www.diaregistry.ru/" TargetMode="External"/><Relationship Id="rId98" Type="http://schemas.openxmlformats.org/officeDocument/2006/relationships/header" Target="header12.xml"/><Relationship Id="rId121" Type="http://schemas.openxmlformats.org/officeDocument/2006/relationships/hyperlink" Target="https://www.ncbi.nlm.nih.gov/pubmed/?term=LEADER%20Steering%20Committee%20and%20Investigators%5BCorporate%20Author%5D" TargetMode="External"/><Relationship Id="rId142" Type="http://schemas.openxmlformats.org/officeDocument/2006/relationships/hyperlink" Target="https://www.ncbi.nlm.nih.gov/pubmed/?term=Marso%20SP%5BAuthor%5D&amp;cauthor=true&amp;cauthor_uid=27595693" TargetMode="External"/><Relationship Id="rId163" Type="http://schemas.openxmlformats.org/officeDocument/2006/relationships/hyperlink" Target="https://www.ncbi.nlm.nih.gov/pubmed/?term=Mattheus%20M%5BAuthor%5D&amp;cauthor=true&amp;cauthor_uid=25780262" TargetMode="External"/><Relationship Id="rId184" Type="http://schemas.openxmlformats.org/officeDocument/2006/relationships/hyperlink" Target="https://www.ncbi.nlm.nih.gov/pubmed/?term=Wanner%20C%5BAuthor%5D&amp;cauthor=true&amp;cauthor_uid=28904068" TargetMode="External"/><Relationship Id="rId189" Type="http://schemas.openxmlformats.org/officeDocument/2006/relationships/hyperlink" Target="https://www.ncbi.nlm.nih.gov/pubmed/?term=George%20J%5BAuthor%5D&amp;cauthor=true&amp;cauthor_uid=28904068" TargetMode="External"/><Relationship Id="rId3" Type="http://schemas.openxmlformats.org/officeDocument/2006/relationships/settings" Target="settings.xml"/><Relationship Id="rId67" Type="http://schemas.openxmlformats.org/officeDocument/2006/relationships/header" Target="header3.xml"/><Relationship Id="rId116" Type="http://schemas.openxmlformats.org/officeDocument/2006/relationships/hyperlink" Target="https://www.ncbi.nlm.nih.gov/pubmed/?term=Poulter%20NR%5BAuthor%5D&amp;cauthor=true&amp;cauthor_uid=28854085" TargetMode="External"/><Relationship Id="rId137" Type="http://schemas.openxmlformats.org/officeDocument/2006/relationships/hyperlink" Target="https://www.ncbi.nlm.nih.gov/pubmed/?term=Holst%20AG%5BAuthor%5D&amp;cauthor=true&amp;cauthor_uid=27633186" TargetMode="External"/><Relationship Id="rId158" Type="http://schemas.openxmlformats.org/officeDocument/2006/relationships/hyperlink" Target="https://www.ncbi.nlm.nih.gov/pubmed/?term=Zinman%20B%5BAuthor%5D&amp;cauthor=true&amp;cauthor_uid=25780262" TargetMode="External"/><Relationship Id="rId62" Type="http://schemas.openxmlformats.org/officeDocument/2006/relationships/image" Target="media/image10.png"/><Relationship Id="rId83" Type="http://schemas.openxmlformats.org/officeDocument/2006/relationships/footer" Target="footer4.xml"/><Relationship Id="rId88" Type="http://schemas.openxmlformats.org/officeDocument/2006/relationships/header" Target="header8.xml"/><Relationship Id="rId111" Type="http://schemas.openxmlformats.org/officeDocument/2006/relationships/hyperlink" Target="https://www.kidney-international.org/article/S0085-2538(23)00766-4/fulltext" TargetMode="External"/><Relationship Id="rId132" Type="http://schemas.openxmlformats.org/officeDocument/2006/relationships/hyperlink" Target="https://www.ncbi.nlm.nih.gov/pubmed/?term=Rosenstock%20J%5BAuthor%5D&amp;cauthor=true&amp;cauthor_uid=27633186" TargetMode="External"/><Relationship Id="rId153" Type="http://schemas.openxmlformats.org/officeDocument/2006/relationships/hyperlink" Target="https://www.ncbi.nlm.nih.gov/pubmed/?term=Buse%20JB%5BAuthor%5D&amp;cauthor=true&amp;cauthor_uid=27595693" TargetMode="External"/><Relationship Id="rId174" Type="http://schemas.openxmlformats.org/officeDocument/2006/relationships/hyperlink" Target="https://www.ncbi.nlm.nih.gov/pubmed/?term=Erondu%20N%5BAuthor%5D&amp;cauthor=true&amp;cauthor_uid=28605608" TargetMode="External"/><Relationship Id="rId179" Type="http://schemas.openxmlformats.org/officeDocument/2006/relationships/hyperlink" Target="https://www.ncbi.nlm.nih.gov/pubmed/?term=CANVAS%20Program%20Collaborative%20Group%5BCorporate%20Author%5D" TargetMode="External"/><Relationship Id="rId195" Type="http://schemas.openxmlformats.org/officeDocument/2006/relationships/hyperlink" Target="https://www.ncbi.nlm.nih.gov/pubmed/28904068" TargetMode="External"/><Relationship Id="rId190" Type="http://schemas.openxmlformats.org/officeDocument/2006/relationships/hyperlink" Target="https://www.ncbi.nlm.nih.gov/pubmed/?term=Woerle%20HJ%5BAuthor%5D&amp;cauthor=true&amp;cauthor_uid=28904068" TargetMode="External"/><Relationship Id="rId204" Type="http://schemas.openxmlformats.org/officeDocument/2006/relationships/footer" Target="footer15.xml"/><Relationship Id="rId106" Type="http://schemas.openxmlformats.org/officeDocument/2006/relationships/hyperlink" Target="https://pubmed.ncbi.nlm.nih.gov/36250644/" TargetMode="External"/><Relationship Id="rId127" Type="http://schemas.openxmlformats.org/officeDocument/2006/relationships/hyperlink" Target="https://www.ncbi.nlm.nih.gov/pubmed/?term=Consoli%20A%5BAuthor%5D&amp;cauthor=true&amp;cauthor_uid=27633186" TargetMode="External"/><Relationship Id="rId10" Type="http://schemas.openxmlformats.org/officeDocument/2006/relationships/image" Target="media/image4.png"/><Relationship Id="rId73" Type="http://schemas.openxmlformats.org/officeDocument/2006/relationships/image" Target="media/image13.png"/><Relationship Id="rId78" Type="http://schemas.openxmlformats.org/officeDocument/2006/relationships/image" Target="media/image18.png"/><Relationship Id="rId94" Type="http://schemas.openxmlformats.org/officeDocument/2006/relationships/header" Target="header10.xml"/><Relationship Id="rId99" Type="http://schemas.openxmlformats.org/officeDocument/2006/relationships/footer" Target="footer12.xml"/><Relationship Id="rId101" Type="http://schemas.openxmlformats.org/officeDocument/2006/relationships/hyperlink" Target="https://drive.google.com/file/d/1eO4kz5jjSNxJzHvAklVN3CdPwOW8ZH10/view" TargetMode="External"/><Relationship Id="rId122" Type="http://schemas.openxmlformats.org/officeDocument/2006/relationships/hyperlink" Target="https://www.ncbi.nlm.nih.gov/pubmed/?term=LEADER%20Steering%20Committee%20and%20Investigators%5BCorporate%20Author%5D" TargetMode="External"/><Relationship Id="rId143" Type="http://schemas.openxmlformats.org/officeDocument/2006/relationships/hyperlink" Target="https://www.ncbi.nlm.nih.gov/pubmed/?term=McGuire%20DK%5BAuthor%5D&amp;cauthor=true&amp;cauthor_uid=27595693" TargetMode="External"/><Relationship Id="rId148" Type="http://schemas.openxmlformats.org/officeDocument/2006/relationships/hyperlink" Target="https://www.ncbi.nlm.nih.gov/pubmed/?term=Pratley%20RE%5BAuthor%5D&amp;cauthor=true&amp;cauthor_uid=27595693" TargetMode="External"/><Relationship Id="rId164" Type="http://schemas.openxmlformats.org/officeDocument/2006/relationships/hyperlink" Target="https://www.ncbi.nlm.nih.gov/pubmed/?term=Ryckaert%20B%5BAuthor%5D&amp;cauthor=true&amp;cauthor_uid=25780262" TargetMode="External"/><Relationship Id="rId169" Type="http://schemas.openxmlformats.org/officeDocument/2006/relationships/hyperlink" Target="https://www.ncbi.nlm.nih.gov/pubmed/?term=Neal%20B%5BAuthor%5D&amp;cauthor=true&amp;cauthor_uid=28605608" TargetMode="External"/><Relationship Id="rId185" Type="http://schemas.openxmlformats.org/officeDocument/2006/relationships/hyperlink" Target="https://www.ncbi.nlm.nih.gov/pubmed/?term=Lachin%20JM%5BAuthor%5D&amp;cauthor=true&amp;cauthor_uid=28904068" TargetMode="External"/><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hyperlink" Target="https://www.ncbi.nlm.nih.gov/pubmed/?term=CANVAS%20Program%20Collaborative%20Group%5BCorporate%20Author%5D" TargetMode="External"/><Relationship Id="rId68" Type="http://schemas.openxmlformats.org/officeDocument/2006/relationships/footer" Target="footer3.xml"/><Relationship Id="rId89" Type="http://schemas.openxmlformats.org/officeDocument/2006/relationships/footer" Target="footer7.xml"/><Relationship Id="rId112" Type="http://schemas.openxmlformats.org/officeDocument/2006/relationships/hyperlink" Target="https://www.ncbi.nlm.nih.gov/pubmed/?term=Mann%20JFE%5BAuthor%5D&amp;cauthor=true&amp;cauthor_uid=28854085" TargetMode="External"/><Relationship Id="rId133" Type="http://schemas.openxmlformats.org/officeDocument/2006/relationships/hyperlink" Target="https://www.ncbi.nlm.nih.gov/pubmed/?term=Seufert%20J%5BAuthor%5D&amp;cauthor=true&amp;cauthor_uid=27633186" TargetMode="External"/><Relationship Id="rId154" Type="http://schemas.openxmlformats.org/officeDocument/2006/relationships/hyperlink" Target="https://www.ncbi.nlm.nih.gov/pubmed/27595693" TargetMode="External"/><Relationship Id="rId175" Type="http://schemas.openxmlformats.org/officeDocument/2006/relationships/hyperlink" Target="https://www.ncbi.nlm.nih.gov/pubmed/?term=Shaw%20W%5BAuthor%5D&amp;cauthor=true&amp;cauthor_uid=28605608" TargetMode="External"/><Relationship Id="rId196" Type="http://schemas.openxmlformats.org/officeDocument/2006/relationships/hyperlink" Target="https://doi.org/10.1093/eurheartj/ehy339" TargetMode="External"/><Relationship Id="rId200" Type="http://schemas.openxmlformats.org/officeDocument/2006/relationships/header" Target="header14.xml"/><Relationship Id="rId58" Type="http://schemas.openxmlformats.org/officeDocument/2006/relationships/image" Target="media/image7.jpg"/><Relationship Id="rId79" Type="http://schemas.openxmlformats.org/officeDocument/2006/relationships/image" Target="media/image19.jpg"/><Relationship Id="rId102" Type="http://schemas.openxmlformats.org/officeDocument/2006/relationships/hyperlink" Target="https://pubmed.ncbi.nlm.nih.gov/36151309/" TargetMode="External"/><Relationship Id="rId123" Type="http://schemas.openxmlformats.org/officeDocument/2006/relationships/hyperlink" Target="https://www.ncbi.nlm.nih.gov/pubmed/28854085" TargetMode="External"/><Relationship Id="rId144" Type="http://schemas.openxmlformats.org/officeDocument/2006/relationships/hyperlink" Target="https://www.ncbi.nlm.nih.gov/pubmed/?term=Zinman%20B%5BAuthor%5D&amp;cauthor=true&amp;cauthor_uid=27595693" TargetMode="External"/><Relationship Id="rId90" Type="http://schemas.openxmlformats.org/officeDocument/2006/relationships/footer" Target="footer8.xml"/><Relationship Id="rId165" Type="http://schemas.openxmlformats.org/officeDocument/2006/relationships/hyperlink" Target="https://www.ncbi.nlm.nih.gov/pubmed/?term=Patel%20S%5BAuthor%5D&amp;cauthor=true&amp;cauthor_uid=25780262" TargetMode="External"/><Relationship Id="rId186" Type="http://schemas.openxmlformats.org/officeDocument/2006/relationships/hyperlink" Target="https://www.ncbi.nlm.nih.gov/pubmed/?term=Inzucchi%20SE%5BAuthor%5D&amp;cauthor=true&amp;cauthor_uid=28904068" TargetMode="External"/><Relationship Id="rId69" Type="http://schemas.openxmlformats.org/officeDocument/2006/relationships/image" Target="media/image6.png"/><Relationship Id="rId113" Type="http://schemas.openxmlformats.org/officeDocument/2006/relationships/hyperlink" Target="https://www.ncbi.nlm.nih.gov/pubmed/?term=%C3%98rsted%20DD%5BAuthor%5D&amp;cauthor=true&amp;cauthor_uid=28854085" TargetMode="External"/><Relationship Id="rId134" Type="http://schemas.openxmlformats.org/officeDocument/2006/relationships/hyperlink" Target="https://www.ncbi.nlm.nih.gov/pubmed/?term=Warren%20ML%5BAuthor%5D&amp;cauthor=true&amp;cauthor_uid=2763318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78942</Words>
  <Characters>449974</Characters>
  <Application>Microsoft Office Word</Application>
  <DocSecurity>4</DocSecurity>
  <Lines>3749</Lines>
  <Paragraphs>1055</Paragraphs>
  <ScaleCrop>false</ScaleCrop>
  <Company>Organization</Company>
  <LinksUpToDate>false</LinksUpToDate>
  <CharactersWithSpaces>527861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word2</dc:creator>
  <cp:keywords/>
  <cp:lastModifiedBy>word2</cp:lastModifiedBy>
  <cp:revision>2</cp:revision>
  <dcterms:created xsi:type="dcterms:W3CDTF">2025-12-17T11:24:00Z</dcterms:created>
  <dcterms:modified xsi:type="dcterms:W3CDTF">2025-12-17T11:24:00Z</dcterms:modified>
</cp:coreProperties>
</file>