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2F1" w:rsidRDefault="0013705F">
      <w:pPr>
        <w:spacing w:after="0" w:line="259" w:lineRule="auto"/>
        <w:ind w:left="-1440" w:right="10480" w:firstLine="0"/>
        <w:jc w:val="left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0</wp:posOffset>
            </wp:positionH>
            <wp:positionV relativeFrom="page">
              <wp:posOffset>4064</wp:posOffset>
            </wp:positionV>
            <wp:extent cx="7562088" cy="10689336"/>
            <wp:effectExtent l="0" t="0" r="0" b="0"/>
            <wp:wrapTopAndBottom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F12F1" w:rsidRDefault="001F12F1">
      <w:pPr>
        <w:sectPr w:rsidR="001F12F1">
          <w:footerReference w:type="even" r:id="rId8"/>
          <w:footerReference w:type="default" r:id="rId9"/>
          <w:footerReference w:type="first" r:id="rId10"/>
          <w:pgSz w:w="11920" w:h="16840"/>
          <w:pgMar w:top="1440" w:right="1440" w:bottom="1440" w:left="1440" w:header="720" w:footer="720" w:gutter="0"/>
          <w:cols w:space="720"/>
        </w:sectPr>
      </w:pPr>
    </w:p>
    <w:p w:rsidR="001F12F1" w:rsidRDefault="0013705F">
      <w:pPr>
        <w:spacing w:after="0" w:line="259" w:lineRule="auto"/>
        <w:ind w:left="0" w:firstLine="0"/>
        <w:jc w:val="left"/>
      </w:pPr>
      <w:r>
        <w:rPr>
          <w:b/>
          <w:sz w:val="20"/>
        </w:rPr>
        <w:lastRenderedPageBreak/>
        <w:t xml:space="preserve"> </w:t>
      </w:r>
    </w:p>
    <w:p w:rsidR="001F12F1" w:rsidRDefault="0013705F">
      <w:pPr>
        <w:spacing w:after="0" w:line="259" w:lineRule="auto"/>
        <w:ind w:left="0" w:firstLine="0"/>
        <w:jc w:val="left"/>
      </w:pPr>
      <w:r>
        <w:rPr>
          <w:b/>
          <w:sz w:val="20"/>
        </w:rPr>
        <w:t xml:space="preserve"> </w:t>
      </w:r>
    </w:p>
    <w:p w:rsidR="001F12F1" w:rsidRDefault="0013705F">
      <w:pPr>
        <w:spacing w:after="0" w:line="259" w:lineRule="auto"/>
        <w:ind w:left="0" w:firstLine="0"/>
        <w:jc w:val="left"/>
      </w:pPr>
      <w:r>
        <w:rPr>
          <w:b/>
          <w:sz w:val="20"/>
        </w:rPr>
        <w:t xml:space="preserve"> </w:t>
      </w:r>
    </w:p>
    <w:p w:rsidR="001F12F1" w:rsidRDefault="0013705F">
      <w:pPr>
        <w:spacing w:after="0" w:line="259" w:lineRule="auto"/>
        <w:ind w:left="0" w:firstLine="0"/>
        <w:jc w:val="left"/>
      </w:pPr>
      <w:r>
        <w:rPr>
          <w:b/>
          <w:sz w:val="20"/>
        </w:rPr>
        <w:t xml:space="preserve"> </w:t>
      </w:r>
    </w:p>
    <w:p w:rsidR="001F12F1" w:rsidRDefault="0013705F">
      <w:pPr>
        <w:spacing w:after="0" w:line="259" w:lineRule="auto"/>
        <w:ind w:left="0" w:firstLine="0"/>
        <w:jc w:val="left"/>
      </w:pPr>
      <w:r>
        <w:rPr>
          <w:b/>
          <w:sz w:val="20"/>
        </w:rPr>
        <w:t xml:space="preserve"> </w:t>
      </w:r>
    </w:p>
    <w:p w:rsidR="001F12F1" w:rsidRDefault="0013705F">
      <w:pPr>
        <w:spacing w:after="0" w:line="259" w:lineRule="auto"/>
        <w:ind w:left="0" w:firstLine="0"/>
        <w:jc w:val="left"/>
      </w:pPr>
      <w:r>
        <w:rPr>
          <w:b/>
          <w:sz w:val="20"/>
        </w:rPr>
        <w:t xml:space="preserve"> </w:t>
      </w:r>
    </w:p>
    <w:p w:rsidR="001F12F1" w:rsidRDefault="0013705F">
      <w:pPr>
        <w:spacing w:after="0" w:line="259" w:lineRule="auto"/>
        <w:ind w:left="0" w:firstLine="0"/>
        <w:jc w:val="left"/>
      </w:pPr>
      <w:r>
        <w:rPr>
          <w:b/>
          <w:sz w:val="20"/>
        </w:rPr>
        <w:t xml:space="preserve"> </w:t>
      </w:r>
    </w:p>
    <w:p w:rsidR="001F12F1" w:rsidRDefault="0013705F">
      <w:pPr>
        <w:spacing w:after="0" w:line="259" w:lineRule="auto"/>
        <w:ind w:left="0" w:firstLine="0"/>
        <w:jc w:val="left"/>
      </w:pPr>
      <w:r>
        <w:rPr>
          <w:b/>
          <w:sz w:val="20"/>
        </w:rPr>
        <w:t xml:space="preserve"> </w:t>
      </w:r>
    </w:p>
    <w:p w:rsidR="001F12F1" w:rsidRDefault="0013705F">
      <w:pPr>
        <w:spacing w:after="0" w:line="259" w:lineRule="auto"/>
        <w:ind w:left="0" w:firstLine="0"/>
        <w:jc w:val="left"/>
      </w:pPr>
      <w:r>
        <w:rPr>
          <w:b/>
          <w:sz w:val="20"/>
        </w:rPr>
        <w:t xml:space="preserve"> </w:t>
      </w:r>
    </w:p>
    <w:p w:rsidR="001F12F1" w:rsidRDefault="0013705F">
      <w:pPr>
        <w:spacing w:after="0" w:line="259" w:lineRule="auto"/>
        <w:ind w:left="0" w:firstLine="0"/>
        <w:jc w:val="left"/>
      </w:pPr>
      <w:r>
        <w:rPr>
          <w:b/>
          <w:sz w:val="20"/>
        </w:rPr>
        <w:t xml:space="preserve"> </w:t>
      </w:r>
    </w:p>
    <w:p w:rsidR="001F12F1" w:rsidRDefault="0013705F">
      <w:pPr>
        <w:spacing w:after="0" w:line="259" w:lineRule="auto"/>
        <w:ind w:left="0" w:firstLine="0"/>
        <w:jc w:val="left"/>
      </w:pPr>
      <w:r>
        <w:rPr>
          <w:b/>
          <w:sz w:val="20"/>
        </w:rPr>
        <w:t xml:space="preserve"> </w:t>
      </w:r>
    </w:p>
    <w:p w:rsidR="001F12F1" w:rsidRDefault="0013705F">
      <w:pPr>
        <w:spacing w:after="0" w:line="259" w:lineRule="auto"/>
        <w:ind w:left="0" w:firstLine="0"/>
        <w:jc w:val="left"/>
      </w:pPr>
      <w:r>
        <w:rPr>
          <w:b/>
          <w:sz w:val="20"/>
        </w:rPr>
        <w:t xml:space="preserve"> </w:t>
      </w:r>
    </w:p>
    <w:p w:rsidR="001F12F1" w:rsidRDefault="0013705F">
      <w:pPr>
        <w:spacing w:after="0" w:line="259" w:lineRule="auto"/>
        <w:ind w:left="0" w:firstLine="0"/>
        <w:jc w:val="left"/>
      </w:pPr>
      <w:r>
        <w:rPr>
          <w:b/>
          <w:sz w:val="20"/>
        </w:rPr>
        <w:t xml:space="preserve"> </w:t>
      </w:r>
    </w:p>
    <w:p w:rsidR="001F12F1" w:rsidRDefault="0013705F">
      <w:pPr>
        <w:spacing w:after="0" w:line="259" w:lineRule="auto"/>
        <w:ind w:left="0" w:firstLine="0"/>
        <w:jc w:val="left"/>
      </w:pPr>
      <w:r>
        <w:rPr>
          <w:b/>
          <w:sz w:val="20"/>
        </w:rPr>
        <w:t xml:space="preserve"> </w:t>
      </w:r>
    </w:p>
    <w:p w:rsidR="001F12F1" w:rsidRDefault="0013705F">
      <w:pPr>
        <w:spacing w:after="0" w:line="259" w:lineRule="auto"/>
        <w:ind w:left="0" w:firstLine="0"/>
        <w:jc w:val="left"/>
      </w:pPr>
      <w:r>
        <w:rPr>
          <w:b/>
          <w:sz w:val="20"/>
        </w:rPr>
        <w:t xml:space="preserve"> </w:t>
      </w:r>
    </w:p>
    <w:p w:rsidR="001F12F1" w:rsidRDefault="0013705F">
      <w:pPr>
        <w:spacing w:after="98" w:line="259" w:lineRule="auto"/>
        <w:ind w:left="0" w:firstLine="0"/>
        <w:jc w:val="left"/>
      </w:pPr>
      <w:r>
        <w:rPr>
          <w:b/>
          <w:sz w:val="20"/>
        </w:rPr>
        <w:t xml:space="preserve"> </w:t>
      </w:r>
    </w:p>
    <w:p w:rsidR="001F12F1" w:rsidRDefault="0013705F">
      <w:pPr>
        <w:spacing w:after="544"/>
      </w:pPr>
      <w:r>
        <w:t>Клинические рекомендации</w:t>
      </w:r>
      <w:r>
        <w:rPr>
          <w:b/>
        </w:rPr>
        <w:t xml:space="preserve"> </w:t>
      </w:r>
    </w:p>
    <w:p w:rsidR="001F12F1" w:rsidRDefault="0013705F">
      <w:pPr>
        <w:spacing w:after="36" w:line="259" w:lineRule="auto"/>
        <w:ind w:left="103"/>
        <w:jc w:val="left"/>
      </w:pPr>
      <w:r>
        <w:rPr>
          <w:b/>
          <w:sz w:val="44"/>
        </w:rPr>
        <w:t xml:space="preserve">Другие сфинголипидозы  </w:t>
      </w:r>
    </w:p>
    <w:p w:rsidR="001F12F1" w:rsidRDefault="0013705F">
      <w:pPr>
        <w:spacing w:after="36" w:line="259" w:lineRule="auto"/>
        <w:ind w:left="103"/>
        <w:jc w:val="left"/>
      </w:pPr>
      <w:r>
        <w:rPr>
          <w:b/>
          <w:sz w:val="44"/>
        </w:rPr>
        <w:t>(болезнь Ниманна-Пика типа А, B, A/B)</w:t>
      </w:r>
      <w:r>
        <w:rPr>
          <w:b/>
          <w:sz w:val="20"/>
        </w:rPr>
        <w:t xml:space="preserve"> </w:t>
      </w:r>
    </w:p>
    <w:p w:rsidR="001F12F1" w:rsidRDefault="0013705F">
      <w:pPr>
        <w:spacing w:after="193" w:line="257" w:lineRule="auto"/>
        <w:ind w:left="432" w:right="3993" w:firstLine="977"/>
        <w:jc w:val="left"/>
      </w:pPr>
      <w:r>
        <w:t xml:space="preserve">Кодирование по Международной статистической классификации болезней и проблем, связанных со здоровьем:  </w:t>
      </w:r>
      <w:r>
        <w:rPr>
          <w:b/>
        </w:rPr>
        <w:t xml:space="preserve">E75.2 </w:t>
      </w:r>
    </w:p>
    <w:p w:rsidR="001F12F1" w:rsidRDefault="0013705F">
      <w:pPr>
        <w:spacing w:after="322" w:line="259" w:lineRule="auto"/>
        <w:ind w:left="15" w:right="256"/>
        <w:jc w:val="center"/>
      </w:pPr>
      <w:r>
        <w:t>Возрастная группа:</w:t>
      </w:r>
      <w:r>
        <w:rPr>
          <w:b/>
        </w:rPr>
        <w:t xml:space="preserve"> Дети, взрослые </w:t>
      </w:r>
    </w:p>
    <w:p w:rsidR="001F12F1" w:rsidRDefault="0013705F">
      <w:pPr>
        <w:spacing w:after="466"/>
        <w:ind w:left="3013"/>
      </w:pPr>
      <w:r>
        <w:t>Год утверждения:</w:t>
      </w:r>
      <w:r>
        <w:rPr>
          <w:b/>
        </w:rPr>
        <w:t xml:space="preserve"> 2026 </w:t>
      </w:r>
    </w:p>
    <w:p w:rsidR="001F12F1" w:rsidRDefault="0013705F">
      <w:pPr>
        <w:spacing w:after="349"/>
      </w:pPr>
      <w:r>
        <w:t>Разработчик клинической рекомендации:</w:t>
      </w:r>
      <w:r>
        <w:rPr>
          <w:b/>
        </w:rPr>
        <w:t xml:space="preserve"> </w:t>
      </w:r>
    </w:p>
    <w:p w:rsidR="001F12F1" w:rsidRDefault="0013705F">
      <w:pPr>
        <w:numPr>
          <w:ilvl w:val="0"/>
          <w:numId w:val="1"/>
        </w:numPr>
        <w:spacing w:after="166" w:line="250" w:lineRule="auto"/>
        <w:ind w:hanging="360"/>
      </w:pPr>
      <w:r>
        <w:rPr>
          <w:b/>
        </w:rPr>
        <w:t xml:space="preserve">Ассоциация медицинских генетиков </w:t>
      </w:r>
    </w:p>
    <w:p w:rsidR="001F12F1" w:rsidRDefault="0013705F">
      <w:pPr>
        <w:numPr>
          <w:ilvl w:val="0"/>
          <w:numId w:val="1"/>
        </w:numPr>
        <w:spacing w:after="1487" w:line="250" w:lineRule="auto"/>
        <w:ind w:hanging="360"/>
      </w:pPr>
      <w:r>
        <w:rPr>
          <w:b/>
        </w:rPr>
        <w:t xml:space="preserve">Союз педиатров России </w:t>
      </w:r>
    </w:p>
    <w:p w:rsidR="001F12F1" w:rsidRDefault="0013705F">
      <w:pPr>
        <w:spacing w:after="3741" w:line="259" w:lineRule="auto"/>
        <w:ind w:left="0" w:firstLine="0"/>
        <w:jc w:val="left"/>
      </w:pPr>
      <w:r>
        <w:t xml:space="preserve"> </w:t>
      </w:r>
      <w:r>
        <w:tab/>
        <w:t xml:space="preserve"> </w:t>
      </w:r>
    </w:p>
    <w:p w:rsidR="001F12F1" w:rsidRDefault="0013705F">
      <w:pPr>
        <w:spacing w:after="0" w:line="259" w:lineRule="auto"/>
        <w:ind w:left="0" w:right="305" w:firstLine="0"/>
        <w:jc w:val="right"/>
      </w:pPr>
      <w:r>
        <w:t xml:space="preserve"> </w:t>
      </w:r>
    </w:p>
    <w:p w:rsidR="001F12F1" w:rsidRDefault="0013705F">
      <w:pPr>
        <w:spacing w:after="118"/>
        <w:ind w:left="-5"/>
      </w:pPr>
      <w:r>
        <w:t xml:space="preserve">Содержание </w:t>
      </w:r>
    </w:p>
    <w:p w:rsidR="001F12F1" w:rsidRDefault="0013705F">
      <w:pPr>
        <w:spacing w:after="125"/>
        <w:ind w:left="-5"/>
      </w:pPr>
      <w:r>
        <w:rPr>
          <w:b/>
        </w:rPr>
        <w:t>Список сокращений</w:t>
      </w:r>
      <w:r>
        <w:t xml:space="preserve"> ............................................................................................................................ 3 </w:t>
      </w:r>
    </w:p>
    <w:p w:rsidR="001F12F1" w:rsidRDefault="0013705F">
      <w:pPr>
        <w:spacing w:after="105" w:line="250" w:lineRule="auto"/>
        <w:ind w:left="-5"/>
      </w:pPr>
      <w:r>
        <w:rPr>
          <w:b/>
        </w:rPr>
        <w:t>Термины и определения ...............................................</w:t>
      </w:r>
      <w:r>
        <w:rPr>
          <w:b/>
        </w:rPr>
        <w:t xml:space="preserve">..................................................................... 4 </w:t>
      </w:r>
    </w:p>
    <w:p w:rsidR="001F12F1" w:rsidRDefault="0013705F">
      <w:pPr>
        <w:numPr>
          <w:ilvl w:val="0"/>
          <w:numId w:val="2"/>
        </w:numPr>
        <w:spacing w:after="114"/>
      </w:pPr>
      <w:r>
        <w:rPr>
          <w:b/>
        </w:rPr>
        <w:t>Краткая информация по заболеванию или состоянию (группе заболеваний или состояний)</w:t>
      </w:r>
      <w:r>
        <w:t xml:space="preserve"> ....................................................................................................</w:t>
      </w:r>
      <w:r>
        <w:t xml:space="preserve">......................................... 5 </w:t>
      </w:r>
    </w:p>
    <w:p w:rsidR="001F12F1" w:rsidRDefault="0013705F">
      <w:pPr>
        <w:spacing w:after="120"/>
        <w:ind w:left="250"/>
      </w:pPr>
      <w:r>
        <w:t>1.1 Определение заболевания или состояния (группы заболеваний или состояний)</w:t>
      </w:r>
      <w:r>
        <w:rPr>
          <w:rFonts w:ascii="Calibri" w:eastAsia="Calibri" w:hAnsi="Calibri" w:cs="Calibri"/>
          <w:b/>
          <w:sz w:val="22"/>
        </w:rPr>
        <w:t xml:space="preserve"> ................ 5 </w:t>
      </w:r>
    </w:p>
    <w:p w:rsidR="001F12F1" w:rsidRDefault="0013705F">
      <w:pPr>
        <w:spacing w:line="314" w:lineRule="auto"/>
        <w:ind w:left="250"/>
      </w:pPr>
      <w:r>
        <w:t>1.3 Эпидемиология заболевания или состояния (группы заболеваний или состояний)</w:t>
      </w:r>
      <w:r>
        <w:rPr>
          <w:rFonts w:ascii="Calibri" w:eastAsia="Calibri" w:hAnsi="Calibri" w:cs="Calibri"/>
          <w:b/>
          <w:sz w:val="22"/>
        </w:rPr>
        <w:t xml:space="preserve"> ............ 6 </w:t>
      </w:r>
      <w:r>
        <w:t xml:space="preserve">1.4 </w:t>
      </w:r>
      <w:r>
        <w:t xml:space="preserve">Особенности кодирования заболевания или состояния (группы заболеваний или состояний) по Международной статистической классификации болезней и проблем, </w:t>
      </w:r>
    </w:p>
    <w:p w:rsidR="001F12F1" w:rsidRDefault="0013705F">
      <w:pPr>
        <w:spacing w:after="107" w:line="259" w:lineRule="auto"/>
        <w:ind w:left="235" w:right="-7"/>
        <w:jc w:val="left"/>
      </w:pPr>
      <w:r>
        <w:t>связанных со здоровьем</w:t>
      </w:r>
      <w:r>
        <w:rPr>
          <w:rFonts w:ascii="Calibri" w:eastAsia="Calibri" w:hAnsi="Calibri" w:cs="Calibri"/>
          <w:b/>
          <w:sz w:val="22"/>
        </w:rPr>
        <w:t xml:space="preserve"> .................................................................................</w:t>
      </w:r>
      <w:r>
        <w:rPr>
          <w:rFonts w:ascii="Calibri" w:eastAsia="Calibri" w:hAnsi="Calibri" w:cs="Calibri"/>
          <w:b/>
          <w:sz w:val="22"/>
        </w:rPr>
        <w:t xml:space="preserve">.................................. 6 </w:t>
      </w:r>
    </w:p>
    <w:p w:rsidR="001F12F1" w:rsidRDefault="0013705F">
      <w:pPr>
        <w:numPr>
          <w:ilvl w:val="1"/>
          <w:numId w:val="4"/>
        </w:numPr>
        <w:spacing w:after="167"/>
        <w:ind w:firstLine="240"/>
      </w:pPr>
      <w:r>
        <w:t>Классификация заболевания или состояния (группы заболеваний или состояний).</w:t>
      </w:r>
      <w:r>
        <w:rPr>
          <w:rFonts w:ascii="Calibri" w:eastAsia="Calibri" w:hAnsi="Calibri" w:cs="Calibri"/>
          <w:b/>
          <w:sz w:val="22"/>
        </w:rPr>
        <w:t xml:space="preserve"> ........... 6 </w:t>
      </w:r>
    </w:p>
    <w:p w:rsidR="001F12F1" w:rsidRDefault="0013705F">
      <w:pPr>
        <w:numPr>
          <w:ilvl w:val="1"/>
          <w:numId w:val="4"/>
        </w:numPr>
        <w:spacing w:after="43" w:line="314" w:lineRule="auto"/>
        <w:ind w:firstLine="240"/>
      </w:pPr>
      <w:r>
        <w:t>Клиническая картина заболевания или состояния (группы заболеваний или состояний)</w:t>
      </w:r>
      <w:r>
        <w:rPr>
          <w:rFonts w:ascii="Calibri" w:eastAsia="Calibri" w:hAnsi="Calibri" w:cs="Calibri"/>
          <w:b/>
          <w:sz w:val="22"/>
        </w:rPr>
        <w:t xml:space="preserve"> .. 7 </w:t>
      </w:r>
      <w:r>
        <w:rPr>
          <w:b/>
        </w:rPr>
        <w:t>2. Диагностика заболевания или состояния (группы заболеваний или состояний), медицинские показания и противопоказания к применению методов диагностики</w:t>
      </w:r>
      <w:r>
        <w:t xml:space="preserve"> ........... 7 </w:t>
      </w:r>
    </w:p>
    <w:p w:rsidR="001F12F1" w:rsidRDefault="0013705F">
      <w:pPr>
        <w:numPr>
          <w:ilvl w:val="1"/>
          <w:numId w:val="3"/>
        </w:numPr>
        <w:spacing w:after="120" w:line="250" w:lineRule="auto"/>
        <w:ind w:right="-7" w:hanging="360"/>
        <w:jc w:val="left"/>
      </w:pPr>
      <w:r>
        <w:t>Жалобы и анамнез</w:t>
      </w:r>
      <w:r>
        <w:rPr>
          <w:b/>
        </w:rPr>
        <w:t xml:space="preserve"> .........................................................................</w:t>
      </w:r>
      <w:r>
        <w:rPr>
          <w:b/>
        </w:rPr>
        <w:t xml:space="preserve">.............................................. 7 </w:t>
      </w:r>
    </w:p>
    <w:p w:rsidR="001F12F1" w:rsidRDefault="0013705F">
      <w:pPr>
        <w:numPr>
          <w:ilvl w:val="1"/>
          <w:numId w:val="3"/>
        </w:numPr>
        <w:spacing w:after="166" w:line="250" w:lineRule="auto"/>
        <w:ind w:right="-7" w:hanging="360"/>
        <w:jc w:val="left"/>
      </w:pPr>
      <w:r>
        <w:t>Физикальное обследование</w:t>
      </w:r>
      <w:r>
        <w:rPr>
          <w:b/>
        </w:rPr>
        <w:t xml:space="preserve"> ...................................................................................................... 10 </w:t>
      </w:r>
    </w:p>
    <w:p w:rsidR="001F12F1" w:rsidRDefault="0013705F">
      <w:pPr>
        <w:numPr>
          <w:ilvl w:val="1"/>
          <w:numId w:val="3"/>
        </w:numPr>
        <w:spacing w:after="107" w:line="259" w:lineRule="auto"/>
        <w:ind w:right="-7" w:hanging="360"/>
        <w:jc w:val="left"/>
      </w:pPr>
      <w:r>
        <w:t>Лабораторные диагностические исследования</w:t>
      </w:r>
      <w:r>
        <w:rPr>
          <w:rFonts w:ascii="Calibri" w:eastAsia="Calibri" w:hAnsi="Calibri" w:cs="Calibri"/>
          <w:b/>
          <w:sz w:val="22"/>
        </w:rPr>
        <w:t xml:space="preserve"> ................................</w:t>
      </w:r>
      <w:r>
        <w:rPr>
          <w:rFonts w:ascii="Calibri" w:eastAsia="Calibri" w:hAnsi="Calibri" w:cs="Calibri"/>
          <w:b/>
          <w:sz w:val="22"/>
        </w:rPr>
        <w:t xml:space="preserve">...................................... 10 </w:t>
      </w:r>
    </w:p>
    <w:p w:rsidR="001F12F1" w:rsidRDefault="0013705F">
      <w:pPr>
        <w:numPr>
          <w:ilvl w:val="1"/>
          <w:numId w:val="3"/>
        </w:numPr>
        <w:spacing w:after="107" w:line="259" w:lineRule="auto"/>
        <w:ind w:right="-7" w:hanging="360"/>
        <w:jc w:val="left"/>
      </w:pPr>
      <w:r>
        <w:t>Инструментальные диагностические исследования</w:t>
      </w:r>
      <w:r>
        <w:rPr>
          <w:rFonts w:ascii="Calibri" w:eastAsia="Calibri" w:hAnsi="Calibri" w:cs="Calibri"/>
          <w:b/>
          <w:sz w:val="22"/>
        </w:rPr>
        <w:t xml:space="preserve"> .............................................................. 13 </w:t>
      </w:r>
    </w:p>
    <w:p w:rsidR="001F12F1" w:rsidRDefault="0013705F">
      <w:pPr>
        <w:numPr>
          <w:ilvl w:val="1"/>
          <w:numId w:val="3"/>
        </w:numPr>
        <w:spacing w:after="107" w:line="259" w:lineRule="auto"/>
        <w:ind w:right="-7" w:hanging="360"/>
        <w:jc w:val="left"/>
      </w:pPr>
      <w:r>
        <w:t>Иные диагностические исследования</w:t>
      </w:r>
      <w:r>
        <w:rPr>
          <w:rFonts w:ascii="Calibri" w:eastAsia="Calibri" w:hAnsi="Calibri" w:cs="Calibri"/>
          <w:b/>
          <w:sz w:val="22"/>
        </w:rPr>
        <w:t xml:space="preserve"> ..................................................................</w:t>
      </w:r>
      <w:r>
        <w:rPr>
          <w:rFonts w:ascii="Calibri" w:eastAsia="Calibri" w:hAnsi="Calibri" w:cs="Calibri"/>
          <w:b/>
          <w:sz w:val="22"/>
        </w:rPr>
        <w:t xml:space="preserve">................... 15 </w:t>
      </w:r>
    </w:p>
    <w:p w:rsidR="001F12F1" w:rsidRDefault="0013705F">
      <w:pPr>
        <w:numPr>
          <w:ilvl w:val="0"/>
          <w:numId w:val="5"/>
        </w:numPr>
        <w:spacing w:after="166" w:line="250" w:lineRule="auto"/>
        <w:ind w:hanging="240"/>
      </w:pPr>
      <w:r>
        <w:rPr>
          <w:b/>
        </w:rPr>
        <w:t>Лечение, включая медикаментозную и немедикаментозную терапии, диетотерапию, обезболивание, медицинские показания и противопоказания к применению методов лечения</w:t>
      </w:r>
      <w:r>
        <w:t xml:space="preserve"> .......................................................................</w:t>
      </w:r>
      <w:r>
        <w:t xml:space="preserve">......................................................................... 17 </w:t>
      </w:r>
    </w:p>
    <w:p w:rsidR="001F12F1" w:rsidRDefault="0013705F">
      <w:pPr>
        <w:spacing w:after="156" w:line="259" w:lineRule="auto"/>
        <w:ind w:left="235" w:right="-7"/>
        <w:jc w:val="left"/>
      </w:pPr>
      <w:r>
        <w:t>3.1</w:t>
      </w:r>
      <w:r>
        <w:rPr>
          <w:rFonts w:ascii="Calibri" w:eastAsia="Calibri" w:hAnsi="Calibri" w:cs="Calibri"/>
          <w:b/>
          <w:sz w:val="22"/>
        </w:rPr>
        <w:t xml:space="preserve"> </w:t>
      </w:r>
      <w:r>
        <w:t>Консервативное лечение</w:t>
      </w:r>
      <w:r>
        <w:rPr>
          <w:rFonts w:ascii="Calibri" w:eastAsia="Calibri" w:hAnsi="Calibri" w:cs="Calibri"/>
          <w:b/>
          <w:sz w:val="22"/>
        </w:rPr>
        <w:t xml:space="preserve"> ........................................................................................................... 17 </w:t>
      </w:r>
    </w:p>
    <w:p w:rsidR="001F12F1" w:rsidRDefault="0013705F">
      <w:pPr>
        <w:numPr>
          <w:ilvl w:val="0"/>
          <w:numId w:val="5"/>
        </w:numPr>
        <w:spacing w:after="111" w:line="250" w:lineRule="auto"/>
        <w:ind w:hanging="240"/>
      </w:pPr>
      <w:r>
        <w:rPr>
          <w:b/>
        </w:rPr>
        <w:t>Медицинская реабилитация и санаторно-ку</w:t>
      </w:r>
      <w:r>
        <w:rPr>
          <w:b/>
        </w:rPr>
        <w:t>рортное лечение, медицинские показания и противопоказания к применению методов медицинской реабилитации, в том числе основанных на использовании природных лечебных факторов</w:t>
      </w:r>
      <w:r>
        <w:t xml:space="preserve"> ............................................. 19 </w:t>
      </w:r>
    </w:p>
    <w:p w:rsidR="001F12F1" w:rsidRDefault="0013705F">
      <w:pPr>
        <w:numPr>
          <w:ilvl w:val="0"/>
          <w:numId w:val="5"/>
        </w:numPr>
        <w:spacing w:after="132" w:line="250" w:lineRule="auto"/>
        <w:ind w:hanging="240"/>
      </w:pPr>
      <w:r>
        <w:rPr>
          <w:b/>
        </w:rPr>
        <w:t>Профилактика и диспансерное наблю</w:t>
      </w:r>
      <w:r>
        <w:rPr>
          <w:b/>
        </w:rPr>
        <w:t>дение, медицинские показания и противопоказания к применению методов профилактики</w:t>
      </w:r>
      <w:r>
        <w:t xml:space="preserve"> ...................................................... 21 </w:t>
      </w:r>
    </w:p>
    <w:p w:rsidR="001F12F1" w:rsidRDefault="0013705F">
      <w:pPr>
        <w:numPr>
          <w:ilvl w:val="0"/>
          <w:numId w:val="5"/>
        </w:numPr>
        <w:spacing w:after="111"/>
        <w:ind w:hanging="240"/>
      </w:pPr>
      <w:r>
        <w:rPr>
          <w:b/>
        </w:rPr>
        <w:t>Организация оказания медицинской помощи</w:t>
      </w:r>
      <w:r>
        <w:t xml:space="preserve"> ........................................................................ 26</w:t>
      </w:r>
      <w:r>
        <w:t xml:space="preserve"> </w:t>
      </w:r>
    </w:p>
    <w:p w:rsidR="001F12F1" w:rsidRDefault="0013705F">
      <w:pPr>
        <w:numPr>
          <w:ilvl w:val="0"/>
          <w:numId w:val="5"/>
        </w:numPr>
        <w:spacing w:after="137"/>
        <w:ind w:hanging="240"/>
      </w:pPr>
      <w:r>
        <w:rPr>
          <w:b/>
        </w:rPr>
        <w:t>Дополнительная информация (в том числе факторы, влияющие на исход заболевания или состояния)</w:t>
      </w:r>
      <w:r>
        <w:t xml:space="preserve"> ................................................................................................................................... 29 </w:t>
      </w:r>
    </w:p>
    <w:p w:rsidR="001F12F1" w:rsidRDefault="0013705F">
      <w:pPr>
        <w:spacing w:after="122"/>
        <w:ind w:left="-5"/>
      </w:pPr>
      <w:r>
        <w:rPr>
          <w:b/>
        </w:rPr>
        <w:t>Критерии оценки качества медицинской помощи</w:t>
      </w:r>
      <w:r>
        <w:t xml:space="preserve"> ..................................................................... 29 </w:t>
      </w:r>
    </w:p>
    <w:p w:rsidR="001F12F1" w:rsidRDefault="0013705F">
      <w:pPr>
        <w:spacing w:after="105" w:line="250" w:lineRule="auto"/>
        <w:ind w:left="-5"/>
      </w:pPr>
      <w:r>
        <w:rPr>
          <w:b/>
        </w:rPr>
        <w:t>Список литературы ........................................................................................................................</w:t>
      </w:r>
      <w:r>
        <w:rPr>
          <w:b/>
        </w:rPr>
        <w:t xml:space="preserve">.. 30 </w:t>
      </w:r>
    </w:p>
    <w:p w:rsidR="001F12F1" w:rsidRDefault="0013705F">
      <w:pPr>
        <w:spacing w:after="149"/>
        <w:ind w:left="-5"/>
      </w:pPr>
      <w:r>
        <w:rPr>
          <w:b/>
        </w:rPr>
        <w:t>Приложение А1. Состав рабочей группы по разработке и пересмотру клинических рекомендаций</w:t>
      </w:r>
      <w:r>
        <w:t xml:space="preserve"> ..................................................................................................................................... 32 </w:t>
      </w:r>
    </w:p>
    <w:p w:rsidR="001F12F1" w:rsidRDefault="0013705F">
      <w:pPr>
        <w:spacing w:after="105" w:line="250" w:lineRule="auto"/>
        <w:ind w:left="-5"/>
      </w:pPr>
      <w:r>
        <w:rPr>
          <w:b/>
        </w:rPr>
        <w:t>Приложение А2. Методол</w:t>
      </w:r>
      <w:r>
        <w:rPr>
          <w:b/>
        </w:rPr>
        <w:t>огия разработки клинических рекомендаций</w:t>
      </w:r>
      <w:r>
        <w:t xml:space="preserve"> .............................. 36 </w:t>
      </w:r>
    </w:p>
    <w:p w:rsidR="001F12F1" w:rsidRDefault="0013705F">
      <w:pPr>
        <w:spacing w:after="60"/>
        <w:ind w:left="-5"/>
      </w:pPr>
      <w:r>
        <w:t>Приложение А3. Справочные материалы, включая соответствие показаний к применению и противопоказаний, способов применения и доз лекарственных препаратов, инструкции по применению ле</w:t>
      </w:r>
      <w:r>
        <w:t xml:space="preserve">карственного препарата ........................................................................................... 38 </w:t>
      </w:r>
      <w:r>
        <w:rPr>
          <w:b/>
        </w:rPr>
        <w:t>Приложение Б. Алгоритмы действий врача</w:t>
      </w:r>
      <w:r>
        <w:t xml:space="preserve"> ................................................................................ 39 </w:t>
      </w:r>
    </w:p>
    <w:p w:rsidR="001F12F1" w:rsidRDefault="0013705F">
      <w:pPr>
        <w:spacing w:after="60"/>
        <w:ind w:left="-5"/>
      </w:pPr>
      <w:r>
        <w:rPr>
          <w:b/>
        </w:rPr>
        <w:t xml:space="preserve">Приложение В. </w:t>
      </w:r>
      <w:r>
        <w:rPr>
          <w:b/>
        </w:rPr>
        <w:t>Информация для пациентов</w:t>
      </w:r>
      <w:r>
        <w:t xml:space="preserve"> ............................................................................. 401 </w:t>
      </w:r>
    </w:p>
    <w:p w:rsidR="001F12F1" w:rsidRDefault="0013705F">
      <w:pPr>
        <w:spacing w:after="30"/>
        <w:ind w:left="-5"/>
      </w:pPr>
      <w:r>
        <w:t>Приложение Г1-Г2. Шкалы оценки, вопросники и другие оценочные инструменты состояния пациента, приведенные в клинических рекомендациях………………………………………</w:t>
      </w:r>
      <w:r>
        <w:t xml:space="preserve">…..45 </w:t>
      </w:r>
    </w:p>
    <w:p w:rsidR="001F12F1" w:rsidRDefault="0013705F">
      <w:pPr>
        <w:spacing w:after="277" w:line="259" w:lineRule="auto"/>
        <w:ind w:left="0" w:firstLine="0"/>
        <w:jc w:val="left"/>
      </w:pPr>
      <w:r>
        <w:t xml:space="preserve"> </w:t>
      </w:r>
    </w:p>
    <w:p w:rsidR="001F12F1" w:rsidRDefault="0013705F">
      <w:pPr>
        <w:pStyle w:val="Heading1"/>
        <w:ind w:left="711" w:right="280"/>
      </w:pPr>
      <w:r>
        <w:t>Список сокращений</w:t>
      </w:r>
      <w:r>
        <w:rPr>
          <w:b w:val="0"/>
        </w:rPr>
        <w:t xml:space="preserve"> </w:t>
      </w:r>
    </w:p>
    <w:p w:rsidR="001F12F1" w:rsidRDefault="0013705F">
      <w:pPr>
        <w:spacing w:after="171"/>
        <w:ind w:left="-5"/>
      </w:pPr>
      <w:r>
        <w:t xml:space="preserve">АЛАТ — аланинаминотрансфераза </w:t>
      </w:r>
    </w:p>
    <w:p w:rsidR="001F12F1" w:rsidRDefault="0013705F">
      <w:pPr>
        <w:spacing w:after="168"/>
        <w:ind w:left="-5"/>
      </w:pPr>
      <w:r>
        <w:t xml:space="preserve">АСАТ — аспартатаминотрансфераза </w:t>
      </w:r>
    </w:p>
    <w:p w:rsidR="001F12F1" w:rsidRDefault="0013705F">
      <w:pPr>
        <w:spacing w:line="397" w:lineRule="auto"/>
        <w:ind w:left="-5" w:right="5548"/>
      </w:pPr>
      <w:r>
        <w:t xml:space="preserve">БНП — болезнь Ниманна-Пика  БНП-А — Болезнь Ниманна-Пика типа А </w:t>
      </w:r>
    </w:p>
    <w:p w:rsidR="001F12F1" w:rsidRDefault="0013705F">
      <w:pPr>
        <w:spacing w:after="170"/>
        <w:ind w:left="-5"/>
      </w:pPr>
      <w:r>
        <w:t xml:space="preserve">БНП-А/В — болезнь Ниманна-Пика типа А/В   </w:t>
      </w:r>
    </w:p>
    <w:p w:rsidR="001F12F1" w:rsidRDefault="0013705F">
      <w:pPr>
        <w:spacing w:after="169"/>
        <w:ind w:left="-5"/>
      </w:pPr>
      <w:r>
        <w:t xml:space="preserve">БНП-В — Болезнь Ниманна-Пика типа В  </w:t>
      </w:r>
    </w:p>
    <w:p w:rsidR="001F12F1" w:rsidRDefault="0013705F">
      <w:pPr>
        <w:spacing w:after="171"/>
        <w:ind w:left="-5"/>
      </w:pPr>
      <w:r>
        <w:t xml:space="preserve">ВГН – </w:t>
      </w:r>
      <w:r>
        <w:t xml:space="preserve">верхняя граница нормы </w:t>
      </w:r>
    </w:p>
    <w:p w:rsidR="001F12F1" w:rsidRDefault="0013705F">
      <w:pPr>
        <w:spacing w:line="396" w:lineRule="auto"/>
        <w:ind w:left="-5" w:right="5082"/>
      </w:pPr>
      <w:r>
        <w:t xml:space="preserve">ГЭБ — гематоэнцефалический барьер  ДКСМ — дефицит кислой сфингомиелиназы </w:t>
      </w:r>
    </w:p>
    <w:p w:rsidR="001F12F1" w:rsidRDefault="0013705F">
      <w:pPr>
        <w:spacing w:after="169"/>
        <w:ind w:left="-5"/>
      </w:pPr>
      <w:r>
        <w:t xml:space="preserve">ДЛКЛ - дефицит лизосомной кислой липазы </w:t>
      </w:r>
    </w:p>
    <w:p w:rsidR="001F12F1" w:rsidRDefault="0013705F">
      <w:pPr>
        <w:spacing w:after="171"/>
        <w:ind w:left="-5"/>
      </w:pPr>
      <w:r>
        <w:t xml:space="preserve">КТ — компьютерная томография </w:t>
      </w:r>
    </w:p>
    <w:p w:rsidR="001F12F1" w:rsidRDefault="0013705F">
      <w:pPr>
        <w:spacing w:after="170"/>
        <w:ind w:left="-5"/>
      </w:pPr>
      <w:r>
        <w:t xml:space="preserve">КТВР - компьютерная томография высокого разрешения </w:t>
      </w:r>
    </w:p>
    <w:p w:rsidR="001F12F1" w:rsidRDefault="0013705F">
      <w:pPr>
        <w:spacing w:after="172"/>
        <w:ind w:left="-5"/>
      </w:pPr>
      <w:r>
        <w:t>ЛПВП — липопротеиды высокой плотност</w:t>
      </w:r>
      <w:r>
        <w:t xml:space="preserve">и </w:t>
      </w:r>
    </w:p>
    <w:p w:rsidR="001F12F1" w:rsidRDefault="0013705F">
      <w:pPr>
        <w:spacing w:after="169"/>
        <w:ind w:left="-5"/>
      </w:pPr>
      <w:r>
        <w:t xml:space="preserve">ЛПНП — липопротеиды низкой плотности </w:t>
      </w:r>
    </w:p>
    <w:p w:rsidR="001F12F1" w:rsidRDefault="0013705F">
      <w:pPr>
        <w:spacing w:after="171"/>
        <w:ind w:left="-5"/>
      </w:pPr>
      <w:r>
        <w:t xml:space="preserve">ЛПОНП — липопротеиды очень низкой плотности </w:t>
      </w:r>
    </w:p>
    <w:p w:rsidR="001F12F1" w:rsidRDefault="0013705F">
      <w:pPr>
        <w:spacing w:after="168"/>
        <w:ind w:left="-5"/>
      </w:pPr>
      <w:r>
        <w:t xml:space="preserve">ЛБН — лизосомные болезни накопления  </w:t>
      </w:r>
    </w:p>
    <w:p w:rsidR="001F12F1" w:rsidRDefault="0013705F">
      <w:pPr>
        <w:spacing w:after="171"/>
        <w:ind w:left="-5"/>
      </w:pPr>
      <w:r>
        <w:t xml:space="preserve">МНО — международное нормализованное отношение </w:t>
      </w:r>
    </w:p>
    <w:p w:rsidR="001F12F1" w:rsidRDefault="0013705F">
      <w:pPr>
        <w:spacing w:after="168"/>
        <w:ind w:left="-5"/>
      </w:pPr>
      <w:r>
        <w:t xml:space="preserve">МРТ — магнитно-резонансная томография </w:t>
      </w:r>
    </w:p>
    <w:p w:rsidR="001F12F1" w:rsidRDefault="0013705F">
      <w:pPr>
        <w:spacing w:after="171"/>
        <w:ind w:left="-5"/>
      </w:pPr>
      <w:r>
        <w:t xml:space="preserve">ТМС — тандемная масс-спектрометрия  </w:t>
      </w:r>
    </w:p>
    <w:p w:rsidR="001F12F1" w:rsidRDefault="0013705F">
      <w:pPr>
        <w:spacing w:after="170"/>
        <w:ind w:left="-5"/>
      </w:pPr>
      <w:r>
        <w:t>УЗИ — уль</w:t>
      </w:r>
      <w:r>
        <w:t xml:space="preserve">тразвуковое исследование </w:t>
      </w:r>
    </w:p>
    <w:p w:rsidR="001F12F1" w:rsidRDefault="0013705F">
      <w:pPr>
        <w:spacing w:after="171"/>
        <w:ind w:left="-5"/>
      </w:pPr>
      <w:r>
        <w:t xml:space="preserve">ФЗТ — ферментная заместительная терапия </w:t>
      </w:r>
    </w:p>
    <w:p w:rsidR="001F12F1" w:rsidRDefault="0013705F">
      <w:pPr>
        <w:spacing w:after="169"/>
        <w:ind w:left="-5"/>
      </w:pPr>
      <w:r>
        <w:t xml:space="preserve">ЦНС — центральная нервная система </w:t>
      </w:r>
    </w:p>
    <w:p w:rsidR="001F12F1" w:rsidRDefault="0013705F">
      <w:pPr>
        <w:spacing w:after="152"/>
        <w:ind w:left="-5"/>
      </w:pPr>
      <w:r>
        <w:t xml:space="preserve">ЭЭГ— электроэнцефалография </w:t>
      </w:r>
    </w:p>
    <w:p w:rsidR="001F12F1" w:rsidRDefault="0013705F">
      <w:pPr>
        <w:spacing w:after="147"/>
        <w:ind w:left="-5"/>
      </w:pPr>
      <w:r>
        <w:t xml:space="preserve">Lyso-SM (от англ. Lyso-sphingomyelin) — лизосфингомиелин  </w:t>
      </w:r>
    </w:p>
    <w:p w:rsidR="001F12F1" w:rsidRDefault="0013705F">
      <w:pPr>
        <w:spacing w:after="170"/>
        <w:ind w:left="-5"/>
      </w:pPr>
      <w:r>
        <w:t>Lyso-SM509 (от англ. Lyso-sphingomyelin-509) — лизосфингомиелин-509</w:t>
      </w:r>
      <w:r>
        <w:t xml:space="preserve"> </w:t>
      </w:r>
    </w:p>
    <w:p w:rsidR="001F12F1" w:rsidRDefault="0013705F">
      <w:pPr>
        <w:spacing w:after="172"/>
        <w:ind w:left="-5"/>
      </w:pPr>
      <w:r>
        <w:t xml:space="preserve">MCH (от англ. Mean corpuscular hemoglobin) — среднее содержание гемоглобина в эритроцитах  </w:t>
      </w:r>
    </w:p>
    <w:p w:rsidR="001F12F1" w:rsidRDefault="0013705F">
      <w:pPr>
        <w:spacing w:after="147"/>
        <w:ind w:left="-5"/>
      </w:pPr>
      <w:r>
        <w:t xml:space="preserve">MCV (от англ. Mean corpuscular volume) — средний объем эритроцитов </w:t>
      </w:r>
    </w:p>
    <w:p w:rsidR="001F12F1" w:rsidRDefault="0013705F">
      <w:pPr>
        <w:spacing w:line="395" w:lineRule="auto"/>
        <w:ind w:left="-5"/>
      </w:pPr>
      <w:r>
        <w:t xml:space="preserve">OMIM (от англ. Online Mendelian Inheritance in Man) — </w:t>
      </w:r>
      <w:r>
        <w:t>проект «Менделевское наследование у человека»</w:t>
      </w:r>
      <w:r>
        <w:rPr>
          <w:i/>
        </w:rPr>
        <w:t xml:space="preserve">  </w:t>
      </w:r>
    </w:p>
    <w:p w:rsidR="001F12F1" w:rsidRDefault="0013705F">
      <w:pPr>
        <w:spacing w:line="399" w:lineRule="auto"/>
        <w:ind w:left="-5"/>
      </w:pPr>
      <w:r>
        <w:rPr>
          <w:i/>
        </w:rPr>
        <w:t>SMPD1</w:t>
      </w:r>
      <w:r>
        <w:t xml:space="preserve"> (от англ. Sphingomyelin phosphodiesterase) — ген сфингомиелинфосфодиэстеразы 1, который кодирует кислую сфингомиелиназу  </w:t>
      </w:r>
    </w:p>
    <w:p w:rsidR="001F12F1" w:rsidRDefault="0013705F">
      <w:pPr>
        <w:spacing w:after="214" w:line="259" w:lineRule="auto"/>
        <w:ind w:left="0" w:firstLine="0"/>
        <w:jc w:val="left"/>
      </w:pPr>
      <w:r>
        <w:t xml:space="preserve"> </w:t>
      </w:r>
    </w:p>
    <w:p w:rsidR="001F12F1" w:rsidRDefault="0013705F">
      <w:pPr>
        <w:pStyle w:val="Heading1"/>
        <w:spacing w:after="139"/>
        <w:ind w:left="711" w:right="282"/>
      </w:pPr>
      <w:r>
        <w:t xml:space="preserve">Термины и определения </w:t>
      </w:r>
    </w:p>
    <w:p w:rsidR="001F12F1" w:rsidRDefault="0013705F">
      <w:pPr>
        <w:spacing w:line="399" w:lineRule="auto"/>
        <w:ind w:left="-5"/>
      </w:pPr>
      <w:r>
        <w:rPr>
          <w:b/>
        </w:rPr>
        <w:t xml:space="preserve">Лизосомные болезни накопления — </w:t>
      </w:r>
      <w:r>
        <w:t>группа наследственных м</w:t>
      </w:r>
      <w:r>
        <w:t xml:space="preserve">оногенных заболеваний, связанных с нарушением функции лизосом. </w:t>
      </w:r>
    </w:p>
    <w:p w:rsidR="001F12F1" w:rsidRDefault="0013705F">
      <w:pPr>
        <w:spacing w:line="378" w:lineRule="auto"/>
        <w:ind w:left="-5"/>
      </w:pPr>
      <w:r>
        <w:rPr>
          <w:b/>
        </w:rPr>
        <w:t>Ферментная заместительная терапия</w:t>
      </w:r>
      <w:r>
        <w:t xml:space="preserve"> — лечение, заключающееся в пожизненном введении препарата (рекомбинантного фермента) пациентам с наследственным дефектом метаболизма. </w:t>
      </w:r>
      <w:r>
        <w:rPr>
          <w:b/>
          <w:sz w:val="28"/>
        </w:rPr>
        <w:t>1. Краткая информация по</w:t>
      </w:r>
      <w:r>
        <w:rPr>
          <w:b/>
          <w:sz w:val="28"/>
        </w:rPr>
        <w:t xml:space="preserve"> заболеванию или состоянию (группе заболеваний или состояний) </w:t>
      </w:r>
    </w:p>
    <w:p w:rsidR="001F12F1" w:rsidRDefault="0013705F">
      <w:pPr>
        <w:pStyle w:val="Heading2"/>
      </w:pPr>
      <w:r>
        <w:t>1.1 Определение заболевания или состояния (группы заболеваний или состояний)</w:t>
      </w:r>
      <w:r>
        <w:rPr>
          <w:u w:val="none"/>
        </w:rPr>
        <w:t xml:space="preserve"> </w:t>
      </w:r>
    </w:p>
    <w:p w:rsidR="001F12F1" w:rsidRDefault="0013705F">
      <w:pPr>
        <w:spacing w:line="396" w:lineRule="auto"/>
        <w:ind w:left="-15" w:firstLine="708"/>
      </w:pPr>
      <w:r>
        <w:rPr>
          <w:b/>
        </w:rPr>
        <w:t>Болезнь Ниманна-Пика типa А, B, А/В</w:t>
      </w:r>
      <w:r>
        <w:t xml:space="preserve"> </w:t>
      </w:r>
      <w:r>
        <w:rPr>
          <w:b/>
        </w:rPr>
        <w:t xml:space="preserve">(дефицит кислой сфингомиелиназы, OMIM: # 257200 (БНП-А), # 607616 (БНП-В)) </w:t>
      </w:r>
      <w:r>
        <w:t>— ре</w:t>
      </w:r>
      <w:r>
        <w:t xml:space="preserve">дкое наследственное нарушение обмена веществ из группы лизосомных болезней накопления (ЛБН), при котором из-за патогенных вариантов гена </w:t>
      </w:r>
      <w:r>
        <w:rPr>
          <w:i/>
        </w:rPr>
        <w:t>SMPD1</w:t>
      </w:r>
      <w:r>
        <w:t xml:space="preserve"> возникает снижение активности фермента кислой сфингомиелиназы, приводящее к накоплению сфингомиелина и других лип</w:t>
      </w:r>
      <w:r>
        <w:t xml:space="preserve">идов в органах и тканях: в печени, селезенке, костном мозге, легких, лимфатических узлах и центральной нервной системе.  </w:t>
      </w:r>
    </w:p>
    <w:p w:rsidR="001F12F1" w:rsidRDefault="0013705F">
      <w:pPr>
        <w:spacing w:line="375" w:lineRule="auto"/>
        <w:ind w:left="-15" w:firstLine="708"/>
      </w:pPr>
      <w:r>
        <w:t xml:space="preserve">Клинически выделяют три формы заболевания: А, В и А/В. Наиболее частыми признаками БНП-А являются гепатоспленомегалия в младенчестве, </w:t>
      </w:r>
      <w:r>
        <w:t>задержка физического и психомоторного развития после возраста 6 месяцев, а затем регресс и потеря приобретенных навыков вследствие прогрессирования заболевания. Также описывают частые респираторные инфекции и дыхательную недостаточность. БНП-В обычно прояв</w:t>
      </w:r>
      <w:r>
        <w:t>ляется позже и в более мягкой форме, главным отличием является отсутствие поражения центральной нервной системы или ее минимальное вовлечение. У пациентов с БНП смешанного типа А/В наблюдают промежуточную клиническую картину и кроме характерных для БНП-В с</w:t>
      </w:r>
      <w:r>
        <w:t xml:space="preserve">имптомов характерно наличие в разной степени выраженности нарушений со стороны центральной нервной системы, которые не являются столь тяжелыми и быстропрогрессирующими как при БНП-А. </w:t>
      </w:r>
    </w:p>
    <w:p w:rsidR="001F12F1" w:rsidRDefault="0013705F">
      <w:pPr>
        <w:spacing w:after="0" w:line="398" w:lineRule="auto"/>
        <w:ind w:left="-15" w:firstLine="708"/>
      </w:pPr>
      <w:r>
        <w:rPr>
          <w:b/>
          <w:u w:val="single" w:color="000000"/>
        </w:rPr>
        <w:t xml:space="preserve">1.2 Этиология и патогенез заболевания или состояния (группы заболеваний </w:t>
      </w:r>
      <w:r>
        <w:rPr>
          <w:b/>
          <w:u w:val="single" w:color="000000"/>
        </w:rPr>
        <w:t>или</w:t>
      </w:r>
      <w:r>
        <w:rPr>
          <w:b/>
        </w:rPr>
        <w:t xml:space="preserve"> </w:t>
      </w:r>
    </w:p>
    <w:p w:rsidR="001F12F1" w:rsidRDefault="0013705F">
      <w:pPr>
        <w:pStyle w:val="Heading2"/>
        <w:spacing w:after="0" w:line="398" w:lineRule="auto"/>
        <w:ind w:left="-15" w:firstLine="708"/>
      </w:pPr>
      <w:r>
        <w:t>состояний)</w:t>
      </w:r>
      <w:r>
        <w:rPr>
          <w:b w:val="0"/>
          <w:u w:val="none"/>
        </w:rPr>
        <w:t xml:space="preserve"> </w:t>
      </w:r>
    </w:p>
    <w:p w:rsidR="001F12F1" w:rsidRDefault="0013705F">
      <w:pPr>
        <w:spacing w:line="387" w:lineRule="auto"/>
        <w:ind w:left="-15" w:firstLine="708"/>
      </w:pPr>
      <w:r>
        <w:t xml:space="preserve">Болезнь Ниманна-Пика типа А, B, А/В (дефицит кислой сфингомиелиназы) наследуется по аутосомно-рецессивному типу. Наличие биаллельных вариантов гена </w:t>
      </w:r>
      <w:r>
        <w:rPr>
          <w:i/>
        </w:rPr>
        <w:t>SMPD1</w:t>
      </w:r>
      <w:r>
        <w:t xml:space="preserve"> </w:t>
      </w:r>
      <w:r>
        <w:t>приводит к значительному снижению активности кислой сфингомиелиназы [1]. Этот фермент необходим для поддержания клеточного гомеостаза и принимает участие в деградации и обновлении мембран. Сфингомиелин — субстрат фермента — является одним из основных компо</w:t>
      </w:r>
      <w:r>
        <w:t>нентов клеточной мембраны. При распаде сфингомиелина образуются фосфохолин и церамид [2], [3], [4]. Снижение активности кислой сфингомиелиназы приводит к накоплению сфингомиелина и, как следствие, к появлению нагруженных липидами клеток — обычно это макроф</w:t>
      </w:r>
      <w:r>
        <w:t>аги, однако поражению подвержены и другие специфические клетки [5]. Пенистые клетки присутствуют в коре надпочечников, печени, селезенке, дыхательных путях, лимфатических узлах, костном мозге [1]</w:t>
      </w:r>
      <w:r>
        <w:rPr>
          <w:rFonts w:ascii="Segoe UI" w:eastAsia="Segoe UI" w:hAnsi="Segoe UI" w:cs="Segoe UI"/>
          <w:color w:val="212121"/>
        </w:rPr>
        <w:t xml:space="preserve">. </w:t>
      </w:r>
      <w:r>
        <w:t>Наиболее раннее и выраженное накопление сфингомиелина наблю</w:t>
      </w:r>
      <w:r>
        <w:t>дается в макрофагах печени, селезенки, легких и костного мозга. Накопление сфингомиелина также отмечено в других типах клеток:</w:t>
      </w:r>
      <w:r>
        <w:rPr>
          <w:vertAlign w:val="superscript"/>
        </w:rPr>
        <w:t xml:space="preserve"> </w:t>
      </w:r>
      <w:r>
        <w:t>гепатоциты и клетки Купфера, фибробласты кожи, эндотелиальные и гладкомышечные клетки сосудов, клетки периневрия, Шванновские кле</w:t>
      </w:r>
      <w:r>
        <w:t xml:space="preserve">тки, нейтрофилы [1]. Реже пораженные клетки обнаруживают в слизистых и подслизистых оболочках, тонком и толстом отделах кишечника. Нагруженные липидами клетки в конечном итоге нефункциональны и погибают [1], [5], [6]. </w:t>
      </w:r>
    </w:p>
    <w:p w:rsidR="001F12F1" w:rsidRDefault="0013705F">
      <w:pPr>
        <w:spacing w:after="157" w:line="259" w:lineRule="auto"/>
        <w:ind w:left="10" w:right="-1"/>
        <w:jc w:val="right"/>
      </w:pPr>
      <w:r>
        <w:t xml:space="preserve">Ген </w:t>
      </w:r>
      <w:r>
        <w:rPr>
          <w:i/>
        </w:rPr>
        <w:t>SMPD1</w:t>
      </w:r>
      <w:r>
        <w:t xml:space="preserve">, кодирующий кислую сфингомиелиназу, локализован в хромосомной </w:t>
      </w:r>
    </w:p>
    <w:p w:rsidR="001F12F1" w:rsidRDefault="0013705F">
      <w:pPr>
        <w:spacing w:line="385" w:lineRule="auto"/>
        <w:ind w:left="-5"/>
      </w:pPr>
      <w:r>
        <w:t xml:space="preserve">области 11p15.1-p15.4. В настоящее время в международных базах мутаций человека описано около 400 патогенных вариантов гена </w:t>
      </w:r>
      <w:r>
        <w:rPr>
          <w:i/>
        </w:rPr>
        <w:t xml:space="preserve">SMPD1 </w:t>
      </w:r>
      <w:r>
        <w:t xml:space="preserve">[7], [8]. </w:t>
      </w:r>
    </w:p>
    <w:p w:rsidR="001F12F1" w:rsidRDefault="0013705F">
      <w:pPr>
        <w:pStyle w:val="Heading2"/>
        <w:ind w:left="-5"/>
      </w:pPr>
      <w:r>
        <w:t>1.3 Эпидемиология заболевания или состояния (группы</w:t>
      </w:r>
      <w:r>
        <w:t xml:space="preserve"> заболеваний или состояний)</w:t>
      </w:r>
      <w:r>
        <w:rPr>
          <w:u w:val="none"/>
        </w:rPr>
        <w:t xml:space="preserve"> </w:t>
      </w:r>
    </w:p>
    <w:p w:rsidR="001F12F1" w:rsidRDefault="0013705F">
      <w:pPr>
        <w:spacing w:line="376" w:lineRule="auto"/>
        <w:ind w:left="-15" w:firstLine="708"/>
      </w:pPr>
      <w:r>
        <w:t>Болезнь Ниманна-Пика типа А, В, А/В (дефицит кислой сфингомиелиназы) — это панэтническое ультраредкое заболевание, частота которого в мире оценивается примерно в 1:100 000 - 1 000 000 новорожденных. В определенных этнических гр</w:t>
      </w:r>
      <w:r>
        <w:t xml:space="preserve">уппах наблюдается более высокая частота - 1:40 000 [2-5].  </w:t>
      </w:r>
    </w:p>
    <w:p w:rsidR="001F12F1" w:rsidRDefault="0013705F">
      <w:pPr>
        <w:spacing w:line="396" w:lineRule="auto"/>
        <w:ind w:left="-15" w:firstLine="708"/>
      </w:pPr>
      <w:r>
        <w:t>Среди евреев-ашкенази частота носительства оценивается в диапазоне от ~ 1:100 до 1:200 на основе скрининга на наличие патогенных вариантов БНП-А, распространенных в этой популяции. Так, прогнозиру</w:t>
      </w:r>
      <w:r>
        <w:t xml:space="preserve">емая частота заболевания среди евреев-ашкенази составляет от ~ 1:40 000 до 1:200 000 [9, 10].  </w:t>
      </w:r>
    </w:p>
    <w:p w:rsidR="001F12F1" w:rsidRDefault="0013705F">
      <w:pPr>
        <w:spacing w:after="392" w:line="378" w:lineRule="auto"/>
        <w:ind w:left="-15" w:firstLine="708"/>
      </w:pPr>
      <w:r>
        <w:t>В настоящее время предполагается, что несколько тысяч пациентов с БНП типа А, В и А/В могут проживать во всем мире, исходя из количества уже диагностированных с</w:t>
      </w:r>
      <w:r>
        <w:t xml:space="preserve">лучаев [11]. Данные о частоте БНП типа А, В и А/В в России на данный момент отсутствуют. </w:t>
      </w:r>
    </w:p>
    <w:p w:rsidR="001F12F1" w:rsidRDefault="0013705F">
      <w:pPr>
        <w:spacing w:after="152" w:line="379" w:lineRule="auto"/>
        <w:ind w:left="-5"/>
      </w:pPr>
      <w:r>
        <w:rPr>
          <w:b/>
          <w:u w:val="single" w:color="000000"/>
        </w:rPr>
        <w:t>1.4 Особенности кодирования заболевания или состояния (группы заболеваний или</w:t>
      </w:r>
      <w:r>
        <w:rPr>
          <w:b/>
        </w:rPr>
        <w:t xml:space="preserve"> </w:t>
      </w:r>
      <w:r>
        <w:rPr>
          <w:b/>
          <w:u w:val="single" w:color="000000"/>
        </w:rPr>
        <w:t>состояний) по Международной статистической классификации болезней и проблем,</w:t>
      </w:r>
      <w:r>
        <w:rPr>
          <w:b/>
        </w:rPr>
        <w:t xml:space="preserve"> </w:t>
      </w:r>
    </w:p>
    <w:p w:rsidR="001F12F1" w:rsidRDefault="0013705F">
      <w:pPr>
        <w:pStyle w:val="Heading2"/>
        <w:spacing w:line="379" w:lineRule="auto"/>
        <w:ind w:left="-5"/>
      </w:pPr>
      <w:r>
        <w:t xml:space="preserve">связанных </w:t>
      </w:r>
      <w:r>
        <w:t>со здоровьем</w:t>
      </w:r>
      <w:r>
        <w:rPr>
          <w:b w:val="0"/>
          <w:u w:val="none"/>
        </w:rPr>
        <w:t xml:space="preserve"> </w:t>
      </w:r>
    </w:p>
    <w:p w:rsidR="001F12F1" w:rsidRDefault="0013705F">
      <w:pPr>
        <w:spacing w:after="437"/>
        <w:ind w:left="718" w:right="3726"/>
      </w:pPr>
      <w:r>
        <w:t xml:space="preserve">МКБ-10: Е75.2 — Другие сфинголипидозы МКБ-11: 5C56.0Y </w:t>
      </w:r>
    </w:p>
    <w:p w:rsidR="001F12F1" w:rsidRDefault="0013705F">
      <w:pPr>
        <w:spacing w:after="152" w:line="264" w:lineRule="auto"/>
        <w:ind w:left="-5"/>
      </w:pPr>
      <w:r>
        <w:rPr>
          <w:b/>
          <w:u w:val="single" w:color="000000"/>
        </w:rPr>
        <w:t>1.5 Классификация заболевания или состояния (группы заболеваний или состояний).</w:t>
      </w:r>
      <w:r>
        <w:rPr>
          <w:b/>
        </w:rPr>
        <w:t xml:space="preserve"> </w:t>
      </w:r>
    </w:p>
    <w:p w:rsidR="001F12F1" w:rsidRDefault="0013705F">
      <w:pPr>
        <w:spacing w:after="32" w:line="387" w:lineRule="auto"/>
        <w:ind w:left="-15" w:firstLine="708"/>
      </w:pPr>
      <w:r>
        <w:t>Болезнь Ниманна-Пика типа А, В, А/В или дефицит кислой сфингомиелиназы (ДКСМ) — хроническое прогрессирующе</w:t>
      </w:r>
      <w:r>
        <w:t>е мультисистемное заболевание с варьирующим сроком манифестации от младенческого возраста до взрослого и гетерогенностью клинических проявлений от мягкой до перинатально-летальной формы [2, 3, 4]. В зависимости от клинического течения выделяют 3 типа забол</w:t>
      </w:r>
      <w:r>
        <w:t xml:space="preserve">евания: </w:t>
      </w:r>
    </w:p>
    <w:p w:rsidR="001F12F1" w:rsidRDefault="0013705F">
      <w:pPr>
        <w:numPr>
          <w:ilvl w:val="0"/>
          <w:numId w:val="6"/>
        </w:numPr>
        <w:spacing w:after="147"/>
        <w:ind w:hanging="360"/>
      </w:pPr>
      <w:r>
        <w:t xml:space="preserve">Болезнь Ниманна-Пика типа А — инфантильная нейровисцеральная форма; </w:t>
      </w:r>
    </w:p>
    <w:p w:rsidR="001F12F1" w:rsidRDefault="0013705F">
      <w:pPr>
        <w:numPr>
          <w:ilvl w:val="0"/>
          <w:numId w:val="6"/>
        </w:numPr>
        <w:spacing w:after="146"/>
        <w:ind w:hanging="360"/>
      </w:pPr>
      <w:r>
        <w:t xml:space="preserve">Болезнь Ниманна-Пика типа В — хроническая висцеральная форма;  </w:t>
      </w:r>
    </w:p>
    <w:p w:rsidR="001F12F1" w:rsidRDefault="0013705F">
      <w:pPr>
        <w:numPr>
          <w:ilvl w:val="0"/>
          <w:numId w:val="6"/>
        </w:numPr>
        <w:spacing w:line="400" w:lineRule="auto"/>
        <w:ind w:hanging="360"/>
      </w:pPr>
      <w:r>
        <w:t xml:space="preserve">Болезнь Ниманна-Пика типа А/В — </w:t>
      </w:r>
      <w:r>
        <w:t xml:space="preserve">хроническая нейровисцеральная или промежуточная форма, сочетает клинические проявления типов А и В.  </w:t>
      </w:r>
    </w:p>
    <w:p w:rsidR="001F12F1" w:rsidRDefault="0013705F">
      <w:pPr>
        <w:pStyle w:val="Heading2"/>
        <w:spacing w:after="0" w:line="401" w:lineRule="auto"/>
        <w:ind w:left="-5"/>
      </w:pPr>
      <w:r>
        <w:t>1.6 Клиническая картина заболевания или состояния (группы заболеваний или</w:t>
      </w:r>
      <w:r>
        <w:rPr>
          <w:u w:val="none"/>
        </w:rPr>
        <w:t xml:space="preserve"> </w:t>
      </w:r>
      <w:r>
        <w:t>состояний)</w:t>
      </w:r>
      <w:r>
        <w:rPr>
          <w:u w:val="none"/>
        </w:rPr>
        <w:t xml:space="preserve"> </w:t>
      </w:r>
    </w:p>
    <w:p w:rsidR="001F12F1" w:rsidRDefault="0013705F">
      <w:pPr>
        <w:spacing w:after="28" w:line="375" w:lineRule="auto"/>
        <w:ind w:left="-15" w:firstLine="708"/>
      </w:pPr>
      <w:r>
        <w:rPr>
          <w:b/>
        </w:rPr>
        <w:t>Болезнь Ниманна-Пика типа А</w:t>
      </w:r>
      <w:r>
        <w:t xml:space="preserve"> (БНП-А) является наиболее тяжелой формой</w:t>
      </w:r>
      <w:r>
        <w:t xml:space="preserve"> дефицита кислой сфингомиелиназы. Характеризуется тяжелыми прогрессирующими нейродегенеративными проявлениями на первом году жизни в сочетании с гепатоспленомегалией, остановкой развития, гипотонией и смертью, как правило, к 3-летнему возрасту [12, 13]. </w:t>
      </w:r>
    </w:p>
    <w:p w:rsidR="001F12F1" w:rsidRDefault="0013705F">
      <w:pPr>
        <w:spacing w:after="28" w:line="380" w:lineRule="auto"/>
        <w:ind w:left="-15" w:firstLine="708"/>
      </w:pPr>
      <w:r>
        <w:t>Д</w:t>
      </w:r>
      <w:r>
        <w:t>ля БНП-А характерно развитие гепатоспленомегалии в младенчестве, потеря психомоторных навыков после 6-месячного возраста, наличие изменений макулы по типу «вишневой косточки» [3, 4]. У большинства детей развивается гепатоспленомегалия в возрасте 2-4 месяце</w:t>
      </w:r>
      <w:r>
        <w:t>в, за которой следует появление неврологических симптомов в среднем в возрасте 7 месяцев. Практически у всех пациентов наблюдается симптомокомплекс «вялого ребенка», беспокойство, трудности вскармливания, иногда тошнота, рвота, диарея, беспричинные подъемы</w:t>
      </w:r>
      <w:r>
        <w:t xml:space="preserve"> температуры, респираторные нарушения, нарушения сна. Возможно развитие эпилептических приступов, нистагм и снижение остроты зрения. К 10 месяцам становится заметна остановка психомоторного развития, а затем возникает быстро прогрессирующее ухудшение психо</w:t>
      </w:r>
      <w:r>
        <w:t>речевого и двигательного развития: перестают удерживать голову, сидеть и самостоятельно переворачиваться [13]. На втором году жизни ребенка становится очевидной выраженная белково-энергетическая недостаточность и задержка роста. В терминальных стадиях боле</w:t>
      </w:r>
      <w:r>
        <w:t>зни формируются спастичность вплоть до опистотонуса, бульбарные нарушения, исчезают сухожильные рефлексы. Дегенерация макулы по типу «вишневой косточки» обнаруживаются у большинства пациентов к 12 месяцам. Иногда встречается</w:t>
      </w:r>
      <w:r>
        <w:rPr>
          <w:sz w:val="36"/>
        </w:rPr>
        <w:t xml:space="preserve"> </w:t>
      </w:r>
      <w:r>
        <w:t>помутнение роговицы и коричнева</w:t>
      </w:r>
      <w:r>
        <w:t>тый оттенок передней капсулы хрусталика.</w:t>
      </w:r>
      <w:r>
        <w:rPr>
          <w:rFonts w:ascii="Arial" w:eastAsia="Arial" w:hAnsi="Arial" w:cs="Arial"/>
          <w:sz w:val="20"/>
        </w:rPr>
        <w:t xml:space="preserve"> </w:t>
      </w:r>
      <w:r>
        <w:t>Слабость мышц, нарушение сосания, нарушения со стороны ЖКТ приводят к отставанию в физическом развитии. У всех младенцев развиваются прогрессирующие респираторные симптомы из-за накопления клеток Ниманна-Пика в альв</w:t>
      </w:r>
      <w:r>
        <w:t>еолярных перегородках, стенках бронхов и плевре. Также развиваются частые респираторные инфекции, которые являются причиной тяжелых осложнений со стороны бронхолегочной системы, включая дыхательную недостаточность. Обычно наблюдается массивная гепатосплено</w:t>
      </w:r>
      <w:r>
        <w:t>мегалия, и у большинства пациентов отмечают значительное нарушение функций печени. Аномальные лабораторные показатели: высокая активность печеночных трансаминаз (АЛАТ, АСАТ), низкий уровень холестерина, липопротеидов высокой плотности (ЛПВП) и снижение гем</w:t>
      </w:r>
      <w:r>
        <w:t xml:space="preserve">оглобина и количества тромбоцитов [4]. </w:t>
      </w:r>
    </w:p>
    <w:p w:rsidR="001F12F1" w:rsidRDefault="0013705F">
      <w:pPr>
        <w:spacing w:line="384" w:lineRule="auto"/>
        <w:ind w:left="-15" w:firstLine="708"/>
      </w:pPr>
      <w:r>
        <w:rPr>
          <w:b/>
        </w:rPr>
        <w:t>Болезнь Ниманна-Пика типа В</w:t>
      </w:r>
      <w:r>
        <w:t xml:space="preserve"> (БНП-В) может манифестировать как в детстве, так и во взрослом возрасте [1, 2, 4]. Проявления заболевания при БНП-В клинически гетерогенны: от бессимптомного течения до вовлечения нескольк</w:t>
      </w:r>
      <w:r>
        <w:t xml:space="preserve">их систем органов. Степень прогрессирования заболевания также может значительно варьировать. </w:t>
      </w:r>
    </w:p>
    <w:p w:rsidR="001F12F1" w:rsidRDefault="0013705F">
      <w:pPr>
        <w:spacing w:line="383" w:lineRule="auto"/>
        <w:ind w:left="-15" w:firstLine="708"/>
      </w:pPr>
      <w:r>
        <w:t>К ключевым проявлениям этой формы заболевания относятся гепатоспленомегалия, задержка физического развития, слизисто-кожный геморрагический синдром, а также функц</w:t>
      </w:r>
      <w:r>
        <w:t xml:space="preserve">иональные расстройства дыхательной системы, выражающиеся повторяющимися респираторными инфекциями и одышкой [3]. </w:t>
      </w:r>
    </w:p>
    <w:p w:rsidR="001F12F1" w:rsidRDefault="0013705F">
      <w:pPr>
        <w:spacing w:line="371" w:lineRule="auto"/>
        <w:ind w:left="-15" w:firstLine="708"/>
      </w:pPr>
      <w:r>
        <w:t xml:space="preserve"> </w:t>
      </w:r>
      <w:r>
        <w:t>Спленомегалия является одним из наиболее распространенных проявлений болезни (отмечается у более 90% пациентов) и представляет собой ранний диагностический признак. Симптомы спленомегалии включают боль, чувство сдавленности и чувство быстрого насыщения. Сп</w:t>
      </w:r>
      <w:r>
        <w:t>леномегалия может носить массивный характер (превышение нормального размера более чем в 30 раз), при этом усиливается риск разрыва и потенциально смертельного кровотечения. Спленомегалия может служить маркером тяжести заболевания из-за ее корреляции с друг</w:t>
      </w:r>
      <w:r>
        <w:t xml:space="preserve">ими проявлениями заболевания [4].  </w:t>
      </w:r>
    </w:p>
    <w:p w:rsidR="001F12F1" w:rsidRDefault="0013705F">
      <w:pPr>
        <w:spacing w:after="28" w:line="373" w:lineRule="auto"/>
        <w:ind w:left="-15" w:firstLine="708"/>
      </w:pPr>
      <w:r>
        <w:t>Поражения печени связаны с накоплением сфингомиелина в гепатоцитах и клетках Купфера и дисфункцией печени, которая может прогрессировать до фиброза и печеночной недостаточности. Более чем у 70% пациентов отмечается гепат</w:t>
      </w:r>
      <w:r>
        <w:t>омегалия. У 88% пациентов отмечается фиброз печени, в том числе минимальной, легкой и умеренной степени тяжести, и цирроз печени. Взрослые пациенты с БНП-В подвержены значительному риску развития цирроза печени, портальной гипертензии и варикозного кровоте</w:t>
      </w:r>
      <w:r>
        <w:t>чения. Возможно прогрессирование гепатомегалии в цирроз печени, при этом существует риск развития портальной гипертензии и асцита. У 50-75% пациентов отмечается нарушение функции печени (обычно отмечается повышение активности АЛАТ и АСАТ и концентрации бил</w:t>
      </w:r>
      <w:r>
        <w:t xml:space="preserve">ирубина).  </w:t>
      </w:r>
    </w:p>
    <w:p w:rsidR="001F12F1" w:rsidRDefault="0013705F">
      <w:pPr>
        <w:spacing w:line="368" w:lineRule="auto"/>
        <w:ind w:left="-15" w:firstLine="708"/>
      </w:pPr>
      <w:r>
        <w:t xml:space="preserve"> С возрастом у пациентов часто ухудшается легочная функция из-за альвеолярной инфильтрации, что клинически становится заметно в подростковом возрасте или после наступления совершеннолетия. Накопление в альвеолярных перегородках клеток, нагружен</w:t>
      </w:r>
      <w:r>
        <w:t>ных липидами, вызывает интерстициальные поражения и нарушение газообмена. У некоторых пациентов в возрасте 15-20 лет развиваются серьезные респираторные проблемы, включая пониженный уровень РО</w:t>
      </w:r>
      <w:r>
        <w:rPr>
          <w:sz w:val="16"/>
        </w:rPr>
        <w:t>2</w:t>
      </w:r>
      <w:r>
        <w:t xml:space="preserve">, дыхательную недостаточность при нагрузках, бронхопневмонии и </w:t>
      </w:r>
      <w:r>
        <w:t xml:space="preserve">развитие легочного сердца. Признаки интерстициальной болезни легких наблюдаются у более чем 80% пациентов по данным рентгенографии грудной клетки и компьютерной томографии высокого разрешения (КТВР).  </w:t>
      </w:r>
    </w:p>
    <w:p w:rsidR="001F12F1" w:rsidRDefault="0013705F">
      <w:pPr>
        <w:spacing w:line="374" w:lineRule="auto"/>
        <w:ind w:left="-15" w:firstLine="708"/>
      </w:pPr>
      <w:r>
        <w:t>Тромбоцитопения является характерным клиническим прояв</w:t>
      </w:r>
      <w:r>
        <w:t xml:space="preserve">лением (отмечается более чем у 50% пациентов). Анемия, лейкопения развивается у 20-30% пациентов. Пациенты имеют вариабельную степень тромбоцитопении, лейкопении и анемии. Эпизоды кровотечений могут включать повторные эпизоды носовых кровотечений, а также </w:t>
      </w:r>
      <w:r>
        <w:t xml:space="preserve">развиться в результате травмы или в послеоперационном периоде (например, после стоматологической операции). Более тяжелые кровотечения включают субдуральную гематому, гематемезис и гемоторакс. </w:t>
      </w:r>
    </w:p>
    <w:p w:rsidR="001F12F1" w:rsidRDefault="0013705F">
      <w:pPr>
        <w:spacing w:line="378" w:lineRule="auto"/>
        <w:ind w:left="-15" w:firstLine="708"/>
      </w:pPr>
      <w:r>
        <w:t xml:space="preserve">У большинства пациентов отмечаются боль в спине, конечностях или суставах, а также задержка роста. Задержка роста наиболее выражена у подростков, которые также могут иметь отставание костного возраста, соответствующее отсрочке начала полового созревания. </w:t>
      </w:r>
    </w:p>
    <w:p w:rsidR="001F12F1" w:rsidRDefault="0013705F">
      <w:pPr>
        <w:spacing w:line="395" w:lineRule="auto"/>
        <w:ind w:left="-15" w:firstLine="708"/>
      </w:pPr>
      <w:r>
        <w:t xml:space="preserve">У большинства пациентов нарушен липидный профиль (устойчивый низкий уровень ЛПВП у пациентов любого возраста на фоне высоких значений общего холестерина, триглицеридов, липопротеидов низкой плотности (ЛПНП) и липопротеидов очень низкой плотности (ЛПОНП)). </w:t>
      </w:r>
      <w:r>
        <w:t xml:space="preserve">Атерогенный профиль, вероятно, способствует повышению сердечнососудистого риска [1]. </w:t>
      </w:r>
    </w:p>
    <w:p w:rsidR="001F12F1" w:rsidRDefault="0013705F">
      <w:pPr>
        <w:spacing w:line="383" w:lineRule="auto"/>
        <w:ind w:left="-15" w:firstLine="708"/>
      </w:pPr>
      <w:r>
        <w:rPr>
          <w:b/>
        </w:rPr>
        <w:t xml:space="preserve">Выделяют отдельно промежуточную форму заболевания — Болезнь Ниманна-Пика типа А/В, </w:t>
      </w:r>
      <w:r>
        <w:t>при которой наблюдаются соматические проявления, характерные для БНП-В и описанные выше</w:t>
      </w:r>
      <w:r>
        <w:t xml:space="preserve">, в сочетании с неврологическими нарушениями, для которых характерно более позднее начало и медленное прогрессирование по сравнению БНП-А [4, 15]. У пациентов может наблюдаться дегенерация макулы по типу «вишневой косточки» и периферическая нейропатия [3, </w:t>
      </w:r>
      <w:r>
        <w:t xml:space="preserve">4, 14], при более тяжелом течении — мышечная гипотония, атаксия, спастичность и снижение когнитивных функций.  </w:t>
      </w:r>
    </w:p>
    <w:p w:rsidR="001F12F1" w:rsidRDefault="0013705F">
      <w:pPr>
        <w:spacing w:after="42" w:line="259" w:lineRule="auto"/>
        <w:ind w:left="0" w:firstLine="0"/>
        <w:jc w:val="left"/>
      </w:pPr>
      <w:r>
        <w:t xml:space="preserve"> </w:t>
      </w:r>
    </w:p>
    <w:p w:rsidR="001F12F1" w:rsidRDefault="0013705F">
      <w:pPr>
        <w:spacing w:after="3" w:line="389" w:lineRule="auto"/>
        <w:ind w:left="-5"/>
      </w:pPr>
      <w:r>
        <w:rPr>
          <w:b/>
        </w:rPr>
        <w:t xml:space="preserve">2. </w:t>
      </w:r>
      <w:r>
        <w:rPr>
          <w:b/>
          <w:sz w:val="28"/>
        </w:rPr>
        <w:t>Диагностика заболевания или состояния (группы заболеваний или состояний), медицинские показания и противопоказания к применению методов диа</w:t>
      </w:r>
      <w:r>
        <w:rPr>
          <w:b/>
          <w:sz w:val="28"/>
        </w:rPr>
        <w:t xml:space="preserve">гностики </w:t>
      </w:r>
    </w:p>
    <w:p w:rsidR="001F12F1" w:rsidRDefault="0013705F">
      <w:pPr>
        <w:spacing w:after="142" w:line="386" w:lineRule="auto"/>
        <w:ind w:left="-15" w:firstLine="708"/>
      </w:pPr>
      <w:r>
        <w:rPr>
          <w:i/>
        </w:rPr>
        <w:t>Обращаем внимание, что, согласно требованиям к разработке клинических рекомендаций, к каждому тезису-рекомендации необходимо указывать силу рекомендаций и доказательную базу в соответствии со шкалами оценки уровня достоверности доказательств (УДД</w:t>
      </w:r>
      <w:r>
        <w:rPr>
          <w:i/>
        </w:rPr>
        <w:t>) и уровня убедительности рекомендаций (УУР). Для многих тезисов УУР и УДД будет низким по причине отсутствия посвященных им клинических исследований высокого дизайна. Невзирая на это, они являются необходимыми элементами обследования пациента для установл</w:t>
      </w:r>
      <w:r>
        <w:rPr>
          <w:i/>
        </w:rPr>
        <w:t xml:space="preserve">ения диагноза и выбора тактики лечения. </w:t>
      </w:r>
    </w:p>
    <w:p w:rsidR="001F12F1" w:rsidRDefault="0013705F">
      <w:pPr>
        <w:spacing w:line="393" w:lineRule="auto"/>
        <w:ind w:left="-15" w:firstLine="708"/>
      </w:pPr>
      <w:r>
        <w:t>Диагностика болезни Ниманна-Пика типа А, В, и А/В основана на комбинации клинических симптомов, данных анамнеза, лабораторного обследования</w:t>
      </w:r>
      <w:r>
        <w:rPr>
          <w:i/>
        </w:rPr>
        <w:t xml:space="preserve"> </w:t>
      </w:r>
      <w:r>
        <w:t>[4, 14]</w:t>
      </w:r>
      <w:r>
        <w:rPr>
          <w:i/>
        </w:rPr>
        <w:t>.</w:t>
      </w:r>
      <w:r>
        <w:t xml:space="preserve"> </w:t>
      </w:r>
    </w:p>
    <w:p w:rsidR="001F12F1" w:rsidRDefault="0013705F">
      <w:pPr>
        <w:spacing w:line="395" w:lineRule="auto"/>
        <w:ind w:left="-15" w:firstLine="708"/>
      </w:pPr>
      <w:r>
        <w:rPr>
          <w:b/>
        </w:rPr>
        <w:t xml:space="preserve">Критерии установления диагноза: </w:t>
      </w:r>
      <w:r>
        <w:t>снижение активности фермента кисл</w:t>
      </w:r>
      <w:r>
        <w:t xml:space="preserve">ой сфингомиелиназы в пятнах высушенной крови/ лейкоцитах и наличие биаллельных патогенных вариантов в гене </w:t>
      </w:r>
      <w:r>
        <w:rPr>
          <w:i/>
        </w:rPr>
        <w:t>SMPD1</w:t>
      </w:r>
      <w:r>
        <w:t xml:space="preserve"> при наличии клинических симптомов. </w:t>
      </w:r>
    </w:p>
    <w:p w:rsidR="001F12F1" w:rsidRDefault="0013705F">
      <w:pPr>
        <w:pStyle w:val="Heading2"/>
        <w:ind w:left="-5"/>
      </w:pPr>
      <w:r>
        <w:t>2.1 Жалобы и анамнез</w:t>
      </w:r>
      <w:r>
        <w:rPr>
          <w:b w:val="0"/>
          <w:sz w:val="20"/>
          <w:u w:val="none"/>
        </w:rPr>
        <w:t xml:space="preserve"> </w:t>
      </w:r>
    </w:p>
    <w:p w:rsidR="001F12F1" w:rsidRDefault="0013705F">
      <w:pPr>
        <w:spacing w:after="190"/>
        <w:ind w:left="-5"/>
      </w:pPr>
      <w:r>
        <w:t>При сборе анамнеза и жалоб следует обратить внимание на любые из следующих признаков:</w:t>
      </w:r>
      <w:r>
        <w:t xml:space="preserve"> </w:t>
      </w:r>
    </w:p>
    <w:p w:rsidR="001F12F1" w:rsidRDefault="0013705F">
      <w:pPr>
        <w:numPr>
          <w:ilvl w:val="0"/>
          <w:numId w:val="7"/>
        </w:numPr>
        <w:spacing w:after="40" w:line="379" w:lineRule="auto"/>
        <w:ind w:hanging="360"/>
      </w:pPr>
      <w:r>
        <w:t xml:space="preserve">отягощенный семейный анамнез (наличие спленэктомии или характерных для заболевания симптомов у родных братьев и сестер, подтвержденный диагноз у близких родственников, случаи детской смерти в семье, близкородственный брак); </w:t>
      </w:r>
    </w:p>
    <w:p w:rsidR="001F12F1" w:rsidRDefault="0013705F">
      <w:pPr>
        <w:numPr>
          <w:ilvl w:val="0"/>
          <w:numId w:val="7"/>
        </w:numPr>
        <w:spacing w:line="404" w:lineRule="auto"/>
        <w:ind w:hanging="360"/>
      </w:pPr>
      <w:r>
        <w:t xml:space="preserve">задержка </w:t>
      </w:r>
      <w:r>
        <w:tab/>
        <w:t xml:space="preserve">физического </w:t>
      </w:r>
      <w:r>
        <w:tab/>
        <w:t xml:space="preserve">и/или </w:t>
      </w:r>
      <w:r>
        <w:tab/>
        <w:t xml:space="preserve">психомоторного </w:t>
      </w:r>
      <w:r>
        <w:tab/>
        <w:t xml:space="preserve">развития </w:t>
      </w:r>
      <w:r>
        <w:tab/>
        <w:t xml:space="preserve">и/или </w:t>
      </w:r>
      <w:r>
        <w:tab/>
        <w:t xml:space="preserve">утрата </w:t>
      </w:r>
      <w:r>
        <w:tab/>
        <w:t xml:space="preserve">ранее приобретенных психомоторных навыков; </w:t>
      </w:r>
    </w:p>
    <w:p w:rsidR="001F12F1" w:rsidRDefault="0013705F">
      <w:pPr>
        <w:numPr>
          <w:ilvl w:val="0"/>
          <w:numId w:val="7"/>
        </w:numPr>
        <w:spacing w:after="149"/>
        <w:ind w:hanging="360"/>
      </w:pPr>
      <w:r>
        <w:t xml:space="preserve">слабость, повышенная утомляемость;  </w:t>
      </w:r>
    </w:p>
    <w:p w:rsidR="001F12F1" w:rsidRDefault="0013705F">
      <w:pPr>
        <w:numPr>
          <w:ilvl w:val="0"/>
          <w:numId w:val="7"/>
        </w:numPr>
        <w:spacing w:after="145"/>
        <w:ind w:hanging="360"/>
      </w:pPr>
      <w:r>
        <w:t xml:space="preserve">увеличение живота в размере за счет спленомегалии или гепатоспленомегалии; </w:t>
      </w:r>
    </w:p>
    <w:p w:rsidR="001F12F1" w:rsidRDefault="0013705F">
      <w:pPr>
        <w:numPr>
          <w:ilvl w:val="0"/>
          <w:numId w:val="7"/>
        </w:numPr>
        <w:spacing w:after="149"/>
        <w:ind w:hanging="360"/>
      </w:pPr>
      <w:r>
        <w:t xml:space="preserve">частые респираторные инфекции; </w:t>
      </w:r>
    </w:p>
    <w:p w:rsidR="001F12F1" w:rsidRDefault="0013705F">
      <w:pPr>
        <w:numPr>
          <w:ilvl w:val="0"/>
          <w:numId w:val="7"/>
        </w:numPr>
        <w:spacing w:after="147"/>
        <w:ind w:hanging="360"/>
      </w:pPr>
      <w:r>
        <w:t xml:space="preserve">повторяющиеся кровотечения, например, носовые; </w:t>
      </w:r>
    </w:p>
    <w:p w:rsidR="001F12F1" w:rsidRDefault="0013705F">
      <w:pPr>
        <w:numPr>
          <w:ilvl w:val="0"/>
          <w:numId w:val="7"/>
        </w:numPr>
        <w:spacing w:after="146"/>
        <w:ind w:hanging="360"/>
      </w:pPr>
      <w:r>
        <w:t xml:space="preserve">одышка, эпизоды затрудненного дыхания; </w:t>
      </w:r>
    </w:p>
    <w:p w:rsidR="001F12F1" w:rsidRDefault="0013705F">
      <w:pPr>
        <w:numPr>
          <w:ilvl w:val="0"/>
          <w:numId w:val="7"/>
        </w:numPr>
        <w:spacing w:after="129"/>
        <w:ind w:hanging="360"/>
      </w:pPr>
      <w:r>
        <w:t xml:space="preserve">предшествующая спленэктомия (полная или частичная). </w:t>
      </w:r>
    </w:p>
    <w:p w:rsidR="001F12F1" w:rsidRDefault="0013705F">
      <w:pPr>
        <w:spacing w:after="181"/>
        <w:ind w:left="-5"/>
      </w:pPr>
      <w:r>
        <w:t xml:space="preserve">Жалобы и анамнез также описаны в разделе «клиническая картина». </w:t>
      </w:r>
    </w:p>
    <w:p w:rsidR="001F12F1" w:rsidRDefault="0013705F">
      <w:pPr>
        <w:pStyle w:val="Heading2"/>
        <w:ind w:left="-5"/>
      </w:pPr>
      <w:r>
        <w:t>2.2 Физикальное обследование</w:t>
      </w:r>
      <w:r>
        <w:rPr>
          <w:u w:val="none"/>
        </w:rPr>
        <w:t xml:space="preserve"> </w:t>
      </w:r>
    </w:p>
    <w:p w:rsidR="001F12F1" w:rsidRDefault="0013705F">
      <w:pPr>
        <w:spacing w:line="393" w:lineRule="auto"/>
        <w:ind w:left="-15" w:firstLine="708"/>
      </w:pPr>
      <w:r>
        <w:t>В клинический осмотр</w:t>
      </w:r>
      <w:r>
        <w:t xml:space="preserve"> следует</w:t>
      </w:r>
      <w:r>
        <w:rPr>
          <w:sz w:val="20"/>
        </w:rPr>
        <w:t xml:space="preserve"> </w:t>
      </w:r>
      <w:r>
        <w:t>включать измерение роста и массы тела, температуры тела (A02.30.001 Термометрия общая), оценку состояния костно-суставной системы, выявление признаков геморрагического синдрома, обращая особое внимание на пальпаторное (A01.30.011 Пальпация терапев</w:t>
      </w:r>
      <w:r>
        <w:t xml:space="preserve">тическая) и перкуторное (A01.30.016 Перкуссия терапевтическая) </w:t>
      </w:r>
    </w:p>
    <w:p w:rsidR="001F12F1" w:rsidRDefault="0013705F">
      <w:pPr>
        <w:spacing w:after="82" w:line="358" w:lineRule="auto"/>
        <w:ind w:left="-5"/>
      </w:pPr>
      <w:r>
        <w:t xml:space="preserve">исследование печени и селезенки, неврологический осмотр, исследование дыхательной системы  [11-16]. </w:t>
      </w:r>
    </w:p>
    <w:p w:rsidR="001F12F1" w:rsidRDefault="0013705F">
      <w:pPr>
        <w:spacing w:after="87" w:line="401" w:lineRule="auto"/>
        <w:ind w:left="-15" w:firstLine="425"/>
      </w:pPr>
      <w:r>
        <w:rPr>
          <w:b/>
        </w:rPr>
        <w:t>При осмотре необходимо обратить внимание на следующие клинические проявления БНП типа А, В,</w:t>
      </w:r>
      <w:r>
        <w:rPr>
          <w:b/>
        </w:rPr>
        <w:t xml:space="preserve"> А/В:  </w:t>
      </w:r>
    </w:p>
    <w:p w:rsidR="001F12F1" w:rsidRDefault="0013705F">
      <w:pPr>
        <w:numPr>
          <w:ilvl w:val="0"/>
          <w:numId w:val="8"/>
        </w:numPr>
        <w:spacing w:after="144"/>
        <w:ind w:firstLine="77"/>
      </w:pPr>
      <w:r>
        <w:t xml:space="preserve">спленомегалия; </w:t>
      </w:r>
    </w:p>
    <w:p w:rsidR="001F12F1" w:rsidRDefault="0013705F">
      <w:pPr>
        <w:numPr>
          <w:ilvl w:val="0"/>
          <w:numId w:val="8"/>
        </w:numPr>
        <w:spacing w:after="147"/>
        <w:ind w:firstLine="77"/>
      </w:pPr>
      <w:r>
        <w:t xml:space="preserve">гепатомегалия; </w:t>
      </w:r>
    </w:p>
    <w:p w:rsidR="001F12F1" w:rsidRDefault="0013705F">
      <w:pPr>
        <w:numPr>
          <w:ilvl w:val="0"/>
          <w:numId w:val="8"/>
        </w:numPr>
        <w:spacing w:after="148"/>
        <w:ind w:firstLine="77"/>
      </w:pPr>
      <w:r>
        <w:t xml:space="preserve">мышечная гипотония; </w:t>
      </w:r>
    </w:p>
    <w:p w:rsidR="001F12F1" w:rsidRDefault="0013705F">
      <w:pPr>
        <w:numPr>
          <w:ilvl w:val="0"/>
          <w:numId w:val="8"/>
        </w:numPr>
        <w:ind w:firstLine="77"/>
      </w:pPr>
      <w:r>
        <w:t xml:space="preserve">задержка физического развития; </w:t>
      </w:r>
    </w:p>
    <w:p w:rsidR="001F12F1" w:rsidRDefault="0013705F">
      <w:pPr>
        <w:numPr>
          <w:ilvl w:val="0"/>
          <w:numId w:val="8"/>
        </w:numPr>
        <w:spacing w:after="38" w:line="379" w:lineRule="auto"/>
        <w:ind w:firstLine="77"/>
      </w:pPr>
      <w:r>
        <w:t xml:space="preserve">задержка психомоторного развития и утрата навыков </w:t>
      </w:r>
      <w:r>
        <w:rPr>
          <w:b/>
        </w:rPr>
        <w:t xml:space="preserve">— </w:t>
      </w:r>
      <w:r>
        <w:t xml:space="preserve">особо выражена у пациентов с БНП типа А, менее выражена форма у пациентов с БНП типа А/В, утрата навыков у пациентов с БНП типа В не наблюдается; </w:t>
      </w:r>
    </w:p>
    <w:p w:rsidR="001F12F1" w:rsidRDefault="0013705F">
      <w:pPr>
        <w:numPr>
          <w:ilvl w:val="0"/>
          <w:numId w:val="8"/>
        </w:numPr>
        <w:spacing w:after="141"/>
        <w:ind w:firstLine="77"/>
      </w:pPr>
      <w:r>
        <w:t xml:space="preserve">геморрагический синдром; </w:t>
      </w:r>
    </w:p>
    <w:p w:rsidR="001F12F1" w:rsidRDefault="0013705F">
      <w:pPr>
        <w:numPr>
          <w:ilvl w:val="0"/>
          <w:numId w:val="8"/>
        </w:numPr>
        <w:spacing w:after="143"/>
        <w:ind w:firstLine="77"/>
      </w:pPr>
      <w:r>
        <w:t xml:space="preserve">одышка; </w:t>
      </w:r>
    </w:p>
    <w:p w:rsidR="001F12F1" w:rsidRDefault="0013705F">
      <w:pPr>
        <w:numPr>
          <w:ilvl w:val="0"/>
          <w:numId w:val="8"/>
        </w:numPr>
        <w:spacing w:after="149"/>
        <w:ind w:firstLine="77"/>
      </w:pPr>
      <w:r>
        <w:t xml:space="preserve">утомляемость; </w:t>
      </w:r>
    </w:p>
    <w:p w:rsidR="001F12F1" w:rsidRDefault="0013705F">
      <w:pPr>
        <w:numPr>
          <w:ilvl w:val="0"/>
          <w:numId w:val="8"/>
        </w:numPr>
        <w:spacing w:line="390" w:lineRule="auto"/>
        <w:ind w:firstLine="77"/>
      </w:pPr>
      <w:r>
        <w:t>дегенерация макулы по типу «красной вишневой косточки» (хар</w:t>
      </w:r>
      <w:r>
        <w:t xml:space="preserve">актерно для БНП типа А, реже при типе A/B). </w:t>
      </w:r>
    </w:p>
    <w:p w:rsidR="001F12F1" w:rsidRDefault="0013705F">
      <w:pPr>
        <w:spacing w:after="171" w:line="259" w:lineRule="auto"/>
        <w:ind w:left="15"/>
        <w:jc w:val="center"/>
      </w:pPr>
      <w:r>
        <w:t xml:space="preserve">Подробно данные физикального обследования описаны в разделе «клиническая картина». </w:t>
      </w:r>
    </w:p>
    <w:p w:rsidR="001F12F1" w:rsidRDefault="0013705F">
      <w:pPr>
        <w:pStyle w:val="Heading2"/>
        <w:tabs>
          <w:tab w:val="center" w:pos="3230"/>
        </w:tabs>
        <w:spacing w:after="177"/>
        <w:ind w:left="-15" w:firstLine="0"/>
        <w:jc w:val="left"/>
      </w:pPr>
      <w:r>
        <w:rPr>
          <w:u w:val="none"/>
        </w:rPr>
        <w:t>2.3</w:t>
      </w:r>
      <w:r>
        <w:rPr>
          <w:rFonts w:ascii="Arial" w:eastAsia="Arial" w:hAnsi="Arial" w:cs="Arial"/>
          <w:u w:val="none"/>
        </w:rPr>
        <w:t xml:space="preserve"> </w:t>
      </w:r>
      <w:r>
        <w:rPr>
          <w:rFonts w:ascii="Arial" w:eastAsia="Arial" w:hAnsi="Arial" w:cs="Arial"/>
          <w:u w:val="none"/>
        </w:rPr>
        <w:tab/>
      </w:r>
      <w:r>
        <w:t>Лабораторные диагностические исследования</w:t>
      </w:r>
      <w:r>
        <w:rPr>
          <w:b w:val="0"/>
          <w:u w:val="none"/>
        </w:rPr>
        <w:t xml:space="preserve"> </w:t>
      </w:r>
    </w:p>
    <w:p w:rsidR="001F12F1" w:rsidRDefault="0013705F">
      <w:pPr>
        <w:numPr>
          <w:ilvl w:val="0"/>
          <w:numId w:val="9"/>
        </w:numPr>
        <w:spacing w:after="34" w:line="375" w:lineRule="auto"/>
      </w:pPr>
      <w:r>
        <w:rPr>
          <w:b/>
        </w:rPr>
        <w:t>Рекомендуется</w:t>
      </w:r>
      <w:r>
        <w:t xml:space="preserve"> определение активности кислой сфингомиелиназы в пятнах высушенной</w:t>
      </w:r>
      <w:r>
        <w:t xml:space="preserve"> крови или лейкоцитах периферической крови всем пациентам с клиническими проявлениями БНП типа А, В, А/В с целью верификации диагноза [4, 17]. </w:t>
      </w:r>
    </w:p>
    <w:p w:rsidR="001F12F1" w:rsidRDefault="0013705F">
      <w:pPr>
        <w:spacing w:after="35" w:line="386" w:lineRule="auto"/>
        <w:ind w:left="-5"/>
      </w:pPr>
      <w:r>
        <w:rPr>
          <w:b/>
        </w:rPr>
        <w:t>Уровень убедительности рекомендации C (уровень достоверности доказательств — 5) Комментарии:</w:t>
      </w:r>
      <w:r>
        <w:rPr>
          <w:i/>
        </w:rPr>
        <w:t xml:space="preserve"> при подозрении на б</w:t>
      </w:r>
      <w:r>
        <w:rPr>
          <w:i/>
        </w:rPr>
        <w:t>олезнь Ниманна-Пика типа А, В, А/В (дефицит кислой сфингомиелиназы) следует проводить исследование активности фермента.</w:t>
      </w:r>
      <w:r>
        <w:t xml:space="preserve"> </w:t>
      </w:r>
      <w:r>
        <w:rPr>
          <w:i/>
        </w:rPr>
        <w:t>В настоящее время определение активности фермента чаще проводится по пятнам сухой крови с использованием метода тандемной масс-спектроме</w:t>
      </w:r>
      <w:r>
        <w:rPr>
          <w:i/>
        </w:rPr>
        <w:t>трии (ТМС). Преимуществами данной методики являются минимальные требования к забору крови на исследование, доставке и хранению биообразцов,</w:t>
      </w:r>
      <w:r>
        <w:rPr>
          <w:rFonts w:ascii="Arial" w:eastAsia="Arial" w:hAnsi="Arial" w:cs="Arial"/>
          <w:i/>
        </w:rPr>
        <w:t xml:space="preserve"> </w:t>
      </w:r>
      <w:r>
        <w:rPr>
          <w:i/>
        </w:rPr>
        <w:t xml:space="preserve">специфичность, быстрота выполнения и возможность использования материала для повторного исследования </w:t>
      </w:r>
      <w:r>
        <w:t>[4, 17, 18]</w:t>
      </w:r>
      <w:r>
        <w:rPr>
          <w:i/>
        </w:rPr>
        <w:t xml:space="preserve">. </w:t>
      </w:r>
    </w:p>
    <w:p w:rsidR="001F12F1" w:rsidRDefault="0013705F">
      <w:pPr>
        <w:numPr>
          <w:ilvl w:val="0"/>
          <w:numId w:val="9"/>
        </w:numPr>
        <w:spacing w:after="33" w:line="374" w:lineRule="auto"/>
      </w:pPr>
      <w:r>
        <w:rPr>
          <w:b/>
        </w:rPr>
        <w:t>Р</w:t>
      </w:r>
      <w:r>
        <w:rPr>
          <w:b/>
        </w:rPr>
        <w:t>екомендуется</w:t>
      </w:r>
      <w:r>
        <w:t xml:space="preserve"> определение вариантов генов в образце биологического материала другом или неуточненном, неклассифицированные в других рубриках, методом таргетного высокопроизводительного секвенирования и/или методом высокопроизводительного секвенирования (выя</w:t>
      </w:r>
      <w:r>
        <w:t xml:space="preserve">вление биаллельных патогенных вариантов гена </w:t>
      </w:r>
      <w:r>
        <w:rPr>
          <w:i/>
        </w:rPr>
        <w:t>SMPD1</w:t>
      </w:r>
      <w:r>
        <w:t>)</w:t>
      </w:r>
      <w:r>
        <w:rPr>
          <w:i/>
        </w:rPr>
        <w:t xml:space="preserve"> </w:t>
      </w:r>
      <w:r>
        <w:t>всем пациентам с клиническими проявлениями БНП типа А, В, А/В и/или сниженной активностью фермента кислой сфингомиелиназы в крови с целью подтверждения диагноза и уточнения типа заболевания [17, 19].</w:t>
      </w:r>
      <w:r>
        <w:rPr>
          <w:b/>
        </w:rPr>
        <w:t xml:space="preserve"> </w:t>
      </w:r>
    </w:p>
    <w:p w:rsidR="001F12F1" w:rsidRDefault="0013705F">
      <w:pPr>
        <w:spacing w:after="166" w:line="250" w:lineRule="auto"/>
        <w:ind w:left="-5"/>
      </w:pPr>
      <w:r>
        <w:rPr>
          <w:b/>
        </w:rPr>
        <w:t xml:space="preserve">Уровень убедительности рекомендации C (уровень достоверности доказательств – 5) </w:t>
      </w:r>
    </w:p>
    <w:p w:rsidR="001F12F1" w:rsidRDefault="0013705F">
      <w:pPr>
        <w:spacing w:after="35" w:line="386" w:lineRule="auto"/>
        <w:ind w:left="-5"/>
      </w:pPr>
      <w:r>
        <w:rPr>
          <w:b/>
        </w:rPr>
        <w:t>Комментарии:</w:t>
      </w:r>
      <w:r>
        <w:t xml:space="preserve"> </w:t>
      </w:r>
      <w:r>
        <w:rPr>
          <w:i/>
        </w:rPr>
        <w:t>исследование проводится при установлении диагноза.</w:t>
      </w:r>
      <w:r>
        <w:t xml:space="preserve"> </w:t>
      </w:r>
      <w:r>
        <w:rPr>
          <w:i/>
        </w:rPr>
        <w:t>Необходим прием (осмотр, консультация) врача-генетика первичный и повторный с целью определения тактики молекул</w:t>
      </w:r>
      <w:r>
        <w:rPr>
          <w:i/>
        </w:rPr>
        <w:t>ярно-генетической диагностики, а также для интерпретации полученных результатов. Молекулярно-генетическая диагностика болезни Ниманна-Пика типа А, В, А/В (дефицита кислой сфингомиелиназы) позволяет обнаружить каузативные варианты гена SMPD1.</w:t>
      </w:r>
      <w:r>
        <w:rPr>
          <w:b/>
          <w:i/>
        </w:rPr>
        <w:t xml:space="preserve"> </w:t>
      </w:r>
      <w:r>
        <w:rPr>
          <w:i/>
        </w:rPr>
        <w:t>В ряде случаев</w:t>
      </w:r>
      <w:r>
        <w:rPr>
          <w:i/>
        </w:rPr>
        <w:t xml:space="preserve"> на основании генотипа возможно прогнозирование тяжести течения дефицита кислой сфингомиелиназы</w:t>
      </w:r>
      <w:r>
        <w:rPr>
          <w:b/>
          <w:i/>
        </w:rPr>
        <w:t xml:space="preserve"> </w:t>
      </w:r>
      <w:r>
        <w:rPr>
          <w:i/>
        </w:rPr>
        <w:t>[10]. В редких случаях каузативные варианты не удается обнаружить стандартными методами, так как они могут попадать под ограничения методов, что может требовать</w:t>
      </w:r>
      <w:r>
        <w:rPr>
          <w:i/>
        </w:rPr>
        <w:t xml:space="preserve"> проведения дополнительных исследований в лабораториях экспертного уровня. </w:t>
      </w:r>
    </w:p>
    <w:p w:rsidR="001F12F1" w:rsidRDefault="0013705F">
      <w:pPr>
        <w:numPr>
          <w:ilvl w:val="0"/>
          <w:numId w:val="9"/>
        </w:numPr>
        <w:spacing w:line="394" w:lineRule="auto"/>
      </w:pPr>
      <w:r>
        <w:rPr>
          <w:b/>
        </w:rPr>
        <w:t>Рекомендуется</w:t>
      </w:r>
      <w:r>
        <w:t xml:space="preserve"> всем пациентам с клиническими проявлениями БНП типа А, В, А/В определение концентрации лизосфингомиелина (Lyso-SM) в крови до начала лечения и для мониторинга терапии</w:t>
      </w:r>
      <w:r>
        <w:t xml:space="preserve"> и прогрессирования заболевания [4].</w:t>
      </w:r>
      <w:r>
        <w:rPr>
          <w:i/>
        </w:rPr>
        <w:t xml:space="preserve"> </w:t>
      </w:r>
    </w:p>
    <w:p w:rsidR="001F12F1" w:rsidRDefault="0013705F">
      <w:pPr>
        <w:spacing w:after="166" w:line="250" w:lineRule="auto"/>
        <w:ind w:left="-5"/>
      </w:pPr>
      <w:r>
        <w:rPr>
          <w:b/>
        </w:rPr>
        <w:t xml:space="preserve">Уровень убедительности рекомендации C (уровень достоверности доказательств — 5) </w:t>
      </w:r>
    </w:p>
    <w:p w:rsidR="001F12F1" w:rsidRDefault="0013705F">
      <w:pPr>
        <w:spacing w:after="115" w:line="259" w:lineRule="auto"/>
        <w:ind w:left="-5"/>
      </w:pPr>
      <w:r>
        <w:rPr>
          <w:b/>
        </w:rPr>
        <w:t>Комментарии:</w:t>
      </w:r>
      <w:r>
        <w:t xml:space="preserve"> </w:t>
      </w:r>
      <w:r>
        <w:rPr>
          <w:i/>
        </w:rPr>
        <w:t xml:space="preserve">в ряде случаев определение концентрации Lyso-SM и Lyso-SM509 в крови может </w:t>
      </w:r>
    </w:p>
    <w:p w:rsidR="001F12F1" w:rsidRDefault="0013705F">
      <w:pPr>
        <w:spacing w:after="35" w:line="386" w:lineRule="auto"/>
        <w:ind w:left="-5"/>
      </w:pPr>
      <w:r>
        <w:rPr>
          <w:i/>
        </w:rPr>
        <w:t>быть тестом первой линии до проведения измерения</w:t>
      </w:r>
      <w:r>
        <w:rPr>
          <w:i/>
        </w:rPr>
        <w:t xml:space="preserve"> активности фермента кислой сфингомиелиназы или в сочетании с ним для диагностики болезни Ниманна-Пика типа А, В, А/В (дефицита кислой сфингомиелиназы). Повышение Lyso-SM509 в крови у пациентов с БНП типа А, В, А/В менее выражено, чем при БНП типа С.</w:t>
      </w:r>
      <w:r>
        <w:rPr>
          <w:b/>
        </w:rPr>
        <w:t xml:space="preserve"> </w:t>
      </w:r>
    </w:p>
    <w:p w:rsidR="001F12F1" w:rsidRDefault="0013705F">
      <w:pPr>
        <w:numPr>
          <w:ilvl w:val="0"/>
          <w:numId w:val="9"/>
        </w:numPr>
        <w:spacing w:line="396" w:lineRule="auto"/>
      </w:pPr>
      <w:r>
        <w:rPr>
          <w:b/>
        </w:rPr>
        <w:t>Реко</w:t>
      </w:r>
      <w:r>
        <w:rPr>
          <w:b/>
        </w:rPr>
        <w:t xml:space="preserve">мендуется </w:t>
      </w:r>
      <w:r>
        <w:t>всем пациентам с клиническими проявлениями БНП типа А, В, А/В проведение общего (клинического) анализа крови развернутого (исследование уровня общего гемоглобина, эритроцитов, лейкоцитов, тромбоцитов в крови, дифференцированный подсчет лейкоцитов</w:t>
      </w:r>
      <w:r>
        <w:t xml:space="preserve"> (лейкоцитарная формула), определение среднего содержания (MCH) и средней концентрации гемоглобина в эритроцитах (MCHC), исследование скорости оседания эритроцитов) для оценки основных параметров кроветворения c целью своевременного выявления анемии, тромб</w:t>
      </w:r>
      <w:r>
        <w:t xml:space="preserve">оцитопении, лейкопении, наличия  воспалительных процессов и контроля терапевтического эффекта [4, 17, 20, 37]. </w:t>
      </w:r>
    </w:p>
    <w:p w:rsidR="001F12F1" w:rsidRDefault="0013705F">
      <w:pPr>
        <w:spacing w:after="166" w:line="250" w:lineRule="auto"/>
        <w:ind w:left="-5"/>
      </w:pPr>
      <w:r>
        <w:rPr>
          <w:b/>
        </w:rPr>
        <w:t xml:space="preserve">Уровень убедительности рекомендации C (уровень достоверности доказательств — 4) </w:t>
      </w:r>
    </w:p>
    <w:p w:rsidR="001F12F1" w:rsidRDefault="0013705F">
      <w:pPr>
        <w:spacing w:after="35" w:line="386" w:lineRule="auto"/>
        <w:ind w:left="-5"/>
      </w:pPr>
      <w:r>
        <w:rPr>
          <w:b/>
        </w:rPr>
        <w:t>Комментарии:</w:t>
      </w:r>
      <w:r>
        <w:t xml:space="preserve"> </w:t>
      </w:r>
      <w:r>
        <w:rPr>
          <w:i/>
        </w:rPr>
        <w:t xml:space="preserve">исследование проводят не реже, чем 1 раз в </w:t>
      </w:r>
      <w:r>
        <w:rPr>
          <w:i/>
        </w:rPr>
        <w:t xml:space="preserve">3 месяца или чаще, по показаниям. У большинства пациентов с болезнью Ниманна-Пика типа А, В, А/В (дефицитом кислой сфингомиелиназы) наблюдается, тромбоцитопения, у некоторых — анемия, лейкопения и нейтропения. </w:t>
      </w:r>
    </w:p>
    <w:p w:rsidR="001F12F1" w:rsidRDefault="0013705F">
      <w:pPr>
        <w:numPr>
          <w:ilvl w:val="0"/>
          <w:numId w:val="9"/>
        </w:numPr>
        <w:spacing w:line="391" w:lineRule="auto"/>
      </w:pPr>
      <w:r>
        <w:rPr>
          <w:b/>
        </w:rPr>
        <w:t>Рекомендуется</w:t>
      </w:r>
      <w:r>
        <w:t xml:space="preserve"> всем пациентам с подозрением на</w:t>
      </w:r>
      <w:r>
        <w:t xml:space="preserve"> БНП типа А, В, А/В проведение анализа крови биохимического общетерапевтического (определение активности аланинаминотрансферазы, аспартатаминотрансферазы и щелочной фосфатазы, определение уровня общего билирубина, альбумина в крови, холестерина, холестерин</w:t>
      </w:r>
      <w:r>
        <w:t>а липопротеинов низкой плотности, холестерина липопротеинов высокой плотности, триглицеридов в крови), а также исследование уровня 25-OH витамина Д в крови с целью выявления соответствующих нарушений и своевременной коррекции, проведения дифференциальной д</w:t>
      </w:r>
      <w:r>
        <w:t xml:space="preserve">иагностики  [4, 20, 37, 38, 39]. </w:t>
      </w:r>
    </w:p>
    <w:p w:rsidR="001F12F1" w:rsidRDefault="0013705F">
      <w:pPr>
        <w:spacing w:after="166" w:line="250" w:lineRule="auto"/>
        <w:ind w:left="-5"/>
      </w:pPr>
      <w:r>
        <w:rPr>
          <w:b/>
        </w:rPr>
        <w:t xml:space="preserve">Уровень убедительности рекомендации C (уровень достоверности доказательств — 4) </w:t>
      </w:r>
    </w:p>
    <w:p w:rsidR="001F12F1" w:rsidRDefault="0013705F">
      <w:pPr>
        <w:spacing w:after="159" w:line="259" w:lineRule="auto"/>
        <w:ind w:left="-5"/>
      </w:pPr>
      <w:r>
        <w:rPr>
          <w:b/>
        </w:rPr>
        <w:t>Комментарии:</w:t>
      </w:r>
      <w:r>
        <w:t xml:space="preserve"> </w:t>
      </w:r>
      <w:r>
        <w:rPr>
          <w:i/>
        </w:rPr>
        <w:t xml:space="preserve">исследование проводят не реже, чем 1 раз в 3 месяца или чаще, по показаниям. </w:t>
      </w:r>
    </w:p>
    <w:p w:rsidR="001F12F1" w:rsidRDefault="0013705F">
      <w:pPr>
        <w:spacing w:after="11" w:line="386" w:lineRule="auto"/>
        <w:ind w:left="-5"/>
      </w:pPr>
      <w:r>
        <w:rPr>
          <w:i/>
        </w:rPr>
        <w:t>Активность «печеночных» ферментов (аланинаминотран</w:t>
      </w:r>
      <w:r>
        <w:rPr>
          <w:i/>
        </w:rPr>
        <w:t>сферазы, аспартатаминотрансферазы и щелочной фосфатазы), а также общий билирубин могут быть повышены у пациентов с болезнью Ниманна-Пика типа А, В, А/В (дефицитом кислой сфингомиелиназы). Аномальный (атерогенный) липидный профиль часто встречается у пациен</w:t>
      </w:r>
      <w:r>
        <w:rPr>
          <w:i/>
        </w:rPr>
        <w:t xml:space="preserve">тов с БНП типа А, В, А/В , наиболее частыми отклонениями являются повышение уровня триглицеридов,и общего холестерина, а также снижение уровня холестерина ЛПВП </w:t>
      </w:r>
    </w:p>
    <w:p w:rsidR="001F12F1" w:rsidRDefault="0013705F">
      <w:pPr>
        <w:spacing w:after="183" w:line="259" w:lineRule="auto"/>
        <w:ind w:left="-5"/>
      </w:pPr>
      <w:r>
        <w:rPr>
          <w:i/>
        </w:rPr>
        <w:t xml:space="preserve">[4]. </w:t>
      </w:r>
    </w:p>
    <w:p w:rsidR="001F12F1" w:rsidRDefault="0013705F">
      <w:pPr>
        <w:numPr>
          <w:ilvl w:val="0"/>
          <w:numId w:val="9"/>
        </w:numPr>
        <w:spacing w:line="392" w:lineRule="auto"/>
      </w:pPr>
      <w:r>
        <w:rPr>
          <w:b/>
        </w:rPr>
        <w:t xml:space="preserve">Рекомендуется </w:t>
      </w:r>
      <w:r>
        <w:t xml:space="preserve">всем пациентам с клиническими проявлениями БНП типа А, В, А/В и признаками </w:t>
      </w:r>
      <w:r>
        <w:t>цирроза печени c печеночной недостаточностью исследование показателей коагулограммы (ориентировочное исследование системы гемостаза): активированное частичное тромбопластиновое время, определение протромбинового (тромбопластинового) времени в крови или в п</w:t>
      </w:r>
      <w:r>
        <w:t>лазме, тромбинового времени в крови, определение международного нормализованного отношения (MHO),</w:t>
      </w:r>
      <w:r>
        <w:rPr>
          <w:rFonts w:ascii="Arial" w:eastAsia="Arial" w:hAnsi="Arial" w:cs="Arial"/>
          <w:color w:val="444444"/>
        </w:rPr>
        <w:t xml:space="preserve"> </w:t>
      </w:r>
      <w:r>
        <w:t>активности антитромбина III в крови, исследование уровня фибриногена, определение концентрации Д-димера в крови) и исследование уровня аммиака в крови для ран</w:t>
      </w:r>
      <w:r>
        <w:t xml:space="preserve">ней профилактики признаков печеночной энцефалопатии и оценки функции печени [4].  </w:t>
      </w:r>
    </w:p>
    <w:p w:rsidR="001F12F1" w:rsidRDefault="0013705F">
      <w:pPr>
        <w:spacing w:after="166" w:line="250" w:lineRule="auto"/>
        <w:ind w:left="-5"/>
      </w:pPr>
      <w:r>
        <w:rPr>
          <w:b/>
        </w:rPr>
        <w:t xml:space="preserve">Уровень убедительности рекомендации С (уровень достоверности доказательств — 5) </w:t>
      </w:r>
    </w:p>
    <w:p w:rsidR="001F12F1" w:rsidRDefault="0013705F">
      <w:pPr>
        <w:spacing w:after="35" w:line="386" w:lineRule="auto"/>
        <w:ind w:left="-5"/>
      </w:pPr>
      <w:r>
        <w:rPr>
          <w:b/>
        </w:rPr>
        <w:t>Комментарии:</w:t>
      </w:r>
      <w:r>
        <w:rPr>
          <w:i/>
        </w:rPr>
        <w:t xml:space="preserve"> биохимические и гематологические отклонения распространены у пациентов с БНП, п</w:t>
      </w:r>
      <w:r>
        <w:rPr>
          <w:i/>
        </w:rPr>
        <w:t xml:space="preserve">оэтому данные исследования необходимы как на исходном уровне, так и с регулярными интервалами при наблюдении в динамике. Исследования проводят не реже, чем 1 раз в 3 месяца или чаще, по показаниям [4]. </w:t>
      </w:r>
    </w:p>
    <w:p w:rsidR="001F12F1" w:rsidRDefault="0013705F">
      <w:pPr>
        <w:numPr>
          <w:ilvl w:val="0"/>
          <w:numId w:val="9"/>
        </w:numPr>
        <w:spacing w:line="398" w:lineRule="auto"/>
      </w:pPr>
      <w:r>
        <w:rPr>
          <w:b/>
        </w:rPr>
        <w:t>Не рекомендуется</w:t>
      </w:r>
      <w:r>
        <w:t xml:space="preserve"> </w:t>
      </w:r>
      <w:r>
        <w:t>в качестве первой линии диагностики детям с клиническими проявлениями БНП типа А, В, А/В морфологическое исследование костного мозга (патологоанатомическое исследование биопсийного (операционного) материала костного мозга) или печени (патолого-анатомическо</w:t>
      </w:r>
      <w:r>
        <w:t xml:space="preserve">е исследование биопсийного (операционного) материала печени) в связи инвазивностью процедуры и высоким риском ложноотрицательных результатов </w:t>
      </w:r>
    </w:p>
    <w:p w:rsidR="001F12F1" w:rsidRDefault="0013705F">
      <w:pPr>
        <w:spacing w:after="179"/>
        <w:ind w:left="-5"/>
      </w:pPr>
      <w:r>
        <w:t xml:space="preserve">[4]. </w:t>
      </w:r>
    </w:p>
    <w:p w:rsidR="001F12F1" w:rsidRDefault="0013705F">
      <w:pPr>
        <w:spacing w:after="384" w:line="386" w:lineRule="auto"/>
        <w:ind w:left="-5"/>
      </w:pPr>
      <w:r>
        <w:rPr>
          <w:b/>
        </w:rPr>
        <w:t>Уровень убедительности рекомендации C (уровень достоверности доказательств — 5) Комментарии:</w:t>
      </w:r>
      <w:r>
        <w:t xml:space="preserve"> </w:t>
      </w:r>
      <w:r>
        <w:rPr>
          <w:i/>
        </w:rPr>
        <w:t>часто это иссле</w:t>
      </w:r>
      <w:r>
        <w:rPr>
          <w:i/>
        </w:rPr>
        <w:t>дование назначают взрослым пациентам при подозрении на онкологические заболевания в случае необъяснимой спленомегалии. В костном мозге пациентов с БНП типа А, В, А/В можно обнаружить пенистые макрофаги и/или, так называемые, «голубые гистиоциты». Однако эт</w:t>
      </w:r>
      <w:r>
        <w:rPr>
          <w:i/>
        </w:rPr>
        <w:t>и клетки неспецифичны, поскольку они также встречаются при других лизосомных болезнях накопления, таких как дефицит кислой липазы или ганглиозидоз-GM1 и других состояниях. Внешний вид и свойства окрашивания этих клеток могут приводить к неверному диагнозу,</w:t>
      </w:r>
      <w:r>
        <w:rPr>
          <w:i/>
        </w:rPr>
        <w:t xml:space="preserve"> так как, например, сходно могут выглядеть «клетки Гоше» [4]. </w:t>
      </w:r>
    </w:p>
    <w:p w:rsidR="001F12F1" w:rsidRDefault="0013705F">
      <w:pPr>
        <w:pStyle w:val="Heading2"/>
        <w:spacing w:after="391"/>
        <w:ind w:left="-5"/>
      </w:pPr>
      <w:r>
        <w:t>2.4 Инструментальные диагностические исследования</w:t>
      </w:r>
      <w:r>
        <w:rPr>
          <w:b w:val="0"/>
          <w:u w:val="none"/>
        </w:rPr>
        <w:t xml:space="preserve"> </w:t>
      </w:r>
    </w:p>
    <w:p w:rsidR="001F12F1" w:rsidRDefault="0013705F">
      <w:pPr>
        <w:numPr>
          <w:ilvl w:val="0"/>
          <w:numId w:val="10"/>
        </w:numPr>
        <w:spacing w:line="395" w:lineRule="auto"/>
      </w:pPr>
      <w:r>
        <w:rPr>
          <w:b/>
        </w:rPr>
        <w:t>Рекомендуется</w:t>
      </w:r>
      <w:r>
        <w:t xml:space="preserve"> всем пациентам с клиническими проявлениями БНП типа А, В, А/В проведение магнитно-резонансной томографии органов брюшной полости</w:t>
      </w:r>
      <w:r>
        <w:t xml:space="preserve"> и/или ультразвукового исследования органов брюшной полости (комплексного) с целью определения исходного размера/объема органов и выявления их очаговых поражений при постановке диагноза, а также с целью последующего контроля состояния внутренних органов и </w:t>
      </w:r>
      <w:r>
        <w:t>оценки эффективности терапии [4, 14, 17, 37].</w:t>
      </w:r>
      <w:r>
        <w:rPr>
          <w:sz w:val="20"/>
        </w:rPr>
        <w:t xml:space="preserve"> </w:t>
      </w:r>
    </w:p>
    <w:p w:rsidR="001F12F1" w:rsidRDefault="0013705F">
      <w:pPr>
        <w:spacing w:after="35" w:line="386" w:lineRule="auto"/>
        <w:ind w:left="-5"/>
      </w:pPr>
      <w:r>
        <w:rPr>
          <w:b/>
        </w:rPr>
        <w:t>Уровень убедительности рекомендации C (уровень достоверности доказательств – 5) Комментарии:</w:t>
      </w:r>
      <w:r>
        <w:rPr>
          <w:i/>
        </w:rPr>
        <w:t xml:space="preserve"> проведение данных исследований необходимо для определения размеров печени и селезенки, определения диаметра воротной</w:t>
      </w:r>
      <w:r>
        <w:rPr>
          <w:i/>
        </w:rPr>
        <w:t xml:space="preserve"> и селезеночной вен, наличия стеатоза, фиброза или цирроза печени, кальцификатов надпочечников, а также оценки течения заболевания и последующего контроля эффективности ферментной заместительной терапии.</w:t>
      </w:r>
      <w:r>
        <w:t xml:space="preserve"> </w:t>
      </w:r>
      <w:r>
        <w:rPr>
          <w:i/>
        </w:rPr>
        <w:t>Частота определяется состоянием пациента, но не реже</w:t>
      </w:r>
      <w:r>
        <w:rPr>
          <w:i/>
        </w:rPr>
        <w:t xml:space="preserve"> 1 раза в год после установления диагноза. Для контроля эффективности ферментной заместительной терапии (ФЗТ) частота проведения: 1 раз в 6 месяцев при начале терапии, далее — в среднем 1 раз в год. Наркоз проводится по показаниям (комбинированный ингаляци</w:t>
      </w:r>
      <w:r>
        <w:rPr>
          <w:i/>
        </w:rPr>
        <w:t xml:space="preserve">онный наркоз (в том числе с применением ксенона), комбинированный эндотрахеальный наркоз). </w:t>
      </w:r>
    </w:p>
    <w:p w:rsidR="001F12F1" w:rsidRDefault="0013705F">
      <w:pPr>
        <w:numPr>
          <w:ilvl w:val="0"/>
          <w:numId w:val="10"/>
        </w:numPr>
        <w:spacing w:line="396" w:lineRule="auto"/>
      </w:pPr>
      <w:r>
        <w:rPr>
          <w:b/>
        </w:rPr>
        <w:t>Рекомендуется</w:t>
      </w:r>
      <w:r>
        <w:t xml:space="preserve"> пациентам с клиническими проявлениями БНП типа А, В, А/В проведение рентгенографии легких или компьютерной томографии органов грудной полости для диаг</w:t>
      </w:r>
      <w:r>
        <w:t>ностики и контроля состояния лёгких [4].</w:t>
      </w:r>
      <w:r>
        <w:rPr>
          <w:i/>
        </w:rPr>
        <w:t xml:space="preserve"> </w:t>
      </w:r>
    </w:p>
    <w:p w:rsidR="001F12F1" w:rsidRDefault="0013705F">
      <w:pPr>
        <w:spacing w:after="35" w:line="386" w:lineRule="auto"/>
        <w:ind w:left="-5"/>
      </w:pPr>
      <w:r>
        <w:rPr>
          <w:b/>
        </w:rPr>
        <w:t xml:space="preserve">Уровень убедительности рекомендации C (уровень достоверности доказательств — 5) Комментарии: </w:t>
      </w:r>
      <w:r>
        <w:rPr>
          <w:i/>
        </w:rPr>
        <w:t>при наличии поражения лёгких исследования проводятся в динамике, частота определяется индивидуально</w:t>
      </w:r>
      <w:r>
        <w:t>.</w:t>
      </w:r>
      <w:r>
        <w:rPr>
          <w:i/>
        </w:rPr>
        <w:t xml:space="preserve"> </w:t>
      </w:r>
    </w:p>
    <w:p w:rsidR="001F12F1" w:rsidRDefault="0013705F">
      <w:pPr>
        <w:numPr>
          <w:ilvl w:val="0"/>
          <w:numId w:val="10"/>
        </w:numPr>
        <w:spacing w:after="33" w:line="376" w:lineRule="auto"/>
      </w:pPr>
      <w:r>
        <w:rPr>
          <w:b/>
        </w:rPr>
        <w:t>Рекомендуется</w:t>
      </w:r>
      <w:r>
        <w:t xml:space="preserve"> пацие</w:t>
      </w:r>
      <w:r>
        <w:t xml:space="preserve">нтам с клиническими проявлениями БНП типа А, В, А/В исследование функции внешнего дыхания (исследование неспровоцированных дыхательных объемов и потоков) для оценки функции легких [4]. </w:t>
      </w:r>
    </w:p>
    <w:p w:rsidR="001F12F1" w:rsidRDefault="0013705F">
      <w:pPr>
        <w:spacing w:after="35" w:line="386" w:lineRule="auto"/>
        <w:ind w:left="-5"/>
      </w:pPr>
      <w:r>
        <w:rPr>
          <w:b/>
        </w:rPr>
        <w:t>Уровень убедительности рекомендации C (уровень достоверности доказател</w:t>
      </w:r>
      <w:r>
        <w:rPr>
          <w:b/>
        </w:rPr>
        <w:t xml:space="preserve">ьств — 5) Комментарии: </w:t>
      </w:r>
      <w:r>
        <w:rPr>
          <w:i/>
        </w:rPr>
        <w:t>при наличии поражения лёгких исследования проводятся в динамике, частота определяется индивидуально</w:t>
      </w:r>
      <w:r>
        <w:rPr>
          <w:b/>
        </w:rPr>
        <w:t xml:space="preserve"> </w:t>
      </w:r>
    </w:p>
    <w:p w:rsidR="001F12F1" w:rsidRDefault="0013705F">
      <w:pPr>
        <w:numPr>
          <w:ilvl w:val="0"/>
          <w:numId w:val="10"/>
        </w:numPr>
        <w:spacing w:after="38" w:line="370" w:lineRule="auto"/>
      </w:pPr>
      <w:r>
        <w:rPr>
          <w:b/>
        </w:rPr>
        <w:t>Рекомендуется</w:t>
      </w:r>
      <w:r>
        <w:t xml:space="preserve"> пациентам с БНП типа А, В, А/В при наличии признаков портальной гипертензии, проведение эзофагогастродуоденоскопии с ц</w:t>
      </w:r>
      <w:r>
        <w:t xml:space="preserve">елью оценки состояния вен пищевода и желудка [40-44]. </w:t>
      </w:r>
    </w:p>
    <w:p w:rsidR="001F12F1" w:rsidRDefault="0013705F">
      <w:pPr>
        <w:spacing w:after="35" w:line="386" w:lineRule="auto"/>
        <w:ind w:left="-5"/>
      </w:pPr>
      <w:r>
        <w:rPr>
          <w:b/>
        </w:rPr>
        <w:t>Уровень убедительности рекомендации С (уровень достоверности доказательств– 5).</w:t>
      </w:r>
      <w:r>
        <w:t xml:space="preserve"> </w:t>
      </w:r>
      <w:r>
        <w:rPr>
          <w:b/>
        </w:rPr>
        <w:t>Комментарии:</w:t>
      </w:r>
      <w:r>
        <w:t xml:space="preserve"> </w:t>
      </w:r>
      <w:r>
        <w:rPr>
          <w:i/>
        </w:rPr>
        <w:t>исследование проводят у пациентов с циррозом печени, признаками портальной гипертензии для оценки степени ва</w:t>
      </w:r>
      <w:r>
        <w:rPr>
          <w:i/>
        </w:rPr>
        <w:t>рикозного расширения вен пищевода и угрозы кровотечения.</w:t>
      </w:r>
      <w:r>
        <w:t xml:space="preserve"> </w:t>
      </w: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rPr>
          <w:b/>
        </w:rPr>
        <w:t>Рекомендуется</w:t>
      </w:r>
      <w:r>
        <w:t xml:space="preserve"> пациентам с БНП типа А, В, А/В при наличии признаков фиброза печени, проведение эластометрии печени с целью контроля состояния печени [4]. </w:t>
      </w:r>
      <w:r>
        <w:rPr>
          <w:b/>
        </w:rPr>
        <w:t>Уровень убедительности рекомендации С (уровень достоверности доказательств– 5).</w:t>
      </w:r>
      <w:r>
        <w:t xml:space="preserve"> </w:t>
      </w:r>
      <w:r>
        <w:rPr>
          <w:b/>
        </w:rPr>
        <w:t xml:space="preserve">Комментарии: </w:t>
      </w:r>
      <w:r>
        <w:rPr>
          <w:i/>
        </w:rPr>
        <w:t>эластометрия печени является неинвазивной ультразвуковой методикой определения плотности паренхимы печени. Изменение плотности органа — достоверный индикатор измен</w:t>
      </w:r>
      <w:r>
        <w:rPr>
          <w:i/>
        </w:rPr>
        <w:t>ений состояния паренхимы печени и прогрессирования фиброза.</w:t>
      </w:r>
      <w:r>
        <w:t xml:space="preserve"> </w:t>
      </w:r>
    </w:p>
    <w:p w:rsidR="001F12F1" w:rsidRDefault="0013705F">
      <w:pPr>
        <w:numPr>
          <w:ilvl w:val="0"/>
          <w:numId w:val="10"/>
        </w:numPr>
        <w:spacing w:line="393" w:lineRule="auto"/>
      </w:pPr>
      <w:r>
        <w:rPr>
          <w:b/>
        </w:rPr>
        <w:t xml:space="preserve">Рекомендуется </w:t>
      </w:r>
      <w:r>
        <w:t>пациентам с БНП типа А, В, А/В проведение рентгенографии кистей и, и на основании полученных результатов, рентгеноденситометрии поясничного отдела позвоночника для оценки костного в</w:t>
      </w:r>
      <w:r>
        <w:t xml:space="preserve">озраста выявления признаков снижения минеральной плотности костной ткани (BMD) [4, 34]. </w:t>
      </w:r>
    </w:p>
    <w:p w:rsidR="001F12F1" w:rsidRDefault="0013705F">
      <w:pPr>
        <w:spacing w:after="0" w:line="386" w:lineRule="auto"/>
        <w:ind w:left="-5"/>
      </w:pPr>
      <w:r>
        <w:rPr>
          <w:b/>
        </w:rPr>
        <w:t>Уровень убедительности рекомендации В (уровень достоверности доказательств – 3).</w:t>
      </w:r>
      <w:r>
        <w:t xml:space="preserve"> </w:t>
      </w:r>
      <w:r>
        <w:rPr>
          <w:b/>
        </w:rPr>
        <w:t>Комментарии:</w:t>
      </w:r>
      <w:r>
        <w:t xml:space="preserve"> </w:t>
      </w:r>
      <w:r>
        <w:rPr>
          <w:i/>
        </w:rPr>
        <w:t>двойное рентгеновское абсорбциометрическое сканирование для измерения мин</w:t>
      </w:r>
      <w:r>
        <w:rPr>
          <w:i/>
        </w:rPr>
        <w:t xml:space="preserve">ерального содержания костной ткани (BMC) и минеральной плотности костной ткани (BMD) демонстрирует, что у детей наблюдается значительное снижение </w:t>
      </w:r>
    </w:p>
    <w:p w:rsidR="001F12F1" w:rsidRDefault="0013705F">
      <w:pPr>
        <w:spacing w:after="35" w:line="386" w:lineRule="auto"/>
        <w:ind w:left="-5"/>
      </w:pPr>
      <w:r>
        <w:rPr>
          <w:i/>
        </w:rPr>
        <w:t>скорректированного среднего BMC и BMD в поясничном отделе позвоночника, тазобедренном суставе и шейке бедренн</w:t>
      </w:r>
      <w:r>
        <w:rPr>
          <w:i/>
        </w:rPr>
        <w:t>ой кости по сравнению с группой здоровых лиц соответствующего возраста. Кроме того, у взрослых с БНП типа B может быть остеопения или остеопороз в одном или нескольких местах в соответствии с классификацией BMD Всемирной организации здравоохранения [34]. Т</w:t>
      </w:r>
      <w:r>
        <w:rPr>
          <w:i/>
        </w:rPr>
        <w:t>аким образом, поражение скелета может быть признаком БНП. Пациенты с БНП типа B и А/В могут подвергаться повышенному риску развития клинических осложнений, связанных с остеопенией и остеопорозом. Дети с БНП также могут иметь низкие показатели Z-score плотн</w:t>
      </w:r>
      <w:r>
        <w:rPr>
          <w:i/>
        </w:rPr>
        <w:t>ости костной ткани. Патологические переломы были зарегистрированы у некоторых лиц с тяжелой формой заболевания. В этой серии исследований у 43% всех пациентов в анамнезе были один или более переломов скелета, некоторые из которых в анамнезе были патологиче</w:t>
      </w:r>
      <w:r>
        <w:rPr>
          <w:i/>
        </w:rPr>
        <w:t xml:space="preserve">скими. Эти данные свидетельствуют о том, что обследование скелета, включая денситометрию поясничного отдела позвоночника на основании костного возраста, с частотой проведения этого исследования, определяемой результатами и клиническим состоянием пациента, </w:t>
      </w:r>
      <w:r>
        <w:rPr>
          <w:i/>
        </w:rPr>
        <w:t xml:space="preserve">должно быть частью клинического обследования пациентов с БНП [4, 34]. </w:t>
      </w:r>
    </w:p>
    <w:p w:rsidR="001F12F1" w:rsidRDefault="0013705F">
      <w:pPr>
        <w:spacing w:line="392" w:lineRule="auto"/>
        <w:ind w:left="-5"/>
      </w:pPr>
      <w:r>
        <w:rPr>
          <w:b/>
        </w:rPr>
        <w:t>Рекомендуется</w:t>
      </w:r>
      <w:r>
        <w:t xml:space="preserve"> пациентам с БНП типа А, В, А/В проведение электрокардиографии (ЭКГ), эхокардиографии с целью контроля состояния сердца [4, 21, 37]. </w:t>
      </w:r>
    </w:p>
    <w:p w:rsidR="001F12F1" w:rsidRDefault="0013705F">
      <w:pPr>
        <w:spacing w:after="166" w:line="250" w:lineRule="auto"/>
        <w:ind w:left="-5"/>
      </w:pPr>
      <w:r>
        <w:rPr>
          <w:b/>
        </w:rPr>
        <w:t>Уровень убедительности рекомендации С (уровень достоверности доказательств– 4).</w:t>
      </w:r>
      <w:r>
        <w:t xml:space="preserve"> </w:t>
      </w:r>
    </w:p>
    <w:p w:rsidR="001F12F1" w:rsidRDefault="0013705F">
      <w:pPr>
        <w:pStyle w:val="Heading2"/>
        <w:ind w:left="-5"/>
      </w:pPr>
      <w:r>
        <w:t>2.5 Иные диагностические исследования</w:t>
      </w:r>
      <w:r>
        <w:rPr>
          <w:u w:val="none"/>
        </w:rPr>
        <w:t xml:space="preserve"> </w:t>
      </w:r>
      <w:r>
        <w:rPr>
          <w:b w:val="0"/>
          <w:u w:val="none"/>
        </w:rPr>
        <w:t xml:space="preserve"> </w:t>
      </w:r>
    </w:p>
    <w:p w:rsidR="001F12F1" w:rsidRDefault="0013705F">
      <w:pPr>
        <w:spacing w:line="384" w:lineRule="auto"/>
        <w:ind w:left="-5"/>
      </w:pP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rPr>
          <w:b/>
        </w:rPr>
        <w:t xml:space="preserve">Рекомендуется </w:t>
      </w:r>
      <w:r>
        <w:t>пациентам с клиническими проявлениями БНП типа А, В, А/В при постановке диагноза применять междисциплинарный подход в в</w:t>
      </w:r>
      <w:r>
        <w:t xml:space="preserve">иду того, что заболевание характеризуются поражением многих органов и систем, требует комплексной терапии, что диктует необходимость совместного ведения пациента специалистами разных профилей [4, 14, </w:t>
      </w:r>
    </w:p>
    <w:p w:rsidR="001F12F1" w:rsidRDefault="0013705F">
      <w:pPr>
        <w:spacing w:after="178"/>
        <w:ind w:left="-5"/>
      </w:pPr>
      <w:r>
        <w:t xml:space="preserve">16, 17, 20]. </w:t>
      </w:r>
    </w:p>
    <w:p w:rsidR="001F12F1" w:rsidRDefault="0013705F">
      <w:pPr>
        <w:spacing w:after="35" w:line="386" w:lineRule="auto"/>
        <w:ind w:left="-5"/>
      </w:pPr>
      <w:r>
        <w:rPr>
          <w:b/>
        </w:rPr>
        <w:t>Уровень убедительности рекомендаций С (ур</w:t>
      </w:r>
      <w:r>
        <w:rPr>
          <w:b/>
        </w:rPr>
        <w:t xml:space="preserve">овень достоверности доказательств — 5) Комментарии: </w:t>
      </w:r>
      <w:r>
        <w:rPr>
          <w:i/>
        </w:rPr>
        <w:t>пациентам с БНП типа А, В, А/В требуется прием (осмотр, консультация) врача-диетолога, врача-невролога, врача-офтальмолога, врача-травматолога-ортопеда, врача-кардиолога/ врача-детского кардиолога, врача-</w:t>
      </w:r>
      <w:r>
        <w:rPr>
          <w:i/>
        </w:rPr>
        <w:t>пульмонолога, врача-сурдологаоториноларинголога, врача-психиатра, врача-психиатра детского, врача-гастроэнтеролога, врача-гематолога/ врача детского онколога-гематолога, врача-педиатра/ врача-терапевта/ врача общей практики (семейного врача), врача-генетик</w:t>
      </w:r>
      <w:r>
        <w:rPr>
          <w:i/>
        </w:rPr>
        <w:t xml:space="preserve">а первичные и повторные, прием (тестирование, консультация) медицинского психолога первичный и повторный, а также врачей других специальностей, имеющих опыт ведения пациентов с болезнью Ниманна-Пика типа А, В, А/В, в зависимости от клинической ситуации. В </w:t>
      </w:r>
      <w:r>
        <w:rPr>
          <w:i/>
        </w:rPr>
        <w:t xml:space="preserve">жизнеугрожающих состояниях необходимо участие врача-анестезиолога-реаниматолога. </w:t>
      </w:r>
    </w:p>
    <w:p w:rsidR="001F12F1" w:rsidRDefault="0013705F">
      <w:pPr>
        <w:spacing w:after="102" w:line="250" w:lineRule="auto"/>
        <w:ind w:left="-5"/>
      </w:pPr>
      <w:r>
        <w:rPr>
          <w:b/>
        </w:rPr>
        <w:t xml:space="preserve">2.5.1 Дифференциальная диагностика. </w:t>
      </w:r>
    </w:p>
    <w:p w:rsidR="001F12F1" w:rsidRDefault="0013705F">
      <w:pPr>
        <w:spacing w:line="398" w:lineRule="auto"/>
        <w:ind w:left="-15" w:firstLine="708"/>
      </w:pPr>
      <w:r>
        <w:t>Гепатоспленомегалия является распространённым симптомом у пациентов с болезнью Ниманна-Пика типа А, В, А/В, причём поражение печени особе</w:t>
      </w:r>
      <w:r>
        <w:t xml:space="preserve">нно выражено при БНП типа В, приводя к фиброзу и циррозу. Повышение уровня печеночных трансаминаз на ранних стадиях болезни часто является поводом обращения пациентов к врачам-гастроэнтерологам. </w:t>
      </w:r>
    </w:p>
    <w:p w:rsidR="001F12F1" w:rsidRDefault="0013705F">
      <w:pPr>
        <w:spacing w:line="381" w:lineRule="auto"/>
        <w:ind w:left="-15" w:firstLine="708"/>
      </w:pPr>
      <w:r>
        <w:t>Дифференциальный диагноз может включать онкологические забол</w:t>
      </w:r>
      <w:r>
        <w:t>евания с учетом спленомегалии и цитопении, первичные заболевания печени, такие как жировая дистрофия печени, аутоиммунные заболевания, гепатит В и криптогенный цирроз, а также другие лизосомные болезни накопления, вызывающие значительную гепатоспленомегали</w:t>
      </w:r>
      <w:r>
        <w:t xml:space="preserve">ю, включая болезнь Гоше, дефицит лизосомной кислой липазы (ДЛКЛ) и БНП типа C, мукополисахаридозы. </w:t>
      </w:r>
    </w:p>
    <w:p w:rsidR="001F12F1" w:rsidRDefault="0013705F">
      <w:pPr>
        <w:spacing w:line="395" w:lineRule="auto"/>
        <w:ind w:left="-15" w:firstLine="708"/>
      </w:pPr>
      <w:r>
        <w:t xml:space="preserve"> Фокальные поражения печени и внезапное усиление спленомегалии могут указывать на инфекцию или развитие портальной гипертензии [17]. </w:t>
      </w:r>
    </w:p>
    <w:p w:rsidR="001F12F1" w:rsidRDefault="0013705F">
      <w:pPr>
        <w:spacing w:line="399" w:lineRule="auto"/>
        <w:ind w:left="-15" w:firstLine="708"/>
      </w:pPr>
      <w:r>
        <w:t>Смешанная дислипидемия</w:t>
      </w:r>
      <w:r>
        <w:t xml:space="preserve"> также часто наблюдается у пациентов с болезнью НиманнаПика типа А, В, А/В и может быть выявлена при лабораторных обследованиях. Липидный профиль обычно характеризуется повышенными уровнями холестерина, ЛПНП и ЛПОНП холестерина, триглицеридов и сниженным у</w:t>
      </w:r>
      <w:r>
        <w:t xml:space="preserve">ровнем ЛПВП холестерина [21-23]. Сходный липидный профиль может наблюдаться и при дефиците лизосомной кислой липазы (ДЛКЛ). </w:t>
      </w:r>
    </w:p>
    <w:p w:rsidR="001F12F1" w:rsidRDefault="0013705F">
      <w:pPr>
        <w:spacing w:line="385" w:lineRule="auto"/>
        <w:ind w:left="-5"/>
      </w:pPr>
      <w:r>
        <w:t>Хотя у некоторых пациентов с БНП типа А, В, А/В могут отсутствовать респираторные симптомы, большинство имеет нарушения функции дых</w:t>
      </w:r>
      <w:r>
        <w:t>ательной системы с признаками интерстициального заболевания легких [24]. У некоторых взрослых пациентов клинические проявления могут ограничиваться только поражением легких, расширяя дифференциально диагностический поиск в сторону инфекционных, аутоиммунны</w:t>
      </w:r>
      <w:r>
        <w:t>х заболеваний и хронических респираторных болезней, таких как муковисцидоз [25]. Заболевания легких при БНП типа А, В, А/В характеризуются комплексом прогрессирующих патофизиологических изменений, включая накопление липидов в макрофагах альвеолярных перего</w:t>
      </w:r>
      <w:r>
        <w:t xml:space="preserve">родок, стенок бронхов и плевры [26].  </w:t>
      </w:r>
    </w:p>
    <w:p w:rsidR="001F12F1" w:rsidRDefault="0013705F">
      <w:pPr>
        <w:spacing w:line="384" w:lineRule="auto"/>
        <w:ind w:left="-15" w:firstLine="708"/>
      </w:pPr>
      <w:r>
        <w:t>Дифференциальная диагностика при поражении легких и гепатоспленомегалии включает большой спектр заболеваний, таких как болезнь Гоше 2 и 3 типа, муковисцидоз, дефицит альфа1 антитрипсина, гистиоцитоз, саркоидоз, идиопа</w:t>
      </w:r>
      <w:r>
        <w:t xml:space="preserve">тический легочный фиброз, альвеолярный протеиноз, милиарный туберкулез легких и геморрагические васкулиты.  </w:t>
      </w:r>
    </w:p>
    <w:p w:rsidR="001F12F1" w:rsidRDefault="0013705F">
      <w:pPr>
        <w:spacing w:after="129" w:line="319" w:lineRule="auto"/>
        <w:ind w:left="-5"/>
      </w:pPr>
      <w:r>
        <w:rPr>
          <w:b/>
        </w:rPr>
        <w:t>2.5.2. Медико-генетическое консультирование и комплексное исследование для пренатальной диагностики нарушений развития ребенка (пренатальная диагно</w:t>
      </w:r>
      <w:r>
        <w:rPr>
          <w:b/>
        </w:rPr>
        <w:t xml:space="preserve">стика). </w:t>
      </w:r>
    </w:p>
    <w:p w:rsidR="001F12F1" w:rsidRDefault="0013705F">
      <w:pPr>
        <w:spacing w:line="392" w:lineRule="auto"/>
        <w:ind w:left="-5"/>
      </w:pP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rPr>
          <w:b/>
        </w:rPr>
        <w:t>Рекомендуется</w:t>
      </w:r>
      <w:r>
        <w:t xml:space="preserve"> семьям с подтвержденным диагнозом БНП типа А, В, А/В прием (осмотр, консультация) врача-генетика первичный и повторный с целью проведение медикогенетического консультирования [4, 11, 14]. </w:t>
      </w:r>
    </w:p>
    <w:p w:rsidR="001F12F1" w:rsidRDefault="0013705F">
      <w:pPr>
        <w:spacing w:after="166" w:line="250" w:lineRule="auto"/>
        <w:ind w:left="-5"/>
      </w:pPr>
      <w:r>
        <w:rPr>
          <w:b/>
        </w:rPr>
        <w:t>Уровень убедительности рекомендации C (</w:t>
      </w:r>
      <w:r>
        <w:rPr>
          <w:b/>
        </w:rPr>
        <w:t xml:space="preserve">уровень достоверности доказательств — 5)  </w:t>
      </w:r>
    </w:p>
    <w:p w:rsidR="001F12F1" w:rsidRDefault="0013705F">
      <w:pPr>
        <w:spacing w:after="11" w:line="386" w:lineRule="auto"/>
        <w:ind w:left="-5"/>
      </w:pPr>
      <w:r>
        <w:rPr>
          <w:b/>
        </w:rPr>
        <w:t>Комментарии:</w:t>
      </w:r>
      <w:r>
        <w:t xml:space="preserve"> </w:t>
      </w:r>
      <w:r>
        <w:rPr>
          <w:i/>
        </w:rPr>
        <w:t>если оба родителя являются гетерозиготными носителями патогенных вариантов в гене SMPD1, то,</w:t>
      </w:r>
      <w:r>
        <w:t xml:space="preserve"> </w:t>
      </w:r>
      <w:r>
        <w:rPr>
          <w:i/>
        </w:rPr>
        <w:t>как и при других аутосомно-рецессивных заболеваниях, для каждой беременности риск рождения ребенка с этим з</w:t>
      </w:r>
      <w:r>
        <w:rPr>
          <w:i/>
        </w:rPr>
        <w:t>аболеванием составляет 25%. В семьях, где есть ребенок с БНП типа А, В, А/В, существует возможность проведения пренатальной и преимплантационной диагностики (комплексное исследование для пренатальной диагностики нарушений развития ребенка (внутриутробно) и</w:t>
      </w:r>
      <w:r>
        <w:rPr>
          <w:i/>
        </w:rPr>
        <w:t xml:space="preserve"> неинвазивное пренатальное тестирование (определение внеклеточной ДНК плода по крови матери)).  </w:t>
      </w:r>
    </w:p>
    <w:p w:rsidR="001F12F1" w:rsidRDefault="0013705F">
      <w:pPr>
        <w:spacing w:after="8" w:line="386" w:lineRule="auto"/>
        <w:ind w:left="-5"/>
      </w:pPr>
      <w:r>
        <w:rPr>
          <w:i/>
        </w:rPr>
        <w:t xml:space="preserve">Предпочтительно проведение исследования путем анализа ДНК, выделенной из биоптата ворсин хориона, на 9-11-й неделе беременности.  </w:t>
      </w:r>
    </w:p>
    <w:p w:rsidR="001F12F1" w:rsidRDefault="0013705F">
      <w:pPr>
        <w:spacing w:after="3" w:line="389" w:lineRule="auto"/>
        <w:ind w:left="-5"/>
      </w:pPr>
      <w:r>
        <w:rPr>
          <w:b/>
          <w:sz w:val="28"/>
        </w:rPr>
        <w:t>3. Лечение, включая медикаме</w:t>
      </w:r>
      <w:r>
        <w:rPr>
          <w:b/>
          <w:sz w:val="28"/>
        </w:rPr>
        <w:t xml:space="preserve">нтозную и немедикаментозную терапии, диетотерапию, обезболивание, медицинские показания и противопоказания к применению методов лечения </w:t>
      </w:r>
    </w:p>
    <w:p w:rsidR="001F12F1" w:rsidRDefault="0013705F">
      <w:pPr>
        <w:pStyle w:val="Heading2"/>
        <w:tabs>
          <w:tab w:val="center" w:pos="2061"/>
        </w:tabs>
        <w:ind w:left="-15" w:firstLine="0"/>
        <w:jc w:val="left"/>
      </w:pPr>
      <w:r>
        <w:rPr>
          <w:u w:val="none"/>
        </w:rPr>
        <w:t>3.1</w:t>
      </w:r>
      <w:r>
        <w:rPr>
          <w:rFonts w:ascii="Arial" w:eastAsia="Arial" w:hAnsi="Arial" w:cs="Arial"/>
          <w:u w:val="none"/>
        </w:rPr>
        <w:t xml:space="preserve"> </w:t>
      </w:r>
      <w:r>
        <w:rPr>
          <w:rFonts w:ascii="Arial" w:eastAsia="Arial" w:hAnsi="Arial" w:cs="Arial"/>
          <w:u w:val="none"/>
        </w:rPr>
        <w:tab/>
      </w:r>
      <w:r>
        <w:t>Консервативное лечение</w:t>
      </w:r>
      <w:r>
        <w:rPr>
          <w:u w:val="none"/>
        </w:rPr>
        <w:t xml:space="preserve"> </w:t>
      </w:r>
    </w:p>
    <w:p w:rsidR="001F12F1" w:rsidRDefault="0013705F">
      <w:pPr>
        <w:spacing w:line="396" w:lineRule="auto"/>
        <w:ind w:left="-5"/>
      </w:pPr>
      <w:r>
        <w:rPr>
          <w:b/>
        </w:rPr>
        <w:t xml:space="preserve">• Рекомендуется </w:t>
      </w:r>
      <w:r>
        <w:t xml:space="preserve">назначение ферментной заместительной терапии препаратом A16AB25 </w:t>
      </w:r>
      <w:r>
        <w:t>Олипудаза альфа пожизненно пациентам с подтвержденным диагнозом дефицита кислой сфингомиелиназы типа А/В или В (болезни Ниманна-Пика типа А/В или В), у которых имеются клинически значимые проявления заболевания, не относящиеся к центральной нервной системе</w:t>
      </w:r>
      <w:r>
        <w:t xml:space="preserve">, с целью патогенетического лечения (режим дозирования см. таб. 1, 2) [27, 28, 30]. </w:t>
      </w:r>
    </w:p>
    <w:p w:rsidR="001F12F1" w:rsidRDefault="0013705F">
      <w:pPr>
        <w:spacing w:after="0" w:line="386" w:lineRule="auto"/>
        <w:ind w:left="-5"/>
      </w:pPr>
      <w:r>
        <w:rPr>
          <w:b/>
        </w:rPr>
        <w:t>Уровень убедительности рекомендации B (уровень достоверности доказательств — 2) Комментарии:</w:t>
      </w:r>
      <w:r>
        <w:t xml:space="preserve"> </w:t>
      </w:r>
      <w:r>
        <w:rPr>
          <w:i/>
        </w:rPr>
        <w:t>Препарат предназначен для внутривенного введения, которое проводится 1 раз в 2</w:t>
      </w:r>
      <w:r>
        <w:rPr>
          <w:i/>
        </w:rPr>
        <w:t xml:space="preserve"> недели. Инфузии препарата следует проводить поэтапно, предпочтительно с помощью инфузионного насоса [31]. Олипудаза альфа представляет собой рекомбинантную кислую сфингомиелиназу человека, которая снижает накопление сфингомиелина в органах пациентов c нед</w:t>
      </w:r>
      <w:r>
        <w:rPr>
          <w:i/>
        </w:rPr>
        <w:t xml:space="preserve">остаточным количеством или нарушением функции фермента </w:t>
      </w:r>
      <w:r>
        <w:t>—</w:t>
      </w:r>
      <w:r>
        <w:rPr>
          <w:b/>
        </w:rPr>
        <w:t xml:space="preserve"> </w:t>
      </w:r>
      <w:r>
        <w:rPr>
          <w:i/>
        </w:rPr>
        <w:t>кислой сфингомиелиназы, и тем самым уменьшения накопления сфингомиелина в клетках и облегчая симптомы заболевания. На текущий момент это первая и единственная патогенетическая терапия [32]. Зарегистр</w:t>
      </w:r>
      <w:r>
        <w:rPr>
          <w:i/>
        </w:rPr>
        <w:t>ированное показание олипудазы альфа в Российской Федерации: применение в качестве ферментозаместительной терапии для длительного лечения проявлений, не относящихся к центральной нервной системе, дефицита кислой сфингомиелиназы типа А/В или В (болезни Ниман</w:t>
      </w:r>
      <w:r>
        <w:rPr>
          <w:i/>
        </w:rPr>
        <w:t xml:space="preserve">на-Пика типа А/В или В) у детей и взрослых </w:t>
      </w:r>
    </w:p>
    <w:p w:rsidR="001F12F1" w:rsidRDefault="0013705F">
      <w:pPr>
        <w:spacing w:after="162" w:line="259" w:lineRule="auto"/>
        <w:ind w:left="-5"/>
      </w:pPr>
      <w:r>
        <w:rPr>
          <w:i/>
        </w:rPr>
        <w:t xml:space="preserve">[30]. </w:t>
      </w:r>
      <w:r>
        <w:t xml:space="preserve"> </w:t>
      </w:r>
    </w:p>
    <w:p w:rsidR="001F12F1" w:rsidRDefault="0013705F">
      <w:pPr>
        <w:spacing w:after="35" w:line="386" w:lineRule="auto"/>
        <w:ind w:left="-5"/>
      </w:pPr>
      <w:r>
        <w:rPr>
          <w:i/>
        </w:rPr>
        <w:t xml:space="preserve"> Применение ферментной заместительной терапии препаратом A16AB25 Олипудаза альфа при БНП типе А не показано, так как препарат не оказывает влияния на неврологическую симптоматику в связи с невозможностью </w:t>
      </w:r>
      <w:r>
        <w:rPr>
          <w:i/>
        </w:rPr>
        <w:t>проникновения препарата через гематоэнцефалический барьер. Поскольку олипудаза альфа не предотвращает и не оказывает эффекта на симптомы со стороны ЦНС, важно, чтобы семьи пациентов с неврологической формой были проинформированы о рисках, преимуществах, ог</w:t>
      </w:r>
      <w:r>
        <w:rPr>
          <w:i/>
        </w:rPr>
        <w:t xml:space="preserve">раничениях и отсутствии эффекта терапии на ЦНС. В некоторых странах существуют   показания, позволяющие применять олипудазу альфа у всех пациентов с дефицитом кислой сфингомиелиназы, включая детей с инфантильной нейровисцеральной формой (типом А).  </w:t>
      </w:r>
    </w:p>
    <w:p w:rsidR="001F12F1" w:rsidRDefault="0013705F">
      <w:pPr>
        <w:spacing w:after="35" w:line="386" w:lineRule="auto"/>
        <w:ind w:left="-5"/>
      </w:pPr>
      <w:r>
        <w:rPr>
          <w:i/>
        </w:rPr>
        <w:t xml:space="preserve"> Быстр</w:t>
      </w:r>
      <w:r>
        <w:rPr>
          <w:i/>
        </w:rPr>
        <w:t>ый метаболизм накопленного сфингомиелина под действием олипудазы альфа приводит к образованию провоспалительных продуктов распада, которые могут вызывать реакции, связанные с инфузией, и (или) кратковременное повышение уровня «печеночных» трансминаз (АЛАТ,</w:t>
      </w:r>
      <w:r>
        <w:rPr>
          <w:i/>
        </w:rPr>
        <w:t xml:space="preserve"> АСАТ). Режим повышения дозы может минимизировать большинство этих нежелательных явлений. Доза препарата рассчитывается исходя из фактической массы тела у пациентов с индексом массы тела (ИМТ) ≤30 или оптимальной массы тела для пациентов с ИМТ&gt; 30.  </w:t>
      </w:r>
    </w:p>
    <w:p w:rsidR="001F12F1" w:rsidRDefault="0013705F">
      <w:pPr>
        <w:spacing w:after="35" w:line="386" w:lineRule="auto"/>
        <w:ind w:left="-5"/>
      </w:pPr>
      <w:r>
        <w:rPr>
          <w:i/>
        </w:rPr>
        <w:t xml:space="preserve"> Нача</w:t>
      </w:r>
      <w:r>
        <w:rPr>
          <w:i/>
        </w:rPr>
        <w:t>льная доза олипудазы альфа составляет 0,1 мг/кг для взрослых пациентов, а затем дозу следует увеличить в соответствии с режимом повышения дозы, указанным ниже</w:t>
      </w:r>
      <w:r>
        <w:t xml:space="preserve"> </w:t>
      </w:r>
      <w:r>
        <w:rPr>
          <w:i/>
        </w:rPr>
        <w:t xml:space="preserve">в таблице 1. Поддерживающая доза олипудазы альфа у взрослых составляет 3 мг/кг каждые 2 недели. </w:t>
      </w:r>
    </w:p>
    <w:p w:rsidR="001F12F1" w:rsidRDefault="0013705F">
      <w:pPr>
        <w:pStyle w:val="Heading2"/>
        <w:tabs>
          <w:tab w:val="center" w:pos="4147"/>
        </w:tabs>
        <w:spacing w:after="110" w:line="259" w:lineRule="auto"/>
        <w:ind w:left="-15" w:firstLine="0"/>
        <w:jc w:val="left"/>
      </w:pPr>
      <w:r>
        <w:rPr>
          <w:b w:val="0"/>
          <w:i/>
          <w:u w:val="none"/>
        </w:rPr>
        <w:t xml:space="preserve"> </w:t>
      </w:r>
      <w:r>
        <w:rPr>
          <w:b w:val="0"/>
          <w:i/>
          <w:u w:val="none"/>
        </w:rPr>
        <w:tab/>
      </w:r>
      <w:r>
        <w:rPr>
          <w:i/>
          <w:u w:val="none"/>
        </w:rPr>
        <w:t xml:space="preserve">Таблица 1. Режим повышения дозы олипудазы альфа у взрослых </w:t>
      </w:r>
    </w:p>
    <w:p w:rsidR="001F12F1" w:rsidRDefault="0013705F">
      <w:pPr>
        <w:spacing w:after="105" w:line="259" w:lineRule="auto"/>
        <w:ind w:left="-1" w:right="1140" w:firstLine="0"/>
        <w:jc w:val="right"/>
      </w:pPr>
      <w:r>
        <w:rPr>
          <w:noProof/>
        </w:rPr>
        <w:drawing>
          <wp:inline distT="0" distB="0" distL="0" distR="0">
            <wp:extent cx="5469382" cy="1840230"/>
            <wp:effectExtent l="0" t="0" r="0" b="0"/>
            <wp:docPr id="3461" name="Picture 34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1" name="Picture 346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69382" cy="1840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 xml:space="preserve"> </w:t>
      </w:r>
    </w:p>
    <w:p w:rsidR="001F12F1" w:rsidRDefault="0013705F">
      <w:pPr>
        <w:spacing w:after="35" w:line="386" w:lineRule="auto"/>
        <w:ind w:left="-5"/>
      </w:pPr>
      <w:r>
        <w:rPr>
          <w:i/>
        </w:rPr>
        <w:t xml:space="preserve"> Начальная доза олипудазы альфа составляет 0,03 мг/кг для </w:t>
      </w:r>
      <w:r>
        <w:rPr>
          <w:b/>
          <w:i/>
        </w:rPr>
        <w:t>пациентов</w:t>
      </w:r>
      <w:r>
        <w:rPr>
          <w:i/>
        </w:rPr>
        <w:t xml:space="preserve"> </w:t>
      </w:r>
      <w:r>
        <w:rPr>
          <w:b/>
          <w:i/>
        </w:rPr>
        <w:t>детского</w:t>
      </w:r>
      <w:r>
        <w:rPr>
          <w:i/>
        </w:rPr>
        <w:t xml:space="preserve"> </w:t>
      </w:r>
      <w:r>
        <w:rPr>
          <w:b/>
          <w:i/>
        </w:rPr>
        <w:t>возраста</w:t>
      </w:r>
      <w:r>
        <w:rPr>
          <w:i/>
        </w:rPr>
        <w:t xml:space="preserve">, а затем дозу следует увеличить в соответствии с режимом повышения дозы, представленным в таблице 2. Поддерживающая доза олипудазы альфа у детей составляет 3 мг/кг каждые 2 недели. </w:t>
      </w:r>
    </w:p>
    <w:p w:rsidR="001F12F1" w:rsidRDefault="0013705F">
      <w:pPr>
        <w:pStyle w:val="Heading2"/>
        <w:tabs>
          <w:tab w:val="center" w:pos="3996"/>
        </w:tabs>
        <w:spacing w:after="110" w:line="259" w:lineRule="auto"/>
        <w:ind w:left="-15" w:firstLine="0"/>
        <w:jc w:val="left"/>
      </w:pPr>
      <w:r>
        <w:rPr>
          <w:b w:val="0"/>
          <w:i/>
          <w:u w:val="none"/>
        </w:rPr>
        <w:t xml:space="preserve"> </w:t>
      </w:r>
      <w:r>
        <w:rPr>
          <w:b w:val="0"/>
          <w:i/>
          <w:u w:val="none"/>
        </w:rPr>
        <w:tab/>
      </w:r>
      <w:r>
        <w:rPr>
          <w:i/>
          <w:u w:val="none"/>
        </w:rPr>
        <w:t>Таблица 2. Режим повышения дозы олипудазы альфа у детей</w:t>
      </w:r>
      <w:r>
        <w:rPr>
          <w:b w:val="0"/>
          <w:i/>
          <w:u w:val="none"/>
        </w:rPr>
        <w:t xml:space="preserve"> </w:t>
      </w:r>
    </w:p>
    <w:p w:rsidR="001F12F1" w:rsidRDefault="0013705F">
      <w:pPr>
        <w:spacing w:after="124" w:line="259" w:lineRule="auto"/>
        <w:ind w:left="-1" w:right="1140" w:firstLine="0"/>
        <w:jc w:val="right"/>
      </w:pPr>
      <w:r>
        <w:rPr>
          <w:noProof/>
        </w:rPr>
        <w:drawing>
          <wp:inline distT="0" distB="0" distL="0" distR="0">
            <wp:extent cx="5469001" cy="1990090"/>
            <wp:effectExtent l="0" t="0" r="0" b="0"/>
            <wp:docPr id="3463" name="Picture 34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3" name="Picture 3463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69001" cy="1990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 xml:space="preserve"> </w:t>
      </w:r>
    </w:p>
    <w:p w:rsidR="001F12F1" w:rsidRDefault="0013705F">
      <w:pPr>
        <w:spacing w:line="399" w:lineRule="auto"/>
        <w:ind w:left="-5"/>
      </w:pP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rPr>
          <w:i/>
        </w:rPr>
        <w:t xml:space="preserve"> </w:t>
      </w:r>
      <w:r>
        <w:rPr>
          <w:i/>
        </w:rPr>
        <w:tab/>
      </w:r>
      <w:r>
        <w:rPr>
          <w:b/>
        </w:rPr>
        <w:t>Не рек</w:t>
      </w:r>
      <w:r>
        <w:rPr>
          <w:b/>
        </w:rPr>
        <w:t>омендуется</w:t>
      </w:r>
      <w:r>
        <w:t xml:space="preserve"> проведение спленэктомии пациентам с БНП типа А, В, А/В с целью профилактики осложнений со стороны печени [4].  </w:t>
      </w:r>
    </w:p>
    <w:p w:rsidR="001F12F1" w:rsidRDefault="0013705F">
      <w:pPr>
        <w:spacing w:after="0" w:line="386" w:lineRule="auto"/>
        <w:ind w:left="-5"/>
      </w:pPr>
      <w:r>
        <w:rPr>
          <w:b/>
        </w:rPr>
        <w:t>Уровень убедительности рекомендации C (уровень достоверности доказательств – 5) Комментарии:</w:t>
      </w:r>
      <w:r>
        <w:t xml:space="preserve"> </w:t>
      </w:r>
      <w:r>
        <w:rPr>
          <w:i/>
        </w:rPr>
        <w:t>проведение спленэктомии нецелесообразно,</w:t>
      </w:r>
      <w:r>
        <w:rPr>
          <w:i/>
        </w:rPr>
        <w:t xml:space="preserve"> так как это может привести к прогрессированию заболевания печени и увеличению накопления сфингомиелина в легких, вызывая прогрессирующую дыхательную недостаточность.</w:t>
      </w:r>
      <w:r>
        <w:t xml:space="preserve"> </w:t>
      </w:r>
      <w:r>
        <w:rPr>
          <w:i/>
        </w:rPr>
        <w:t>Если спленэктомия необходима из-</w:t>
      </w:r>
      <w:r>
        <w:rPr>
          <w:i/>
        </w:rPr>
        <w:t>за массивной спленомегалии, симптомов давления и тяжелого неустойчивого гиперспленизма, то частичная спленэктомия или частичная эмболизация селезеночной артерии являются вариантами. Если частичная или полная спленэктомия должна быть выполнена в соответстви</w:t>
      </w:r>
      <w:r>
        <w:rPr>
          <w:i/>
        </w:rPr>
        <w:t>и с хирургическими показаниями, следует использовать стандартную послеоперационную профилактику антибиотиками и предварительную вакцинацию [4].</w:t>
      </w:r>
      <w:r>
        <w:t xml:space="preserve"> </w:t>
      </w:r>
    </w:p>
    <w:p w:rsidR="001F12F1" w:rsidRDefault="0013705F">
      <w:pPr>
        <w:spacing w:after="127" w:line="386" w:lineRule="auto"/>
        <w:ind w:left="-5"/>
      </w:pPr>
      <w:r>
        <w:rPr>
          <w:i/>
        </w:rPr>
        <w:t>Запущенные случаи хронического заболевания печени (ХЗП) с молниеносной печеночной недостаточностью были зарегис</w:t>
      </w:r>
      <w:r>
        <w:rPr>
          <w:i/>
        </w:rPr>
        <w:t>трированы у нескольких взрослых пациентов с БНП [4, 35, 36]. Скорость прогрессирования заболевания печени крайне изменчива [35, 36, 37]. Печеночная недостаточность является одной из основных причин смертности у пациентов с БНП [36]. Пациенты с циррозом дол</w:t>
      </w:r>
      <w:r>
        <w:rPr>
          <w:i/>
        </w:rPr>
        <w:t>жны наблюдаться врачами-гастроэнтерологами. Результаты трансплантации печени были зарегистрированы у нескольких лиц с БНП типа B, у которых наблюдалась прогрессирующая дисфункция печени. Помимо улучшения функции печени и дислипидемии, наблюдались значитель</w:t>
      </w:r>
      <w:r>
        <w:rPr>
          <w:i/>
        </w:rPr>
        <w:t>ные улучшения в заболевании легких и параметрах роста у детей [4, 36, 37].</w:t>
      </w:r>
      <w:r>
        <w:t xml:space="preserve"> </w:t>
      </w:r>
    </w:p>
    <w:p w:rsidR="001F12F1" w:rsidRDefault="0013705F">
      <w:pPr>
        <w:spacing w:line="396" w:lineRule="auto"/>
        <w:ind w:left="-5"/>
      </w:pPr>
      <w:r>
        <w:t>У пациентов также может наблюдаться нарушение сна, повышенная раздражительность, хронический болевой синдром, усталость, поведенческие проблемы и психические расстройства, такие ка</w:t>
      </w:r>
      <w:r>
        <w:t xml:space="preserve">к тревога и депрессия [4]. План лечения состояний рассматриваются соответствующими специалистами. </w:t>
      </w:r>
    </w:p>
    <w:p w:rsidR="001F12F1" w:rsidRDefault="0013705F">
      <w:pPr>
        <w:pStyle w:val="Heading3"/>
      </w:pPr>
      <w:r>
        <w:rPr>
          <w:u w:val="none"/>
        </w:rPr>
        <w:t>3.2</w:t>
      </w:r>
      <w:r>
        <w:rPr>
          <w:rFonts w:ascii="Arial" w:eastAsia="Arial" w:hAnsi="Arial" w:cs="Arial"/>
          <w:u w:val="none"/>
        </w:rPr>
        <w:t xml:space="preserve"> </w:t>
      </w:r>
      <w:r>
        <w:t>Диетотерапия</w:t>
      </w:r>
      <w:r>
        <w:rPr>
          <w:u w:val="none"/>
        </w:rPr>
        <w:t xml:space="preserve"> </w:t>
      </w:r>
    </w:p>
    <w:p w:rsidR="001F12F1" w:rsidRDefault="0013705F">
      <w:pPr>
        <w:spacing w:after="183" w:line="384" w:lineRule="auto"/>
        <w:ind w:left="268" w:hanging="283"/>
      </w:pP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rPr>
          <w:b/>
        </w:rPr>
        <w:t xml:space="preserve">Рекомендуется </w:t>
      </w:r>
      <w:r>
        <w:t>консультация врача-диетолога/врача-гастроэнтеролога первичная и повторная пациентам с диагнозом дефицит кислой сфингомиелин</w:t>
      </w:r>
      <w:r>
        <w:t xml:space="preserve">азы типа А/В или В (болезни Ниманна-Пика типа А/В или В) с целью оценки состояния пациента, сбалансированности питания и его коррекции при необходимости [4]. </w:t>
      </w:r>
    </w:p>
    <w:p w:rsidR="001F12F1" w:rsidRDefault="0013705F">
      <w:pPr>
        <w:spacing w:after="6" w:line="395" w:lineRule="auto"/>
        <w:ind w:left="0" w:firstLine="0"/>
        <w:jc w:val="left"/>
      </w:pPr>
      <w:r>
        <w:rPr>
          <w:b/>
        </w:rPr>
        <w:t>Уровень убедительности рекомендации С (уровень достоверности доказательств — 5) Комментарии</w:t>
      </w:r>
      <w:r>
        <w:t xml:space="preserve">: </w:t>
      </w:r>
      <w:r>
        <w:rPr>
          <w:i/>
        </w:rPr>
        <w:t>паци</w:t>
      </w:r>
      <w:r>
        <w:rPr>
          <w:i/>
        </w:rPr>
        <w:t xml:space="preserve">енты могут терять вес из-за дисфагии или побочных эффектов терапии; при необходимости- установка гастростомической трубки. </w:t>
      </w:r>
    </w:p>
    <w:p w:rsidR="001F12F1" w:rsidRDefault="0013705F">
      <w:pPr>
        <w:pStyle w:val="Heading3"/>
      </w:pPr>
      <w:r>
        <w:rPr>
          <w:u w:val="none"/>
        </w:rPr>
        <w:t>3.3</w:t>
      </w:r>
      <w:r>
        <w:rPr>
          <w:rFonts w:ascii="Arial" w:eastAsia="Arial" w:hAnsi="Arial" w:cs="Arial"/>
          <w:u w:val="none"/>
        </w:rPr>
        <w:t xml:space="preserve"> </w:t>
      </w:r>
      <w:r>
        <w:t xml:space="preserve"> Обезболивание</w:t>
      </w:r>
      <w:r>
        <w:rPr>
          <w:u w:val="none"/>
        </w:rPr>
        <w:t xml:space="preserve"> </w:t>
      </w:r>
    </w:p>
    <w:p w:rsidR="001F12F1" w:rsidRDefault="0013705F">
      <w:pPr>
        <w:spacing w:after="382"/>
        <w:ind w:left="-5"/>
      </w:pPr>
      <w:r>
        <w:t xml:space="preserve">Специальные методы обезболивания не применяются. </w:t>
      </w:r>
    </w:p>
    <w:p w:rsidR="001F12F1" w:rsidRDefault="0013705F">
      <w:pPr>
        <w:spacing w:after="3" w:line="288" w:lineRule="auto"/>
        <w:ind w:left="-5"/>
      </w:pPr>
      <w:r>
        <w:rPr>
          <w:b/>
          <w:sz w:val="28"/>
        </w:rPr>
        <w:t>4. Медицинская реабилитация и санаторно-</w:t>
      </w:r>
      <w:r>
        <w:rPr>
          <w:b/>
          <w:sz w:val="28"/>
        </w:rPr>
        <w:t xml:space="preserve">курортное лечение, медицинские показания и противопоказания к применению методов медицинской реабилитации, в том числе основанных на использовании природных лечебных факторов </w:t>
      </w:r>
    </w:p>
    <w:p w:rsidR="001F12F1" w:rsidRDefault="0013705F">
      <w:pPr>
        <w:numPr>
          <w:ilvl w:val="0"/>
          <w:numId w:val="11"/>
        </w:numPr>
        <w:spacing w:line="368" w:lineRule="auto"/>
        <w:ind w:hanging="427"/>
      </w:pPr>
      <w:r>
        <w:rPr>
          <w:b/>
        </w:rPr>
        <w:t>Рекомендовано</w:t>
      </w:r>
      <w:r>
        <w:t xml:space="preserve"> пациентам и членам их семей с установленным диагнозом БНП</w:t>
      </w:r>
      <w:r>
        <w:rPr>
          <w:sz w:val="23"/>
        </w:rPr>
        <w:t xml:space="preserve"> типа А, </w:t>
      </w:r>
      <w:r>
        <w:rPr>
          <w:sz w:val="23"/>
        </w:rPr>
        <w:t xml:space="preserve">В, А/В </w:t>
      </w:r>
      <w:r>
        <w:t xml:space="preserve">прием (тестирование, консультация) медицинского психолога первичный и повторный (при необходимости) с целью оценки психологического состояния, и, при необходимости, его коррекции [4]. </w:t>
      </w:r>
    </w:p>
    <w:p w:rsidR="001F12F1" w:rsidRDefault="0013705F">
      <w:pPr>
        <w:spacing w:after="166" w:line="250" w:lineRule="auto"/>
        <w:ind w:left="-5"/>
      </w:pPr>
      <w:r>
        <w:rPr>
          <w:b/>
        </w:rPr>
        <w:t>Уровень убедительности рекомендации C (уровень достоверности док</w:t>
      </w:r>
      <w:r>
        <w:rPr>
          <w:b/>
        </w:rPr>
        <w:t xml:space="preserve">азательств – 5) </w:t>
      </w:r>
    </w:p>
    <w:p w:rsidR="001F12F1" w:rsidRDefault="0013705F">
      <w:pPr>
        <w:spacing w:after="35" w:line="386" w:lineRule="auto"/>
        <w:ind w:left="-5"/>
      </w:pPr>
      <w:r>
        <w:rPr>
          <w:b/>
        </w:rPr>
        <w:t>Комментарии:</w:t>
      </w:r>
      <w:r>
        <w:t xml:space="preserve"> </w:t>
      </w:r>
      <w:r>
        <w:rPr>
          <w:i/>
        </w:rPr>
        <w:t>наличие боли, слабости, висцеральных особенностей, задержка роста и полового развития, может негативно отразиться на самооценке пациента, что может потребовать психологической помощи. Необходимо помочь пациенту и его семье «пр</w:t>
      </w:r>
      <w:r>
        <w:rPr>
          <w:i/>
        </w:rPr>
        <w:t xml:space="preserve">инять» диагноз, адаптировать его к жизни для максимальной реализации его способности к обучению и самостоятельной жизни в дальнейшем. </w:t>
      </w:r>
    </w:p>
    <w:p w:rsidR="001F12F1" w:rsidRDefault="0013705F">
      <w:pPr>
        <w:numPr>
          <w:ilvl w:val="0"/>
          <w:numId w:val="11"/>
        </w:numPr>
        <w:spacing w:line="388" w:lineRule="auto"/>
        <w:ind w:hanging="427"/>
      </w:pPr>
      <w:r>
        <w:rPr>
          <w:b/>
        </w:rPr>
        <w:t>Рекомендовано</w:t>
      </w:r>
      <w:r>
        <w:t xml:space="preserve"> пациентам с установленным диагнозом БНП типа А, В, А/В прием (осмотр, консультация) врача-физиотерапевта/ в</w:t>
      </w:r>
      <w:r>
        <w:t>рача физической и реабилитационной медицины первичный и повторный (при необходимости) для оценки потребностей пациента с трудностями в общении и физическими ограничениями, а также разработке необходимых вспомогательных средств и приспособлений для обустрой</w:t>
      </w:r>
      <w:r>
        <w:t xml:space="preserve">ства дома [4].  </w:t>
      </w:r>
    </w:p>
    <w:p w:rsidR="001F12F1" w:rsidRDefault="0013705F">
      <w:pPr>
        <w:spacing w:after="35" w:line="386" w:lineRule="auto"/>
        <w:ind w:left="-5"/>
      </w:pPr>
      <w:r>
        <w:rPr>
          <w:b/>
        </w:rPr>
        <w:t>Уровень убедительности рекомендации C (уровень достоверности доказательств – 5) Комментарии</w:t>
      </w:r>
      <w:r>
        <w:rPr>
          <w:i/>
        </w:rPr>
        <w:t>: кроме того, регулярные консультации врача физической и реабилитационной медицины направлены на оценку функционального статуса (уровня нарушения фу</w:t>
      </w:r>
      <w:r>
        <w:rPr>
          <w:i/>
        </w:rPr>
        <w:t xml:space="preserve">нкций), которая позволяет оценить тяжесть и скорость прогрессирования заболевания </w:t>
      </w:r>
    </w:p>
    <w:p w:rsidR="001F12F1" w:rsidRDefault="0013705F">
      <w:pPr>
        <w:numPr>
          <w:ilvl w:val="0"/>
          <w:numId w:val="11"/>
        </w:numPr>
        <w:spacing w:line="396" w:lineRule="auto"/>
        <w:ind w:hanging="427"/>
      </w:pPr>
      <w:r>
        <w:rPr>
          <w:b/>
        </w:rPr>
        <w:t>Рекомендовано</w:t>
      </w:r>
      <w:r>
        <w:t xml:space="preserve"> пациентам с установленным диагнозом БНП</w:t>
      </w:r>
      <w:r>
        <w:rPr>
          <w:sz w:val="23"/>
        </w:rPr>
        <w:t xml:space="preserve"> типа А, В, А/В </w:t>
      </w:r>
      <w:r>
        <w:t>консультация медицинского логопеда (медико-логопедическое исследование при дисфагии, медико-логопедическ</w:t>
      </w:r>
      <w:r>
        <w:t xml:space="preserve">ая процедура при дисфагии) с целью оценки наличия дисфагии и риска аспирации, логопедической терапии [4]. </w:t>
      </w:r>
    </w:p>
    <w:p w:rsidR="001F12F1" w:rsidRDefault="0013705F">
      <w:pPr>
        <w:spacing w:after="35" w:line="386" w:lineRule="auto"/>
        <w:ind w:left="-5"/>
      </w:pPr>
      <w:r>
        <w:rPr>
          <w:b/>
        </w:rPr>
        <w:t xml:space="preserve">Уровень убедительности рекомендации C (уровень достоверности доказательств – 5) Комментарии: </w:t>
      </w:r>
      <w:r>
        <w:rPr>
          <w:i/>
        </w:rPr>
        <w:t>пациенты должны пройти комплексное обследование глотания</w:t>
      </w:r>
      <w:r>
        <w:rPr>
          <w:i/>
        </w:rPr>
        <w:t xml:space="preserve"> у медицинского логопеда (медико-логопедическое исследование при дисфагии). Обучение изменению рациона питания и компенсаторным позам может быть полезным для лиц с дисфагией. Семью следует проинформировать о прогрессирующем ухудшении навыков глотания и пов</w:t>
      </w:r>
      <w:r>
        <w:rPr>
          <w:i/>
        </w:rPr>
        <w:t>ышенном риске аспирации в рамках текущего ухода. Для увеличения калорийности рациона и возможного снижения риска аспирации можно рассмотреть возможность назогастрального зондового питания или хирургической установки зонда</w:t>
      </w:r>
      <w:r>
        <w:rPr>
          <w:b/>
        </w:rPr>
        <w:t xml:space="preserve"> </w:t>
      </w:r>
    </w:p>
    <w:p w:rsidR="001F12F1" w:rsidRDefault="0013705F">
      <w:pPr>
        <w:numPr>
          <w:ilvl w:val="0"/>
          <w:numId w:val="11"/>
        </w:numPr>
        <w:spacing w:line="389" w:lineRule="auto"/>
        <w:ind w:hanging="427"/>
      </w:pPr>
      <w:r>
        <w:rPr>
          <w:b/>
        </w:rPr>
        <w:t xml:space="preserve">Рекомендовано </w:t>
      </w:r>
      <w:r>
        <w:t>пациентам с установ</w:t>
      </w:r>
      <w:r>
        <w:t>ленным диагнозом БНП типа А, В, А/В в связи с поражением легочной системы, рисками аспирации и инфекционных заболеваний применение (обучить родителей) дыхательной гимнастики (лечебная физкультура при заболеваниях бронхолегочной системы, дыхательные упражне</w:t>
      </w:r>
      <w:r>
        <w:t xml:space="preserve">ния дренирующие, лечебная физкультура с использованием аппаратов и тренажеров при заболеваниях бронхолегочной системы), направленной на улучшение вентиляции и стимуляцию дренажной функции бронхо-легочной системы [4]. </w:t>
      </w:r>
    </w:p>
    <w:p w:rsidR="001F12F1" w:rsidRDefault="0013705F">
      <w:pPr>
        <w:pStyle w:val="Heading2"/>
        <w:spacing w:after="41" w:line="259" w:lineRule="auto"/>
        <w:ind w:left="186"/>
        <w:jc w:val="center"/>
      </w:pPr>
      <w:r>
        <w:rPr>
          <w:u w:val="none"/>
        </w:rPr>
        <w:t xml:space="preserve">Уровень убедительности рекомендации C </w:t>
      </w:r>
      <w:r>
        <w:rPr>
          <w:u w:val="none"/>
        </w:rPr>
        <w:t>(уровень достоверности доказательств – 5)</w:t>
      </w:r>
      <w:r>
        <w:rPr>
          <w:b w:val="0"/>
          <w:u w:val="none"/>
        </w:rPr>
        <w:t xml:space="preserve"> </w:t>
      </w:r>
    </w:p>
    <w:p w:rsidR="001F12F1" w:rsidRDefault="0013705F">
      <w:pPr>
        <w:spacing w:line="388" w:lineRule="auto"/>
        <w:ind w:left="-15" w:firstLine="358"/>
      </w:pP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rPr>
          <w:b/>
        </w:rPr>
        <w:t>Рекомендовано</w:t>
      </w:r>
      <w:r>
        <w:t xml:space="preserve"> пациентам с установленным диагнозом БНП типа В применение аэробных физических упражнений (</w:t>
      </w:r>
      <w:r>
        <w:t>лечебная физкультура при заболеваниях сердца и перикарда, лечебная физкультура при заболеваниях бронхолегочной системы) с контролем дозы физической нагрузки по показателям ЧСС, АД, сатурации (SpO</w:t>
      </w:r>
      <w:r>
        <w:rPr>
          <w:sz w:val="16"/>
        </w:rPr>
        <w:t>2</w:t>
      </w:r>
      <w:r>
        <w:t xml:space="preserve">) с целью повышения / профилактики снижения толерантности к </w:t>
      </w:r>
      <w:r>
        <w:t xml:space="preserve">физическим нагрузкам [4]. </w:t>
      </w:r>
    </w:p>
    <w:p w:rsidR="001F12F1" w:rsidRDefault="0013705F">
      <w:pPr>
        <w:pStyle w:val="Heading2"/>
        <w:spacing w:after="0" w:line="259" w:lineRule="auto"/>
        <w:ind w:left="186" w:right="5"/>
        <w:jc w:val="center"/>
      </w:pPr>
      <w:r>
        <w:rPr>
          <w:u w:val="none"/>
        </w:rPr>
        <w:t>Уровень убедительности рекомендации C (уровень достоверности доказательств – 5)</w:t>
      </w:r>
      <w:r>
        <w:rPr>
          <w:b w:val="0"/>
          <w:u w:val="none"/>
        </w:rPr>
        <w:t xml:space="preserve"> </w:t>
      </w:r>
    </w:p>
    <w:p w:rsidR="001F12F1" w:rsidRDefault="0013705F">
      <w:pPr>
        <w:spacing w:after="314" w:line="259" w:lineRule="auto"/>
        <w:ind w:left="720" w:firstLine="0"/>
        <w:jc w:val="left"/>
      </w:pPr>
      <w:r>
        <w:t xml:space="preserve"> </w:t>
      </w:r>
    </w:p>
    <w:p w:rsidR="001F12F1" w:rsidRDefault="0013705F">
      <w:pPr>
        <w:numPr>
          <w:ilvl w:val="0"/>
          <w:numId w:val="12"/>
        </w:numPr>
        <w:spacing w:after="3" w:line="319" w:lineRule="auto"/>
      </w:pPr>
      <w:r>
        <w:rPr>
          <w:b/>
          <w:sz w:val="28"/>
        </w:rPr>
        <w:t xml:space="preserve">Профилактика и диспансерное наблюдение, медицинские показания и противопоказания к применению методов профилактики </w:t>
      </w:r>
    </w:p>
    <w:p w:rsidR="001F12F1" w:rsidRDefault="0013705F">
      <w:pPr>
        <w:spacing w:after="21" w:line="259" w:lineRule="auto"/>
        <w:ind w:left="0" w:firstLine="0"/>
        <w:jc w:val="left"/>
      </w:pPr>
      <w:r>
        <w:rPr>
          <w:b/>
        </w:rPr>
        <w:t xml:space="preserve"> </w:t>
      </w:r>
    </w:p>
    <w:p w:rsidR="001F12F1" w:rsidRDefault="0013705F">
      <w:pPr>
        <w:spacing w:after="166" w:line="250" w:lineRule="auto"/>
        <w:ind w:left="-5"/>
      </w:pPr>
      <w:r>
        <w:rPr>
          <w:b/>
        </w:rPr>
        <w:t xml:space="preserve">5.1 </w:t>
      </w:r>
      <w:r>
        <w:rPr>
          <w:b/>
        </w:rPr>
        <w:t xml:space="preserve">Селективный скрининг групп-риска </w:t>
      </w:r>
    </w:p>
    <w:p w:rsidR="001F12F1" w:rsidRDefault="0013705F">
      <w:pPr>
        <w:spacing w:after="35" w:line="386" w:lineRule="auto"/>
        <w:ind w:left="-5"/>
      </w:pP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rPr>
          <w:b/>
        </w:rPr>
        <w:t>Рекомендуется</w:t>
      </w:r>
      <w:r>
        <w:t xml:space="preserve"> проведение селективного скрининга групп-риска пациентов с признаками характерными для </w:t>
      </w:r>
      <w:r>
        <w:rPr>
          <w:sz w:val="23"/>
        </w:rPr>
        <w:t xml:space="preserve">БНП типа А, В, А/В </w:t>
      </w:r>
      <w:r>
        <w:t xml:space="preserve">с целью ранней диагностики заболеваний [4]. </w:t>
      </w:r>
      <w:r>
        <w:rPr>
          <w:b/>
        </w:rPr>
        <w:t>Уровень убедительности рекомендации C (уровень достоверно</w:t>
      </w:r>
      <w:r>
        <w:rPr>
          <w:b/>
        </w:rPr>
        <w:t>сти доказательств – 5) Комментарии</w:t>
      </w:r>
      <w:r>
        <w:t xml:space="preserve">: </w:t>
      </w:r>
      <w:r>
        <w:rPr>
          <w:i/>
        </w:rPr>
        <w:t>скрининговое обследование проводится с применением лабораторных методов тестирования — определение активности кислой сфингомиелиназы и/или определение концентрации лизосфингомиелина (LysoSM) в пятнах высушенной крови. Гр</w:t>
      </w:r>
      <w:r>
        <w:rPr>
          <w:i/>
        </w:rPr>
        <w:t xml:space="preserve">уппы риска для прведения скрининга включают пациентов со следующими симптомами: гепатоспленомегалия, гиперхолестеринемия, тромбоцитопения, интерстициальная болезнь легких. </w:t>
      </w:r>
    </w:p>
    <w:p w:rsidR="001F12F1" w:rsidRDefault="0013705F">
      <w:pPr>
        <w:spacing w:after="41" w:line="367" w:lineRule="auto"/>
        <w:ind w:left="-5"/>
      </w:pPr>
      <w:r>
        <w:rPr>
          <w:b/>
        </w:rPr>
        <w:t xml:space="preserve">5.2 Мониторинг состояния пациентов с болезнью Ниманна-Пика типа А, B, A/B </w:t>
      </w: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t>Рекомен</w:t>
      </w:r>
      <w:r>
        <w:t xml:space="preserve">дуется диспансерный прием (осмотр, консультация) врача-педиатра/ врачатерапевта/ врача общей практики (семейного врача)пациентам с БНП типа А, В, А/В ежегодно с целью мониторинга состояния [4]. </w:t>
      </w:r>
    </w:p>
    <w:p w:rsidR="001F12F1" w:rsidRDefault="0013705F">
      <w:pPr>
        <w:spacing w:after="166" w:line="250" w:lineRule="auto"/>
        <w:ind w:left="-5"/>
      </w:pPr>
      <w:r>
        <w:rPr>
          <w:b/>
        </w:rPr>
        <w:t xml:space="preserve">Уровень убедительности рекомендации C (уровень достоверности </w:t>
      </w:r>
      <w:r>
        <w:rPr>
          <w:b/>
        </w:rPr>
        <w:t>доказательств – 5)</w:t>
      </w:r>
      <w:r>
        <w:rPr>
          <w:i/>
        </w:rPr>
        <w:t xml:space="preserve"> </w:t>
      </w:r>
    </w:p>
    <w:p w:rsidR="001F12F1" w:rsidRDefault="0013705F">
      <w:pPr>
        <w:spacing w:after="10" w:line="386" w:lineRule="auto"/>
        <w:ind w:left="-15" w:firstLine="852"/>
      </w:pPr>
      <w:r>
        <w:rPr>
          <w:b/>
        </w:rPr>
        <w:t>Комментарии</w:t>
      </w:r>
      <w:r>
        <w:t xml:space="preserve">: </w:t>
      </w:r>
      <w:r>
        <w:rPr>
          <w:i/>
        </w:rPr>
        <w:t>Пациентов с БНП типа А, В, А/В необходимо наблюдать по месту жительства в амбулаторно-поликлинических условиях: требуется диспансерный прием (осмотр, консультация) врача-педиатра/ врача-терапевта/ врача общей практики (семе</w:t>
      </w:r>
      <w:r>
        <w:rPr>
          <w:i/>
        </w:rPr>
        <w:t>йного врача), врача-гастроэнтеролога, врача-гематолога, врача-детского онколога, врача-генетика, врача-невролога (при наличии неврологических проявлений), врача-травматолога-ортопеда (при наличии костных нарушений), врача-офтальмолога, врача сурдолога-отор</w:t>
      </w:r>
      <w:r>
        <w:rPr>
          <w:i/>
        </w:rPr>
        <w:t xml:space="preserve">иноларинголога, врача по лечебной физкультуре первичный и повторный, в среднем, ежегодно. </w:t>
      </w:r>
    </w:p>
    <w:p w:rsidR="001F12F1" w:rsidRDefault="0013705F">
      <w:pPr>
        <w:spacing w:after="161" w:line="259" w:lineRule="auto"/>
        <w:ind w:left="0" w:right="6" w:firstLine="0"/>
        <w:jc w:val="right"/>
      </w:pPr>
      <w:r>
        <w:rPr>
          <w:i/>
        </w:rPr>
        <w:t xml:space="preserve">Контроль показателей крови необходимо проводить 1 раз в 3 мес., размеров </w:t>
      </w:r>
    </w:p>
    <w:p w:rsidR="001F12F1" w:rsidRDefault="0013705F">
      <w:pPr>
        <w:spacing w:after="0" w:line="386" w:lineRule="auto"/>
        <w:ind w:left="-5"/>
      </w:pPr>
      <w:r>
        <w:rPr>
          <w:i/>
        </w:rPr>
        <w:t>паренхиматозных органов — 1 раз в 6 мес. в начале ФЗТ, в дальнейшем — 1 раз в 12 мес. При з</w:t>
      </w:r>
      <w:r>
        <w:rPr>
          <w:i/>
        </w:rPr>
        <w:t>начительных клинических осложнениях, связанных с циррозом печени и портальной гипертензией необходим контроль анализов крови 1 раз в 1-3 месяца и инструментальное обследование 1 раз в 3-6 месяцев по показаниям. Определение состояния костной ткани осуществл</w:t>
      </w:r>
      <w:r>
        <w:rPr>
          <w:i/>
        </w:rPr>
        <w:t xml:space="preserve">яют 1 раз в 6-12 месяцев с учетом исходных данных пациента.  </w:t>
      </w:r>
    </w:p>
    <w:p w:rsidR="001F12F1" w:rsidRDefault="0013705F">
      <w:pPr>
        <w:spacing w:after="0" w:line="386" w:lineRule="auto"/>
        <w:ind w:left="-15" w:firstLine="852"/>
      </w:pPr>
      <w:r>
        <w:rPr>
          <w:i/>
        </w:rPr>
        <w:t xml:space="preserve">ВФЗТ необходимо проводить регулярно и при наличии показаний в случае осложненного течения болезни — в условиях круглосуточного стационара, при стабильном состоянии — </w:t>
      </w:r>
      <w:r>
        <w:rPr>
          <w:i/>
        </w:rPr>
        <w:t>в стационаре дневного пребывания (или амбулаторно в рамках поддерживающей терапии) 1 раз в 2 недели. Все пациенты должны проходить контрольное обследование с целью оценки результатов ФЗТ в круглосуточном или дневном стационаре 2 раза в год в начале терапии</w:t>
      </w:r>
      <w:r>
        <w:rPr>
          <w:i/>
        </w:rPr>
        <w:t xml:space="preserve">; в дальнейшем обследование проводится 1 раз в год. </w:t>
      </w:r>
    </w:p>
    <w:p w:rsidR="001F12F1" w:rsidRDefault="0013705F">
      <w:pPr>
        <w:spacing w:after="0" w:line="386" w:lineRule="auto"/>
        <w:ind w:left="-15" w:firstLine="852"/>
      </w:pPr>
      <w:r>
        <w:rPr>
          <w:i/>
        </w:rPr>
        <w:t>Значения активности «печеночных» трансаминаз (АЛАТ, АСАТ) должны быть получены до начала лечения и контролироваться на всех этапах повышения дозы олипудазы альфа. Если активность «печеночных» трансаминаз</w:t>
      </w:r>
      <w:r>
        <w:rPr>
          <w:i/>
        </w:rPr>
        <w:t xml:space="preserve"> до инфузии превышает исходное значение и превышает верхнюю границу нормы (ВГН) более чем в 2 раза, дозу препарата олипудазы можно скорректировать (повторить или уменьшить предыдущую дозу в соответствии с режимом повышения дозы) или лечение может быть врем</w:t>
      </w:r>
      <w:r>
        <w:rPr>
          <w:i/>
        </w:rPr>
        <w:t xml:space="preserve">енно прекращено в соответствии со степенью повышения активности «печеночных» трансаминаз. Если пациенту требуется корректировка дозы или прерывание лечения, при возобновлении лечения необходимо следовать режиму повышения дозы, описанному выше для взрослых </w:t>
      </w:r>
      <w:r>
        <w:rPr>
          <w:i/>
        </w:rPr>
        <w:t xml:space="preserve">и детей соответственно, а также рекомендациям на случай пропуска доз [4, 30]. </w:t>
      </w:r>
    </w:p>
    <w:p w:rsidR="001F12F1" w:rsidRDefault="0013705F">
      <w:pPr>
        <w:spacing w:after="35" w:line="386" w:lineRule="auto"/>
        <w:ind w:left="-15" w:firstLine="708"/>
      </w:pPr>
      <w:r>
        <w:rPr>
          <w:i/>
        </w:rPr>
        <w:t>Эффективность лечения олипудазой альфа следует контролировать с помощью измерения роста и массы тела (у детей), объема печени и селезенки, функции легких, гематологических показ</w:t>
      </w:r>
      <w:r>
        <w:rPr>
          <w:i/>
        </w:rPr>
        <w:t xml:space="preserve">ателей, липидного профиля и других биомаркеров заболевания. Данные следует собирать для дальнейшего использования и разработки рекомендаций по лечению [4]. </w:t>
      </w: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rPr>
          <w:b/>
        </w:rPr>
        <w:t>Рекомендуется</w:t>
      </w:r>
      <w:r>
        <w:t xml:space="preserve"> всем пациентам с БНП типа А, В, А/В определение концентрации лизосфингомиелина (Lyso</w:t>
      </w:r>
      <w:r>
        <w:t>-SM) в крови до начала лечения и для мониторинга терапии и/или прогрессирования заболевания [4].</w:t>
      </w:r>
      <w:r>
        <w:rPr>
          <w:i/>
        </w:rPr>
        <w:t xml:space="preserve"> </w:t>
      </w:r>
    </w:p>
    <w:p w:rsidR="001F12F1" w:rsidRDefault="0013705F">
      <w:pPr>
        <w:spacing w:after="166" w:line="250" w:lineRule="auto"/>
        <w:ind w:left="-5"/>
      </w:pPr>
      <w:r>
        <w:rPr>
          <w:b/>
        </w:rPr>
        <w:t xml:space="preserve">Уровень убедительности рекомендации С (уровень достоверности доказательств — 5) </w:t>
      </w:r>
    </w:p>
    <w:p w:rsidR="001F12F1" w:rsidRDefault="0013705F">
      <w:pPr>
        <w:spacing w:line="368" w:lineRule="auto"/>
        <w:ind w:left="-5"/>
      </w:pP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rPr>
          <w:b/>
        </w:rPr>
        <w:t xml:space="preserve">Рекомендуется </w:t>
      </w:r>
      <w:r>
        <w:t xml:space="preserve">всем пациентам с подтвержденным диагнозом БНП типа А, В, А/В </w:t>
      </w:r>
      <w:r>
        <w:t>проведение общего (клинического) анализа крови развернутого (исследование уровня общего гемоглобина, эритроцитов, лейкоцитов, тромбоцитов в крови, дифференцированный подсчет лейкоцитов (лейкоцитарная формула), определение среднего содержания (MCH) и средне</w:t>
      </w:r>
      <w:r>
        <w:t>й концентрации гемоглобина в эритроцитах (MCHC), исследование скорости оседания эритроцитов) для оценки основных параметров кроветворения c целью своевременного выявления анемии, тромбоцитопении, лейкопении, наличия воспалительных процессов и контроля тера</w:t>
      </w:r>
      <w:r>
        <w:t xml:space="preserve">певтического эффекта [4, 17, 20]. </w:t>
      </w:r>
    </w:p>
    <w:p w:rsidR="001F12F1" w:rsidRDefault="0013705F">
      <w:pPr>
        <w:spacing w:after="166" w:line="250" w:lineRule="auto"/>
        <w:ind w:left="-5"/>
      </w:pPr>
      <w:r>
        <w:rPr>
          <w:b/>
        </w:rPr>
        <w:t xml:space="preserve">Уровень убедительности рекомендации C (уровень достоверности доказательств — 5) </w:t>
      </w:r>
    </w:p>
    <w:p w:rsidR="001F12F1" w:rsidRDefault="0013705F">
      <w:pPr>
        <w:spacing w:after="26" w:line="380" w:lineRule="auto"/>
        <w:ind w:left="-5"/>
      </w:pPr>
      <w:r>
        <w:rPr>
          <w:b/>
        </w:rPr>
        <w:t xml:space="preserve">Комментарии: </w:t>
      </w:r>
      <w:r>
        <w:rPr>
          <w:i/>
        </w:rPr>
        <w:t>исследования проводят не реже, чем 1 раз в 3 месяца или чаще по показаниям.</w:t>
      </w:r>
      <w:r>
        <w:rPr>
          <w:b/>
        </w:rPr>
        <w:t xml:space="preserve"> </w:t>
      </w: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rPr>
          <w:b/>
        </w:rPr>
        <w:t>Рекомендуется</w:t>
      </w:r>
      <w:r>
        <w:t xml:space="preserve"> всем пациентам </w:t>
      </w:r>
      <w:r>
        <w:t>с подтвержденным диагнозом БНП типа А, В, А/В проведение анализа крови биохимического общетерапевтического (определение активности аланинаминотрансферазы, аспартатаминотрансферазы, и щелочной фосфатазы в крови, определение уровня общего билирубина, альбуми</w:t>
      </w:r>
      <w:r>
        <w:t>на в крови, холестерина, холестерина липопротеинов низкой плотности, холестерина липопротеинов высокой плотности, триглицеридов в крови), а также исследование уровня 25-OH витамина Д в крови с целью выявления соответствующих нарушений и своевременной корре</w:t>
      </w:r>
      <w:r>
        <w:t xml:space="preserve">кции [4, 17, 20]. </w:t>
      </w:r>
    </w:p>
    <w:p w:rsidR="001F12F1" w:rsidRDefault="0013705F">
      <w:pPr>
        <w:spacing w:after="166" w:line="250" w:lineRule="auto"/>
        <w:ind w:left="-5"/>
      </w:pPr>
      <w:r>
        <w:rPr>
          <w:b/>
        </w:rPr>
        <w:t xml:space="preserve">Уровень убедительности рекомендации В (уровень достоверности доказательств — 3) </w:t>
      </w:r>
    </w:p>
    <w:p w:rsidR="001F12F1" w:rsidRDefault="0013705F">
      <w:pPr>
        <w:spacing w:after="35" w:line="386" w:lineRule="auto"/>
        <w:ind w:left="-5"/>
      </w:pPr>
      <w:r>
        <w:rPr>
          <w:b/>
        </w:rPr>
        <w:t>Комментарии:</w:t>
      </w:r>
      <w:r>
        <w:t xml:space="preserve"> </w:t>
      </w:r>
      <w:r>
        <w:rPr>
          <w:i/>
        </w:rPr>
        <w:t>исследование проводят не реже, чем 1 раз в 3 месяца или чаще по показаниям.</w:t>
      </w:r>
      <w:r>
        <w:t xml:space="preserve"> </w:t>
      </w:r>
      <w:r>
        <w:rPr>
          <w:i/>
        </w:rPr>
        <w:t>активность «печеночных» ферментов (аланинаминотрансферазы, аспартат</w:t>
      </w:r>
      <w:r>
        <w:rPr>
          <w:i/>
        </w:rPr>
        <w:t>аминотрансферазы и щелочной фосфатазы) может быть повышена у пациентов с болезнью Ниманна-Пика типа А, В, А/В (дефицитом кислой сфингомиелиназы). Аномальный (атерогенный) липидный профиль часто встречается у пациентов с БНП типа А, В, А/В , наиболее частым</w:t>
      </w:r>
      <w:r>
        <w:rPr>
          <w:i/>
        </w:rPr>
        <w:t xml:space="preserve">и отклонениями являются повышение содержания триглицеридов,и общего холестерина, а также снижение уровня холестерина ЛПВП. </w:t>
      </w:r>
    </w:p>
    <w:p w:rsidR="001F12F1" w:rsidRDefault="0013705F">
      <w:pPr>
        <w:numPr>
          <w:ilvl w:val="0"/>
          <w:numId w:val="13"/>
        </w:numPr>
        <w:spacing w:line="387" w:lineRule="auto"/>
      </w:pPr>
      <w:r>
        <w:rPr>
          <w:b/>
        </w:rPr>
        <w:t xml:space="preserve">Рекомендуется </w:t>
      </w:r>
      <w:r>
        <w:t>всем пациентам с клиническими проявлениями БНП типа А, В, А/В и признаками цирроза печени c печеночной недостаточность</w:t>
      </w:r>
      <w:r>
        <w:t>ю исследование показателей коагулограммы (ориентировочное исследование системы гемостаза): активированное частичное тромбопластиновое время, определение протромбинового (тромбопластинового) времени в крови или в плазме, тромбинового времени в крови, опреде</w:t>
      </w:r>
      <w:r>
        <w:t>ление международного нормализованного отношения (MHO),</w:t>
      </w:r>
      <w:r>
        <w:rPr>
          <w:rFonts w:ascii="Arial" w:eastAsia="Arial" w:hAnsi="Arial" w:cs="Arial"/>
          <w:color w:val="444444"/>
        </w:rPr>
        <w:t xml:space="preserve"> </w:t>
      </w:r>
      <w:r>
        <w:t>активности антитромбина III в крови, исследование уровня фибриногена, определение концентрации Д-димера в крови) и исследование уровня аммиака в крови для ранней профилактики признаков печеночной энцеф</w:t>
      </w:r>
      <w:r>
        <w:t xml:space="preserve">алопатии и оценки функции печени [4].  </w:t>
      </w:r>
    </w:p>
    <w:p w:rsidR="001F12F1" w:rsidRDefault="0013705F">
      <w:pPr>
        <w:spacing w:after="166" w:line="250" w:lineRule="auto"/>
        <w:ind w:left="-5"/>
      </w:pPr>
      <w:r>
        <w:rPr>
          <w:b/>
        </w:rPr>
        <w:t xml:space="preserve">Уровень убедительности рекомендации С (уровень достоверности доказательств — 5) </w:t>
      </w:r>
    </w:p>
    <w:p w:rsidR="001F12F1" w:rsidRDefault="0013705F">
      <w:pPr>
        <w:spacing w:after="35" w:line="386" w:lineRule="auto"/>
        <w:ind w:left="-5"/>
      </w:pPr>
      <w:r>
        <w:rPr>
          <w:b/>
        </w:rPr>
        <w:t>Комментарии:</w:t>
      </w:r>
      <w:r>
        <w:rPr>
          <w:i/>
        </w:rPr>
        <w:t xml:space="preserve"> исследование проводят не реже, чем 1 раз в 3 месяца или чаще, по показаниям. Для контроля эффективности ферментной замести</w:t>
      </w:r>
      <w:r>
        <w:rPr>
          <w:i/>
        </w:rPr>
        <w:t xml:space="preserve">тельной терапии (ФЗТ) частота проведения: 1 раз в 6 месяцев при начале терапии, далее — в среднем 1 раз в год [4]. </w:t>
      </w:r>
    </w:p>
    <w:p w:rsidR="001F12F1" w:rsidRDefault="0013705F">
      <w:pPr>
        <w:numPr>
          <w:ilvl w:val="0"/>
          <w:numId w:val="13"/>
        </w:numPr>
        <w:spacing w:line="377" w:lineRule="auto"/>
      </w:pPr>
      <w:r>
        <w:rPr>
          <w:b/>
        </w:rPr>
        <w:t>Рекомендуется</w:t>
      </w:r>
      <w:r>
        <w:t xml:space="preserve"> всем пациентам с подтвержденным диагнозом БНП типа А, В, А/В проведение магнитно-резонансная томография органов брюшной полост</w:t>
      </w:r>
      <w:r>
        <w:t xml:space="preserve">и и/или ультразвуковое исследование органов брюшной полости (комплексное) с целью определения размера/объема органов и выявления их очаговых поражений, а также с целью контроля состояния внутренних органов и оценки эффективности терапии [4, 14, 17]. </w:t>
      </w:r>
    </w:p>
    <w:p w:rsidR="001F12F1" w:rsidRDefault="0013705F">
      <w:pPr>
        <w:spacing w:after="35" w:line="386" w:lineRule="auto"/>
        <w:ind w:left="-5"/>
      </w:pPr>
      <w:r>
        <w:rPr>
          <w:b/>
        </w:rPr>
        <w:t>Урове</w:t>
      </w:r>
      <w:r>
        <w:rPr>
          <w:b/>
        </w:rPr>
        <w:t>нь убедительности рекомендации C (уровень достоверности доказательств – 5) Комментарии:</w:t>
      </w:r>
      <w:r>
        <w:rPr>
          <w:i/>
        </w:rPr>
        <w:t xml:space="preserve"> частота, в среднем, 1 раз в 6 месяцев при начале терапии, далее — в среднем 1 раз в год.   Исследование необходимо для определения размеров печени и селезенки, определе</w:t>
      </w:r>
      <w:r>
        <w:rPr>
          <w:i/>
        </w:rPr>
        <w:t>ния диаметра воротной и селезеночной вен, наличия стеатоза, фиброза или цирроза печени, кальцификатов надпочечников, а также оценки течения заболевания и последующего контроля эффективности ферментной заместительной терапии.</w:t>
      </w:r>
      <w:r>
        <w:t xml:space="preserve"> </w:t>
      </w:r>
      <w:r>
        <w:rPr>
          <w:i/>
        </w:rPr>
        <w:t>Для контроля эффективности ферм</w:t>
      </w:r>
      <w:r>
        <w:rPr>
          <w:i/>
        </w:rPr>
        <w:t xml:space="preserve">ентной заместительной терапии (ФЗТ) частота проведения: 1 раз в 6 месяцев при начале терапии, далее — в среднем 1 раз в год. </w:t>
      </w:r>
    </w:p>
    <w:p w:rsidR="001F12F1" w:rsidRDefault="0013705F">
      <w:pPr>
        <w:numPr>
          <w:ilvl w:val="0"/>
          <w:numId w:val="13"/>
        </w:numPr>
        <w:spacing w:after="0" w:line="389" w:lineRule="auto"/>
      </w:pPr>
      <w:r>
        <w:rPr>
          <w:b/>
        </w:rPr>
        <w:t>Рекомендуется</w:t>
      </w:r>
      <w:r>
        <w:t xml:space="preserve"> пациентам с подтвержденным диагнозом БНП типа А, В, А/В проведение рентгенографии легких или компьютерной томографии</w:t>
      </w:r>
      <w:r>
        <w:t xml:space="preserve"> органов грудной полости с целью контроля состояния лёгких и своевременного выявления осложнений [4].</w:t>
      </w:r>
      <w:r>
        <w:rPr>
          <w:i/>
        </w:rPr>
        <w:t xml:space="preserve"> </w:t>
      </w:r>
    </w:p>
    <w:p w:rsidR="001F12F1" w:rsidRDefault="0013705F">
      <w:pPr>
        <w:spacing w:after="35" w:line="386" w:lineRule="auto"/>
        <w:ind w:left="-5"/>
      </w:pPr>
      <w:r>
        <w:rPr>
          <w:b/>
        </w:rPr>
        <w:t xml:space="preserve">Уровень убедительности рекомендации C (уровень достоверности доказательств — 5) Комментарии: </w:t>
      </w:r>
      <w:r>
        <w:rPr>
          <w:i/>
        </w:rPr>
        <w:t>при наличии поражения лёгких исследования проводятся в динам</w:t>
      </w:r>
      <w:r>
        <w:rPr>
          <w:i/>
        </w:rPr>
        <w:t>ике, частота определяется индивидуально</w:t>
      </w:r>
      <w:r>
        <w:t>.</w:t>
      </w:r>
      <w:r>
        <w:rPr>
          <w:i/>
        </w:rPr>
        <w:t xml:space="preserve"> </w:t>
      </w:r>
    </w:p>
    <w:p w:rsidR="001F12F1" w:rsidRDefault="0013705F">
      <w:pPr>
        <w:numPr>
          <w:ilvl w:val="0"/>
          <w:numId w:val="13"/>
        </w:numPr>
        <w:spacing w:after="30" w:line="377" w:lineRule="auto"/>
      </w:pPr>
      <w:r>
        <w:rPr>
          <w:b/>
        </w:rPr>
        <w:t>Рекомендуется</w:t>
      </w:r>
      <w:r>
        <w:t xml:space="preserve"> пациентам с подтвержденным диагнозом БНП типа А, В, А/В исследование функции внешнего дыхания (исследование неспровоцированных дыхательных объемов и потоков) для оценки функции легких [4]. </w:t>
      </w:r>
    </w:p>
    <w:p w:rsidR="001F12F1" w:rsidRDefault="0013705F">
      <w:pPr>
        <w:spacing w:after="35" w:line="386" w:lineRule="auto"/>
        <w:ind w:left="-5"/>
      </w:pPr>
      <w:r>
        <w:rPr>
          <w:b/>
        </w:rPr>
        <w:t xml:space="preserve">Уровень убедительности рекомендации C (уровень достоверности доказательств — 5) Комментарии: </w:t>
      </w:r>
      <w:r>
        <w:rPr>
          <w:i/>
        </w:rPr>
        <w:t>при наличии поражения лёгких исследования проводятся в динамике, частота определяется индивидуально</w:t>
      </w:r>
      <w:r>
        <w:t>.</w:t>
      </w:r>
      <w:r>
        <w:rPr>
          <w:b/>
        </w:rPr>
        <w:t xml:space="preserve"> </w:t>
      </w:r>
    </w:p>
    <w:p w:rsidR="001F12F1" w:rsidRDefault="0013705F">
      <w:pPr>
        <w:numPr>
          <w:ilvl w:val="0"/>
          <w:numId w:val="13"/>
        </w:numPr>
        <w:spacing w:after="33" w:line="375" w:lineRule="auto"/>
      </w:pPr>
      <w:r>
        <w:rPr>
          <w:b/>
        </w:rPr>
        <w:t>Рекомендуется</w:t>
      </w:r>
      <w:r>
        <w:t xml:space="preserve"> пациентам с подтвержденным диагнозом БНП типа А</w:t>
      </w:r>
      <w:r>
        <w:t xml:space="preserve">, В, А/В при наличии признаков портальной гипертензии, проведение эзофагогастродуоденоскопии с целью оценки состояния вен пищевода и желудка [40-44]. </w:t>
      </w:r>
    </w:p>
    <w:p w:rsidR="001F12F1" w:rsidRDefault="0013705F">
      <w:pPr>
        <w:spacing w:after="35" w:line="386" w:lineRule="auto"/>
        <w:ind w:left="-5"/>
      </w:pPr>
      <w:r>
        <w:rPr>
          <w:b/>
        </w:rPr>
        <w:t>Уровень убедительности рекомендации С (уровень достоверности доказательств– 5).</w:t>
      </w:r>
      <w:r>
        <w:t xml:space="preserve"> </w:t>
      </w:r>
      <w:r>
        <w:rPr>
          <w:b/>
        </w:rPr>
        <w:t>Комментарии:</w:t>
      </w:r>
      <w:r>
        <w:t xml:space="preserve"> </w:t>
      </w:r>
      <w:r>
        <w:rPr>
          <w:i/>
        </w:rPr>
        <w:t>исследование</w:t>
      </w:r>
      <w:r>
        <w:rPr>
          <w:i/>
        </w:rPr>
        <w:t xml:space="preserve"> проводят у пациентов с фиброзом печени, признаками портальной гипертензии для оценки степени варикозного расширения вен пищевода и угрозы кровотечения.</w:t>
      </w:r>
      <w:r>
        <w:t xml:space="preserve"> </w:t>
      </w:r>
    </w:p>
    <w:p w:rsidR="001F12F1" w:rsidRDefault="0013705F">
      <w:pPr>
        <w:numPr>
          <w:ilvl w:val="0"/>
          <w:numId w:val="13"/>
        </w:numPr>
        <w:spacing w:line="394" w:lineRule="auto"/>
      </w:pPr>
      <w:r>
        <w:rPr>
          <w:b/>
        </w:rPr>
        <w:t>Рекомендуется</w:t>
      </w:r>
      <w:r>
        <w:t xml:space="preserve"> пациентам с подтвержденным диагнозом БНП типа А, В, А/В при наличии признаков фиброза пе</w:t>
      </w:r>
      <w:r>
        <w:t xml:space="preserve">чени, проведение эластометрии печени с целью контроля состояния печени [4]. </w:t>
      </w:r>
    </w:p>
    <w:p w:rsidR="001F12F1" w:rsidRDefault="0013705F">
      <w:pPr>
        <w:spacing w:after="35" w:line="386" w:lineRule="auto"/>
        <w:ind w:left="-5"/>
      </w:pPr>
      <w:r>
        <w:rPr>
          <w:b/>
        </w:rPr>
        <w:t>Уровень убедительности рекомендации С (уровень достоверности доказательств– 5).</w:t>
      </w:r>
      <w:r>
        <w:t xml:space="preserve"> </w:t>
      </w:r>
      <w:r>
        <w:rPr>
          <w:b/>
        </w:rPr>
        <w:t xml:space="preserve">Комментарии: </w:t>
      </w:r>
      <w:r>
        <w:rPr>
          <w:i/>
        </w:rPr>
        <w:t>эластометрия печени является неинвазивной ультразвуковой методикой определения плотнос</w:t>
      </w:r>
      <w:r>
        <w:rPr>
          <w:i/>
        </w:rPr>
        <w:t xml:space="preserve">ти паренхимы печени. Изменение плотности органа — достоверный индикатор изменений состояния паренхимы печени и прогрессирования фиброза. </w:t>
      </w:r>
    </w:p>
    <w:p w:rsidR="001F12F1" w:rsidRDefault="0013705F">
      <w:pPr>
        <w:numPr>
          <w:ilvl w:val="0"/>
          <w:numId w:val="13"/>
        </w:numPr>
        <w:spacing w:line="396" w:lineRule="auto"/>
      </w:pPr>
      <w:r>
        <w:rPr>
          <w:b/>
        </w:rPr>
        <w:t xml:space="preserve">Рекомендуется </w:t>
      </w:r>
      <w:r>
        <w:t>пациентам с БНП типа А, В, А/В проведение рентгенографии кистей и, и на основании полученных результатов</w:t>
      </w:r>
      <w:r>
        <w:t xml:space="preserve">, рентгеноденситометрии поясничного отдела позвоночника для оценки костного возраста, а также выявления признаков снижения минеральной плотности костной ткани [4, 34]. </w:t>
      </w:r>
    </w:p>
    <w:p w:rsidR="001F12F1" w:rsidRDefault="0013705F">
      <w:pPr>
        <w:spacing w:after="35" w:line="386" w:lineRule="auto"/>
        <w:ind w:left="-5"/>
      </w:pPr>
      <w:r>
        <w:rPr>
          <w:b/>
        </w:rPr>
        <w:t>Уровень убедительности рекомендации В (уровень достоверности доказательств – 3).</w:t>
      </w:r>
      <w:r>
        <w:t xml:space="preserve"> </w:t>
      </w:r>
      <w:r>
        <w:rPr>
          <w:b/>
        </w:rPr>
        <w:t>Коммен</w:t>
      </w:r>
      <w:r>
        <w:rPr>
          <w:b/>
        </w:rPr>
        <w:t>тарии:</w:t>
      </w:r>
      <w:r>
        <w:t xml:space="preserve"> </w:t>
      </w:r>
      <w:r>
        <w:rPr>
          <w:i/>
        </w:rPr>
        <w:t>исследование целесообразно проводить с 5-летнего костного возраста или у детей с ростом более 100 см. Рентгеноденситометрия поясничного отдела позвоночника проводится на основании костного возраста с оценкой Z-score и BMD.</w:t>
      </w:r>
      <w:r>
        <w:rPr>
          <w:b/>
        </w:rPr>
        <w:t>Рекомендуется</w:t>
      </w:r>
      <w:r>
        <w:t xml:space="preserve"> пациентам с Б</w:t>
      </w:r>
      <w:r>
        <w:t xml:space="preserve">НП типа А, В, А/В проведение электрокардиографии (ЭКГ), эхокардиографии с целью контроля состояния сердца [4, 21, 37]. </w:t>
      </w:r>
    </w:p>
    <w:p w:rsidR="001F12F1" w:rsidRDefault="0013705F">
      <w:pPr>
        <w:spacing w:after="9" w:line="386" w:lineRule="auto"/>
        <w:ind w:left="-5"/>
      </w:pPr>
      <w:r>
        <w:rPr>
          <w:b/>
        </w:rPr>
        <w:t xml:space="preserve">Уровень убедительности рекомендации С (уровень достоверности доказательств– 4). </w:t>
      </w:r>
      <w:r>
        <w:rPr>
          <w:i/>
        </w:rPr>
        <w:t>В таблице 3 отражены принципы мониторинга состояния паци</w:t>
      </w:r>
      <w:r>
        <w:rPr>
          <w:i/>
        </w:rPr>
        <w:t xml:space="preserve">ентов при болезни НиманнаПика типа А, В, А/В. </w:t>
      </w:r>
    </w:p>
    <w:p w:rsidR="001F12F1" w:rsidRDefault="0013705F">
      <w:pPr>
        <w:spacing w:after="0" w:line="259" w:lineRule="auto"/>
        <w:ind w:left="0" w:firstLine="0"/>
        <w:jc w:val="left"/>
      </w:pPr>
      <w:r>
        <w:rPr>
          <w:b/>
          <w:sz w:val="23"/>
        </w:rPr>
        <w:t>Таблица 3.</w:t>
      </w:r>
      <w:r>
        <w:rPr>
          <w:sz w:val="23"/>
        </w:rPr>
        <w:t xml:space="preserve"> Принципы мониторинга при болезни Ниманна-Пика типа А, В, А/В </w:t>
      </w:r>
    </w:p>
    <w:tbl>
      <w:tblPr>
        <w:tblStyle w:val="TableGrid"/>
        <w:tblW w:w="9801" w:type="dxa"/>
        <w:tblInd w:w="5" w:type="dxa"/>
        <w:tblCellMar>
          <w:top w:w="12" w:type="dxa"/>
          <w:left w:w="108" w:type="dxa"/>
          <w:bottom w:w="0" w:type="dxa"/>
          <w:right w:w="75" w:type="dxa"/>
        </w:tblCellMar>
        <w:tblLook w:val="04A0" w:firstRow="1" w:lastRow="0" w:firstColumn="1" w:lastColumn="0" w:noHBand="0" w:noVBand="1"/>
      </w:tblPr>
      <w:tblGrid>
        <w:gridCol w:w="3965"/>
        <w:gridCol w:w="1133"/>
        <w:gridCol w:w="2030"/>
        <w:gridCol w:w="2672"/>
      </w:tblGrid>
      <w:tr w:rsidR="001F12F1">
        <w:trPr>
          <w:trHeight w:val="470"/>
        </w:trPr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Принципы мониторинга при болезни Ниманна-Пика типа А, В, А/В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2" w:line="259" w:lineRule="auto"/>
              <w:ind w:left="89" w:firstLine="0"/>
              <w:jc w:val="left"/>
            </w:pPr>
            <w:r>
              <w:rPr>
                <w:b/>
                <w:sz w:val="20"/>
              </w:rPr>
              <w:t xml:space="preserve">Каждые  </w:t>
            </w:r>
          </w:p>
          <w:p w:rsidR="001F12F1" w:rsidRDefault="0013705F">
            <w:pPr>
              <w:spacing w:after="0" w:line="259" w:lineRule="auto"/>
              <w:ind w:left="0" w:right="37" w:firstLine="0"/>
              <w:jc w:val="center"/>
            </w:pPr>
            <w:r>
              <w:rPr>
                <w:b/>
                <w:sz w:val="20"/>
              </w:rPr>
              <w:t xml:space="preserve">3-6 мес. 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right="34" w:firstLine="0"/>
              <w:jc w:val="center"/>
            </w:pPr>
            <w:r>
              <w:rPr>
                <w:b/>
                <w:sz w:val="20"/>
              </w:rPr>
              <w:t xml:space="preserve">Каждые 6-12 мес. 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Индивидуально, при наличии показаний </w:t>
            </w:r>
          </w:p>
        </w:tc>
      </w:tr>
      <w:tr w:rsidR="001F12F1">
        <w:trPr>
          <w:trHeight w:val="2312"/>
        </w:trPr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Общий (клинический) анализ крови развернутый (исследование уровня общего гемоглобина, эритроцитов, лейкоцитов, тромбоцитов в крови, дифференцированный подсчет лейкоцитов (лейкоцитарная формула). Определение среднего содержания (MCH) и средней концентраци</w:t>
            </w:r>
            <w:r>
              <w:rPr>
                <w:sz w:val="20"/>
              </w:rPr>
              <w:t>и гемоглобина в эритроцитах (MCHC). Исследование скорости оседания эритроцитов (СОЭ)</w:t>
            </w: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12F1" w:rsidRDefault="0013705F">
            <w:pPr>
              <w:spacing w:after="0" w:line="259" w:lineRule="auto"/>
              <w:ind w:left="0" w:right="39" w:firstLine="0"/>
              <w:jc w:val="center"/>
            </w:pPr>
            <w:r>
              <w:rPr>
                <w:b/>
                <w:sz w:val="20"/>
              </w:rPr>
              <w:t xml:space="preserve">V 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12F1" w:rsidRDefault="0013705F">
            <w:pPr>
              <w:spacing w:after="0" w:line="259" w:lineRule="auto"/>
              <w:ind w:left="12" w:firstLine="0"/>
              <w:jc w:val="center"/>
            </w:pP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12F1" w:rsidRDefault="0013705F">
            <w:pPr>
              <w:spacing w:after="0" w:line="259" w:lineRule="auto"/>
              <w:ind w:left="0" w:right="40" w:firstLine="0"/>
              <w:jc w:val="center"/>
            </w:pPr>
            <w:r>
              <w:rPr>
                <w:b/>
                <w:sz w:val="20"/>
              </w:rPr>
              <w:t>V</w:t>
            </w:r>
            <w:r>
              <w:rPr>
                <w:i/>
                <w:sz w:val="20"/>
              </w:rPr>
              <w:t xml:space="preserve"> </w:t>
            </w:r>
          </w:p>
          <w:p w:rsidR="001F12F1" w:rsidRDefault="0013705F">
            <w:pPr>
              <w:spacing w:after="0" w:line="259" w:lineRule="auto"/>
              <w:ind w:left="0" w:firstLine="0"/>
              <w:jc w:val="center"/>
            </w:pPr>
            <w:r>
              <w:rPr>
                <w:i/>
                <w:sz w:val="20"/>
              </w:rPr>
              <w:t xml:space="preserve">Не реже, чем 1 раз в 3 месяца или чаще по показаниям </w:t>
            </w:r>
          </w:p>
        </w:tc>
      </w:tr>
      <w:tr w:rsidR="001F12F1">
        <w:trPr>
          <w:trHeight w:val="2309"/>
        </w:trPr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Анализ крови биохимический общетерапевтический </w:t>
            </w:r>
            <w:r>
              <w:rPr>
                <w:sz w:val="20"/>
              </w:rPr>
              <w:t>(определение активности аланинаминотрансферазы, аспартатаминотрансферазы, щелочной фосфатазы в крови, определение уровня общего билирубина, альбумина в крови, холестерина, холестерина липопротеинов низкой плотности, холестерина липопротеинов высокой плотно</w:t>
            </w:r>
            <w:r>
              <w:rPr>
                <w:sz w:val="20"/>
              </w:rPr>
              <w:t xml:space="preserve">сти, триглицеридов в крови)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12F1" w:rsidRDefault="0013705F">
            <w:pPr>
              <w:spacing w:after="0" w:line="259" w:lineRule="auto"/>
              <w:ind w:left="11" w:firstLine="0"/>
              <w:jc w:val="center"/>
            </w:pP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12F1" w:rsidRDefault="0013705F">
            <w:pPr>
              <w:spacing w:after="0" w:line="259" w:lineRule="auto"/>
              <w:ind w:left="12" w:firstLine="0"/>
              <w:jc w:val="center"/>
            </w:pP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12F1" w:rsidRDefault="0013705F">
            <w:pPr>
              <w:spacing w:after="0" w:line="259" w:lineRule="auto"/>
              <w:ind w:left="0" w:right="40" w:firstLine="0"/>
              <w:jc w:val="center"/>
            </w:pPr>
            <w:r>
              <w:rPr>
                <w:b/>
                <w:sz w:val="20"/>
              </w:rPr>
              <w:t>V</w:t>
            </w:r>
            <w:r>
              <w:rPr>
                <w:i/>
                <w:sz w:val="20"/>
              </w:rPr>
              <w:t xml:space="preserve"> </w:t>
            </w:r>
          </w:p>
          <w:p w:rsidR="001F12F1" w:rsidRDefault="0013705F">
            <w:pPr>
              <w:spacing w:after="0" w:line="259" w:lineRule="auto"/>
              <w:ind w:left="0" w:firstLine="0"/>
              <w:jc w:val="center"/>
            </w:pPr>
            <w:r>
              <w:rPr>
                <w:i/>
                <w:sz w:val="20"/>
              </w:rPr>
              <w:t xml:space="preserve">Не реже, чем 1 раз в 3 месяца или чаще по показаниям </w:t>
            </w:r>
          </w:p>
        </w:tc>
      </w:tr>
      <w:tr w:rsidR="001F12F1">
        <w:trPr>
          <w:trHeight w:val="929"/>
        </w:trPr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Коагулограмма (ориентировочное исследование системы гемостаза)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12F1" w:rsidRDefault="0013705F">
            <w:pPr>
              <w:spacing w:after="0" w:line="259" w:lineRule="auto"/>
              <w:ind w:left="11" w:firstLine="0"/>
              <w:jc w:val="center"/>
            </w:pP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12F1" w:rsidRDefault="0013705F">
            <w:pPr>
              <w:spacing w:after="0" w:line="259" w:lineRule="auto"/>
              <w:ind w:left="12" w:firstLine="0"/>
              <w:jc w:val="center"/>
            </w:pP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right="40" w:firstLine="0"/>
              <w:jc w:val="center"/>
            </w:pPr>
            <w:r>
              <w:rPr>
                <w:b/>
                <w:sz w:val="20"/>
              </w:rPr>
              <w:t>V</w:t>
            </w:r>
            <w:r>
              <w:rPr>
                <w:i/>
                <w:sz w:val="20"/>
              </w:rPr>
              <w:t xml:space="preserve"> </w:t>
            </w:r>
          </w:p>
          <w:p w:rsidR="001F12F1" w:rsidRDefault="0013705F">
            <w:pPr>
              <w:spacing w:after="0" w:line="259" w:lineRule="auto"/>
              <w:ind w:left="0" w:firstLine="0"/>
              <w:jc w:val="center"/>
            </w:pPr>
            <w:r>
              <w:rPr>
                <w:i/>
                <w:sz w:val="20"/>
              </w:rPr>
              <w:t>Не реже, чем 1 раз в 3 месяца или чаще по показаниям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1F12F1">
        <w:trPr>
          <w:trHeight w:val="1392"/>
        </w:trPr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right="29" w:firstLine="0"/>
              <w:jc w:val="left"/>
            </w:pPr>
            <w:r>
              <w:rPr>
                <w:sz w:val="20"/>
              </w:rPr>
              <w:t>Магнитно-</w:t>
            </w:r>
            <w:r>
              <w:rPr>
                <w:sz w:val="20"/>
              </w:rPr>
              <w:t xml:space="preserve">резонансная томография органов брюшной полости и/или ультразвуковое исследование органов брюшной полости (комплексное) (с определением размеров (объема) печени и селезенки)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12F1" w:rsidRDefault="0013705F">
            <w:pPr>
              <w:spacing w:after="0" w:line="259" w:lineRule="auto"/>
              <w:ind w:left="11" w:firstLine="0"/>
              <w:jc w:val="center"/>
            </w:pP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12F1" w:rsidRDefault="0013705F">
            <w:pPr>
              <w:spacing w:after="0" w:line="259" w:lineRule="auto"/>
              <w:ind w:left="0" w:right="38" w:firstLine="0"/>
              <w:jc w:val="center"/>
            </w:pPr>
            <w:r>
              <w:rPr>
                <w:b/>
                <w:sz w:val="20"/>
              </w:rPr>
              <w:t>V</w:t>
            </w:r>
            <w:r>
              <w:rPr>
                <w:i/>
                <w:sz w:val="20"/>
              </w:rPr>
              <w:t xml:space="preserve"> </w:t>
            </w:r>
          </w:p>
          <w:p w:rsidR="001F12F1" w:rsidRDefault="0013705F">
            <w:pPr>
              <w:spacing w:after="38" w:line="240" w:lineRule="auto"/>
              <w:ind w:left="0" w:firstLine="0"/>
              <w:jc w:val="center"/>
            </w:pPr>
            <w:r>
              <w:rPr>
                <w:i/>
                <w:sz w:val="20"/>
              </w:rPr>
              <w:t xml:space="preserve">1 раз в 6 месяцев при начале терапии, </w:t>
            </w:r>
          </w:p>
          <w:p w:rsidR="001F12F1" w:rsidRDefault="0013705F">
            <w:pPr>
              <w:spacing w:after="0" w:line="259" w:lineRule="auto"/>
              <w:ind w:left="0" w:firstLine="0"/>
              <w:jc w:val="center"/>
            </w:pPr>
            <w:r>
              <w:rPr>
                <w:i/>
                <w:sz w:val="20"/>
              </w:rPr>
              <w:t xml:space="preserve">далее — в среднем 1 раз в год. 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12F1" w:rsidRDefault="0013705F">
            <w:pPr>
              <w:spacing w:after="0" w:line="259" w:lineRule="auto"/>
              <w:ind w:left="10" w:firstLine="0"/>
              <w:jc w:val="center"/>
            </w:pPr>
            <w:r>
              <w:rPr>
                <w:i/>
                <w:sz w:val="20"/>
              </w:rPr>
              <w:t xml:space="preserve"> </w:t>
            </w:r>
          </w:p>
        </w:tc>
      </w:tr>
      <w:tr w:rsidR="001F12F1">
        <w:trPr>
          <w:trHeight w:val="929"/>
        </w:trPr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Рентгенография легких или компьютерная томография органов грудной полости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12F1" w:rsidRDefault="0013705F">
            <w:pPr>
              <w:spacing w:after="0" w:line="259" w:lineRule="auto"/>
              <w:ind w:left="11" w:firstLine="0"/>
              <w:jc w:val="center"/>
            </w:pP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12F1" w:rsidRDefault="0013705F">
            <w:pPr>
              <w:spacing w:after="0" w:line="259" w:lineRule="auto"/>
              <w:ind w:left="12" w:firstLine="0"/>
              <w:jc w:val="center"/>
            </w:pP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right="40" w:firstLine="0"/>
              <w:jc w:val="center"/>
            </w:pPr>
            <w:r>
              <w:rPr>
                <w:b/>
                <w:sz w:val="20"/>
              </w:rPr>
              <w:t>V</w:t>
            </w:r>
            <w:r>
              <w:rPr>
                <w:i/>
                <w:sz w:val="20"/>
              </w:rPr>
              <w:t xml:space="preserve"> </w:t>
            </w:r>
          </w:p>
          <w:p w:rsidR="001F12F1" w:rsidRDefault="0013705F">
            <w:pPr>
              <w:spacing w:after="0" w:line="259" w:lineRule="auto"/>
              <w:ind w:left="1" w:hanging="1"/>
              <w:jc w:val="center"/>
            </w:pPr>
            <w:r>
              <w:rPr>
                <w:i/>
                <w:sz w:val="20"/>
              </w:rPr>
              <w:t xml:space="preserve">Частота определяется индивидуально по показаниям </w:t>
            </w:r>
          </w:p>
        </w:tc>
      </w:tr>
      <w:tr w:rsidR="001F12F1">
        <w:trPr>
          <w:trHeight w:val="932"/>
        </w:trPr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Исследование функции внешнего дыхания (исследование неспровоцированных дыхательных объемов и потоков)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12F1" w:rsidRDefault="0013705F">
            <w:pPr>
              <w:spacing w:after="0" w:line="259" w:lineRule="auto"/>
              <w:ind w:left="43" w:firstLine="0"/>
              <w:jc w:val="center"/>
            </w:pP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12F1" w:rsidRDefault="0013705F">
            <w:pPr>
              <w:spacing w:after="0" w:line="259" w:lineRule="auto"/>
              <w:ind w:left="44" w:firstLine="0"/>
              <w:jc w:val="center"/>
            </w:pP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right="8" w:firstLine="0"/>
              <w:jc w:val="center"/>
            </w:pPr>
            <w:r>
              <w:rPr>
                <w:b/>
                <w:sz w:val="20"/>
              </w:rPr>
              <w:t>V</w:t>
            </w:r>
            <w:r>
              <w:rPr>
                <w:i/>
                <w:sz w:val="20"/>
              </w:rPr>
              <w:t xml:space="preserve"> </w:t>
            </w:r>
          </w:p>
          <w:p w:rsidR="001F12F1" w:rsidRDefault="0013705F">
            <w:pPr>
              <w:spacing w:after="0" w:line="259" w:lineRule="auto"/>
              <w:ind w:left="1" w:hanging="1"/>
              <w:jc w:val="center"/>
            </w:pPr>
            <w:r>
              <w:rPr>
                <w:i/>
                <w:sz w:val="20"/>
              </w:rPr>
              <w:t xml:space="preserve">Частота определяется индивидуально по показаниям </w:t>
            </w:r>
          </w:p>
        </w:tc>
      </w:tr>
      <w:tr w:rsidR="001F12F1">
        <w:trPr>
          <w:trHeight w:val="929"/>
        </w:trPr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эзофагогастродуоденоскопия (при наличии признаков портальной гипертензии)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12F1" w:rsidRDefault="0013705F">
            <w:pPr>
              <w:spacing w:after="0" w:line="259" w:lineRule="auto"/>
              <w:ind w:left="43" w:firstLine="0"/>
              <w:jc w:val="center"/>
            </w:pP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12F1" w:rsidRDefault="0013705F">
            <w:pPr>
              <w:spacing w:after="0" w:line="259" w:lineRule="auto"/>
              <w:ind w:left="44" w:firstLine="0"/>
              <w:jc w:val="center"/>
            </w:pP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right="8" w:firstLine="0"/>
              <w:jc w:val="center"/>
            </w:pPr>
            <w:r>
              <w:rPr>
                <w:b/>
                <w:sz w:val="20"/>
              </w:rPr>
              <w:t>V</w:t>
            </w:r>
            <w:r>
              <w:rPr>
                <w:i/>
                <w:sz w:val="20"/>
              </w:rPr>
              <w:t xml:space="preserve"> </w:t>
            </w:r>
          </w:p>
          <w:p w:rsidR="001F12F1" w:rsidRDefault="0013705F">
            <w:pPr>
              <w:spacing w:after="0" w:line="259" w:lineRule="auto"/>
              <w:ind w:left="1" w:hanging="1"/>
              <w:jc w:val="center"/>
            </w:pPr>
            <w:r>
              <w:rPr>
                <w:i/>
                <w:sz w:val="20"/>
              </w:rPr>
              <w:t xml:space="preserve">Частота определяется индивидуально по показаниям </w:t>
            </w:r>
          </w:p>
        </w:tc>
      </w:tr>
      <w:tr w:rsidR="001F12F1">
        <w:trPr>
          <w:trHeight w:val="931"/>
        </w:trPr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Эластометрия печени (при наличии признаков фиброза печени)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12F1" w:rsidRDefault="0013705F">
            <w:pPr>
              <w:spacing w:after="0" w:line="259" w:lineRule="auto"/>
              <w:ind w:left="43" w:firstLine="0"/>
              <w:jc w:val="center"/>
            </w:pP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12F1" w:rsidRDefault="0013705F">
            <w:pPr>
              <w:spacing w:after="0" w:line="259" w:lineRule="auto"/>
              <w:ind w:left="44" w:firstLine="0"/>
              <w:jc w:val="center"/>
            </w:pP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right="8" w:firstLine="0"/>
              <w:jc w:val="center"/>
            </w:pPr>
            <w:r>
              <w:rPr>
                <w:b/>
                <w:sz w:val="20"/>
              </w:rPr>
              <w:t>V</w:t>
            </w:r>
            <w:r>
              <w:rPr>
                <w:i/>
                <w:sz w:val="20"/>
              </w:rPr>
              <w:t xml:space="preserve"> </w:t>
            </w:r>
          </w:p>
          <w:p w:rsidR="001F12F1" w:rsidRDefault="0013705F">
            <w:pPr>
              <w:spacing w:after="0" w:line="259" w:lineRule="auto"/>
              <w:ind w:left="1" w:hanging="1"/>
              <w:jc w:val="center"/>
            </w:pPr>
            <w:r>
              <w:rPr>
                <w:i/>
                <w:sz w:val="20"/>
              </w:rPr>
              <w:t xml:space="preserve">Частота определяется индивидуально по показаниям </w:t>
            </w:r>
          </w:p>
        </w:tc>
      </w:tr>
      <w:tr w:rsidR="001F12F1">
        <w:trPr>
          <w:trHeight w:val="929"/>
        </w:trPr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2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Рентгенография кистей и </w:t>
            </w:r>
          </w:p>
          <w:p w:rsidR="001F12F1" w:rsidRDefault="0013705F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рентгеноденситометрия поясничного отдела позвоночника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12F1" w:rsidRDefault="0013705F">
            <w:pPr>
              <w:spacing w:after="0" w:line="259" w:lineRule="auto"/>
              <w:ind w:left="43" w:firstLine="0"/>
              <w:jc w:val="center"/>
            </w:pP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12F1" w:rsidRDefault="0013705F">
            <w:pPr>
              <w:spacing w:after="0" w:line="259" w:lineRule="auto"/>
              <w:ind w:left="44" w:firstLine="0"/>
              <w:jc w:val="center"/>
            </w:pP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right="8" w:firstLine="0"/>
              <w:jc w:val="center"/>
            </w:pPr>
            <w:r>
              <w:rPr>
                <w:b/>
                <w:sz w:val="20"/>
              </w:rPr>
              <w:t>V</w:t>
            </w:r>
            <w:r>
              <w:rPr>
                <w:i/>
                <w:sz w:val="20"/>
              </w:rPr>
              <w:t xml:space="preserve"> </w:t>
            </w:r>
          </w:p>
          <w:p w:rsidR="001F12F1" w:rsidRDefault="0013705F">
            <w:pPr>
              <w:spacing w:after="0" w:line="259" w:lineRule="auto"/>
              <w:ind w:left="1" w:hanging="1"/>
              <w:jc w:val="center"/>
            </w:pPr>
            <w:r>
              <w:rPr>
                <w:i/>
                <w:sz w:val="20"/>
              </w:rPr>
              <w:t xml:space="preserve">Частота определяется индивидуально по показаниям </w:t>
            </w:r>
          </w:p>
        </w:tc>
      </w:tr>
      <w:tr w:rsidR="001F12F1">
        <w:trPr>
          <w:trHeight w:val="701"/>
        </w:trPr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 xml:space="preserve">Оопределение концентрации лизосфингомиелина (Lyso-SM) в крови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12F1" w:rsidRDefault="0013705F">
            <w:pPr>
              <w:spacing w:after="0" w:line="259" w:lineRule="auto"/>
              <w:ind w:left="43" w:firstLine="0"/>
              <w:jc w:val="center"/>
            </w:pP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12F1" w:rsidRDefault="0013705F">
            <w:pPr>
              <w:spacing w:after="0" w:line="259" w:lineRule="auto"/>
              <w:ind w:left="44" w:firstLine="0"/>
              <w:jc w:val="center"/>
            </w:pP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right="8" w:firstLine="0"/>
              <w:jc w:val="center"/>
            </w:pPr>
            <w:r>
              <w:rPr>
                <w:b/>
                <w:sz w:val="20"/>
              </w:rPr>
              <w:t>V</w:t>
            </w:r>
            <w:r>
              <w:rPr>
                <w:i/>
                <w:sz w:val="20"/>
              </w:rPr>
              <w:t xml:space="preserve"> </w:t>
            </w:r>
          </w:p>
          <w:p w:rsidR="001F12F1" w:rsidRDefault="0013705F">
            <w:pPr>
              <w:spacing w:after="0" w:line="259" w:lineRule="auto"/>
              <w:ind w:left="0" w:firstLine="0"/>
              <w:jc w:val="center"/>
            </w:pPr>
            <w:r>
              <w:rPr>
                <w:i/>
                <w:sz w:val="20"/>
              </w:rPr>
              <w:t xml:space="preserve">До начала лечения и для мониторинга терапии </w:t>
            </w:r>
          </w:p>
        </w:tc>
      </w:tr>
      <w:tr w:rsidR="001F12F1">
        <w:trPr>
          <w:trHeight w:val="929"/>
        </w:trPr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Значения активности «печеночных» трансаминаз (АЛАТ, АСАТ)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12F1" w:rsidRDefault="0013705F">
            <w:pPr>
              <w:spacing w:after="0" w:line="259" w:lineRule="auto"/>
              <w:ind w:left="43" w:firstLine="0"/>
              <w:jc w:val="center"/>
            </w:pP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12F1" w:rsidRDefault="0013705F">
            <w:pPr>
              <w:spacing w:after="0" w:line="259" w:lineRule="auto"/>
              <w:ind w:left="44" w:firstLine="0"/>
              <w:jc w:val="center"/>
            </w:pP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right="8" w:firstLine="0"/>
              <w:jc w:val="center"/>
            </w:pPr>
            <w:r>
              <w:rPr>
                <w:b/>
                <w:sz w:val="20"/>
              </w:rPr>
              <w:t>V</w:t>
            </w:r>
            <w:r>
              <w:rPr>
                <w:i/>
                <w:sz w:val="20"/>
              </w:rPr>
              <w:t xml:space="preserve"> </w:t>
            </w:r>
          </w:p>
          <w:p w:rsidR="001F12F1" w:rsidRDefault="0013705F">
            <w:pPr>
              <w:spacing w:after="0" w:line="259" w:lineRule="auto"/>
              <w:ind w:left="0" w:firstLine="0"/>
              <w:jc w:val="center"/>
            </w:pPr>
            <w:r>
              <w:rPr>
                <w:i/>
                <w:sz w:val="20"/>
              </w:rPr>
              <w:t xml:space="preserve">До начала лечения и на всех этапах повышения дозы ФЗТ </w:t>
            </w:r>
          </w:p>
        </w:tc>
      </w:tr>
      <w:tr w:rsidR="001F12F1">
        <w:trPr>
          <w:trHeight w:val="931"/>
        </w:trPr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ЭКГ, ЭХО КГ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12F1" w:rsidRDefault="0013705F">
            <w:pPr>
              <w:spacing w:after="0" w:line="259" w:lineRule="auto"/>
              <w:ind w:left="43" w:firstLine="0"/>
              <w:jc w:val="center"/>
            </w:pP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12F1" w:rsidRDefault="0013705F">
            <w:pPr>
              <w:spacing w:after="0" w:line="259" w:lineRule="auto"/>
              <w:ind w:left="44" w:firstLine="0"/>
              <w:jc w:val="center"/>
            </w:pP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right="8" w:firstLine="0"/>
              <w:jc w:val="center"/>
            </w:pPr>
            <w:r>
              <w:rPr>
                <w:b/>
                <w:sz w:val="20"/>
              </w:rPr>
              <w:t>V</w:t>
            </w:r>
            <w:r>
              <w:rPr>
                <w:i/>
                <w:sz w:val="20"/>
              </w:rPr>
              <w:t xml:space="preserve"> </w:t>
            </w:r>
          </w:p>
          <w:p w:rsidR="001F12F1" w:rsidRDefault="0013705F">
            <w:pPr>
              <w:spacing w:after="0" w:line="259" w:lineRule="auto"/>
              <w:ind w:left="1" w:hanging="1"/>
              <w:jc w:val="center"/>
            </w:pPr>
            <w:r>
              <w:rPr>
                <w:i/>
                <w:sz w:val="20"/>
              </w:rPr>
              <w:t>Частота определяется индивидуально по показаниям</w:t>
            </w:r>
            <w:r>
              <w:rPr>
                <w:b/>
                <w:sz w:val="20"/>
              </w:rPr>
              <w:t xml:space="preserve"> </w:t>
            </w:r>
          </w:p>
        </w:tc>
      </w:tr>
    </w:tbl>
    <w:p w:rsidR="001F12F1" w:rsidRDefault="0013705F">
      <w:pPr>
        <w:spacing w:after="30" w:line="259" w:lineRule="auto"/>
        <w:ind w:left="0" w:firstLine="0"/>
        <w:jc w:val="left"/>
      </w:pPr>
      <w:r>
        <w:rPr>
          <w:b/>
          <w:sz w:val="28"/>
        </w:rPr>
        <w:t xml:space="preserve"> </w:t>
      </w:r>
    </w:p>
    <w:p w:rsidR="001F12F1" w:rsidRDefault="0013705F">
      <w:pPr>
        <w:spacing w:after="100" w:line="259" w:lineRule="auto"/>
        <w:ind w:left="-5"/>
      </w:pPr>
      <w:r>
        <w:rPr>
          <w:b/>
          <w:sz w:val="28"/>
        </w:rPr>
        <w:t xml:space="preserve">6. Организация оказания медицинской помощи </w:t>
      </w:r>
    </w:p>
    <w:p w:rsidR="001F12F1" w:rsidRDefault="0013705F">
      <w:pPr>
        <w:spacing w:line="387" w:lineRule="auto"/>
        <w:ind w:left="-15" w:firstLine="720"/>
      </w:pPr>
      <w:r>
        <w:t xml:space="preserve">Госпитализация пациентов чаще всего осуществляется в гематологическое/педиатрическое/ гастроэнтерологическое отделение или в хирургическое/травматолого-ортопедическое отделение, также лечение может проводиться в </w:t>
      </w:r>
      <w:r>
        <w:t xml:space="preserve">неврологическом, пульмонологическом и др. отделениях в зависимости от доминирующих симптомов заболевания. </w:t>
      </w:r>
    </w:p>
    <w:p w:rsidR="001F12F1" w:rsidRDefault="0013705F">
      <w:pPr>
        <w:spacing w:line="397" w:lineRule="auto"/>
        <w:ind w:left="-15" w:firstLine="720"/>
      </w:pPr>
      <w:r>
        <w:t xml:space="preserve">Плановая вакцинация у пациентов с БНП типа А, В, А/В проводится в соответствии с Национальным календарем профилактических прививок. </w:t>
      </w:r>
    </w:p>
    <w:p w:rsidR="001F12F1" w:rsidRDefault="0013705F">
      <w:pPr>
        <w:spacing w:line="396" w:lineRule="auto"/>
        <w:ind w:left="-15" w:firstLine="720"/>
      </w:pPr>
      <w:r>
        <w:t>Необходимые осмо</w:t>
      </w:r>
      <w:r>
        <w:t xml:space="preserve">тры врачей-специалистов, лабораторные и инструментальные обследования и рекомендуемая частота их проведения представлена в разделе 5.2. </w:t>
      </w:r>
    </w:p>
    <w:p w:rsidR="001F12F1" w:rsidRDefault="0013705F">
      <w:pPr>
        <w:pStyle w:val="Heading3"/>
      </w:pPr>
      <w:r>
        <w:t>6.1 Показания для плановой госпитализации</w:t>
      </w:r>
      <w:r>
        <w:rPr>
          <w:u w:val="none"/>
        </w:rPr>
        <w:t xml:space="preserve"> </w:t>
      </w:r>
    </w:p>
    <w:p w:rsidR="001F12F1" w:rsidRDefault="0013705F">
      <w:pPr>
        <w:numPr>
          <w:ilvl w:val="0"/>
          <w:numId w:val="14"/>
        </w:numPr>
        <w:spacing w:line="398" w:lineRule="auto"/>
        <w:ind w:hanging="360"/>
      </w:pPr>
      <w:r>
        <w:t xml:space="preserve">проведение диагностики и лечения, требующие продолжительного (дневное или круглосуточное пребывание) медицинского наблюдения и мониторинга клиниколабораторных показателей; </w:t>
      </w:r>
    </w:p>
    <w:p w:rsidR="001F12F1" w:rsidRDefault="0013705F">
      <w:pPr>
        <w:numPr>
          <w:ilvl w:val="0"/>
          <w:numId w:val="14"/>
        </w:numPr>
        <w:spacing w:line="378" w:lineRule="auto"/>
        <w:ind w:hanging="360"/>
      </w:pPr>
      <w:r>
        <w:t>необходимость проведения различных видов экспертиз или обследования в медицинской о</w:t>
      </w:r>
      <w:r>
        <w:t xml:space="preserve">рганизации при невозможности проведения их в амбулаторных условиях (в том числе оформление заключения федерального консилиума/врачебной комиссии); </w:t>
      </w:r>
    </w:p>
    <w:p w:rsidR="001F12F1" w:rsidRDefault="0013705F">
      <w:pPr>
        <w:numPr>
          <w:ilvl w:val="0"/>
          <w:numId w:val="14"/>
        </w:numPr>
        <w:spacing w:after="157" w:line="259" w:lineRule="auto"/>
        <w:ind w:hanging="360"/>
      </w:pPr>
      <w:r>
        <w:t xml:space="preserve">состояние, требующее активного лечения и круглосуточного медицинского наблюдения; </w:t>
      </w:r>
    </w:p>
    <w:p w:rsidR="001F12F1" w:rsidRDefault="0013705F">
      <w:pPr>
        <w:numPr>
          <w:ilvl w:val="0"/>
          <w:numId w:val="14"/>
        </w:numPr>
        <w:spacing w:line="398" w:lineRule="auto"/>
        <w:ind w:hanging="360"/>
      </w:pPr>
      <w:r>
        <w:t>состояние, требующее пров</w:t>
      </w:r>
      <w:r>
        <w:t xml:space="preserve">едения высокотехнологичных методов лечения (в том числе   контроль эффективности ФЗТ); </w:t>
      </w:r>
    </w:p>
    <w:p w:rsidR="001F12F1" w:rsidRDefault="0013705F">
      <w:pPr>
        <w:numPr>
          <w:ilvl w:val="0"/>
          <w:numId w:val="14"/>
        </w:numPr>
        <w:spacing w:line="397" w:lineRule="auto"/>
        <w:ind w:hanging="360"/>
      </w:pPr>
      <w:r>
        <w:t xml:space="preserve">отсутствие возможности обеспечения ФЗТ в амбулаторных и стационарозамещающих условиях; </w:t>
      </w:r>
    </w:p>
    <w:p w:rsidR="001F12F1" w:rsidRDefault="0013705F">
      <w:pPr>
        <w:numPr>
          <w:ilvl w:val="0"/>
          <w:numId w:val="14"/>
        </w:numPr>
        <w:spacing w:after="34" w:line="377" w:lineRule="auto"/>
        <w:ind w:hanging="360"/>
      </w:pPr>
      <w:r>
        <w:t xml:space="preserve">необходимость проведения различных видов экспертиз или обследования в медицинской организации при невозможности проведения их в амбулаторных условиях, требующих динамического наблюдения. </w:t>
      </w:r>
    </w:p>
    <w:p w:rsidR="001F12F1" w:rsidRDefault="0013705F">
      <w:pPr>
        <w:pStyle w:val="Heading3"/>
      </w:pPr>
      <w:r>
        <w:t>6.2 Показания для неотложной/экстренной госпитализации</w:t>
      </w:r>
      <w:r>
        <w:rPr>
          <w:u w:val="none"/>
        </w:rPr>
        <w:t xml:space="preserve"> </w:t>
      </w:r>
    </w:p>
    <w:p w:rsidR="001F12F1" w:rsidRDefault="0013705F">
      <w:pPr>
        <w:spacing w:after="33" w:line="378" w:lineRule="auto"/>
        <w:ind w:left="713" w:hanging="355"/>
      </w:pPr>
      <w:r>
        <w:t>1.</w:t>
      </w:r>
      <w:r>
        <w:rPr>
          <w:rFonts w:ascii="Arial" w:eastAsia="Arial" w:hAnsi="Arial" w:cs="Arial"/>
        </w:rPr>
        <w:t xml:space="preserve"> </w:t>
      </w:r>
      <w:r>
        <w:t>острые уг</w:t>
      </w:r>
      <w:r>
        <w:t xml:space="preserve">рожающие для жизни и развития осложнений состояния, требующие неотложного лечения, в том числе интенсивной терапии, а также круглосуточного медицинского наблюдения и проведения специальных видов обследования и лечения. </w:t>
      </w:r>
    </w:p>
    <w:p w:rsidR="001F12F1" w:rsidRDefault="0013705F">
      <w:pPr>
        <w:pStyle w:val="Heading3"/>
      </w:pPr>
      <w:r>
        <w:t xml:space="preserve">6.3 Показания к выписке пациента из </w:t>
      </w:r>
      <w:r>
        <w:t>стационара</w:t>
      </w:r>
      <w:r>
        <w:rPr>
          <w:u w:val="none"/>
        </w:rPr>
        <w:t xml:space="preserve"> </w:t>
      </w:r>
    </w:p>
    <w:p w:rsidR="001F12F1" w:rsidRDefault="0013705F">
      <w:pPr>
        <w:numPr>
          <w:ilvl w:val="0"/>
          <w:numId w:val="15"/>
        </w:numPr>
        <w:spacing w:line="399" w:lineRule="auto"/>
        <w:ind w:hanging="360"/>
      </w:pPr>
      <w:r>
        <w:t xml:space="preserve">отсутствие угрозы для жизни пациента и угрозы развития осложнений, требующих неотложного лечения при завершение диагностических мероприятий. </w:t>
      </w:r>
    </w:p>
    <w:p w:rsidR="001F12F1" w:rsidRDefault="0013705F">
      <w:pPr>
        <w:numPr>
          <w:ilvl w:val="0"/>
          <w:numId w:val="15"/>
        </w:numPr>
        <w:spacing w:after="0" w:line="389" w:lineRule="auto"/>
        <w:ind w:hanging="360"/>
      </w:pPr>
      <w:r>
        <w:t xml:space="preserve">стабилизация </w:t>
      </w:r>
      <w:r>
        <w:tab/>
        <w:t xml:space="preserve">состояния </w:t>
      </w:r>
      <w:r>
        <w:tab/>
        <w:t xml:space="preserve">и </w:t>
      </w:r>
      <w:r>
        <w:tab/>
        <w:t xml:space="preserve">основных </w:t>
      </w:r>
      <w:r>
        <w:tab/>
        <w:t xml:space="preserve">клинико-лабораторных </w:t>
      </w:r>
      <w:r>
        <w:tab/>
        <w:t>показателей патологического процесса, отсу</w:t>
      </w:r>
      <w:r>
        <w:t xml:space="preserve">тствие необходимости в продолжительном медицинском наблюдении (дневное или круглосуточное пребывание); </w:t>
      </w:r>
    </w:p>
    <w:p w:rsidR="001F12F1" w:rsidRDefault="0013705F">
      <w:pPr>
        <w:numPr>
          <w:ilvl w:val="0"/>
          <w:numId w:val="15"/>
        </w:numPr>
        <w:spacing w:line="395" w:lineRule="auto"/>
        <w:ind w:hanging="360"/>
      </w:pPr>
      <w:r>
        <w:t xml:space="preserve">выполнен план обследования и лечения пациента, даны рекомендации по дальнейшему наблюдению и лечению; </w:t>
      </w:r>
    </w:p>
    <w:p w:rsidR="001F12F1" w:rsidRDefault="0013705F">
      <w:pPr>
        <w:numPr>
          <w:ilvl w:val="0"/>
          <w:numId w:val="15"/>
        </w:numPr>
        <w:spacing w:after="214" w:line="396" w:lineRule="auto"/>
        <w:ind w:hanging="360"/>
      </w:pPr>
      <w:r>
        <w:t>необходимость перевода пациента в другое медицинс</w:t>
      </w:r>
      <w:r>
        <w:t xml:space="preserve">кое учреждение или учреждение социального обеспечения. </w:t>
      </w:r>
    </w:p>
    <w:p w:rsidR="001F12F1" w:rsidRDefault="0013705F">
      <w:pPr>
        <w:numPr>
          <w:ilvl w:val="0"/>
          <w:numId w:val="16"/>
        </w:numPr>
        <w:spacing w:after="70" w:line="318" w:lineRule="auto"/>
      </w:pPr>
      <w:r>
        <w:rPr>
          <w:b/>
          <w:sz w:val="28"/>
        </w:rPr>
        <w:t xml:space="preserve">Дополнительная информация (в том числе факторы, влияющие на исход заболевания или состояния) </w:t>
      </w:r>
    </w:p>
    <w:p w:rsidR="001F12F1" w:rsidRDefault="0013705F">
      <w:pPr>
        <w:spacing w:after="278" w:line="250" w:lineRule="auto"/>
        <w:ind w:left="730"/>
      </w:pPr>
      <w:r>
        <w:rPr>
          <w:b/>
        </w:rPr>
        <w:t xml:space="preserve">7.1 Исходы и прогноз </w:t>
      </w:r>
    </w:p>
    <w:p w:rsidR="001F12F1" w:rsidRDefault="0013705F">
      <w:pPr>
        <w:spacing w:line="377" w:lineRule="auto"/>
        <w:ind w:left="-15" w:firstLine="708"/>
      </w:pPr>
      <w:r>
        <w:t xml:space="preserve">Прогноз при БНП типа А, В, А/В зависит от выраженности клинических проявлений. Назначение патогенетической терапии на ранних стадиях заболевания определяет благоприятный прогноз и улучшает качество жизни детей с БНП, предотвращая их инвалидизацию. При БНП </w:t>
      </w:r>
      <w:r>
        <w:t xml:space="preserve">типа А прогноз неблагоприятный: летальный исход наступает в возрасте трех-четырех лет, нередко — на первом году жизни [33].  </w:t>
      </w:r>
    </w:p>
    <w:p w:rsidR="001F12F1" w:rsidRDefault="0013705F">
      <w:pPr>
        <w:spacing w:after="73" w:line="259" w:lineRule="auto"/>
        <w:ind w:left="0" w:firstLine="0"/>
        <w:jc w:val="left"/>
      </w:pPr>
      <w:r>
        <w:rPr>
          <w:b/>
        </w:rPr>
        <w:t xml:space="preserve"> </w:t>
      </w:r>
    </w:p>
    <w:p w:rsidR="001F12F1" w:rsidRDefault="0013705F">
      <w:pPr>
        <w:spacing w:after="146" w:line="259" w:lineRule="auto"/>
        <w:ind w:left="-5"/>
      </w:pPr>
      <w:r>
        <w:rPr>
          <w:b/>
          <w:sz w:val="28"/>
        </w:rPr>
        <w:t xml:space="preserve">Критерии оценки качества медицинской помощи </w:t>
      </w:r>
    </w:p>
    <w:p w:rsidR="001F12F1" w:rsidRDefault="0013705F">
      <w:pPr>
        <w:ind w:left="-5"/>
      </w:pPr>
      <w:r>
        <w:t xml:space="preserve">Организационно-технические условия оказания медицинской помощи </w:t>
      </w:r>
    </w:p>
    <w:tbl>
      <w:tblPr>
        <w:tblStyle w:val="TableGrid"/>
        <w:tblW w:w="9897" w:type="dxa"/>
        <w:tblInd w:w="0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281"/>
        <w:gridCol w:w="6615"/>
      </w:tblGrid>
      <w:tr w:rsidR="001F12F1">
        <w:trPr>
          <w:trHeight w:val="730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12F1" w:rsidRDefault="0013705F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Вид медицинской пом</w:t>
            </w:r>
            <w:r>
              <w:rPr>
                <w:b/>
              </w:rPr>
              <w:t xml:space="preserve">ощи 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firstLine="0"/>
              <w:jc w:val="left"/>
            </w:pPr>
            <w:r>
              <w:t xml:space="preserve">Специализированная медицинская помощь </w:t>
            </w:r>
          </w:p>
        </w:tc>
      </w:tr>
      <w:tr w:rsidR="001F12F1">
        <w:trPr>
          <w:trHeight w:val="646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Условия оказания медицинской помощи 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firstLine="0"/>
              <w:jc w:val="left"/>
            </w:pPr>
            <w:r>
              <w:t xml:space="preserve">Стационарно / в дневном стационаре </w:t>
            </w:r>
          </w:p>
        </w:tc>
      </w:tr>
      <w:tr w:rsidR="001F12F1">
        <w:trPr>
          <w:trHeight w:val="646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Форма оказания медицинской помощи 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firstLine="0"/>
              <w:jc w:val="left"/>
            </w:pPr>
            <w:r>
              <w:t xml:space="preserve">Плановая  </w:t>
            </w:r>
          </w:p>
        </w:tc>
      </w:tr>
    </w:tbl>
    <w:p w:rsidR="001F12F1" w:rsidRDefault="0013705F">
      <w:pPr>
        <w:spacing w:after="26" w:line="259" w:lineRule="auto"/>
        <w:ind w:left="0" w:firstLine="0"/>
        <w:jc w:val="left"/>
      </w:pPr>
      <w:r>
        <w:rPr>
          <w:b/>
        </w:rPr>
        <w:t xml:space="preserve"> </w:t>
      </w:r>
    </w:p>
    <w:p w:rsidR="001F12F1" w:rsidRDefault="0013705F">
      <w:pPr>
        <w:spacing w:after="9" w:line="250" w:lineRule="auto"/>
        <w:ind w:left="-5"/>
      </w:pPr>
      <w:r>
        <w:rPr>
          <w:b/>
        </w:rPr>
        <w:t xml:space="preserve">Критерии качества оказания медицинской помощи </w:t>
      </w:r>
    </w:p>
    <w:tbl>
      <w:tblPr>
        <w:tblStyle w:val="TableGrid"/>
        <w:tblW w:w="9921" w:type="dxa"/>
        <w:tblInd w:w="5" w:type="dxa"/>
        <w:tblCellMar>
          <w:top w:w="6" w:type="dxa"/>
          <w:left w:w="108" w:type="dxa"/>
          <w:bottom w:w="0" w:type="dxa"/>
          <w:right w:w="50" w:type="dxa"/>
        </w:tblCellMar>
        <w:tblLook w:val="04A0" w:firstRow="1" w:lastRow="0" w:firstColumn="1" w:lastColumn="0" w:noHBand="0" w:noVBand="1"/>
      </w:tblPr>
      <w:tblGrid>
        <w:gridCol w:w="674"/>
        <w:gridCol w:w="7403"/>
        <w:gridCol w:w="1843"/>
      </w:tblGrid>
      <w:tr w:rsidR="001F12F1">
        <w:trPr>
          <w:trHeight w:val="56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firstLine="0"/>
              <w:jc w:val="left"/>
            </w:pPr>
            <w:r>
              <w:t xml:space="preserve">№ </w:t>
            </w:r>
          </w:p>
        </w:tc>
        <w:tc>
          <w:tcPr>
            <w:tcW w:w="7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12F1" w:rsidRDefault="0013705F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</w:rPr>
              <w:t xml:space="preserve">Критерий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Оценка выполнения </w:t>
            </w:r>
          </w:p>
        </w:tc>
      </w:tr>
      <w:tr w:rsidR="001F12F1">
        <w:trPr>
          <w:trHeight w:val="83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12F1" w:rsidRDefault="0013705F">
            <w:pPr>
              <w:spacing w:after="0" w:line="259" w:lineRule="auto"/>
              <w:ind w:left="0" w:firstLine="0"/>
              <w:jc w:val="left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right="59" w:firstLine="0"/>
            </w:pPr>
            <w:r>
              <w:t xml:space="preserve">Выполнено определение активности кислой сфингомиелиназы в пятнах высушенной крови или лейкоцитах периферической крови всем пациентам с клиническими проявлениями БНП типа А, В, А/В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12F1" w:rsidRDefault="0013705F">
            <w:pPr>
              <w:spacing w:after="0" w:line="259" w:lineRule="auto"/>
              <w:ind w:left="0" w:right="63" w:firstLine="0"/>
              <w:jc w:val="center"/>
            </w:pPr>
            <w:r>
              <w:rPr>
                <w:b/>
              </w:rPr>
              <w:t xml:space="preserve">Да/нет </w:t>
            </w:r>
          </w:p>
        </w:tc>
      </w:tr>
      <w:tr w:rsidR="001F12F1">
        <w:trPr>
          <w:trHeight w:val="221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firstLine="0"/>
              <w:jc w:val="left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firstLine="0"/>
              <w:jc w:val="left"/>
            </w:pPr>
            <w:r>
              <w:t>Проведено определение вариантов генов в образце биологического материала другом или неуточненном, неклассифицированные в других рубриках, методом таргетного высокопроизводительного секвенирования и/или методом высокопроизводительного секвенирования (выявле</w:t>
            </w:r>
            <w:r>
              <w:t xml:space="preserve">ние биаллельных патогенных вариантов гена </w:t>
            </w:r>
            <w:r>
              <w:rPr>
                <w:i/>
              </w:rPr>
              <w:t>SMPD1</w:t>
            </w:r>
            <w:r>
              <w:t xml:space="preserve">) всем пациентам с клиническими проявлениями БНП типа А, В, А/В и/или сниженной активностью фермента кислой сфингомиелиназы в крови при постановке диагноза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12F1" w:rsidRDefault="0013705F">
            <w:pPr>
              <w:spacing w:after="0" w:line="259" w:lineRule="auto"/>
              <w:ind w:left="0" w:right="63" w:firstLine="0"/>
              <w:jc w:val="center"/>
            </w:pPr>
            <w:r>
              <w:rPr>
                <w:b/>
              </w:rPr>
              <w:t>Да/нет</w:t>
            </w:r>
            <w:r>
              <w:t xml:space="preserve"> </w:t>
            </w:r>
          </w:p>
        </w:tc>
      </w:tr>
      <w:tr w:rsidR="001F12F1">
        <w:trPr>
          <w:trHeight w:val="166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firstLine="0"/>
              <w:jc w:val="left"/>
            </w:pPr>
            <w: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right="59" w:firstLine="0"/>
            </w:pPr>
            <w:r>
              <w:t>Выполнено назначение ферментной заместительной терапии препаратом A16AB25 Олипудаза альфа пожизненно пациентам с подтвержденным диагнозом дефицита кислой сфингомиелиназы типа А/В или В (болезни Ниманна-Пика типа А/В или В), у которых имеются клинически зна</w:t>
            </w:r>
            <w:r>
              <w:t xml:space="preserve">чимые проявления заболевания, не относящиеся к центральной нервной системе.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12F1" w:rsidRDefault="0013705F">
            <w:pPr>
              <w:spacing w:after="0" w:line="259" w:lineRule="auto"/>
              <w:ind w:left="0" w:right="63" w:firstLine="0"/>
              <w:jc w:val="center"/>
            </w:pPr>
            <w:r>
              <w:rPr>
                <w:b/>
              </w:rPr>
              <w:t>Да/нет</w:t>
            </w:r>
            <w:r>
              <w:t xml:space="preserve"> </w:t>
            </w:r>
          </w:p>
        </w:tc>
      </w:tr>
      <w:tr w:rsidR="001F12F1">
        <w:trPr>
          <w:trHeight w:val="84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firstLine="0"/>
              <w:jc w:val="left"/>
            </w:pPr>
            <w:r>
              <w:t>4.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right="62" w:firstLine="0"/>
            </w:pPr>
            <w:r>
              <w:t xml:space="preserve">Проведена магнитно-резонансная томография органов брюшной полости и/или ультразвуковое исследование органов брюшной полости (комплексное)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12F1" w:rsidRDefault="0013705F">
            <w:pPr>
              <w:spacing w:after="0" w:line="259" w:lineRule="auto"/>
              <w:ind w:left="0" w:right="63" w:firstLine="0"/>
              <w:jc w:val="center"/>
            </w:pPr>
            <w:r>
              <w:rPr>
                <w:b/>
              </w:rPr>
              <w:t>Да/нет</w:t>
            </w:r>
            <w:r>
              <w:t xml:space="preserve"> </w:t>
            </w:r>
          </w:p>
        </w:tc>
      </w:tr>
      <w:tr w:rsidR="001F12F1">
        <w:trPr>
          <w:trHeight w:val="166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firstLine="0"/>
              <w:jc w:val="left"/>
            </w:pPr>
            <w:r>
              <w:t>5.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47" w:line="238" w:lineRule="auto"/>
              <w:ind w:left="0" w:right="59" w:firstLine="0"/>
            </w:pPr>
            <w:r>
              <w:t>Проведен общий (клинический) анализ крови развернутый (исследование уровня общего гемоглобина, эритроцитов, лейкоцитов, тромбоцитов в крови, дифференцированный подсчет лейкоцитов (лейкоцитарная формула), определение среднего содержания (MCH) и средней конц</w:t>
            </w:r>
            <w:r>
              <w:t xml:space="preserve">ентрации гемоглобина в эритроцитах (MCHC), </w:t>
            </w:r>
          </w:p>
          <w:p w:rsidR="001F12F1" w:rsidRDefault="0013705F">
            <w:pPr>
              <w:spacing w:after="0" w:line="259" w:lineRule="auto"/>
              <w:ind w:left="0" w:firstLine="0"/>
              <w:jc w:val="left"/>
            </w:pPr>
            <w:r>
              <w:t xml:space="preserve">исследование скорости оседания эритроцитов)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12F1" w:rsidRDefault="0013705F">
            <w:pPr>
              <w:spacing w:after="0" w:line="259" w:lineRule="auto"/>
              <w:ind w:left="0" w:right="63" w:firstLine="0"/>
              <w:jc w:val="center"/>
            </w:pPr>
            <w:r>
              <w:rPr>
                <w:b/>
              </w:rPr>
              <w:t>Да/нет</w:t>
            </w:r>
            <w:r>
              <w:t xml:space="preserve"> </w:t>
            </w:r>
          </w:p>
        </w:tc>
      </w:tr>
    </w:tbl>
    <w:p w:rsidR="001F12F1" w:rsidRDefault="0013705F">
      <w:pPr>
        <w:pStyle w:val="Heading1"/>
        <w:spacing w:after="195"/>
        <w:ind w:left="711" w:right="708"/>
      </w:pPr>
      <w:r>
        <w:t xml:space="preserve">Список литературы </w:t>
      </w:r>
    </w:p>
    <w:p w:rsidR="001F12F1" w:rsidRDefault="0013705F">
      <w:pPr>
        <w:numPr>
          <w:ilvl w:val="0"/>
          <w:numId w:val="17"/>
        </w:numPr>
        <w:ind w:hanging="641"/>
      </w:pPr>
      <w:r>
        <w:t>M. M. McGovern, R. Avetisyan, B.-</w:t>
      </w:r>
      <w:r>
        <w:t xml:space="preserve">J. Sanson, and O. Lidove, “Disease manifestations and burden of illness in patients with acid sphingomyelinase deficiency (ASMD),” </w:t>
      </w:r>
      <w:r>
        <w:rPr>
          <w:i/>
        </w:rPr>
        <w:t>Orphanet J Rare Dis</w:t>
      </w:r>
      <w:r>
        <w:t xml:space="preserve">, vol. 12, no. 1, p. 41, Dec. 2017, doi: 10.1186/s13023-017-0572-x. </w:t>
      </w:r>
    </w:p>
    <w:p w:rsidR="001F12F1" w:rsidRDefault="0013705F">
      <w:pPr>
        <w:numPr>
          <w:ilvl w:val="0"/>
          <w:numId w:val="17"/>
        </w:numPr>
        <w:spacing w:after="38"/>
        <w:ind w:hanging="641"/>
      </w:pPr>
      <w:r>
        <w:t>M. P. Wasserstein and E. H. Schuchman</w:t>
      </w:r>
      <w:r>
        <w:t xml:space="preserve">, </w:t>
      </w:r>
      <w:r>
        <w:rPr>
          <w:i/>
        </w:rPr>
        <w:t>Acid Sphingomyelinase Deficiency</w:t>
      </w:r>
      <w:r>
        <w:t xml:space="preserve">. 1993. </w:t>
      </w:r>
    </w:p>
    <w:p w:rsidR="001F12F1" w:rsidRDefault="0013705F">
      <w:pPr>
        <w:numPr>
          <w:ilvl w:val="0"/>
          <w:numId w:val="17"/>
        </w:numPr>
        <w:ind w:hanging="641"/>
      </w:pPr>
      <w:r>
        <w:t xml:space="preserve">Кузенкова Л. М. и др., “100 лет болезни Ниманна-Пика: что нового?” </w:t>
      </w:r>
      <w:r>
        <w:rPr>
          <w:i/>
        </w:rPr>
        <w:t>Эффективная фармакотерапия</w:t>
      </w:r>
      <w:r>
        <w:t xml:space="preserve">, no. 3, pp. 10–15, 2015. </w:t>
      </w:r>
    </w:p>
    <w:p w:rsidR="001F12F1" w:rsidRDefault="0013705F">
      <w:pPr>
        <w:numPr>
          <w:ilvl w:val="0"/>
          <w:numId w:val="17"/>
        </w:numPr>
        <w:spacing w:after="35"/>
        <w:ind w:hanging="641"/>
      </w:pPr>
      <w:r>
        <w:t>Geberhiwot T, Wasserstein M, Wanninayake S, et al. Consensus clinical management guidelines f</w:t>
      </w:r>
      <w:r>
        <w:t xml:space="preserve">or acid sphingomyelinase deficiency (Niemann-Pick disease types A, B and A/B). Orphanet J Rare Dis. 2023;18(1):85. Published 2023 Apr 17. doi:10.1186/s13023-023-02686-6. </w:t>
      </w:r>
    </w:p>
    <w:p w:rsidR="001F12F1" w:rsidRDefault="0013705F">
      <w:pPr>
        <w:numPr>
          <w:ilvl w:val="0"/>
          <w:numId w:val="17"/>
        </w:numPr>
        <w:ind w:hanging="641"/>
      </w:pPr>
      <w:r>
        <w:t>C. Pinto, D. Sousa, V. Ghilas, A. Dardis, M. Scarpa, and M. Macedo, “Acid Sphingomyel</w:t>
      </w:r>
      <w:r>
        <w:t xml:space="preserve">inase Deficiency: A Clinical and Immunological Perspective,” </w:t>
      </w:r>
      <w:r>
        <w:rPr>
          <w:i/>
        </w:rPr>
        <w:t>Int J Mol Sci</w:t>
      </w:r>
      <w:r>
        <w:t xml:space="preserve">, vol. 22, no. 23, p. 12870, Nov. 2021, doi: 10.3390/ijms222312870. </w:t>
      </w:r>
    </w:p>
    <w:p w:rsidR="001F12F1" w:rsidRDefault="0013705F">
      <w:pPr>
        <w:numPr>
          <w:ilvl w:val="0"/>
          <w:numId w:val="17"/>
        </w:numPr>
        <w:ind w:hanging="641"/>
      </w:pPr>
      <w:r>
        <w:t>X. Sagaert, T. Tousseyn, G. De Hertogh, and K. Geboes, “Macrophage-related diseases of the gut: a pathologist’s p</w:t>
      </w:r>
      <w:r>
        <w:t xml:space="preserve">erspective,” </w:t>
      </w:r>
      <w:r>
        <w:rPr>
          <w:i/>
        </w:rPr>
        <w:t>Virchows Archiv</w:t>
      </w:r>
      <w:r>
        <w:t xml:space="preserve">, vol. 460, no. 6, pp. 555–567, Jun. 2012, doi: 10.1007/s00428-012-1244-9. </w:t>
      </w:r>
    </w:p>
    <w:p w:rsidR="001F12F1" w:rsidRDefault="0013705F">
      <w:pPr>
        <w:numPr>
          <w:ilvl w:val="0"/>
          <w:numId w:val="17"/>
        </w:numPr>
        <w:ind w:hanging="641"/>
      </w:pPr>
      <w:r>
        <w:t xml:space="preserve">P. D. Stenson </w:t>
      </w:r>
      <w:r>
        <w:rPr>
          <w:i/>
        </w:rPr>
        <w:t>et al.</w:t>
      </w:r>
      <w:r>
        <w:t xml:space="preserve">, “The Human Gene Mutation Database (HGMD®): optimizing its use in a clinical diagnostic or research setting,” </w:t>
      </w:r>
      <w:r>
        <w:rPr>
          <w:i/>
        </w:rPr>
        <w:t>Hum Genet</w:t>
      </w:r>
      <w:r>
        <w:t xml:space="preserve">, vol. 139, </w:t>
      </w:r>
      <w:r>
        <w:t xml:space="preserve">no. 10, pp. 1197–1207, Oct. 2020, doi: 10.1007/s00439-020-02199-3. </w:t>
      </w:r>
    </w:p>
    <w:p w:rsidR="001F12F1" w:rsidRDefault="0013705F">
      <w:pPr>
        <w:numPr>
          <w:ilvl w:val="0"/>
          <w:numId w:val="17"/>
        </w:numPr>
        <w:ind w:hanging="641"/>
      </w:pPr>
      <w:r>
        <w:t xml:space="preserve">M. J. Landrum </w:t>
      </w:r>
      <w:r>
        <w:rPr>
          <w:i/>
        </w:rPr>
        <w:t>et al.</w:t>
      </w:r>
      <w:r>
        <w:t xml:space="preserve">, “ClinVar: public archive of relationships among sequence variation and human phenotype.,” </w:t>
      </w:r>
      <w:r>
        <w:rPr>
          <w:i/>
        </w:rPr>
        <w:t>Nucleic Acids Res</w:t>
      </w:r>
      <w:r>
        <w:t xml:space="preserve">, vol. 42, no. Database issue, pp. D980-5, Jan. 2014, doi: </w:t>
      </w:r>
    </w:p>
    <w:p w:rsidR="001F12F1" w:rsidRDefault="0013705F">
      <w:pPr>
        <w:spacing w:after="32"/>
        <w:ind w:left="651"/>
      </w:pPr>
      <w:r>
        <w:t xml:space="preserve">10.1093/nar/gkt1113. </w:t>
      </w:r>
    </w:p>
    <w:p w:rsidR="001F12F1" w:rsidRDefault="0013705F">
      <w:pPr>
        <w:numPr>
          <w:ilvl w:val="0"/>
          <w:numId w:val="17"/>
        </w:numPr>
        <w:ind w:hanging="641"/>
      </w:pPr>
      <w:r>
        <w:t xml:space="preserve">E. H. Schuchman, “The pathogenesis and treatment of acid sphingomyelinase‐deficient Niemann–Pick disease,” </w:t>
      </w:r>
      <w:r>
        <w:rPr>
          <w:i/>
        </w:rPr>
        <w:t>J Inherit Metab Dis</w:t>
      </w:r>
      <w:r>
        <w:t xml:space="preserve">, vol. 30, no. 5, pp. 654–663, Oct. 2007, doi: 10.1007/s10545-007-0632-9. </w:t>
      </w:r>
    </w:p>
    <w:p w:rsidR="001F12F1" w:rsidRDefault="0013705F">
      <w:pPr>
        <w:numPr>
          <w:ilvl w:val="0"/>
          <w:numId w:val="17"/>
        </w:numPr>
        <w:spacing w:after="30"/>
        <w:ind w:hanging="641"/>
      </w:pPr>
      <w:r>
        <w:t>E. H. Schuchman and S. R. Mirand</w:t>
      </w:r>
      <w:r>
        <w:t xml:space="preserve">a, “Niemann-Pick disease: mutation update, genotype/phenotype correlations, and prospects for genetic testing.,” </w:t>
      </w:r>
      <w:r>
        <w:rPr>
          <w:i/>
        </w:rPr>
        <w:t>Genet Test</w:t>
      </w:r>
      <w:r>
        <w:t xml:space="preserve">, vol. 1, no. 1, pp. 13–9, 1997, doi: 10.1089/gte.1997.1.13. </w:t>
      </w:r>
    </w:p>
    <w:p w:rsidR="001F12F1" w:rsidRDefault="0013705F">
      <w:pPr>
        <w:numPr>
          <w:ilvl w:val="0"/>
          <w:numId w:val="17"/>
        </w:numPr>
        <w:spacing w:after="27"/>
        <w:ind w:hanging="641"/>
      </w:pPr>
      <w:r>
        <w:t xml:space="preserve">“https://www.orpha.net/en/disease/detail/618899.” </w:t>
      </w:r>
    </w:p>
    <w:p w:rsidR="001F12F1" w:rsidRDefault="0013705F">
      <w:pPr>
        <w:numPr>
          <w:ilvl w:val="0"/>
          <w:numId w:val="17"/>
        </w:numPr>
        <w:ind w:hanging="641"/>
      </w:pPr>
      <w:r>
        <w:t xml:space="preserve">C. E. M. Hollak </w:t>
      </w:r>
      <w:r>
        <w:rPr>
          <w:i/>
        </w:rPr>
        <w:t>et al.</w:t>
      </w:r>
      <w:r>
        <w:t xml:space="preserve">, “Acid sphingomyelinase (Asm) deficiency patients in The Netherlands and Belgium: disease spectrum and natural course in attenuated patients.,” </w:t>
      </w:r>
      <w:r>
        <w:rPr>
          <w:i/>
        </w:rPr>
        <w:t>Mol Genet Metab</w:t>
      </w:r>
      <w:r>
        <w:t xml:space="preserve">, vol. 107, no. 3, pp. 526–33, Nov. 2012, doi: 10.1016/j.ymgme.2012.06.015. </w:t>
      </w:r>
    </w:p>
    <w:p w:rsidR="001F12F1" w:rsidRDefault="0013705F">
      <w:pPr>
        <w:numPr>
          <w:ilvl w:val="0"/>
          <w:numId w:val="17"/>
        </w:numPr>
        <w:spacing w:after="33"/>
        <w:ind w:hanging="641"/>
      </w:pPr>
      <w:r>
        <w:t>M. M. McGover</w:t>
      </w:r>
      <w:r>
        <w:t xml:space="preserve">n, A. Aron, S. E. Brodie, R. J. Desnick, and M. P. Wasserstein, “Natural history of Type A Niemann-Pick disease: possible endpoints for therapeutic trials.,” </w:t>
      </w:r>
      <w:r>
        <w:rPr>
          <w:i/>
        </w:rPr>
        <w:t>Neurology</w:t>
      </w:r>
      <w:r>
        <w:t xml:space="preserve">, vol. 66, no. 2, pp. 228–32, Jan. 2006, doi: 10.1212/01.wnl.0000194208.08904.0c. </w:t>
      </w:r>
    </w:p>
    <w:p w:rsidR="001F12F1" w:rsidRDefault="0013705F">
      <w:pPr>
        <w:numPr>
          <w:ilvl w:val="0"/>
          <w:numId w:val="17"/>
        </w:numPr>
        <w:spacing w:after="0" w:line="278" w:lineRule="auto"/>
        <w:ind w:hanging="641"/>
      </w:pPr>
      <w:r>
        <w:t>Захаро</w:t>
      </w:r>
      <w:r>
        <w:t xml:space="preserve">ва Е.Ю., Петрухин А.С., Михайлова С.В., </w:t>
      </w:r>
      <w:r>
        <w:rPr>
          <w:i/>
        </w:rPr>
        <w:t>Нейрометаболические заболевания у детей и подростков. Диагностика и подходы к лечению.</w:t>
      </w:r>
      <w:r>
        <w:t xml:space="preserve"> М.: Литтерра, 2011. </w:t>
      </w:r>
    </w:p>
    <w:p w:rsidR="001F12F1" w:rsidRDefault="0013705F">
      <w:pPr>
        <w:numPr>
          <w:ilvl w:val="0"/>
          <w:numId w:val="17"/>
        </w:numPr>
        <w:ind w:hanging="641"/>
      </w:pPr>
      <w:r>
        <w:t xml:space="preserve">H. Pavlů-Pereira </w:t>
      </w:r>
      <w:r>
        <w:rPr>
          <w:i/>
        </w:rPr>
        <w:t>et al.</w:t>
      </w:r>
      <w:r>
        <w:t>, “Acid sphingomyelinase deficiency. Phenotype variability with prevalence of interme</w:t>
      </w:r>
      <w:r>
        <w:t xml:space="preserve">diate phenotype in a series of twenty-five Czech and Slovak patients. A multi-approach study.,” </w:t>
      </w:r>
      <w:r>
        <w:rPr>
          <w:i/>
        </w:rPr>
        <w:t>J Inherit Metab Dis</w:t>
      </w:r>
      <w:r>
        <w:t xml:space="preserve">, vol. 28, no. 2, pp. 203–27, 2005, doi: 10.1007/s10545-005-5671-5. </w:t>
      </w:r>
    </w:p>
    <w:p w:rsidR="001F12F1" w:rsidRDefault="0013705F">
      <w:pPr>
        <w:numPr>
          <w:ilvl w:val="0"/>
          <w:numId w:val="17"/>
        </w:numPr>
        <w:ind w:hanging="641"/>
      </w:pPr>
      <w:r>
        <w:t>M. P. Wasserstein, A. Aron, S. E. Brodie, C. Simonaro, R. J. Desnick, an</w:t>
      </w:r>
      <w:r>
        <w:t xml:space="preserve">d M. M. McGovern, “Acid sphingomyelinase deficiency: prevalence and characterization of an intermediate phenotype of Niemann-Pick disease.,” </w:t>
      </w:r>
      <w:r>
        <w:rPr>
          <w:i/>
        </w:rPr>
        <w:t>J Pediatr</w:t>
      </w:r>
      <w:r>
        <w:t xml:space="preserve">, vol. 149, no. 4, pp. 554–9, Oct. 2006, doi: 10.1016/j.jpeds.2006.06.034. </w:t>
      </w:r>
    </w:p>
    <w:p w:rsidR="001F12F1" w:rsidRDefault="0013705F">
      <w:pPr>
        <w:numPr>
          <w:ilvl w:val="0"/>
          <w:numId w:val="17"/>
        </w:numPr>
        <w:ind w:hanging="641"/>
      </w:pPr>
      <w:r>
        <w:t xml:space="preserve">M. M. McGovern </w:t>
      </w:r>
      <w:r>
        <w:rPr>
          <w:i/>
        </w:rPr>
        <w:t>et al.</w:t>
      </w:r>
      <w:r>
        <w:t xml:space="preserve">, “Consensus recommendation for a diagnostic guideline for acid sphingomyelinase deficiency.,” </w:t>
      </w:r>
      <w:r>
        <w:rPr>
          <w:i/>
        </w:rPr>
        <w:t>Genet Med</w:t>
      </w:r>
      <w:r>
        <w:t xml:space="preserve">, vol. 19, no. 9, pp. 967–974, Sep. 2017, doi: 10.1038/gim.2017.7. </w:t>
      </w:r>
    </w:p>
    <w:p w:rsidR="001F12F1" w:rsidRDefault="0013705F">
      <w:pPr>
        <w:numPr>
          <w:ilvl w:val="0"/>
          <w:numId w:val="17"/>
        </w:numPr>
        <w:ind w:hanging="641"/>
      </w:pPr>
      <w:r>
        <w:t xml:space="preserve">C. S. Elbin </w:t>
      </w:r>
      <w:r>
        <w:rPr>
          <w:i/>
        </w:rPr>
        <w:t>et al.</w:t>
      </w:r>
      <w:r>
        <w:t xml:space="preserve">, “The effect of preparation, storage and shipping of dried blood </w:t>
      </w:r>
      <w:r>
        <w:t xml:space="preserve">spots on the activity of five lysosomal enzymes.,” </w:t>
      </w:r>
      <w:r>
        <w:rPr>
          <w:i/>
        </w:rPr>
        <w:t>Clin Chim Acta</w:t>
      </w:r>
      <w:r>
        <w:t xml:space="preserve">, vol. 412, no. 13–14, pp. 1207–12, Jun. 2011, doi: 10.1016/j.cca.2011.03.012. </w:t>
      </w:r>
    </w:p>
    <w:p w:rsidR="001F12F1" w:rsidRDefault="0013705F">
      <w:pPr>
        <w:numPr>
          <w:ilvl w:val="0"/>
          <w:numId w:val="17"/>
        </w:numPr>
        <w:ind w:hanging="641"/>
      </w:pPr>
      <w:r>
        <w:t>Z. Dastani, I. L. Ruel, J. C. Engert, J. Genest, and M. Marcil, “Sphingomyelin phosphodiesterase-1 (SMPD1) codi</w:t>
      </w:r>
      <w:r>
        <w:t xml:space="preserve">ng variants do not contribute to low levels of high-density lipoprotein cholesterol,” </w:t>
      </w:r>
      <w:r>
        <w:rPr>
          <w:i/>
        </w:rPr>
        <w:t>BMC Med Genet</w:t>
      </w:r>
      <w:r>
        <w:t xml:space="preserve">, vol. 8, no. 1, p. 79, Dec. 2007, doi: 10.1186/14712350-8-79. </w:t>
      </w:r>
    </w:p>
    <w:p w:rsidR="001F12F1" w:rsidRDefault="0013705F">
      <w:pPr>
        <w:numPr>
          <w:ilvl w:val="0"/>
          <w:numId w:val="17"/>
        </w:numPr>
        <w:ind w:hanging="641"/>
      </w:pPr>
      <w:r>
        <w:t xml:space="preserve">M. P. Wasserstein </w:t>
      </w:r>
      <w:r>
        <w:rPr>
          <w:i/>
        </w:rPr>
        <w:t>et al.</w:t>
      </w:r>
      <w:r>
        <w:t>, “The natural history of type B Niemann-Pick disease: results from a</w:t>
      </w:r>
      <w:r>
        <w:t xml:space="preserve"> 10-year longitudinal study.,” </w:t>
      </w:r>
      <w:r>
        <w:rPr>
          <w:i/>
        </w:rPr>
        <w:t>Pediatrics</w:t>
      </w:r>
      <w:r>
        <w:t xml:space="preserve">, vol. 114, no. 6, pp. e672-7, Dec. 2004, doi: 10.1542/peds.2004-0887. </w:t>
      </w:r>
    </w:p>
    <w:p w:rsidR="001F12F1" w:rsidRDefault="0013705F">
      <w:pPr>
        <w:numPr>
          <w:ilvl w:val="0"/>
          <w:numId w:val="17"/>
        </w:numPr>
        <w:ind w:hanging="641"/>
      </w:pPr>
      <w:r>
        <w:t xml:space="preserve">H. Ishii </w:t>
      </w:r>
      <w:r>
        <w:rPr>
          <w:i/>
        </w:rPr>
        <w:t>et al.</w:t>
      </w:r>
      <w:r>
        <w:t xml:space="preserve">, “Acid sphingomyelinase deficiency: cardiac dysfunction and characteristic findings of the coronary arteries.,” </w:t>
      </w:r>
      <w:r>
        <w:rPr>
          <w:i/>
        </w:rPr>
        <w:t>J Inherit Metab</w:t>
      </w:r>
      <w:r>
        <w:rPr>
          <w:i/>
        </w:rPr>
        <w:t xml:space="preserve"> Dis</w:t>
      </w:r>
      <w:r>
        <w:t xml:space="preserve">, vol. 29, no. 1, pp. 232–4, Feb. 2006, doi: </w:t>
      </w:r>
    </w:p>
    <w:p w:rsidR="001F12F1" w:rsidRDefault="0013705F">
      <w:pPr>
        <w:ind w:left="651"/>
      </w:pPr>
      <w:r>
        <w:t xml:space="preserve">10.1007/s10545-006-0226-y. </w:t>
      </w:r>
    </w:p>
    <w:p w:rsidR="001F12F1" w:rsidRDefault="0013705F">
      <w:pPr>
        <w:numPr>
          <w:ilvl w:val="0"/>
          <w:numId w:val="17"/>
        </w:numPr>
        <w:ind w:hanging="641"/>
      </w:pPr>
      <w:r>
        <w:t xml:space="preserve">M. M. McGovern </w:t>
      </w:r>
      <w:r>
        <w:rPr>
          <w:i/>
        </w:rPr>
        <w:t>et al.</w:t>
      </w:r>
      <w:r>
        <w:t xml:space="preserve">, “Lipid abnormalities in children with types A and B Niemann Pick disease.,” </w:t>
      </w:r>
      <w:r>
        <w:rPr>
          <w:i/>
        </w:rPr>
        <w:t>J Pediatr</w:t>
      </w:r>
      <w:r>
        <w:t>, vol. 145, no. 1, pp. 77–81, Jul. 2004, doi: 10.1016/j.jpeds.2004.02.</w:t>
      </w:r>
      <w:r>
        <w:t xml:space="preserve">048. </w:t>
      </w:r>
    </w:p>
    <w:p w:rsidR="001F12F1" w:rsidRDefault="0013705F">
      <w:pPr>
        <w:numPr>
          <w:ilvl w:val="0"/>
          <w:numId w:val="17"/>
        </w:numPr>
        <w:ind w:hanging="641"/>
      </w:pPr>
      <w:r>
        <w:t xml:space="preserve">M. P. Wasserstein </w:t>
      </w:r>
      <w:r>
        <w:rPr>
          <w:i/>
        </w:rPr>
        <w:t>et al.</w:t>
      </w:r>
      <w:r>
        <w:t xml:space="preserve">, “Successful within-patient dose escalation of olipudase alfa in acid sphingomyelinase deficiency.,” </w:t>
      </w:r>
      <w:r>
        <w:rPr>
          <w:i/>
        </w:rPr>
        <w:t>Mol Genet Metab</w:t>
      </w:r>
      <w:r>
        <w:t xml:space="preserve">, vol. 116, no. 1–2, pp. 88–97, 2015, doi: </w:t>
      </w:r>
    </w:p>
    <w:p w:rsidR="001F12F1" w:rsidRDefault="0013705F">
      <w:pPr>
        <w:ind w:left="651"/>
      </w:pPr>
      <w:r>
        <w:t xml:space="preserve">10.1016/j.ymgme.2015.05.013. </w:t>
      </w:r>
    </w:p>
    <w:p w:rsidR="001F12F1" w:rsidRDefault="0013705F">
      <w:pPr>
        <w:numPr>
          <w:ilvl w:val="0"/>
          <w:numId w:val="17"/>
        </w:numPr>
        <w:ind w:hanging="641"/>
      </w:pPr>
      <w:r>
        <w:t xml:space="preserve">D. S. Mendelson </w:t>
      </w:r>
      <w:r>
        <w:rPr>
          <w:i/>
        </w:rPr>
        <w:t>et al.</w:t>
      </w:r>
      <w:r>
        <w:t>, “Type B Nie</w:t>
      </w:r>
      <w:r>
        <w:t xml:space="preserve">mann-Pick disease: findings at chest radiography, thinsection CT, and pulmonary function testing.,” </w:t>
      </w:r>
      <w:r>
        <w:rPr>
          <w:i/>
        </w:rPr>
        <w:t>Radiology</w:t>
      </w:r>
      <w:r>
        <w:t xml:space="preserve">, vol. 238, no. 1, pp. 339–45, Jan. 2006, doi: 10.1148/radiol.2381041696. </w:t>
      </w:r>
    </w:p>
    <w:p w:rsidR="001F12F1" w:rsidRDefault="0013705F">
      <w:pPr>
        <w:numPr>
          <w:ilvl w:val="0"/>
          <w:numId w:val="17"/>
        </w:numPr>
        <w:ind w:hanging="641"/>
      </w:pPr>
      <w:r>
        <w:t xml:space="preserve">A. G. Nicholson </w:t>
      </w:r>
      <w:r>
        <w:rPr>
          <w:i/>
        </w:rPr>
        <w:t>et al.</w:t>
      </w:r>
      <w:r>
        <w:t xml:space="preserve">, “Pulmonary involvement by Niemann-Pick disease. </w:t>
      </w:r>
      <w:r>
        <w:t xml:space="preserve">A report of six cases.,” </w:t>
      </w:r>
      <w:r>
        <w:rPr>
          <w:i/>
        </w:rPr>
        <w:t>Histopathology</w:t>
      </w:r>
      <w:r>
        <w:t xml:space="preserve">, vol. 48, no. 5, pp. 596–603, Apr. 2006, doi: 10.1111/j.13652559.2006.02355.x. </w:t>
      </w:r>
    </w:p>
    <w:p w:rsidR="001F12F1" w:rsidRDefault="0013705F">
      <w:pPr>
        <w:numPr>
          <w:ilvl w:val="0"/>
          <w:numId w:val="17"/>
        </w:numPr>
        <w:ind w:hanging="641"/>
      </w:pPr>
      <w:r>
        <w:t xml:space="preserve">M. M. McGovern, N. Lippa, E. Bagiella, E. H. Schuchman, R. J. Desnick, and M. P. Wasserstein, </w:t>
      </w:r>
    </w:p>
    <w:p w:rsidR="001F12F1" w:rsidRDefault="0013705F">
      <w:pPr>
        <w:ind w:left="651"/>
      </w:pPr>
      <w:r>
        <w:t>“Morbidity and mortality in type B Nieman</w:t>
      </w:r>
      <w:r>
        <w:t xml:space="preserve">n-Pick disease.,” </w:t>
      </w:r>
      <w:r>
        <w:rPr>
          <w:i/>
        </w:rPr>
        <w:t>Genet Med</w:t>
      </w:r>
      <w:r>
        <w:t xml:space="preserve">, vol. 15, no. 8, pp. 618– 23, Aug. 2013, doi: 10.1038/gim.2013.4. </w:t>
      </w:r>
    </w:p>
    <w:p w:rsidR="001F12F1" w:rsidRDefault="0013705F">
      <w:pPr>
        <w:numPr>
          <w:ilvl w:val="0"/>
          <w:numId w:val="17"/>
        </w:numPr>
        <w:ind w:hanging="641"/>
      </w:pPr>
      <w:r>
        <w:t>Wasserstein M, Lachmann R, Hollak C, et al. A randomized, placebo-controlled clinical trial evaluating olipudase alfa enzyme replacement therapy for chronic acid</w:t>
      </w:r>
      <w:r>
        <w:t xml:space="preserve"> sphingomyelinase deficiency (ASMD) in adults: One-year results. Genet Med. 2022;24(7):1425-1436. doi:10.1016/j.gim.2022.03.021 </w:t>
      </w:r>
    </w:p>
    <w:p w:rsidR="001F12F1" w:rsidRDefault="0013705F">
      <w:pPr>
        <w:numPr>
          <w:ilvl w:val="0"/>
          <w:numId w:val="17"/>
        </w:numPr>
        <w:ind w:hanging="641"/>
      </w:pPr>
      <w:r>
        <w:t xml:space="preserve">M. M. McGovern </w:t>
      </w:r>
      <w:r>
        <w:rPr>
          <w:i/>
        </w:rPr>
        <w:t>et al.</w:t>
      </w:r>
      <w:r>
        <w:t>, “Novel first-dose adverse drug reactions during a phase I trial of olipudase alfa (recombinant human aci</w:t>
      </w:r>
      <w:r>
        <w:t xml:space="preserve">d sphingomyelinase) in adults with Niemann-Pick disease type B (acid sphingomyelinase deficiency).,” </w:t>
      </w:r>
      <w:r>
        <w:rPr>
          <w:i/>
        </w:rPr>
        <w:t>Genet Med</w:t>
      </w:r>
      <w:r>
        <w:t xml:space="preserve">, vol. 18, no. 1, pp. 34–40, Jan. 2016, doi: 10.1038/gim.2015.24. </w:t>
      </w:r>
    </w:p>
    <w:p w:rsidR="001F12F1" w:rsidRDefault="0013705F">
      <w:pPr>
        <w:numPr>
          <w:ilvl w:val="0"/>
          <w:numId w:val="17"/>
        </w:numPr>
        <w:ind w:hanging="641"/>
      </w:pPr>
      <w:r>
        <w:t xml:space="preserve">S. J. Keam, “Olipudase Alfa: First Approval,” </w:t>
      </w:r>
      <w:r>
        <w:rPr>
          <w:i/>
        </w:rPr>
        <w:t>Drugs</w:t>
      </w:r>
      <w:r>
        <w:t>, vol. 82, no. 8, pp. 941–94</w:t>
      </w:r>
      <w:r>
        <w:t xml:space="preserve">7, Jun. 2022, doi: 10.1007/s40265-022-01727-x. </w:t>
      </w:r>
    </w:p>
    <w:p w:rsidR="001F12F1" w:rsidRDefault="0013705F">
      <w:pPr>
        <w:numPr>
          <w:ilvl w:val="0"/>
          <w:numId w:val="17"/>
        </w:numPr>
        <w:ind w:hanging="641"/>
      </w:pPr>
      <w:r>
        <w:t>Diaz GA, Giugliani R, Guffon N, et al. Long-term safety and clinical outcomes of olipudase alfa enzyme replacement therapy in pediatric patients with acid sphingomyelinase deficiency: twoyear results [publish</w:t>
      </w:r>
      <w:r>
        <w:t xml:space="preserve">ed correction appears in Orphanet J Rare Dis. 2023 Mar 14;18(1):55. doi: </w:t>
      </w:r>
    </w:p>
    <w:p w:rsidR="001F12F1" w:rsidRDefault="0013705F">
      <w:pPr>
        <w:ind w:left="651"/>
      </w:pPr>
      <w:r>
        <w:t xml:space="preserve">10.1186/s13023-023-02647-z]. Orphanet J Rare Dis. 2022;17(1):437. Published 2022 Dec 14. doi:10.1186/s13023-022-02587-0 </w:t>
      </w:r>
    </w:p>
    <w:p w:rsidR="001F12F1" w:rsidRDefault="0013705F">
      <w:pPr>
        <w:numPr>
          <w:ilvl w:val="0"/>
          <w:numId w:val="17"/>
        </w:numPr>
        <w:ind w:hanging="641"/>
      </w:pPr>
      <w:r>
        <w:t xml:space="preserve">M. P. Wasserstein </w:t>
      </w:r>
      <w:r>
        <w:rPr>
          <w:i/>
        </w:rPr>
        <w:t>et al.</w:t>
      </w:r>
      <w:r>
        <w:t xml:space="preserve">, “Olipudase alfa for treatment of acid sphingomyelinase deficiency (ASMD): safety and efficacy in adults treated for 30 months,” </w:t>
      </w:r>
      <w:r>
        <w:rPr>
          <w:i/>
        </w:rPr>
        <w:t>J Inherit Metab Dis</w:t>
      </w:r>
      <w:r>
        <w:t xml:space="preserve">, vol. 41, no. 5, pp. 829–838, Sep. 2018, doi: 10.1007/s10545-017-0123-6. </w:t>
      </w:r>
    </w:p>
    <w:p w:rsidR="001F12F1" w:rsidRDefault="0013705F">
      <w:pPr>
        <w:numPr>
          <w:ilvl w:val="0"/>
          <w:numId w:val="17"/>
        </w:numPr>
        <w:ind w:hanging="641"/>
      </w:pPr>
      <w:r>
        <w:t xml:space="preserve">G. A. Diaz </w:t>
      </w:r>
      <w:r>
        <w:rPr>
          <w:i/>
        </w:rPr>
        <w:t>et al.</w:t>
      </w:r>
      <w:r>
        <w:t>, “One-year res</w:t>
      </w:r>
      <w:r>
        <w:t xml:space="preserve">ults of a clinical trial of olipudase alfa enzyme replacement therapy in pediatric patients with acid sphingomyelinase deficiency,” </w:t>
      </w:r>
      <w:r>
        <w:rPr>
          <w:i/>
        </w:rPr>
        <w:t>Genetics in Medicine</w:t>
      </w:r>
      <w:r>
        <w:t xml:space="preserve">, vol. 23, no. 8, pp. 1543–1550, Aug. 2021, doi: 10.1038/s41436-021-01156-3. </w:t>
      </w:r>
    </w:p>
    <w:p w:rsidR="001F12F1" w:rsidRDefault="0013705F">
      <w:pPr>
        <w:numPr>
          <w:ilvl w:val="0"/>
          <w:numId w:val="17"/>
        </w:numPr>
        <w:ind w:hanging="641"/>
      </w:pPr>
      <w:r>
        <w:t xml:space="preserve">E. H. Schuchman and R. J. </w:t>
      </w:r>
      <w:r>
        <w:t xml:space="preserve">Desnick, “Types A and B Niemann-Pick disease,” </w:t>
      </w:r>
      <w:r>
        <w:rPr>
          <w:i/>
        </w:rPr>
        <w:t>Mol Genet Metab</w:t>
      </w:r>
      <w:r>
        <w:t xml:space="preserve">, vol. 120, no. 1–2, pp. 27–33, Jan. 2017, doi: 10.1016/j.ymgme.2016.12.008. </w:t>
      </w:r>
    </w:p>
    <w:p w:rsidR="001F12F1" w:rsidRDefault="0013705F">
      <w:pPr>
        <w:numPr>
          <w:ilvl w:val="0"/>
          <w:numId w:val="17"/>
        </w:numPr>
        <w:ind w:hanging="641"/>
      </w:pPr>
      <w:r>
        <w:t xml:space="preserve">Wasserstein, Melissa et al. “Skeletal manifestations in pediatric and adult patients with Niemann Pick disease type </w:t>
      </w:r>
      <w:r>
        <w:t xml:space="preserve">B.” Journal of inherited metabolic disease vol. 36,1 (2013): 123-7. doi:10.1007/s10545-012-9503-0. </w:t>
      </w:r>
    </w:p>
    <w:p w:rsidR="001F12F1" w:rsidRDefault="0013705F">
      <w:pPr>
        <w:numPr>
          <w:ilvl w:val="0"/>
          <w:numId w:val="17"/>
        </w:numPr>
        <w:spacing w:after="29"/>
        <w:ind w:hanging="641"/>
      </w:pPr>
      <w:r>
        <w:t>Volders, P et al. “Niemann-</w:t>
      </w:r>
      <w:r>
        <w:t xml:space="preserve">Pick disease type B: an unusual clinical presentation with multiple vertebral fractures.” American journal of medical genetics vol. 109,1 (2002): 42-51. </w:t>
      </w:r>
    </w:p>
    <w:p w:rsidR="001F12F1" w:rsidRDefault="0013705F">
      <w:pPr>
        <w:ind w:left="651"/>
      </w:pPr>
      <w:r>
        <w:t xml:space="preserve">doi:10.1002/ajmg.10278. </w:t>
      </w:r>
    </w:p>
    <w:p w:rsidR="001F12F1" w:rsidRDefault="0013705F">
      <w:pPr>
        <w:numPr>
          <w:ilvl w:val="0"/>
          <w:numId w:val="17"/>
        </w:numPr>
        <w:ind w:hanging="641"/>
      </w:pPr>
      <w:r>
        <w:t>M.M. McGovern, N. Lippa, E. Bagiella, E.N. Schuchman, R.J. Desnick, M.P. Wass</w:t>
      </w:r>
      <w:r>
        <w:t xml:space="preserve">erstein. Morbidity and mortality in type B Niemann-Pick disease. Genet Med. 2013 Aug;15(8):618-23. </w:t>
      </w:r>
    </w:p>
    <w:p w:rsidR="001F12F1" w:rsidRDefault="0013705F">
      <w:pPr>
        <w:ind w:left="651"/>
      </w:pPr>
      <w:r>
        <w:t xml:space="preserve">doi: 10.1038/gim.2013.4.  </w:t>
      </w:r>
    </w:p>
    <w:p w:rsidR="001F12F1" w:rsidRDefault="0013705F">
      <w:pPr>
        <w:numPr>
          <w:ilvl w:val="0"/>
          <w:numId w:val="17"/>
        </w:numPr>
        <w:ind w:hanging="641"/>
      </w:pPr>
      <w:r>
        <w:t>M.M. McGovern, M.P. Wasserstein, R. Giugliani, B. Bembi, M.T. Vanier, E. Mengel, S.E. Brodie, D. Mendelson, G. Skloot, R.J. Desni</w:t>
      </w:r>
      <w:r>
        <w:t xml:space="preserve">ck, N. Kuriyama, G.F. Cox. A prospective, crosssectional survey study of the natural history of Niemann–Pick disease type B. Pediatrics. 2008;122(2):e341–9. </w:t>
      </w:r>
    </w:p>
    <w:p w:rsidR="001F12F1" w:rsidRDefault="0013705F">
      <w:pPr>
        <w:numPr>
          <w:ilvl w:val="0"/>
          <w:numId w:val="17"/>
        </w:numPr>
        <w:ind w:hanging="641"/>
      </w:pPr>
      <w:r>
        <w:t>Eyasu Wakjira Korsa, Samuel Sisay Hailu, Hewan Asfaw et al. Niemann-pick disease with visceral and</w:t>
      </w:r>
      <w:r>
        <w:t xml:space="preserve"> pulmonary involvement in a resource limited setting: A rare case report, Radiology Case Reports, Volume 20, Issue 3, 2025, Pages 1456-1460, ISSN 1930-0433, </w:t>
      </w:r>
      <w:hyperlink r:id="rId13">
        <w:r>
          <w:rPr>
            <w:color w:val="0000FF"/>
            <w:u w:val="single" w:color="0000FF"/>
          </w:rPr>
          <w:t>https://doi.org/10.1016/j.radcr.2024</w:t>
        </w:r>
        <w:r>
          <w:rPr>
            <w:color w:val="0000FF"/>
            <w:u w:val="single" w:color="0000FF"/>
          </w:rPr>
          <w:t>.11.021</w:t>
        </w:r>
      </w:hyperlink>
      <w:hyperlink r:id="rId14">
        <w:r>
          <w:t>.</w:t>
        </w:r>
      </w:hyperlink>
      <w:r>
        <w:t xml:space="preserve"> </w:t>
      </w:r>
    </w:p>
    <w:p w:rsidR="001F12F1" w:rsidRDefault="0013705F">
      <w:pPr>
        <w:numPr>
          <w:ilvl w:val="0"/>
          <w:numId w:val="17"/>
        </w:numPr>
        <w:ind w:hanging="641"/>
      </w:pPr>
      <w:r>
        <w:t xml:space="preserve">A Case Report on Niemann-Pick Disease Type A: Clinical Features and Management By Docquity May 30, 2024 </w:t>
      </w:r>
    </w:p>
    <w:p w:rsidR="001F12F1" w:rsidRDefault="0013705F">
      <w:pPr>
        <w:numPr>
          <w:ilvl w:val="0"/>
          <w:numId w:val="17"/>
        </w:numPr>
        <w:ind w:hanging="641"/>
      </w:pPr>
      <w:r>
        <w:t>Gopalaswamy V, Madhyastha SP, Acharya R, Manohar C. Portal hypertension: not a</w:t>
      </w:r>
      <w:r>
        <w:t xml:space="preserve"> common Niemann. BMJ Case Rep. 2019 Dec 5;12(12):e232660. doi: 10.1136/bcr-2019-232660. PMID: 31811098; PMCID: PMC6904207. </w:t>
      </w:r>
    </w:p>
    <w:p w:rsidR="001F12F1" w:rsidRDefault="0013705F">
      <w:pPr>
        <w:numPr>
          <w:ilvl w:val="0"/>
          <w:numId w:val="17"/>
        </w:numPr>
        <w:ind w:hanging="641"/>
      </w:pPr>
      <w:r>
        <w:t>Virmani S., Papafragakis H., Martin P. A Case of Portal Hypertension in Niemann-Pick Disease: 827. American Journal of Gastroenterol</w:t>
      </w:r>
      <w:r>
        <w:t xml:space="preserve">ogy 105():p S300, October 2010. </w:t>
      </w:r>
    </w:p>
    <w:p w:rsidR="001F12F1" w:rsidRDefault="0013705F">
      <w:pPr>
        <w:numPr>
          <w:ilvl w:val="0"/>
          <w:numId w:val="17"/>
        </w:numPr>
        <w:ind w:hanging="641"/>
      </w:pPr>
      <w:r>
        <w:t>Wasserstein M, Dionisi-Vici C, Giugliani R. et al. Recommendations for clinical monitoring of patients with acid sphingomyelinase deficiency (ASMD). Mol Genet Metab. 2019 Feb;126(2):98-105. doi: 10.1016/j.ymgme.2018.11.014.</w:t>
      </w:r>
      <w:r>
        <w:t xml:space="preserve"> Epub 2018 Nov 29. PMID: 30514648; PMCID: PMC7249497. </w:t>
      </w:r>
    </w:p>
    <w:p w:rsidR="001F12F1" w:rsidRDefault="0013705F">
      <w:pPr>
        <w:numPr>
          <w:ilvl w:val="0"/>
          <w:numId w:val="17"/>
        </w:numPr>
        <w:ind w:hanging="641"/>
      </w:pPr>
      <w:r>
        <w:t xml:space="preserve">Melissa Wasserstein  et al, Recommendations for clinical monitoring of patients with acid sphingomyelinase deficiency (ASMD) Mol Genet Metab . 2019 Feb;126(2):98-105. doi: 10.1016/j.ymgme.2018.11.014. </w:t>
      </w:r>
      <w:r>
        <w:t xml:space="preserve"> </w:t>
      </w:r>
    </w:p>
    <w:p w:rsidR="001F12F1" w:rsidRDefault="0013705F">
      <w:pPr>
        <w:numPr>
          <w:ilvl w:val="0"/>
          <w:numId w:val="17"/>
        </w:numPr>
        <w:ind w:hanging="641"/>
      </w:pPr>
      <w:r>
        <w:t xml:space="preserve">Elizabeth Mileti et al. Management of Portal Hypertension in Children Curr Gastroenterol Rep. </w:t>
      </w:r>
    </w:p>
    <w:p w:rsidR="001F12F1" w:rsidRDefault="0013705F">
      <w:pPr>
        <w:ind w:left="651"/>
      </w:pPr>
      <w:r>
        <w:t xml:space="preserve">2010 Oct 7;13(1):10–16. doi: 10.1007/s11894-010-0151-y </w:t>
      </w:r>
    </w:p>
    <w:p w:rsidR="001F12F1" w:rsidRDefault="0013705F">
      <w:pPr>
        <w:spacing w:after="0" w:line="259" w:lineRule="auto"/>
        <w:ind w:left="0" w:firstLine="0"/>
        <w:jc w:val="left"/>
      </w:pPr>
      <w:r>
        <w:t xml:space="preserve"> </w:t>
      </w:r>
      <w:r>
        <w:tab/>
        <w:t xml:space="preserve"> </w:t>
      </w:r>
      <w:r>
        <w:br w:type="page"/>
      </w:r>
    </w:p>
    <w:p w:rsidR="001F12F1" w:rsidRDefault="0013705F">
      <w:pPr>
        <w:spacing w:after="259" w:line="259" w:lineRule="auto"/>
        <w:ind w:left="0" w:firstLine="0"/>
        <w:jc w:val="left"/>
      </w:pPr>
      <w:r>
        <w:t xml:space="preserve"> </w:t>
      </w:r>
    </w:p>
    <w:p w:rsidR="001F12F1" w:rsidRDefault="0013705F">
      <w:pPr>
        <w:spacing w:after="163" w:line="389" w:lineRule="auto"/>
        <w:ind w:left="3476" w:hanging="2751"/>
      </w:pPr>
      <w:r>
        <w:rPr>
          <w:b/>
          <w:sz w:val="28"/>
        </w:rPr>
        <w:t>Приложение А1. Состав рабочей группы по разработке и пересмотру клинических рекомендаций</w:t>
      </w:r>
      <w:r>
        <w:rPr>
          <w:sz w:val="28"/>
        </w:rPr>
        <w:t xml:space="preserve"> </w:t>
      </w:r>
    </w:p>
    <w:p w:rsidR="001F12F1" w:rsidRDefault="0013705F">
      <w:pPr>
        <w:numPr>
          <w:ilvl w:val="1"/>
          <w:numId w:val="17"/>
        </w:numPr>
        <w:spacing w:line="397" w:lineRule="auto"/>
        <w:ind w:hanging="360"/>
      </w:pPr>
      <w:r>
        <w:rPr>
          <w:b/>
        </w:rPr>
        <w:t>Анисимова Инга Вадимовна</w:t>
      </w:r>
      <w:r>
        <w:t xml:space="preserve"> — к.м.н., врач-генетик ФГБНУ «Медико-генетический научный центр им. академика Н.П. Бочкова», член Ассоциации медицинских генетиков </w:t>
      </w:r>
    </w:p>
    <w:p w:rsidR="001F12F1" w:rsidRDefault="0013705F">
      <w:pPr>
        <w:numPr>
          <w:ilvl w:val="1"/>
          <w:numId w:val="17"/>
        </w:numPr>
        <w:spacing w:line="398" w:lineRule="auto"/>
        <w:ind w:hanging="360"/>
      </w:pPr>
      <w:r>
        <w:rPr>
          <w:b/>
        </w:rPr>
        <w:t>Байдакова Галина Викторовна</w:t>
      </w:r>
      <w:r>
        <w:t xml:space="preserve"> — к.б.н., ведущий научный сотрудник лаборатории наследственных болезней</w:t>
      </w:r>
      <w:r>
        <w:t xml:space="preserve"> обмена ФГБНУ "Медико-генетический научный центр им. академика Н.П. Бочкова", член Российского общества медицинских генетиков </w:t>
      </w:r>
    </w:p>
    <w:p w:rsidR="001F12F1" w:rsidRDefault="0013705F">
      <w:pPr>
        <w:numPr>
          <w:ilvl w:val="1"/>
          <w:numId w:val="17"/>
        </w:numPr>
        <w:spacing w:after="30" w:line="374" w:lineRule="auto"/>
        <w:ind w:hanging="360"/>
      </w:pPr>
      <w:r>
        <w:rPr>
          <w:b/>
        </w:rPr>
        <w:t>Баранов Александр Александрович</w:t>
      </w:r>
      <w:r>
        <w:t xml:space="preserve"> — академик РАН, профессор, д.м.н., Почетный Президент Союза педиатров России, советник руководите</w:t>
      </w:r>
      <w:r>
        <w:t>ля НИИ педиатрии и охраны здоровья детей ФГБНУ «РНЦХ им. акад. Б.В.Петровского», профессор кафедры педиатрии и детской ревматологии ФГАОУ «Первый МГМУ им. И.М. Сеченова» Минздрава России (Сеченовский Университет), главный внештатный специалист педиатр Минз</w:t>
      </w:r>
      <w:r>
        <w:t xml:space="preserve">драва России </w:t>
      </w:r>
    </w:p>
    <w:p w:rsidR="001F12F1" w:rsidRDefault="0013705F">
      <w:pPr>
        <w:numPr>
          <w:ilvl w:val="1"/>
          <w:numId w:val="17"/>
        </w:numPr>
        <w:spacing w:after="41" w:line="367" w:lineRule="auto"/>
        <w:ind w:hanging="360"/>
      </w:pPr>
      <w:r>
        <w:rPr>
          <w:b/>
        </w:rPr>
        <w:t>Вашакмадзе Нато Джумберовна</w:t>
      </w:r>
      <w:r>
        <w:t xml:space="preserve"> — д.м.н., заведующая отделом редких болезней НИИ педиатрии и охраны здоровья детей ФГБНУ «РНЦХ им. акад. Б.В.Петровского», член Союза педиатров России, профессор кафедры факультетской педиатрии педиатрического факу</w:t>
      </w:r>
      <w:r>
        <w:t xml:space="preserve">льтета ФГАОУ ВО «РНИМУ им. Н.И. Пирогова» Минздрава России </w:t>
      </w:r>
    </w:p>
    <w:p w:rsidR="001F12F1" w:rsidRDefault="0013705F">
      <w:pPr>
        <w:numPr>
          <w:ilvl w:val="1"/>
          <w:numId w:val="17"/>
        </w:numPr>
        <w:spacing w:after="26" w:line="377" w:lineRule="auto"/>
        <w:ind w:hanging="360"/>
      </w:pPr>
      <w:r>
        <w:rPr>
          <w:b/>
        </w:rPr>
        <w:t>Воронин Сергей Владимирович</w:t>
      </w:r>
      <w:r>
        <w:t xml:space="preserve">, к.м.н., главный врач ФГБНУ «МГНЦ», главный внештатный специалист по медицинской генетике Минздрава России в Дальневосточном федеральном округе </w:t>
      </w:r>
    </w:p>
    <w:p w:rsidR="001F12F1" w:rsidRDefault="0013705F">
      <w:pPr>
        <w:numPr>
          <w:ilvl w:val="1"/>
          <w:numId w:val="17"/>
        </w:numPr>
        <w:spacing w:line="398" w:lineRule="auto"/>
        <w:ind w:hanging="360"/>
      </w:pPr>
      <w:r>
        <w:rPr>
          <w:b/>
        </w:rPr>
        <w:t>Гундобина Ольга Станисл</w:t>
      </w:r>
      <w:r>
        <w:rPr>
          <w:b/>
        </w:rPr>
        <w:t>авовна</w:t>
      </w:r>
      <w:r>
        <w:t xml:space="preserve"> — к.м.н., в.н.с., врач-гастроэнтеролог НИИ педиатрии и охраны здоровья детей ФГБНУ «РНЦХ им. акад. Б.В.Петровского», член Союза педиатров России </w:t>
      </w:r>
    </w:p>
    <w:p w:rsidR="001F12F1" w:rsidRDefault="0013705F">
      <w:pPr>
        <w:numPr>
          <w:ilvl w:val="1"/>
          <w:numId w:val="17"/>
        </w:numPr>
        <w:spacing w:line="397" w:lineRule="auto"/>
        <w:ind w:hanging="360"/>
      </w:pPr>
      <w:r>
        <w:rPr>
          <w:b/>
        </w:rPr>
        <w:t xml:space="preserve">Добрынина Елена Андреевна </w:t>
      </w:r>
      <w:r>
        <w:t>— к.м.н., старший научный сотрудник НИИ педиатрии и охраны здоровья детей ФГБ</w:t>
      </w:r>
      <w:r>
        <w:t xml:space="preserve">НУ «РНЦХ им. акад. Б.В.Петровского», член Союза педиатров России </w:t>
      </w:r>
    </w:p>
    <w:p w:rsidR="001F12F1" w:rsidRDefault="0013705F">
      <w:pPr>
        <w:numPr>
          <w:ilvl w:val="1"/>
          <w:numId w:val="17"/>
        </w:numPr>
        <w:spacing w:line="384" w:lineRule="auto"/>
        <w:ind w:hanging="360"/>
      </w:pPr>
      <w:r>
        <w:rPr>
          <w:b/>
        </w:rPr>
        <w:t>Захарова Екатерина Юрьевна</w:t>
      </w:r>
      <w:r>
        <w:t xml:space="preserve"> — д.м.н., заведующая лабораторией наследственных болезней обмена ФГБНУ "Медико-генетический научный центр им. академика Н.П. Бочкова", член Российского общества ме</w:t>
      </w:r>
      <w:r>
        <w:t xml:space="preserve">дицинских генетиков, член европейского общества по изучению наследственных болезней обмена веществ (SSIEM) </w:t>
      </w:r>
    </w:p>
    <w:p w:rsidR="001F12F1" w:rsidRDefault="0013705F">
      <w:pPr>
        <w:numPr>
          <w:ilvl w:val="1"/>
          <w:numId w:val="17"/>
        </w:numPr>
        <w:spacing w:line="356" w:lineRule="auto"/>
        <w:ind w:hanging="360"/>
      </w:pPr>
      <w:r>
        <w:rPr>
          <w:b/>
        </w:rPr>
        <w:t>Кайтукова Елена Владимировна</w:t>
      </w:r>
      <w:r>
        <w:t xml:space="preserve"> — кандидат медицинских наук, главный врач НИИ педиатрии и охраны здоровья детей ФГБНУ «РНЦХ им. акад. Б.В.Петровского»,</w:t>
      </w:r>
      <w:r>
        <w:t xml:space="preserve"> доцент кафедры факультетской педиатрии педиатрического факультета ФГБОУ ВО «РНИМУ им. Н.И. Пирогова» Минздрава России член Союза педиатров России </w:t>
      </w:r>
    </w:p>
    <w:p w:rsidR="001F12F1" w:rsidRDefault="0013705F">
      <w:pPr>
        <w:numPr>
          <w:ilvl w:val="1"/>
          <w:numId w:val="17"/>
        </w:numPr>
        <w:spacing w:after="44" w:line="358" w:lineRule="auto"/>
        <w:ind w:hanging="360"/>
      </w:pPr>
      <w:r>
        <w:rPr>
          <w:b/>
        </w:rPr>
        <w:t xml:space="preserve">Комарова Елена Владимировна — </w:t>
      </w:r>
      <w:r>
        <w:t>доктор медицинских наук, заместитель руководителя НИИ педиатрии и охраны здоро</w:t>
      </w:r>
      <w:r>
        <w:t xml:space="preserve">вья детей ФГБНУ «РНЦХ им. акад. </w:t>
      </w:r>
    </w:p>
    <w:p w:rsidR="001F12F1" w:rsidRDefault="0013705F">
      <w:pPr>
        <w:spacing w:after="174"/>
        <w:ind w:left="730"/>
      </w:pPr>
      <w:r>
        <w:t xml:space="preserve">Б.В.Петровского», врач-гастроэнтеролог, член Союза педиатров России </w:t>
      </w:r>
    </w:p>
    <w:p w:rsidR="001F12F1" w:rsidRDefault="0013705F">
      <w:pPr>
        <w:numPr>
          <w:ilvl w:val="1"/>
          <w:numId w:val="17"/>
        </w:numPr>
        <w:spacing w:after="36" w:line="370" w:lineRule="auto"/>
        <w:ind w:hanging="360"/>
      </w:pPr>
      <w:r>
        <w:rPr>
          <w:b/>
        </w:rPr>
        <w:t>Куцев Сергей Иванович</w:t>
      </w:r>
      <w:r>
        <w:t xml:space="preserve"> — академик РАН, д.м.н., директор ФГБНУ «Медикогенетический научный центр им. академика Н.П.Бочкова», главный внештатный специалист п</w:t>
      </w:r>
      <w:r>
        <w:t xml:space="preserve">о медицинской генетике Минздрава России, президент Ассоциации медицинских генетиков России </w:t>
      </w:r>
    </w:p>
    <w:p w:rsidR="001F12F1" w:rsidRDefault="0013705F">
      <w:pPr>
        <w:numPr>
          <w:ilvl w:val="1"/>
          <w:numId w:val="17"/>
        </w:numPr>
        <w:spacing w:line="378" w:lineRule="auto"/>
        <w:ind w:hanging="360"/>
      </w:pPr>
      <w:r>
        <w:rPr>
          <w:b/>
        </w:rPr>
        <w:t>Лаврова Алла Евгеньевна</w:t>
      </w:r>
      <w:r>
        <w:t xml:space="preserve"> — </w:t>
      </w:r>
      <w:r>
        <w:t xml:space="preserve">д.м.н., врач высшей квалификационной категории по специальности “Педиатрия”, и.о. руководителя института педиатрии Университетская клиника ФГБОУ ВО «Приволжский исследовательский медицинский университет» МЗ РФ, заведующий 2-м м педиатрическим отделением с </w:t>
      </w:r>
      <w:r>
        <w:t xml:space="preserve">медицинской реабилитацией ФГБОУ ВО «Приволжский исследовательский медицинский университет» МЗ РФ </w:t>
      </w:r>
    </w:p>
    <w:p w:rsidR="001F12F1" w:rsidRDefault="0013705F">
      <w:pPr>
        <w:numPr>
          <w:ilvl w:val="1"/>
          <w:numId w:val="17"/>
        </w:numPr>
        <w:spacing w:line="398" w:lineRule="auto"/>
        <w:ind w:hanging="360"/>
      </w:pPr>
      <w:r>
        <w:rPr>
          <w:b/>
        </w:rPr>
        <w:t xml:space="preserve">Лайшева Ольга Арленовна— </w:t>
      </w:r>
      <w:r>
        <w:t>д.м.н., профессор, руководитель Центра медицинской реабилитации Российской детской клинической больницы — филиала РНИМУ им. Н.И. Пиро</w:t>
      </w:r>
      <w:r>
        <w:t xml:space="preserve">гова Минздрава России, врач высшей категории </w:t>
      </w:r>
    </w:p>
    <w:p w:rsidR="001F12F1" w:rsidRDefault="0013705F">
      <w:pPr>
        <w:numPr>
          <w:ilvl w:val="1"/>
          <w:numId w:val="17"/>
        </w:numPr>
        <w:spacing w:line="398" w:lineRule="auto"/>
        <w:ind w:hanging="360"/>
      </w:pPr>
      <w:r>
        <w:rPr>
          <w:b/>
        </w:rPr>
        <w:t>Михайлова Светлана Витальевна</w:t>
      </w:r>
      <w:r>
        <w:t xml:space="preserve"> — д.м.н., заведующая отделением ФГАОУ ВО РНИМУ им. Н.И. Пирогова ОСП «Российская Детская Клиническая Больница» Минздрава России </w:t>
      </w:r>
    </w:p>
    <w:p w:rsidR="001F12F1" w:rsidRDefault="0013705F">
      <w:pPr>
        <w:numPr>
          <w:ilvl w:val="1"/>
          <w:numId w:val="17"/>
        </w:numPr>
        <w:spacing w:line="384" w:lineRule="auto"/>
        <w:ind w:hanging="360"/>
      </w:pPr>
      <w:r>
        <w:rPr>
          <w:b/>
        </w:rPr>
        <w:t xml:space="preserve">Мовсисян Гоар Борисовна </w:t>
      </w:r>
      <w:r>
        <w:t xml:space="preserve">— </w:t>
      </w:r>
      <w:r>
        <w:t>к.м.н., старший научный сотрудник лаборатории редких наследственных болезней у детей Медико-генетического центра, врач-педиатр, гастроэнтеролог гастроэнтерологического отделения ФГАУ "Научный медицинский исследовательский центр здоровья детей" Минздрава Ро</w:t>
      </w:r>
      <w:r>
        <w:t xml:space="preserve">ссии  </w:t>
      </w:r>
    </w:p>
    <w:p w:rsidR="001F12F1" w:rsidRDefault="0013705F">
      <w:pPr>
        <w:numPr>
          <w:ilvl w:val="1"/>
          <w:numId w:val="17"/>
        </w:numPr>
        <w:spacing w:after="127" w:line="378" w:lineRule="auto"/>
        <w:ind w:hanging="360"/>
      </w:pPr>
      <w:r>
        <w:rPr>
          <w:b/>
        </w:rPr>
        <w:t>Назаренко Людмила Павловна</w:t>
      </w:r>
      <w:r>
        <w:t xml:space="preserve"> — профессор, д.м.н., заместитель директора по научной и лечебной работе, руководитель лаборатории наследственной патологии НИИ медицинской генетики, Томского НИМЦ РАН, член Ассоциации медицинских генетиков </w:t>
      </w:r>
    </w:p>
    <w:p w:rsidR="001F12F1" w:rsidRDefault="0013705F">
      <w:pPr>
        <w:numPr>
          <w:ilvl w:val="1"/>
          <w:numId w:val="17"/>
        </w:numPr>
        <w:spacing w:line="381" w:lineRule="auto"/>
        <w:ind w:hanging="360"/>
      </w:pPr>
      <w:r>
        <w:rPr>
          <w:b/>
        </w:rPr>
        <w:t>Намазова-Барано</w:t>
      </w:r>
      <w:r>
        <w:rPr>
          <w:b/>
        </w:rPr>
        <w:t>ва Лейла Сеймуровна</w:t>
      </w:r>
      <w:r>
        <w:t xml:space="preserve"> — академик РАН, профессор, д.м.н., Президент Союза педиатров России; паст-президент EPA/UNEPSA; руководитель НИИ педиатрии и охраны здоровья детей ФГБНУ «РНЦХ им. акад. Б.В.Петровского», заведующая кафедрой факультетской педиатрии педиа</w:t>
      </w:r>
      <w:r>
        <w:t>трического факультета ФГБОУ ВО «РНИМУ им. Н.И. Пирогова» Минздрава России, главный внештатный детский специалист по профилактической медицине Минздрава России</w:t>
      </w:r>
      <w:r>
        <w:rPr>
          <w:b/>
        </w:rPr>
        <w:t xml:space="preserve"> </w:t>
      </w:r>
      <w:r>
        <w:t xml:space="preserve"> </w:t>
      </w:r>
    </w:p>
    <w:p w:rsidR="001F12F1" w:rsidRDefault="0013705F">
      <w:pPr>
        <w:numPr>
          <w:ilvl w:val="1"/>
          <w:numId w:val="17"/>
        </w:numPr>
        <w:spacing w:after="27" w:line="378" w:lineRule="auto"/>
        <w:ind w:hanging="360"/>
      </w:pPr>
      <w:r>
        <w:rPr>
          <w:b/>
        </w:rPr>
        <w:t>Николаева Екатерина Александровна</w:t>
      </w:r>
      <w:r>
        <w:t xml:space="preserve"> — д.м.н., профессор, заведующая отделом клинической генетики </w:t>
      </w:r>
      <w:r>
        <w:t xml:space="preserve">НИКИ педиатрии имени акад. Ю.Е. Вельтищева ФГАОУ ВО РНИМУ им. Н.И. Пирогова, член Российского общества медицинских генетиков </w:t>
      </w:r>
    </w:p>
    <w:p w:rsidR="001F12F1" w:rsidRDefault="0013705F">
      <w:pPr>
        <w:numPr>
          <w:ilvl w:val="1"/>
          <w:numId w:val="17"/>
        </w:numPr>
        <w:spacing w:line="397" w:lineRule="auto"/>
        <w:ind w:hanging="360"/>
      </w:pPr>
      <w:r>
        <w:rPr>
          <w:b/>
        </w:rPr>
        <w:t>Первунина Татьяна Михайловна</w:t>
      </w:r>
      <w:r>
        <w:t xml:space="preserve"> — к.м.н., Директор Института перинатологии и педиатрии, ФГБУ НМИЦ им В.А. Алмазова Минздрава России </w:t>
      </w:r>
    </w:p>
    <w:p w:rsidR="001F12F1" w:rsidRDefault="0013705F">
      <w:pPr>
        <w:numPr>
          <w:ilvl w:val="1"/>
          <w:numId w:val="17"/>
        </w:numPr>
        <w:spacing w:after="37" w:line="367" w:lineRule="auto"/>
        <w:ind w:hanging="360"/>
      </w:pPr>
      <w:r>
        <w:rPr>
          <w:b/>
        </w:rPr>
        <w:t xml:space="preserve">Потапов Александр Сергеевич </w:t>
      </w:r>
      <w:r>
        <w:t xml:space="preserve">— д.м.н., профессор, зав. гастроэнтерологическим отделением ФГАУ "Национальный медицинский исследовательский центр здоровья детей" Минздрава России, профессор кафедры педиатрии и детской ревматологии ФГАОУ «Первый МГМУ им. И.М. </w:t>
      </w:r>
      <w:r>
        <w:t xml:space="preserve">Сеченова» Минздрава России (Сеченовский Университет)  </w:t>
      </w:r>
    </w:p>
    <w:p w:rsidR="001F12F1" w:rsidRDefault="0013705F">
      <w:pPr>
        <w:numPr>
          <w:ilvl w:val="1"/>
          <w:numId w:val="17"/>
        </w:numPr>
        <w:spacing w:after="31" w:line="371" w:lineRule="auto"/>
        <w:ind w:hanging="360"/>
      </w:pPr>
      <w:r>
        <w:rPr>
          <w:b/>
        </w:rPr>
        <w:t>Пушков Александр Алексеевич</w:t>
      </w:r>
      <w:r>
        <w:t xml:space="preserve"> — к.м.н., ведущий научный сотрудник лаборатории молекулярной генетики и медицинской геномики ФГАУ "Национальный медицинский исследовательский центр здоровья детей" Минздрава</w:t>
      </w:r>
      <w:r>
        <w:t xml:space="preserve"> России, член Ассоциации медицинских генетиков (участие в исходной версии документа) </w:t>
      </w:r>
    </w:p>
    <w:p w:rsidR="001F12F1" w:rsidRDefault="0013705F">
      <w:pPr>
        <w:numPr>
          <w:ilvl w:val="1"/>
          <w:numId w:val="17"/>
        </w:numPr>
        <w:spacing w:after="28" w:line="378" w:lineRule="auto"/>
        <w:ind w:hanging="360"/>
      </w:pPr>
      <w:r>
        <w:rPr>
          <w:b/>
        </w:rPr>
        <w:t>Репина Светлана Афанасьевна</w:t>
      </w:r>
      <w:r>
        <w:t xml:space="preserve"> — к.м.н., врач-генетик ФГБНУ «Медико-генетический научный центр им. академика Н.П. Бочкова», член Российского общества медицинских генетиков, </w:t>
      </w:r>
      <w:r>
        <w:t xml:space="preserve">член Ассоциации медицинских генетиков </w:t>
      </w:r>
    </w:p>
    <w:p w:rsidR="001F12F1" w:rsidRDefault="0013705F">
      <w:pPr>
        <w:numPr>
          <w:ilvl w:val="1"/>
          <w:numId w:val="17"/>
        </w:numPr>
        <w:spacing w:after="36" w:line="370" w:lineRule="auto"/>
        <w:ind w:hanging="360"/>
      </w:pPr>
      <w:r>
        <w:rPr>
          <w:b/>
        </w:rPr>
        <w:t>Савостьянов Кирилл Викторович</w:t>
      </w:r>
      <w:r>
        <w:t xml:space="preserve"> — д.б.н., начальник Центра фундаментальных исследований в педиатрии ФГАУ "Национальный медицинский исследовательский центр здоровья детей" Минздрава России, член Ассоциации медицинских ге</w:t>
      </w:r>
      <w:r>
        <w:t xml:space="preserve">нетиков (участие в исходной версии документа) </w:t>
      </w:r>
    </w:p>
    <w:p w:rsidR="001F12F1" w:rsidRDefault="0013705F">
      <w:pPr>
        <w:numPr>
          <w:ilvl w:val="1"/>
          <w:numId w:val="17"/>
        </w:numPr>
        <w:spacing w:after="32" w:line="373" w:lineRule="auto"/>
        <w:ind w:hanging="360"/>
      </w:pPr>
      <w:r>
        <w:rPr>
          <w:b/>
        </w:rPr>
        <w:t>Селимзянова Лилия Робертовна</w:t>
      </w:r>
      <w:r>
        <w:t xml:space="preserve"> — к.м.н., ведущий научный сотрудник НИИ педиатрии и охраны здоровья детей ФГБНУ «РНЦХ им. акад. Б.В.Петровского», </w:t>
      </w:r>
      <w:r>
        <w:t>доцент кафедры факультетской педиатрии педиатрического факультета ФГБОУ ВО «РНИМУ им. Н.И. Пирогова» Минздрава России, доцент кафедры педиатрии и детской ревматологии ФГАОУ «Первый МГМУ им. И.М. Сеченова» Минздрава России (Сеченовский Университет), член Со</w:t>
      </w:r>
      <w:r>
        <w:t xml:space="preserve">юза педиатров России </w:t>
      </w:r>
    </w:p>
    <w:p w:rsidR="001F12F1" w:rsidRDefault="0013705F">
      <w:pPr>
        <w:numPr>
          <w:ilvl w:val="1"/>
          <w:numId w:val="17"/>
        </w:numPr>
        <w:spacing w:after="37" w:line="370" w:lineRule="auto"/>
        <w:ind w:hanging="360"/>
      </w:pPr>
      <w:r>
        <w:rPr>
          <w:b/>
        </w:rPr>
        <w:t>Смирнова Ольга Яковлевна</w:t>
      </w:r>
      <w:r>
        <w:t xml:space="preserve"> — врач-генетик, старший научный сотрудник отдела стандартизации и изучения основ доказательной медицины НИИ педиатрии и охраны здоровья детей ФГБНУ «РНЦХ им. акад. Б.В.Петровского», член Союза педиатров России</w:t>
      </w:r>
      <w:r>
        <w:t xml:space="preserve"> </w:t>
      </w:r>
    </w:p>
    <w:p w:rsidR="001F12F1" w:rsidRDefault="0013705F">
      <w:pPr>
        <w:numPr>
          <w:ilvl w:val="1"/>
          <w:numId w:val="17"/>
        </w:numPr>
        <w:spacing w:after="50" w:line="356" w:lineRule="auto"/>
        <w:ind w:hanging="360"/>
      </w:pPr>
      <w:r>
        <w:rPr>
          <w:b/>
        </w:rPr>
        <w:t>Сметанина Наталия Сергеевна</w:t>
      </w:r>
      <w:r>
        <w:t xml:space="preserve"> — д.м.н., профессор, заместитель директора Института гематологии, иммунологии и клеточных технологий, ФГБУ «НМИЦ ДГОИ им. Дмитрия </w:t>
      </w:r>
    </w:p>
    <w:p w:rsidR="001F12F1" w:rsidRDefault="0013705F">
      <w:pPr>
        <w:ind w:left="723"/>
      </w:pPr>
      <w:r>
        <w:t xml:space="preserve">Рогачева» Минздрава России, член Национального гематологического общества </w:t>
      </w:r>
    </w:p>
    <w:p w:rsidR="001F12F1" w:rsidRDefault="0013705F">
      <w:pPr>
        <w:numPr>
          <w:ilvl w:val="1"/>
          <w:numId w:val="17"/>
        </w:numPr>
        <w:spacing w:line="382" w:lineRule="auto"/>
        <w:ind w:hanging="360"/>
      </w:pPr>
      <w:r>
        <w:rPr>
          <w:b/>
        </w:rPr>
        <w:t>Строкова Татьяна Вик</w:t>
      </w:r>
      <w:r>
        <w:rPr>
          <w:b/>
        </w:rPr>
        <w:t>торовна</w:t>
      </w:r>
      <w:r>
        <w:t xml:space="preserve"> — д.м.н., профессор РАН, заведующий отделением педиатрической гастроэнтерологии, гепатологии и диетотерапии Клиники ФГБУН "ФИЦ питания и биотехнологии", заведующий кафедрой гастроэнтерологии и диетологии ФДПО ИНОПР ФГАОУ ВО РНИМУ им Н.И. Пирогова М</w:t>
      </w:r>
      <w:r>
        <w:t>инздрава России " 28.</w:t>
      </w:r>
      <w:r>
        <w:rPr>
          <w:rFonts w:ascii="Arial" w:eastAsia="Arial" w:hAnsi="Arial" w:cs="Arial"/>
        </w:rPr>
        <w:t xml:space="preserve"> </w:t>
      </w:r>
      <w:r>
        <w:rPr>
          <w:b/>
        </w:rPr>
        <w:t xml:space="preserve">Субботин Дмитрий Михайлович </w:t>
      </w:r>
      <w:r>
        <w:t xml:space="preserve">— врач-генетик ФГБНУ «Медико-генетический научный центр им. академика Н.П. Бочкова», член Ассоциации медицинских генетиков </w:t>
      </w:r>
    </w:p>
    <w:p w:rsidR="001F12F1" w:rsidRDefault="0013705F">
      <w:pPr>
        <w:numPr>
          <w:ilvl w:val="2"/>
          <w:numId w:val="17"/>
        </w:numPr>
        <w:spacing w:after="30" w:line="374" w:lineRule="auto"/>
        <w:ind w:hanging="360"/>
      </w:pPr>
      <w:r>
        <w:rPr>
          <w:b/>
        </w:rPr>
        <w:t>Сурков Андрей Николаевич</w:t>
      </w:r>
      <w:r>
        <w:t xml:space="preserve"> — д.м.н., заведующий отделением гастроэнтерологии для дет</w:t>
      </w:r>
      <w:r>
        <w:t>ей стационара для детей, заведующий отделом научных основ детской гастроэнтерологии, гепатологии и метаболических нарушений НИИ педиатрии и охраны здоровья детей ФГБНУ «РНЦХ им. акад. Б.В.Петровского», профессор кафедры факультетской педиатрии педиатрическ</w:t>
      </w:r>
      <w:r>
        <w:t xml:space="preserve">ого факультета ФГАОУ ВО РНИМУ им. Н.И. Пирогова Минздрава России </w:t>
      </w:r>
    </w:p>
    <w:p w:rsidR="001F12F1" w:rsidRDefault="0013705F">
      <w:pPr>
        <w:numPr>
          <w:ilvl w:val="2"/>
          <w:numId w:val="17"/>
        </w:numPr>
        <w:spacing w:after="37" w:line="367" w:lineRule="auto"/>
        <w:ind w:hanging="360"/>
      </w:pPr>
      <w:r>
        <w:rPr>
          <w:b/>
        </w:rPr>
        <w:t>Федосеенко Марина Владиславовна</w:t>
      </w:r>
      <w:r>
        <w:t xml:space="preserve"> — к.м.н., заведующая отделом разработки научных подходов к иммунизации пациентов с отклонениями в состоянии здоровья и хроническими болезнями, ведущий научный</w:t>
      </w:r>
      <w:r>
        <w:t xml:space="preserve"> сотрудник, врач-педиатр НИИ педиатрии и охраны здоровья детей ФГБНУ «РНЦХ им. акад. Б.В.Петровского», доцент кафедры факультетской педиатрии педиатрического факультета ФГБОУ ВО «РНИМУ им. Н.И. </w:t>
      </w:r>
    </w:p>
    <w:p w:rsidR="001F12F1" w:rsidRDefault="0013705F">
      <w:pPr>
        <w:spacing w:after="268"/>
        <w:ind w:left="730"/>
      </w:pPr>
      <w:r>
        <w:t xml:space="preserve">Пирогова» Минздрава России, член Союза педиатров России </w:t>
      </w:r>
    </w:p>
    <w:p w:rsidR="001F12F1" w:rsidRDefault="0013705F">
      <w:pPr>
        <w:spacing w:after="134"/>
        <w:ind w:left="-5"/>
      </w:pPr>
      <w:r>
        <w:t>Пред</w:t>
      </w:r>
      <w:r>
        <w:t xml:space="preserve">ставители общественных организаций: </w:t>
      </w:r>
    </w:p>
    <w:p w:rsidR="001F12F1" w:rsidRDefault="0013705F">
      <w:pPr>
        <w:spacing w:line="363" w:lineRule="auto"/>
        <w:ind w:left="-5" w:right="700"/>
      </w:pPr>
      <w:r>
        <w:t xml:space="preserve">Погосян Нелли Сергеевна — Всероссийское общество орфанных заболеваний Глушкова Софья Александровна — Всероссийское общество орфанных заболеваний </w:t>
      </w:r>
    </w:p>
    <w:p w:rsidR="001F12F1" w:rsidRDefault="0013705F">
      <w:pPr>
        <w:spacing w:after="0" w:line="259" w:lineRule="auto"/>
        <w:ind w:left="0" w:firstLine="0"/>
        <w:jc w:val="left"/>
      </w:pPr>
      <w:r>
        <w:t xml:space="preserve"> </w:t>
      </w:r>
    </w:p>
    <w:p w:rsidR="001F12F1" w:rsidRDefault="0013705F">
      <w:pPr>
        <w:spacing w:after="0" w:line="259" w:lineRule="auto"/>
        <w:ind w:left="0" w:firstLine="0"/>
        <w:jc w:val="left"/>
      </w:pPr>
      <w:r>
        <w:t xml:space="preserve"> </w:t>
      </w:r>
    </w:p>
    <w:p w:rsidR="001F12F1" w:rsidRDefault="0013705F">
      <w:pPr>
        <w:spacing w:after="285"/>
        <w:ind w:left="-5"/>
      </w:pPr>
      <w:r>
        <w:t>Авторы подтверждают отсутствие финансовой поддержки/конфликта интересов, который необходимо обнародовать.</w:t>
      </w:r>
      <w:r>
        <w:rPr>
          <w:b/>
        </w:rPr>
        <w:t xml:space="preserve"> </w:t>
      </w:r>
    </w:p>
    <w:p w:rsidR="001F12F1" w:rsidRDefault="0013705F">
      <w:pPr>
        <w:spacing w:after="347" w:line="259" w:lineRule="auto"/>
        <w:ind w:left="0" w:right="201" w:firstLine="0"/>
        <w:jc w:val="right"/>
      </w:pPr>
      <w:r>
        <w:rPr>
          <w:b/>
          <w:sz w:val="28"/>
        </w:rPr>
        <w:t xml:space="preserve">Приложение А2. Методология разработки клинических рекомендаций </w:t>
      </w:r>
      <w:r>
        <w:rPr>
          <w:sz w:val="28"/>
        </w:rPr>
        <w:t xml:space="preserve"> </w:t>
      </w:r>
    </w:p>
    <w:p w:rsidR="001F12F1" w:rsidRDefault="0013705F">
      <w:pPr>
        <w:spacing w:after="152" w:line="264" w:lineRule="auto"/>
        <w:ind w:left="-5"/>
      </w:pPr>
      <w:r>
        <w:rPr>
          <w:b/>
          <w:u w:val="single" w:color="000000"/>
        </w:rPr>
        <w:t>Целевая аудитория данных клинических рекомендаций:</w:t>
      </w:r>
      <w:r>
        <w:rPr>
          <w:b/>
        </w:rPr>
        <w:t xml:space="preserve"> </w:t>
      </w:r>
    </w:p>
    <w:p w:rsidR="001F12F1" w:rsidRDefault="0013705F">
      <w:pPr>
        <w:numPr>
          <w:ilvl w:val="0"/>
          <w:numId w:val="18"/>
        </w:numPr>
        <w:spacing w:after="150"/>
        <w:ind w:hanging="710"/>
      </w:pPr>
      <w:r>
        <w:t xml:space="preserve">врачи-генетики;  </w:t>
      </w:r>
    </w:p>
    <w:p w:rsidR="001F12F1" w:rsidRDefault="0013705F">
      <w:pPr>
        <w:numPr>
          <w:ilvl w:val="0"/>
          <w:numId w:val="18"/>
        </w:numPr>
        <w:spacing w:after="151"/>
        <w:ind w:hanging="710"/>
      </w:pPr>
      <w:r>
        <w:t>врачи-педиатры</w:t>
      </w:r>
      <w:r>
        <w:t xml:space="preserve">; </w:t>
      </w:r>
    </w:p>
    <w:p w:rsidR="001F12F1" w:rsidRDefault="0013705F">
      <w:pPr>
        <w:numPr>
          <w:ilvl w:val="0"/>
          <w:numId w:val="18"/>
        </w:numPr>
        <w:spacing w:after="149"/>
        <w:ind w:hanging="710"/>
      </w:pPr>
      <w:r>
        <w:t xml:space="preserve">врачи общей практики (семейные врачи); </w:t>
      </w:r>
    </w:p>
    <w:p w:rsidR="001F12F1" w:rsidRDefault="0013705F">
      <w:pPr>
        <w:numPr>
          <w:ilvl w:val="0"/>
          <w:numId w:val="18"/>
        </w:numPr>
        <w:spacing w:after="151"/>
        <w:ind w:hanging="710"/>
      </w:pPr>
      <w:r>
        <w:t xml:space="preserve">врачи-гастроэнтерологи; </w:t>
      </w:r>
    </w:p>
    <w:p w:rsidR="001F12F1" w:rsidRDefault="0013705F">
      <w:pPr>
        <w:numPr>
          <w:ilvl w:val="0"/>
          <w:numId w:val="18"/>
        </w:numPr>
        <w:spacing w:after="149"/>
        <w:ind w:hanging="710"/>
      </w:pPr>
      <w:r>
        <w:t xml:space="preserve">врачи-детские онкологи-гематологи; </w:t>
      </w:r>
    </w:p>
    <w:p w:rsidR="001F12F1" w:rsidRDefault="0013705F">
      <w:pPr>
        <w:numPr>
          <w:ilvl w:val="0"/>
          <w:numId w:val="18"/>
        </w:numPr>
        <w:spacing w:after="147"/>
        <w:ind w:hanging="710"/>
      </w:pPr>
      <w:r>
        <w:t xml:space="preserve">врачи-гематологи; </w:t>
      </w:r>
    </w:p>
    <w:p w:rsidR="001F12F1" w:rsidRDefault="0013705F">
      <w:pPr>
        <w:numPr>
          <w:ilvl w:val="0"/>
          <w:numId w:val="18"/>
        </w:numPr>
        <w:spacing w:after="141" w:line="259" w:lineRule="auto"/>
        <w:ind w:hanging="710"/>
      </w:pPr>
      <w:r>
        <w:t>врачи</w:t>
      </w:r>
      <w:r>
        <w:rPr>
          <w:shd w:val="clear" w:color="auto" w:fill="F8F8F8"/>
        </w:rPr>
        <w:t>-пульмонологи</w:t>
      </w:r>
      <w:r>
        <w:t xml:space="preserve">; </w:t>
      </w:r>
    </w:p>
    <w:p w:rsidR="001F12F1" w:rsidRDefault="0013705F">
      <w:pPr>
        <w:numPr>
          <w:ilvl w:val="0"/>
          <w:numId w:val="18"/>
        </w:numPr>
        <w:ind w:hanging="710"/>
      </w:pPr>
      <w:r>
        <w:t xml:space="preserve">врачи-детские хирурги;  </w:t>
      </w:r>
    </w:p>
    <w:p w:rsidR="001F12F1" w:rsidRDefault="0013705F">
      <w:pPr>
        <w:numPr>
          <w:ilvl w:val="0"/>
          <w:numId w:val="18"/>
        </w:numPr>
        <w:spacing w:after="148"/>
        <w:ind w:hanging="710"/>
      </w:pPr>
      <w:r>
        <w:t xml:space="preserve">врачи-травматологи-ортопеды; </w:t>
      </w:r>
    </w:p>
    <w:p w:rsidR="001F12F1" w:rsidRDefault="0013705F">
      <w:pPr>
        <w:numPr>
          <w:ilvl w:val="0"/>
          <w:numId w:val="18"/>
        </w:numPr>
        <w:spacing w:after="150"/>
        <w:ind w:hanging="710"/>
      </w:pPr>
      <w:r>
        <w:rPr>
          <w:shd w:val="clear" w:color="auto" w:fill="F8F8F8"/>
        </w:rPr>
        <w:t>врачи-н</w:t>
      </w:r>
      <w:r>
        <w:t xml:space="preserve">еврологи;  </w:t>
      </w:r>
    </w:p>
    <w:p w:rsidR="001F12F1" w:rsidRDefault="0013705F">
      <w:pPr>
        <w:numPr>
          <w:ilvl w:val="0"/>
          <w:numId w:val="18"/>
        </w:numPr>
        <w:spacing w:after="147"/>
        <w:ind w:hanging="710"/>
      </w:pPr>
      <w:r>
        <w:t xml:space="preserve">врачи-офтальмологи; </w:t>
      </w:r>
    </w:p>
    <w:p w:rsidR="001F12F1" w:rsidRDefault="0013705F">
      <w:pPr>
        <w:numPr>
          <w:ilvl w:val="0"/>
          <w:numId w:val="18"/>
        </w:numPr>
        <w:spacing w:after="153"/>
        <w:ind w:hanging="710"/>
      </w:pPr>
      <w:r>
        <w:t>врачи-</w:t>
      </w:r>
      <w:r>
        <w:t xml:space="preserve">эндокринологи; </w:t>
      </w:r>
    </w:p>
    <w:p w:rsidR="001F12F1" w:rsidRDefault="0013705F">
      <w:pPr>
        <w:numPr>
          <w:ilvl w:val="0"/>
          <w:numId w:val="18"/>
        </w:numPr>
        <w:spacing w:after="153"/>
        <w:ind w:hanging="710"/>
      </w:pPr>
      <w:r>
        <w:t xml:space="preserve">медицинские психологи;  </w:t>
      </w:r>
    </w:p>
    <w:p w:rsidR="001F12F1" w:rsidRDefault="0013705F">
      <w:pPr>
        <w:numPr>
          <w:ilvl w:val="0"/>
          <w:numId w:val="18"/>
        </w:numPr>
        <w:spacing w:after="132"/>
        <w:ind w:hanging="710"/>
      </w:pPr>
      <w:r>
        <w:t xml:space="preserve">студенты медицинских ВУЗов, ординаторы, аспиранты. </w:t>
      </w:r>
    </w:p>
    <w:p w:rsidR="001F12F1" w:rsidRDefault="0013705F">
      <w:pPr>
        <w:ind w:left="-5"/>
      </w:pPr>
      <w:r>
        <w:rPr>
          <w:b/>
        </w:rPr>
        <w:t xml:space="preserve">Таблица 1 </w:t>
      </w:r>
      <w:r>
        <w:t xml:space="preserve">Шкала оценки уровней достоверности доказательств (УДД) для методов диагностики (диагностических вмешательств) </w:t>
      </w:r>
    </w:p>
    <w:tbl>
      <w:tblPr>
        <w:tblStyle w:val="TableGrid"/>
        <w:tblW w:w="9801" w:type="dxa"/>
        <w:tblInd w:w="5" w:type="dxa"/>
        <w:tblCellMar>
          <w:top w:w="9" w:type="dxa"/>
          <w:left w:w="106" w:type="dxa"/>
          <w:bottom w:w="0" w:type="dxa"/>
          <w:right w:w="51" w:type="dxa"/>
        </w:tblCellMar>
        <w:tblLook w:val="04A0" w:firstRow="1" w:lastRow="0" w:firstColumn="1" w:lastColumn="0" w:noHBand="0" w:noVBand="1"/>
      </w:tblPr>
      <w:tblGrid>
        <w:gridCol w:w="838"/>
        <w:gridCol w:w="8963"/>
      </w:tblGrid>
      <w:tr w:rsidR="001F12F1">
        <w:trPr>
          <w:trHeight w:val="32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60" w:firstLine="0"/>
              <w:jc w:val="left"/>
            </w:pPr>
            <w:r>
              <w:rPr>
                <w:b/>
              </w:rPr>
              <w:t xml:space="preserve">УДД </w:t>
            </w: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</w:rPr>
              <w:t xml:space="preserve">Расшифровка </w:t>
            </w:r>
          </w:p>
        </w:tc>
      </w:tr>
      <w:tr w:rsidR="001F12F1">
        <w:trPr>
          <w:trHeight w:val="962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right="57" w:firstLine="0"/>
              <w:jc w:val="center"/>
            </w:pPr>
            <w:r>
              <w:t xml:space="preserve">1 </w:t>
            </w: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right="59" w:firstLine="0"/>
            </w:pPr>
            <w:r>
              <w:t xml:space="preserve">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мета-анализа </w:t>
            </w:r>
          </w:p>
        </w:tc>
      </w:tr>
      <w:tr w:rsidR="001F12F1">
        <w:trPr>
          <w:trHeight w:val="1279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right="57" w:firstLine="0"/>
              <w:jc w:val="center"/>
            </w:pPr>
            <w:r>
              <w:t xml:space="preserve">2 </w:t>
            </w: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right="65" w:firstLine="0"/>
            </w:pPr>
            <w:r>
              <w:t xml:space="preserve">Отдельные исследования с контролем референсным методом или отдельные рандомизированные </w:t>
            </w:r>
            <w:r>
              <w:t xml:space="preserve">клинические исследования и систематические обзоры исследований любого дизайна, за исключением рандомизированных клинических исследований, с применением мета-анализа </w:t>
            </w:r>
          </w:p>
        </w:tc>
      </w:tr>
      <w:tr w:rsidR="001F12F1">
        <w:trPr>
          <w:trHeight w:val="1280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right="57" w:firstLine="0"/>
              <w:jc w:val="center"/>
            </w:pPr>
            <w:r>
              <w:t xml:space="preserve">3 </w:t>
            </w: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right="65" w:firstLine="0"/>
            </w:pPr>
            <w:r>
              <w:t xml:space="preserve">Исследования без последовательного контроля референсным методом или исследования с референсным методом, не являющимся независимым от исследуемого метода или нерандомизированные сравнительные исследования, в том числе когортные исследования </w:t>
            </w:r>
          </w:p>
        </w:tc>
      </w:tr>
      <w:tr w:rsidR="001F12F1">
        <w:trPr>
          <w:trHeight w:val="329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right="57" w:firstLine="0"/>
              <w:jc w:val="center"/>
            </w:pPr>
            <w:r>
              <w:t xml:space="preserve">4 </w:t>
            </w: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firstLine="0"/>
              <w:jc w:val="left"/>
            </w:pPr>
            <w:r>
              <w:t xml:space="preserve">Несравнительные исследования, описание клинического случая </w:t>
            </w:r>
          </w:p>
        </w:tc>
      </w:tr>
      <w:tr w:rsidR="001F12F1">
        <w:trPr>
          <w:trHeight w:val="326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right="57" w:firstLine="0"/>
              <w:jc w:val="center"/>
            </w:pPr>
            <w:r>
              <w:t xml:space="preserve">5 </w:t>
            </w:r>
          </w:p>
        </w:tc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firstLine="0"/>
              <w:jc w:val="left"/>
            </w:pPr>
            <w:r>
              <w:t xml:space="preserve">Имеется лишь обоснование механизма действия или мнение экспертов </w:t>
            </w:r>
          </w:p>
        </w:tc>
      </w:tr>
    </w:tbl>
    <w:p w:rsidR="001F12F1" w:rsidRDefault="0013705F">
      <w:pPr>
        <w:ind w:left="-5"/>
      </w:pPr>
      <w:r>
        <w:rPr>
          <w:b/>
        </w:rPr>
        <w:t xml:space="preserve">Таблица 2 </w:t>
      </w:r>
      <w:r>
        <w:t>Шкала оценки уровней достоверности доказательств (УДД) для методов профилактики, лечения и реабилитации, в том числ</w:t>
      </w:r>
      <w:r>
        <w:t xml:space="preserve">е основанных на использовании природных лечебных факторов (профилактических, лечебных, реабилитационных вмешательств) </w:t>
      </w:r>
    </w:p>
    <w:tbl>
      <w:tblPr>
        <w:tblStyle w:val="TableGrid"/>
        <w:tblW w:w="9945" w:type="dxa"/>
        <w:tblInd w:w="5" w:type="dxa"/>
        <w:tblCellMar>
          <w:top w:w="7" w:type="dxa"/>
          <w:left w:w="108" w:type="dxa"/>
          <w:bottom w:w="0" w:type="dxa"/>
          <w:right w:w="48" w:type="dxa"/>
        </w:tblCellMar>
        <w:tblLook w:val="04A0" w:firstRow="1" w:lastRow="0" w:firstColumn="1" w:lastColumn="0" w:noHBand="0" w:noVBand="1"/>
      </w:tblPr>
      <w:tblGrid>
        <w:gridCol w:w="722"/>
        <w:gridCol w:w="9222"/>
      </w:tblGrid>
      <w:tr w:rsidR="001F12F1">
        <w:trPr>
          <w:trHeight w:val="286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УДД </w:t>
            </w:r>
          </w:p>
        </w:tc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</w:rPr>
              <w:t xml:space="preserve">Расшифровка  </w:t>
            </w:r>
          </w:p>
        </w:tc>
      </w:tr>
      <w:tr w:rsidR="001F12F1">
        <w:trPr>
          <w:trHeight w:val="286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firstLine="0"/>
              <w:jc w:val="left"/>
            </w:pPr>
            <w:r>
              <w:t xml:space="preserve">Систематический обзор РКИ с применением мета-анализа </w:t>
            </w:r>
          </w:p>
        </w:tc>
      </w:tr>
      <w:tr w:rsidR="001F12F1">
        <w:trPr>
          <w:trHeight w:val="564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right="62" w:firstLine="0"/>
              <w:jc w:val="center"/>
            </w:pPr>
            <w:r>
              <w:t xml:space="preserve">2 </w:t>
            </w:r>
          </w:p>
        </w:tc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firstLine="0"/>
            </w:pPr>
            <w:r>
              <w:t xml:space="preserve">Отдельные РКИ и систематические обзоры исследований любого дизайна, за исключением РКИ, с применением мета-анализа </w:t>
            </w:r>
          </w:p>
        </w:tc>
      </w:tr>
      <w:tr w:rsidR="001F12F1">
        <w:trPr>
          <w:trHeight w:val="286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right="62" w:firstLine="0"/>
              <w:jc w:val="center"/>
            </w:pPr>
            <w:r>
              <w:t xml:space="preserve">3 </w:t>
            </w:r>
          </w:p>
        </w:tc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firstLine="0"/>
              <w:jc w:val="left"/>
            </w:pPr>
            <w:r>
              <w:t xml:space="preserve">Нерандомизированные сравнительные исследования, в т.ч. когортные исследования </w:t>
            </w:r>
          </w:p>
        </w:tc>
      </w:tr>
      <w:tr w:rsidR="001F12F1">
        <w:trPr>
          <w:trHeight w:val="562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right="62" w:firstLine="0"/>
              <w:jc w:val="center"/>
            </w:pPr>
            <w:r>
              <w:t xml:space="preserve">4 </w:t>
            </w:r>
          </w:p>
        </w:tc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firstLine="0"/>
            </w:pPr>
            <w:r>
              <w:t xml:space="preserve">Несравнительные исследования, описание клинического случая или серии случаев, исследования «случай-контроль» </w:t>
            </w:r>
          </w:p>
        </w:tc>
      </w:tr>
      <w:tr w:rsidR="001F12F1">
        <w:trPr>
          <w:trHeight w:val="562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right="62" w:firstLine="0"/>
              <w:jc w:val="center"/>
            </w:pPr>
            <w:r>
              <w:t xml:space="preserve">5 </w:t>
            </w:r>
          </w:p>
        </w:tc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firstLine="0"/>
              <w:jc w:val="left"/>
            </w:pPr>
            <w:r>
              <w:t xml:space="preserve">Имеется лишь обоснование механизма действия вмешательства (доклинические исследования) или мнение экспертов </w:t>
            </w:r>
          </w:p>
        </w:tc>
      </w:tr>
    </w:tbl>
    <w:p w:rsidR="001F12F1" w:rsidRDefault="0013705F">
      <w:pPr>
        <w:spacing w:after="0" w:line="259" w:lineRule="auto"/>
        <w:ind w:left="-15" w:firstLine="0"/>
        <w:jc w:val="left"/>
      </w:pPr>
      <w:r>
        <w:rPr>
          <w:b/>
        </w:rPr>
        <w:t xml:space="preserve">Таблица 3 </w:t>
      </w:r>
      <w:r>
        <w:t>Шкала оценки уровней у</w:t>
      </w:r>
      <w:r>
        <w:t xml:space="preserve">бедительности рекомендаций (УУР) для методов профилактики, диагностики, лечения и реабилитации, в том числе основанных на использовании </w:t>
      </w:r>
      <w:r>
        <w:tab/>
        <w:t xml:space="preserve">природных </w:t>
      </w:r>
      <w:r>
        <w:tab/>
        <w:t xml:space="preserve">лечебных </w:t>
      </w:r>
      <w:r>
        <w:tab/>
        <w:t xml:space="preserve">факторов </w:t>
      </w:r>
      <w:r>
        <w:tab/>
        <w:t xml:space="preserve">(профилактических, </w:t>
      </w:r>
      <w:r>
        <w:tab/>
        <w:t xml:space="preserve">диагностических, лечебных, реабилитационных вмешательств) </w:t>
      </w:r>
    </w:p>
    <w:tbl>
      <w:tblPr>
        <w:tblStyle w:val="TableGrid"/>
        <w:tblW w:w="9801" w:type="dxa"/>
        <w:tblInd w:w="5" w:type="dxa"/>
        <w:tblCellMar>
          <w:top w:w="7" w:type="dxa"/>
          <w:left w:w="108" w:type="dxa"/>
          <w:bottom w:w="0" w:type="dxa"/>
          <w:right w:w="56" w:type="dxa"/>
        </w:tblCellMar>
        <w:tblLook w:val="04A0" w:firstRow="1" w:lastRow="0" w:firstColumn="1" w:lastColumn="0" w:noHBand="0" w:noVBand="1"/>
      </w:tblPr>
      <w:tblGrid>
        <w:gridCol w:w="1394"/>
        <w:gridCol w:w="8406"/>
      </w:tblGrid>
      <w:tr w:rsidR="001F12F1">
        <w:trPr>
          <w:trHeight w:val="286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right="54" w:firstLine="0"/>
              <w:jc w:val="center"/>
            </w:pPr>
            <w:r>
              <w:rPr>
                <w:b/>
              </w:rPr>
              <w:t xml:space="preserve">УУР </w:t>
            </w:r>
          </w:p>
        </w:tc>
        <w:tc>
          <w:tcPr>
            <w:tcW w:w="8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right="56" w:firstLine="0"/>
              <w:jc w:val="center"/>
            </w:pPr>
            <w:r>
              <w:rPr>
                <w:b/>
              </w:rPr>
              <w:t xml:space="preserve">Расшифровка </w:t>
            </w:r>
          </w:p>
        </w:tc>
      </w:tr>
      <w:tr w:rsidR="001F12F1">
        <w:trPr>
          <w:trHeight w:val="1116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right="53" w:firstLine="0"/>
              <w:jc w:val="center"/>
            </w:pPr>
            <w:r>
              <w:t xml:space="preserve">A </w:t>
            </w:r>
          </w:p>
        </w:tc>
        <w:tc>
          <w:tcPr>
            <w:tcW w:w="8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right="59" w:firstLine="0"/>
            </w:pPr>
            <w:r>
              <w:t xml:space="preserve">Сильная рекомендация (все рассматриваемые критерии эффективности (исходы) являются важными, все исследования имеют высокое или удовлетворительное методологическое качество, их выводы по интересующим исходам являются согласованными)  </w:t>
            </w:r>
          </w:p>
        </w:tc>
      </w:tr>
      <w:tr w:rsidR="001F12F1">
        <w:trPr>
          <w:trHeight w:val="1116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right="53" w:firstLine="0"/>
              <w:jc w:val="center"/>
            </w:pPr>
            <w:r>
              <w:t xml:space="preserve">B </w:t>
            </w:r>
          </w:p>
        </w:tc>
        <w:tc>
          <w:tcPr>
            <w:tcW w:w="8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right="60" w:firstLine="0"/>
            </w:pPr>
            <w:r>
              <w:t xml:space="preserve">Условная рекомендация (не все рассматриваемые критерии эффективности (исходы) являются важными, не все исследования имеют высокое или удовлетворительное методологическое качество и/или их выводы по интересующим исходам не являются согласованными)  </w:t>
            </w:r>
          </w:p>
        </w:tc>
      </w:tr>
      <w:tr w:rsidR="001F12F1">
        <w:trPr>
          <w:trHeight w:val="1114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right="53" w:firstLine="0"/>
              <w:jc w:val="center"/>
            </w:pPr>
            <w:r>
              <w:t xml:space="preserve">C </w:t>
            </w:r>
          </w:p>
        </w:tc>
        <w:tc>
          <w:tcPr>
            <w:tcW w:w="8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F1" w:rsidRDefault="0013705F">
            <w:pPr>
              <w:spacing w:after="0" w:line="259" w:lineRule="auto"/>
              <w:ind w:left="0" w:right="60" w:firstLine="0"/>
            </w:pPr>
            <w:r>
              <w:t>Слабая рекомендация (отсутствие доказательств надлежащего качества (все рассматриваемые критерии эффективности (исходы) являются неважными, все исследования имеют низкое методологическое качество и их выводы по интересующим исходам не являются согласованны</w:t>
            </w:r>
            <w:r>
              <w:t xml:space="preserve">ми)  </w:t>
            </w:r>
          </w:p>
        </w:tc>
      </w:tr>
    </w:tbl>
    <w:p w:rsidR="001F12F1" w:rsidRDefault="0013705F">
      <w:pPr>
        <w:spacing w:after="117" w:line="250" w:lineRule="auto"/>
        <w:ind w:left="718"/>
      </w:pPr>
      <w:r>
        <w:rPr>
          <w:b/>
        </w:rPr>
        <w:t>Порядок обновления клинических рекомендаций</w:t>
      </w:r>
      <w:r>
        <w:t xml:space="preserve"> </w:t>
      </w:r>
    </w:p>
    <w:p w:rsidR="001F12F1" w:rsidRDefault="0013705F">
      <w:pPr>
        <w:spacing w:line="378" w:lineRule="auto"/>
        <w:ind w:left="-15" w:firstLine="708"/>
      </w:pPr>
      <w:r>
        <w:t xml:space="preserve">Механизм обновления клинических рекомендаций предусматривает их систематическую актуализацию — не реже, </w:t>
      </w:r>
      <w:r>
        <w:t>чем один раз в три года, а также при появлении новых данных с позиции доказательной медицины по вопросам диагностики, лечения, профилактики и реабилитации конкретных заболеваний, наличии обоснованных дополнений/замечаний к ранее утверждённым КР, но не чаще</w:t>
      </w:r>
      <w:r>
        <w:t xml:space="preserve"> 1 раза в 6 месяцев. </w:t>
      </w:r>
    </w:p>
    <w:p w:rsidR="001F12F1" w:rsidRDefault="0013705F">
      <w:pPr>
        <w:spacing w:after="218" w:line="259" w:lineRule="auto"/>
        <w:ind w:left="0" w:firstLine="0"/>
        <w:jc w:val="left"/>
      </w:pPr>
      <w:r>
        <w:t xml:space="preserve"> </w:t>
      </w:r>
    </w:p>
    <w:p w:rsidR="001F12F1" w:rsidRDefault="0013705F">
      <w:pPr>
        <w:spacing w:after="0" w:line="357" w:lineRule="auto"/>
        <w:ind w:left="730" w:firstLine="254"/>
        <w:jc w:val="left"/>
      </w:pPr>
      <w:r>
        <w:rPr>
          <w:b/>
          <w:sz w:val="28"/>
        </w:rPr>
        <w:t xml:space="preserve">Приложение А3. Справочные материалы, включая соответствие показаний к применению и противопоказаний, способов применения и доз лекарственных препаратов, инструкции по применению </w:t>
      </w:r>
    </w:p>
    <w:p w:rsidR="001F12F1" w:rsidRDefault="0013705F">
      <w:pPr>
        <w:pStyle w:val="Heading1"/>
        <w:ind w:left="711"/>
      </w:pPr>
      <w:r>
        <w:t>лекарственного препарата</w:t>
      </w:r>
      <w:r>
        <w:rPr>
          <w:b w:val="0"/>
          <w:sz w:val="20"/>
        </w:rPr>
        <w:t xml:space="preserve"> </w:t>
      </w:r>
    </w:p>
    <w:p w:rsidR="001F12F1" w:rsidRDefault="0013705F">
      <w:pPr>
        <w:numPr>
          <w:ilvl w:val="0"/>
          <w:numId w:val="19"/>
        </w:numPr>
        <w:spacing w:line="398" w:lineRule="auto"/>
        <w:ind w:hanging="360"/>
      </w:pPr>
      <w:r>
        <w:t xml:space="preserve">Приказ Минздравсоцразвития </w:t>
      </w:r>
      <w:r>
        <w:t xml:space="preserve">России от 16.04.2012 N 366н (ред. от 21.02.2020) "Об утверждении Порядка оказания педиатрической помощи" </w:t>
      </w:r>
    </w:p>
    <w:p w:rsidR="001F12F1" w:rsidRDefault="0013705F">
      <w:pPr>
        <w:numPr>
          <w:ilvl w:val="0"/>
          <w:numId w:val="19"/>
        </w:numPr>
        <w:spacing w:after="0" w:line="389" w:lineRule="auto"/>
        <w:ind w:hanging="360"/>
      </w:pPr>
      <w:r>
        <w:t>Приказ Минздрава России от 21.04.2022 N 274н "Об утверждении Порядка оказания медицинской помощи пациентам с врожденными и (или) наследственными забол</w:t>
      </w:r>
      <w:r>
        <w:t xml:space="preserve">еваниями" </w:t>
      </w:r>
    </w:p>
    <w:p w:rsidR="001F12F1" w:rsidRDefault="0013705F">
      <w:pPr>
        <w:numPr>
          <w:ilvl w:val="0"/>
          <w:numId w:val="19"/>
        </w:numPr>
        <w:spacing w:after="179"/>
        <w:ind w:hanging="360"/>
      </w:pPr>
      <w:r>
        <w:t xml:space="preserve">Государственный реестр лекарственных средств: </w:t>
      </w:r>
      <w:hyperlink r:id="rId15">
        <w:r>
          <w:rPr>
            <w:u w:val="single" w:color="000000"/>
          </w:rPr>
          <w:t>https://grls.rosminzdrav.ru</w:t>
        </w:r>
      </w:hyperlink>
      <w:hyperlink r:id="rId16">
        <w:r>
          <w:t xml:space="preserve"> </w:t>
        </w:r>
      </w:hyperlink>
    </w:p>
    <w:p w:rsidR="001F12F1" w:rsidRDefault="0013705F">
      <w:pPr>
        <w:spacing w:after="0" w:line="402" w:lineRule="auto"/>
        <w:ind w:left="-5"/>
      </w:pPr>
      <w:r>
        <w:rPr>
          <w:b/>
        </w:rPr>
        <w:t>Основные нормативно-правовые акты, регулирующие оказание паллиативной меди</w:t>
      </w:r>
      <w:r>
        <w:rPr>
          <w:b/>
        </w:rPr>
        <w:t xml:space="preserve">цинской помощи </w:t>
      </w:r>
    </w:p>
    <w:p w:rsidR="001F12F1" w:rsidRDefault="0013705F">
      <w:pPr>
        <w:numPr>
          <w:ilvl w:val="0"/>
          <w:numId w:val="20"/>
        </w:numPr>
        <w:spacing w:line="399" w:lineRule="auto"/>
        <w:ind w:hanging="360"/>
      </w:pPr>
      <w:r>
        <w:t xml:space="preserve">Федеральный закон от 21.11.2011 N 323-ФЗ (ред. от 25.12.2023) "Об основах охраны здоровья граждан в Российской Федерации" </w:t>
      </w:r>
    </w:p>
    <w:p w:rsidR="001F12F1" w:rsidRDefault="0013705F">
      <w:pPr>
        <w:numPr>
          <w:ilvl w:val="0"/>
          <w:numId w:val="20"/>
        </w:numPr>
        <w:spacing w:line="367" w:lineRule="auto"/>
        <w:ind w:hanging="360"/>
      </w:pPr>
      <w:r>
        <w:t>Приказ Минздрава России N 345н, Минтруда России N 372н от 31.05.2019 "Об утверждении Положения об организации оказани</w:t>
      </w:r>
      <w:r>
        <w:t>я паллиативной медицинской помощи, включая порядок взаимодействия медицинских организаций, организаций социального обслуживания и общественных объединений, иных некоммерческих организаций, осуществляющих свою деятельность в сфере охраны здоровья"</w:t>
      </w:r>
      <w:r>
        <w:rPr>
          <w:b/>
        </w:rPr>
        <w:t xml:space="preserve"> </w:t>
      </w:r>
    </w:p>
    <w:p w:rsidR="001F12F1" w:rsidRDefault="0013705F">
      <w:pPr>
        <w:numPr>
          <w:ilvl w:val="0"/>
          <w:numId w:val="20"/>
        </w:numPr>
        <w:spacing w:after="27" w:line="378" w:lineRule="auto"/>
        <w:ind w:hanging="360"/>
      </w:pPr>
      <w:r>
        <w:t xml:space="preserve">Приказ Минздрава России от 31.05.2019 N 348н (ред. от 02.11.2020) "Об утверждении перечня медицинских изделий, предназначенных для поддержания функций органов и систем организма человека, предоставляемых для использования на дому" </w:t>
      </w:r>
    </w:p>
    <w:p w:rsidR="001F12F1" w:rsidRDefault="0013705F">
      <w:pPr>
        <w:numPr>
          <w:ilvl w:val="0"/>
          <w:numId w:val="20"/>
        </w:numPr>
        <w:spacing w:after="297" w:line="383" w:lineRule="auto"/>
        <w:ind w:hanging="360"/>
      </w:pPr>
      <w:r>
        <w:t xml:space="preserve">Приказ Минздрава России </w:t>
      </w:r>
      <w:r>
        <w:t>от 10.07.2019 N 505н "Об утверждении Порядка передачи от медицинской организации пациенту (его законному представителю) медицинских изделий, предназначенных для поддержания функций органов и систем организма человека, для использования на дому при оказании</w:t>
      </w:r>
      <w:r>
        <w:t xml:space="preserve"> паллиативной медицинской помощи" </w:t>
      </w:r>
      <w:r>
        <w:rPr>
          <w:b/>
        </w:rPr>
        <w:t xml:space="preserve">Прочие нормативно-правовые документы, с учетом которых разработаны клинические рекомендации:  </w:t>
      </w:r>
    </w:p>
    <w:p w:rsidR="001F12F1" w:rsidRDefault="0013705F">
      <w:pPr>
        <w:numPr>
          <w:ilvl w:val="1"/>
          <w:numId w:val="20"/>
        </w:numPr>
        <w:spacing w:line="396" w:lineRule="auto"/>
        <w:ind w:firstLine="142"/>
      </w:pPr>
      <w:r>
        <w:t xml:space="preserve">Федеральный закон от 21.11.2011 N 323-ФЗ (ред. от 25.12.2023) "Об основах охраны здоровья граждан в Российской Федерации"; </w:t>
      </w:r>
    </w:p>
    <w:p w:rsidR="001F12F1" w:rsidRDefault="0013705F">
      <w:pPr>
        <w:numPr>
          <w:ilvl w:val="1"/>
          <w:numId w:val="20"/>
        </w:numPr>
        <w:spacing w:line="388" w:lineRule="auto"/>
        <w:ind w:firstLine="142"/>
      </w:pPr>
      <w:r>
        <w:t>Меж</w:t>
      </w:r>
      <w:r>
        <w:t xml:space="preserve">дународная классификация болезней, травм и состояний, влияющих на здоровье (МКБ – 10); </w:t>
      </w:r>
    </w:p>
    <w:p w:rsidR="001F12F1" w:rsidRDefault="0013705F">
      <w:pPr>
        <w:numPr>
          <w:ilvl w:val="1"/>
          <w:numId w:val="20"/>
        </w:numPr>
        <w:spacing w:after="30" w:line="375" w:lineRule="auto"/>
        <w:ind w:firstLine="142"/>
      </w:pPr>
      <w:r>
        <w:t xml:space="preserve">Приказ Минздрава России от 02.05.2023 N 205н (ред. от 04.12.2023) "Об утверждении Номенклатуры должностей медицинских работников и фармацевтических работников";  </w:t>
      </w:r>
    </w:p>
    <w:p w:rsidR="001F12F1" w:rsidRDefault="0013705F">
      <w:pPr>
        <w:numPr>
          <w:ilvl w:val="1"/>
          <w:numId w:val="20"/>
        </w:numPr>
        <w:spacing w:after="35" w:line="371" w:lineRule="auto"/>
        <w:ind w:firstLine="142"/>
      </w:pPr>
      <w:r>
        <w:t>Прика</w:t>
      </w:r>
      <w:r>
        <w:t>з Минздрава России от 28.02.2019 N 103н (ред. от 23.06.2020) "Об утверждении порядка и сроков разработки клинических рекомендаций, их пересмотра, типовой формы клинических рекомендаций и требований к их структуре, составу и научной обоснованности включаемо</w:t>
      </w:r>
      <w:r>
        <w:t xml:space="preserve">й в клинические рекомендации информации" </w:t>
      </w:r>
    </w:p>
    <w:p w:rsidR="001F12F1" w:rsidRDefault="0013705F">
      <w:pPr>
        <w:numPr>
          <w:ilvl w:val="1"/>
          <w:numId w:val="20"/>
        </w:numPr>
        <w:spacing w:after="157" w:line="259" w:lineRule="auto"/>
        <w:ind w:firstLine="142"/>
      </w:pPr>
      <w:r>
        <w:t xml:space="preserve">Приказ Минздрава России от 13.10.2017 N 804н (ред. от 24.09.2020, с изм. от </w:t>
      </w:r>
    </w:p>
    <w:p w:rsidR="001F12F1" w:rsidRDefault="0013705F">
      <w:pPr>
        <w:spacing w:after="123"/>
        <w:ind w:left="576"/>
      </w:pPr>
      <w:r>
        <w:t xml:space="preserve">26.10.2022) "Об утверждении номенклатуры медицинских услуг" </w:t>
      </w:r>
    </w:p>
    <w:p w:rsidR="001F12F1" w:rsidRDefault="0013705F">
      <w:pPr>
        <w:spacing w:after="0" w:line="259" w:lineRule="auto"/>
        <w:ind w:left="0" w:firstLine="0"/>
        <w:jc w:val="left"/>
      </w:pPr>
      <w:r>
        <w:t xml:space="preserve"> </w:t>
      </w:r>
    </w:p>
    <w:p w:rsidR="001F12F1" w:rsidRDefault="0013705F">
      <w:pPr>
        <w:spacing w:after="0" w:line="259" w:lineRule="auto"/>
        <w:ind w:left="0" w:firstLine="0"/>
        <w:jc w:val="left"/>
      </w:pPr>
      <w:r>
        <w:t xml:space="preserve"> </w:t>
      </w:r>
    </w:p>
    <w:p w:rsidR="001F12F1" w:rsidRDefault="0013705F">
      <w:pPr>
        <w:spacing w:after="0" w:line="259" w:lineRule="auto"/>
        <w:ind w:left="0" w:firstLine="0"/>
        <w:jc w:val="left"/>
      </w:pPr>
      <w:r>
        <w:t xml:space="preserve"> </w:t>
      </w:r>
      <w:r>
        <w:tab/>
        <w:t xml:space="preserve"> </w:t>
      </w:r>
    </w:p>
    <w:p w:rsidR="001F12F1" w:rsidRDefault="0013705F">
      <w:pPr>
        <w:spacing w:after="349" w:line="259" w:lineRule="auto"/>
        <w:ind w:left="2499"/>
      </w:pPr>
      <w:r>
        <w:rPr>
          <w:b/>
        </w:rPr>
        <w:t xml:space="preserve">Приложение Б. </w:t>
      </w:r>
      <w:r>
        <w:rPr>
          <w:b/>
          <w:sz w:val="28"/>
        </w:rPr>
        <w:t>Алгоритмы действий врача</w:t>
      </w:r>
      <w:r>
        <w:rPr>
          <w:b/>
        </w:rPr>
        <w:t xml:space="preserve">  </w:t>
      </w:r>
    </w:p>
    <w:p w:rsidR="001F12F1" w:rsidRDefault="0013705F">
      <w:pPr>
        <w:spacing w:after="9" w:line="250" w:lineRule="auto"/>
        <w:ind w:left="-5"/>
      </w:pPr>
      <w:r>
        <w:rPr>
          <w:b/>
        </w:rPr>
        <w:t>Алгоритм лабораторной диагн</w:t>
      </w:r>
      <w:r>
        <w:rPr>
          <w:b/>
        </w:rPr>
        <w:t xml:space="preserve">остики дефицита кислой сфингомиелиназы (болезни </w:t>
      </w:r>
    </w:p>
    <w:p w:rsidR="001F12F1" w:rsidRDefault="0013705F">
      <w:pPr>
        <w:spacing w:after="55" w:line="259" w:lineRule="auto"/>
        <w:ind w:left="-5" w:right="-697" w:firstLine="0"/>
        <w:jc w:val="left"/>
      </w:pPr>
      <w:r>
        <w:rPr>
          <w:noProof/>
        </w:rPr>
        <w:drawing>
          <wp:inline distT="0" distB="0" distL="0" distR="0">
            <wp:extent cx="6678169" cy="5903977"/>
            <wp:effectExtent l="0" t="0" r="0" b="0"/>
            <wp:docPr id="54350" name="Picture 543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350" name="Picture 54350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678169" cy="5903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12F1" w:rsidRDefault="0013705F">
      <w:pPr>
        <w:spacing w:after="0" w:line="259" w:lineRule="auto"/>
        <w:ind w:left="0" w:firstLine="0"/>
        <w:jc w:val="left"/>
      </w:pPr>
      <w:r>
        <w:t xml:space="preserve"> </w:t>
      </w:r>
      <w:r>
        <w:tab/>
        <w:t xml:space="preserve"> </w:t>
      </w:r>
    </w:p>
    <w:p w:rsidR="001F12F1" w:rsidRDefault="0013705F">
      <w:pPr>
        <w:pStyle w:val="Heading2"/>
        <w:spacing w:after="360" w:line="259" w:lineRule="auto"/>
        <w:ind w:left="186" w:right="-240"/>
        <w:jc w:val="center"/>
      </w:pPr>
      <w:r>
        <w:rPr>
          <w:u w:val="none"/>
        </w:rPr>
        <w:t xml:space="preserve">Приложение В. Информация для пациентов </w:t>
      </w:r>
    </w:p>
    <w:p w:rsidR="001F12F1" w:rsidRDefault="0013705F">
      <w:pPr>
        <w:tabs>
          <w:tab w:val="center" w:pos="3426"/>
          <w:tab w:val="center" w:pos="7047"/>
        </w:tabs>
        <w:spacing w:after="246" w:line="250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Что такое болезнь Ниманна-Пика типa А, B, А/В? </w:t>
      </w:r>
      <w:r>
        <w:rPr>
          <w:b/>
        </w:rPr>
        <w:tab/>
        <w:t xml:space="preserve"> </w:t>
      </w:r>
    </w:p>
    <w:p w:rsidR="001F12F1" w:rsidRDefault="0013705F">
      <w:pPr>
        <w:spacing w:line="385" w:lineRule="auto"/>
        <w:ind w:left="-15" w:firstLine="708"/>
      </w:pPr>
      <w:r>
        <w:t>На данный момент известно более 50 лизосомных болезней накопления, одной из которых является болезнь Ниманна-</w:t>
      </w:r>
      <w:r>
        <w:t>Пика. Болезнь Ниманна-Пика типa А, B, А/В (дефицит кислой сфингомиелиназы) — редкое наследственное нарушение обмена веществ из группы сфинголипидозов. Причиной заболевание является снижение активности фермента кислой сфингомиелиназы, который помогает расще</w:t>
      </w:r>
      <w:r>
        <w:t xml:space="preserve">плять жиры в организме. Это приводит к их накоплению, что вредит различным органам, особенно печени и мозгу. В зависимости от тяжести симптомов и возраста проявления выделяют три типа: болезнь Ниманна-Пика А, B и А/В. </w:t>
      </w:r>
    </w:p>
    <w:p w:rsidR="001F12F1" w:rsidRDefault="0013705F">
      <w:pPr>
        <w:spacing w:after="131" w:line="393" w:lineRule="auto"/>
        <w:ind w:left="-15" w:firstLine="708"/>
      </w:pPr>
      <w:r>
        <w:t>Дефицит кислой сфингомиелиназы — очен</w:t>
      </w:r>
      <w:r>
        <w:t xml:space="preserve">ь редкое заболевание, частота которого в мире оценивается примерно   1:100 000 - 1 000 000 новорожденных. В некоторых этнических группах (например, среди евреев-ашкенази) заболевание встречается чаще. </w:t>
      </w:r>
    </w:p>
    <w:p w:rsidR="001F12F1" w:rsidRDefault="0013705F">
      <w:pPr>
        <w:spacing w:after="286" w:line="250" w:lineRule="auto"/>
        <w:ind w:left="718"/>
      </w:pPr>
      <w:r>
        <w:rPr>
          <w:b/>
        </w:rPr>
        <w:t xml:space="preserve">Как проявляется болезнь Ниманна-Пика типa А, B, А/В? </w:t>
      </w:r>
    </w:p>
    <w:p w:rsidR="001F12F1" w:rsidRDefault="0013705F">
      <w:pPr>
        <w:spacing w:after="142" w:line="378" w:lineRule="auto"/>
        <w:ind w:left="-15" w:firstLine="708"/>
      </w:pPr>
      <w:r>
        <w:t>Болезнь Ниманна-Пика типа А — самая тяжелая форма болезни. Симптомы проявляются уже в младенчестве, обычно в течение первых месяцев жизни. Дети с этим типом болезни имеют серьезные нарушения психического и моторного развития, у них могут быть проблемы с пи</w:t>
      </w:r>
      <w:r>
        <w:t xml:space="preserve">танием, нарушения работы печени и значительное увеличение размера печени и селезенки. К сожалению, тип А часто приводит к ранней смертности, обычно в возрасте до 3 лет. </w:t>
      </w:r>
    </w:p>
    <w:p w:rsidR="001F12F1" w:rsidRDefault="0013705F">
      <w:pPr>
        <w:spacing w:after="150" w:line="371" w:lineRule="auto"/>
        <w:ind w:left="-15" w:firstLine="708"/>
      </w:pPr>
      <w:r>
        <w:t>Болезнь Ниманна-Пика типа B протекает более мягко и обычно не влияет на нервную систем</w:t>
      </w:r>
      <w:r>
        <w:t xml:space="preserve">у. У пациентов с этим типом могут наблюдаться увеличение печени и селезенки, проблемы с легкими и, иногда, задержка роста. Симптомы могут варьироваться от легких до умеренных, и многие люди с типом B имеют обычную продолжительность жизни. </w:t>
      </w:r>
    </w:p>
    <w:p w:rsidR="001F12F1" w:rsidRDefault="0013705F">
      <w:pPr>
        <w:spacing w:after="137" w:line="384" w:lineRule="auto"/>
        <w:ind w:left="-15" w:firstLine="708"/>
      </w:pPr>
      <w:r>
        <w:t>Болезнь Ниманна-</w:t>
      </w:r>
      <w:r>
        <w:t>Пика типа А/В — промежуточная форма, где наблюдаются как неврологические, так и системные проявления заболевания. Симптомы могут включать нарушения со стороны нервной системы (атаксия, полинейропатия), а также те же признаки, что и при типе B, включая увел</w:t>
      </w:r>
      <w:r>
        <w:t xml:space="preserve">ичение печени и селезенки. </w:t>
      </w:r>
    </w:p>
    <w:p w:rsidR="001F12F1" w:rsidRDefault="0013705F">
      <w:pPr>
        <w:spacing w:after="106" w:line="371" w:lineRule="auto"/>
        <w:ind w:left="-15" w:firstLine="708"/>
      </w:pPr>
      <w:r>
        <w:t xml:space="preserve">У детей часто наблюдается раздражительность, нарушения сна, бессонница, </w:t>
      </w:r>
      <w:r>
        <w:t xml:space="preserve">продолжительный плач, рвота. Болезнь оказывает негативное влияние на самих пациентов и на лица, осуществляющие уход за ним. Это связано с физическим, психоэмоциональным состоянием, а также социальной изоляцией. </w:t>
      </w:r>
    </w:p>
    <w:p w:rsidR="001F12F1" w:rsidRDefault="0013705F">
      <w:pPr>
        <w:spacing w:after="0" w:line="259" w:lineRule="auto"/>
        <w:ind w:left="708" w:firstLine="0"/>
        <w:jc w:val="left"/>
      </w:pPr>
      <w:r>
        <w:t xml:space="preserve"> </w:t>
      </w:r>
    </w:p>
    <w:p w:rsidR="001F12F1" w:rsidRDefault="0013705F">
      <w:pPr>
        <w:spacing w:after="287" w:line="250" w:lineRule="auto"/>
        <w:ind w:left="718"/>
      </w:pPr>
      <w:r>
        <w:rPr>
          <w:b/>
        </w:rPr>
        <w:t>Как устанавливают диагноз болезнь Ниманна-</w:t>
      </w:r>
      <w:r>
        <w:rPr>
          <w:b/>
        </w:rPr>
        <w:t xml:space="preserve">Пика типa А, B, А/В? </w:t>
      </w:r>
    </w:p>
    <w:p w:rsidR="001F12F1" w:rsidRDefault="0013705F">
      <w:pPr>
        <w:spacing w:line="386" w:lineRule="auto"/>
        <w:ind w:left="-15" w:firstLine="708"/>
      </w:pPr>
      <w:r>
        <w:t>"Золотым стандартом" современной диагностики болезни Ниманна-Пика является биохимические методы. Для подтверждения диагноза проводят определение активности кислой сфингомиелиназы в сухих пятнах крови или в лейкоцитах периферической кр</w:t>
      </w:r>
      <w:r>
        <w:t xml:space="preserve">ови. Также одновременно измеряют уровень лизосфингомиелина (Lyso-SM) и лизосфингомиелином-509 (Lyso-SM509), которые тоже являются специфичными маркерами этого заболевания.  </w:t>
      </w:r>
    </w:p>
    <w:p w:rsidR="001F12F1" w:rsidRDefault="0013705F">
      <w:pPr>
        <w:spacing w:line="377" w:lineRule="auto"/>
        <w:ind w:left="-15" w:firstLine="708"/>
      </w:pPr>
      <w:r>
        <w:t>В дополнение к ферментативному анализу, важную роль играет молекулярногенетический</w:t>
      </w:r>
      <w:r>
        <w:t xml:space="preserve"> анализ на выявление биаллельных патогенных вариантов в гене </w:t>
      </w:r>
      <w:r>
        <w:rPr>
          <w:i/>
        </w:rPr>
        <w:t>SMPD1</w:t>
      </w:r>
      <w:r>
        <w:t>, который кодирует кислую сфингомиелиназу. Это позволяет не только подтвердить диагноз, но и в некоторых случаях определить конкретный тип болезни (А, B или А/В), что важно для прогнозирован</w:t>
      </w:r>
      <w:r>
        <w:t xml:space="preserve">ия течения заболевания и планирования лечения. </w:t>
      </w:r>
    </w:p>
    <w:p w:rsidR="001F12F1" w:rsidRDefault="0013705F">
      <w:pPr>
        <w:spacing w:after="144" w:line="384" w:lineRule="auto"/>
        <w:ind w:left="-15" w:firstLine="708"/>
      </w:pPr>
      <w:r>
        <w:t>Комплексное исследование для пренатальной диагностики нарушений развития ребенка (пренатальная диагностика) проводится на 9-11 неделях беременности. В материале, который называется ворсины хориона (то, из чег</w:t>
      </w:r>
      <w:r>
        <w:t>о в последующем формируется плацента) проводят тестирование для выявления патогенных в гене. На основании проведенного анализа делают вывод болен   плод или здоров, и семья принимает решение относительно данной беременности. Современные технологии позволяю</w:t>
      </w:r>
      <w:r>
        <w:t>т проводить и преимплантационное генетическое тестирование (преимплантационную диагностику). Оплодотворение проводится в пробирке, затем отбирают только те оплодотворенные эмбрионы на стадии нескольких бластомеров, в которых нет семейной мутации и их импла</w:t>
      </w:r>
      <w:r>
        <w:t xml:space="preserve">нитируют в организм матери. При данной процедуре есть свои риски, которые может разъяснить врач-генетик. </w:t>
      </w:r>
    </w:p>
    <w:p w:rsidR="001F12F1" w:rsidRDefault="0013705F">
      <w:pPr>
        <w:spacing w:after="280" w:line="250" w:lineRule="auto"/>
        <w:ind w:left="718"/>
      </w:pPr>
      <w:r>
        <w:rPr>
          <w:b/>
        </w:rPr>
        <w:t xml:space="preserve">Как наследуется болезнь Ниманна-Пика типa А, B, А/В? </w:t>
      </w:r>
    </w:p>
    <w:p w:rsidR="001F12F1" w:rsidRDefault="0013705F">
      <w:pPr>
        <w:spacing w:line="396" w:lineRule="auto"/>
        <w:ind w:left="-15" w:firstLine="708"/>
      </w:pPr>
      <w:r>
        <w:t xml:space="preserve">Ген </w:t>
      </w:r>
      <w:r>
        <w:rPr>
          <w:i/>
        </w:rPr>
        <w:t>SMPD1</w:t>
      </w:r>
      <w:r>
        <w:t>, кодирующий кислую сфингомиелиназу, локализован в хромосомной области 11p15.1-p15.4. У</w:t>
      </w:r>
      <w:r>
        <w:t xml:space="preserve"> пациентов   присутствуют изменения в данном гене — «патогенные варианты». </w:t>
      </w:r>
    </w:p>
    <w:p w:rsidR="001F12F1" w:rsidRDefault="0013705F">
      <w:pPr>
        <w:spacing w:line="373" w:lineRule="auto"/>
        <w:ind w:left="-15" w:firstLine="708"/>
      </w:pPr>
      <w:r>
        <w:t>Заболевание наследуется по аутосомно-рецессивному типу. Это значит, что болезнь проявляется только в том случае, если оба родителя являются носителями болезни («патогенного вариант</w:t>
      </w:r>
      <w:r>
        <w:t>а») и, хотя сами не болеют, но каждый передает ребенку измененный ген. Большинство семей, где есть ребенок с этим заболеванием, не сталкивались раньше с подобной проблемой. Риск повторного рождения ребенка с дефицитом кислой сфингомиелиназы в семье, где уж</w:t>
      </w:r>
      <w:r>
        <w:t xml:space="preserve">е есть дети с этим заболеванием, составляет 25% для каждой беременности. </w:t>
      </w:r>
    </w:p>
    <w:p w:rsidR="001F12F1" w:rsidRDefault="0013705F">
      <w:pPr>
        <w:spacing w:after="29" w:line="357" w:lineRule="auto"/>
        <w:ind w:left="-15" w:firstLine="708"/>
      </w:pPr>
      <w:r>
        <w:t>В одной семье заболевание не всегда протекает полностью одинаково и первые симптомы могут появляться в разном возрасте. У братьев и сестёр пациента может быть дефицитом кислой сфинго</w:t>
      </w:r>
      <w:r>
        <w:t>миелиназы, даже если у них на момент диагностики не было симптомов заболевания. В данном случае необходимо провести диагностику, чтобы как можно раньше начать терапию и избежать осложнений. Также они могут быть носителями, как их родители. Что касается дру</w:t>
      </w:r>
      <w:r>
        <w:t xml:space="preserve">гих членов семьи, то им важно сообщить, что они могут быть носителями. Это значит, что и у них есть риск рождения ребенка с этим заболеванием. </w:t>
      </w:r>
    </w:p>
    <w:p w:rsidR="001F12F1" w:rsidRDefault="0013705F">
      <w:pPr>
        <w:spacing w:line="384" w:lineRule="auto"/>
        <w:ind w:left="-15" w:firstLine="708"/>
      </w:pPr>
      <w:r>
        <w:t>Все семьи с этим заболеванием должны обязательно пройти медико-генетическое консультирование и получить полную и</w:t>
      </w:r>
      <w:r>
        <w:t xml:space="preserve">нформацию от врача-генетика о риске повторного проявления заболевания в семье, обсудить со специалистом все вопросы, связанные с наследованием заболевания. Лечащие врачи не всегда имеют возможность поговорить с семьей и рассказать о рисках и возможностях, </w:t>
      </w:r>
      <w:r>
        <w:t xml:space="preserve">которые может предоставить современная генетика. У врача-генетика можно узнать риск рождения больного ребенка в данной семье, обследовать родственников, если это необходимо, обсудить комплексное исследование для пренатальной диагностики нарушений развития </w:t>
      </w:r>
      <w:r>
        <w:t xml:space="preserve">ребенка (пренатальную диагностику) и преимплантационное генетическое тестирование (преимплантационную диагностику). В России медикогенетические консультации работают в каждом регионе. </w:t>
      </w:r>
    </w:p>
    <w:p w:rsidR="001F12F1" w:rsidRDefault="0013705F">
      <w:pPr>
        <w:spacing w:line="389" w:lineRule="auto"/>
        <w:ind w:left="-15" w:firstLine="708"/>
      </w:pPr>
      <w:r>
        <w:t>Для проведения комплексного исследования для пренатальной диагностики нарушений развития ребенка (пренатальной диагностики) и преимплантационного генетического тестирования (преимплантационной диагностики) паре предварительно необходимо пройти обследование</w:t>
      </w:r>
      <w:r>
        <w:t xml:space="preserve"> на носительство патогенных вариантов в гене </w:t>
      </w:r>
      <w:r>
        <w:rPr>
          <w:i/>
        </w:rPr>
        <w:t>SMPD1</w:t>
      </w:r>
      <w:r>
        <w:t xml:space="preserve">, вызывающих данное заболевание, обратившись в специализированные диагностические лаборатории и медицинские центры. </w:t>
      </w:r>
    </w:p>
    <w:p w:rsidR="001F12F1" w:rsidRDefault="0013705F">
      <w:pPr>
        <w:spacing w:after="119" w:line="250" w:lineRule="auto"/>
        <w:ind w:left="718"/>
      </w:pPr>
      <w:r>
        <w:rPr>
          <w:b/>
        </w:rPr>
        <w:t>Как лечат болезнь Ниманна-Пика типa А, B, А/В?</w:t>
      </w:r>
      <w:r>
        <w:t xml:space="preserve"> </w:t>
      </w:r>
    </w:p>
    <w:p w:rsidR="001F12F1" w:rsidRDefault="0013705F">
      <w:pPr>
        <w:spacing w:line="383" w:lineRule="auto"/>
        <w:ind w:left="-15" w:firstLine="708"/>
      </w:pPr>
      <w:r>
        <w:t>Лечение проявлений дефицита кислой сфинго</w:t>
      </w:r>
      <w:r>
        <w:t>миелиназы, не относящихся к центральной нервной системе заключается в назначении пожизненной ферментной заместительной терапии (ФЗТ). Введение недостающего фермента позволяет улучшить состояние пациентов, в некоторых случаях добиться практические полного к</w:t>
      </w:r>
      <w:r>
        <w:t>упирования основных клинических проявлений заболевания. ФЗТ показана для пациентов с подтверждённым диагнозом болезнью Ниманна-Пика типа В и болезнью Ниманна-Пика типа А/В, у которых имеются клинически значимые неневрологические проявления заболевания. Важ</w:t>
      </w:r>
      <w:r>
        <w:t>но как можно раньше начать ФЗТ, чтобы избежать тяжёлых осложнений заболевания.</w:t>
      </w:r>
      <w:r>
        <w:rPr>
          <w:b/>
        </w:rPr>
        <w:t xml:space="preserve"> </w:t>
      </w:r>
      <w:r>
        <w:t>Также, в зависимости от состояния пациента, проводится поддерживающая симптоматическая терапия.</w:t>
      </w:r>
      <w:r>
        <w:rPr>
          <w:b/>
        </w:rPr>
        <w:t xml:space="preserve"> </w:t>
      </w:r>
    </w:p>
    <w:p w:rsidR="001F12F1" w:rsidRDefault="0013705F">
      <w:pPr>
        <w:spacing w:line="398" w:lineRule="auto"/>
        <w:ind w:left="-15" w:firstLine="708"/>
      </w:pPr>
      <w:r>
        <w:t>В РФ зарегистрирован один препарат ФЗТ с доказанной эффективностью. Основными це</w:t>
      </w:r>
      <w:r>
        <w:t xml:space="preserve">лями лечения являются: </w:t>
      </w:r>
    </w:p>
    <w:p w:rsidR="001F12F1" w:rsidRDefault="0013705F">
      <w:pPr>
        <w:numPr>
          <w:ilvl w:val="0"/>
          <w:numId w:val="21"/>
        </w:numPr>
        <w:spacing w:after="173"/>
        <w:ind w:hanging="146"/>
      </w:pPr>
      <w:r>
        <w:t xml:space="preserve">уменьшение спленомегалии и повышение уровня тромбоцитов; </w:t>
      </w:r>
    </w:p>
    <w:p w:rsidR="001F12F1" w:rsidRDefault="0013705F">
      <w:pPr>
        <w:numPr>
          <w:ilvl w:val="0"/>
          <w:numId w:val="21"/>
        </w:numPr>
        <w:spacing w:after="170"/>
        <w:ind w:hanging="146"/>
      </w:pPr>
      <w:r>
        <w:t xml:space="preserve">регресс патологических изменений поражённых органов и восстановление их функций; </w:t>
      </w:r>
    </w:p>
    <w:p w:rsidR="001F12F1" w:rsidRDefault="0013705F">
      <w:pPr>
        <w:numPr>
          <w:ilvl w:val="0"/>
          <w:numId w:val="21"/>
        </w:numPr>
        <w:ind w:hanging="146"/>
      </w:pPr>
      <w:r>
        <w:t xml:space="preserve">улучшение показателей физического развития; </w:t>
      </w:r>
    </w:p>
    <w:p w:rsidR="001F12F1" w:rsidRDefault="0013705F">
      <w:pPr>
        <w:numPr>
          <w:ilvl w:val="0"/>
          <w:numId w:val="21"/>
        </w:numPr>
        <w:spacing w:after="301"/>
        <w:ind w:hanging="146"/>
      </w:pPr>
      <w:r>
        <w:t xml:space="preserve">улучшение качества жизни пациентов. </w:t>
      </w:r>
    </w:p>
    <w:p w:rsidR="001F12F1" w:rsidRDefault="0013705F">
      <w:pPr>
        <w:spacing w:after="129" w:line="387" w:lineRule="auto"/>
        <w:ind w:left="-15" w:firstLine="708"/>
      </w:pPr>
      <w:r>
        <w:rPr>
          <w:b/>
        </w:rPr>
        <w:t>Какой мони</w:t>
      </w:r>
      <w:r>
        <w:rPr>
          <w:b/>
        </w:rPr>
        <w:t xml:space="preserve">торинг необходим для пациентов с болезнью Ниманна-Пика типa А, B, А/В? </w:t>
      </w:r>
    </w:p>
    <w:p w:rsidR="001F12F1" w:rsidRDefault="0013705F">
      <w:pPr>
        <w:spacing w:line="378" w:lineRule="auto"/>
        <w:ind w:left="-15" w:firstLine="708"/>
      </w:pPr>
      <w:r>
        <w:t>Необходим мультидисциплинарный подход к наблюдению и лечению специалистами разных профилей для обеспечения комплексного подхода к терапии и своевременной её коррекции при необходимости</w:t>
      </w:r>
      <w:r>
        <w:t xml:space="preserve">. Для пациентов с болезнь Ниманна-Пика типa А, B, А/В необходимы регулярные обследования, включающие ультразвуковое исследование (УЗИ) органов брюшной полости, проведение общего клинического и биохимического анализа крови. </w:t>
      </w:r>
    </w:p>
    <w:p w:rsidR="001F12F1" w:rsidRDefault="0013705F">
      <w:pPr>
        <w:spacing w:after="301"/>
        <w:ind w:left="-5"/>
      </w:pPr>
      <w:r>
        <w:t xml:space="preserve">Необходимо попросить врача дать </w:t>
      </w:r>
      <w:r>
        <w:t xml:space="preserve">рекомендации по частоте проведения исследований. </w:t>
      </w:r>
    </w:p>
    <w:p w:rsidR="001F12F1" w:rsidRDefault="0013705F">
      <w:pPr>
        <w:spacing w:after="284" w:line="250" w:lineRule="auto"/>
        <w:ind w:left="718"/>
      </w:pPr>
      <w:r>
        <w:rPr>
          <w:b/>
        </w:rPr>
        <w:t xml:space="preserve">Как могут помогать родные и близкие? </w:t>
      </w:r>
    </w:p>
    <w:p w:rsidR="001F12F1" w:rsidRDefault="0013705F">
      <w:pPr>
        <w:spacing w:after="37" w:line="367" w:lineRule="auto"/>
        <w:ind w:left="-15" w:firstLine="708"/>
      </w:pPr>
      <w:r>
        <w:t xml:space="preserve">Не забывайте — </w:t>
      </w:r>
      <w:r>
        <w:t>от семьи также зависит успех лечения. Нужно соблюдать рекомендации, не допускать больших перерывов в терапии, уделять внимание реабилитации и плановым обследованиям. Все члены семьи должны знать, что пациент нуждается в проведении ферментной заместительной</w:t>
      </w:r>
      <w:r>
        <w:t xml:space="preserve"> терапии. Крайне важно чётко выполнять все назначения по приёму лекарственных препаратов, назначенных врачом. </w:t>
      </w:r>
    </w:p>
    <w:p w:rsidR="001F12F1" w:rsidRDefault="0013705F">
      <w:pPr>
        <w:spacing w:line="396" w:lineRule="auto"/>
        <w:ind w:left="-15" w:firstLine="708"/>
      </w:pPr>
      <w:r>
        <w:t>Прогноз зависит от формы заболевания и терапии.</w:t>
      </w:r>
      <w:r>
        <w:rPr>
          <w:b/>
        </w:rPr>
        <w:t xml:space="preserve"> </w:t>
      </w:r>
      <w:r>
        <w:t xml:space="preserve">При своевременном начале лечения при болезни Ниманна-Пика типa B и А/В типа прогноз, как правило </w:t>
      </w:r>
      <w:r>
        <w:t xml:space="preserve">благоприятный. </w:t>
      </w:r>
    </w:p>
    <w:p w:rsidR="001F12F1" w:rsidRDefault="0013705F">
      <w:pPr>
        <w:spacing w:after="57" w:line="396" w:lineRule="auto"/>
        <w:ind w:left="-15" w:firstLine="708"/>
      </w:pPr>
      <w:r>
        <w:t xml:space="preserve">Важно не терять надежду и сохранять активный и разнообразный образ жизни на сколько это возможно. </w:t>
      </w:r>
    </w:p>
    <w:p w:rsidR="001F12F1" w:rsidRDefault="0013705F">
      <w:pPr>
        <w:spacing w:after="3" w:line="389" w:lineRule="auto"/>
        <w:ind w:left="-15" w:firstLine="708"/>
      </w:pPr>
      <w:r>
        <w:rPr>
          <w:b/>
          <w:sz w:val="28"/>
        </w:rPr>
        <w:t xml:space="preserve">Приложение Г1-Г2. Шкалы оценки, вопросники и другие оценочные инструменты состояния пациента, приведенные в клинических рекомендациях </w:t>
      </w:r>
    </w:p>
    <w:p w:rsidR="001F12F1" w:rsidRDefault="0013705F">
      <w:pPr>
        <w:ind w:left="718"/>
      </w:pPr>
      <w:r>
        <w:rPr>
          <w:sz w:val="28"/>
        </w:rPr>
        <w:t xml:space="preserve">Не </w:t>
      </w:r>
      <w:r>
        <w:t xml:space="preserve">применяются. </w:t>
      </w:r>
    </w:p>
    <w:sectPr w:rsidR="001F12F1">
      <w:footerReference w:type="even" r:id="rId18"/>
      <w:footerReference w:type="default" r:id="rId19"/>
      <w:footerReference w:type="first" r:id="rId20"/>
      <w:pgSz w:w="11906" w:h="16838"/>
      <w:pgMar w:top="1135" w:right="843" w:bottom="726" w:left="1248" w:header="720" w:footer="72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13705F">
      <w:pPr>
        <w:spacing w:after="0" w:line="240" w:lineRule="auto"/>
      </w:pPr>
      <w:r>
        <w:separator/>
      </w:r>
    </w:p>
  </w:endnote>
  <w:endnote w:type="continuationSeparator" w:id="0">
    <w:p w:rsidR="00000000" w:rsidRDefault="00137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12F1" w:rsidRDefault="001F12F1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12F1" w:rsidRDefault="001F12F1">
    <w:pPr>
      <w:spacing w:after="16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12F1" w:rsidRDefault="001F12F1">
    <w:pPr>
      <w:spacing w:after="160" w:line="259" w:lineRule="auto"/>
      <w:ind w:lef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12F1" w:rsidRDefault="0013705F">
    <w:pPr>
      <w:tabs>
        <w:tab w:val="right" w:pos="9815"/>
      </w:tabs>
      <w:spacing w:after="0" w:line="259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12F1" w:rsidRDefault="0013705F">
    <w:pPr>
      <w:tabs>
        <w:tab w:val="right" w:pos="9815"/>
      </w:tabs>
      <w:spacing w:after="0" w:line="259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12F1" w:rsidRDefault="0013705F">
    <w:pPr>
      <w:spacing w:after="0" w:line="259" w:lineRule="auto"/>
      <w:ind w:left="0" w:right="7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13705F">
      <w:pPr>
        <w:spacing w:after="0" w:line="240" w:lineRule="auto"/>
      </w:pPr>
      <w:r>
        <w:separator/>
      </w:r>
    </w:p>
  </w:footnote>
  <w:footnote w:type="continuationSeparator" w:id="0">
    <w:p w:rsidR="00000000" w:rsidRDefault="001370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742FE"/>
    <w:multiLevelType w:val="hybridMultilevel"/>
    <w:tmpl w:val="B674372C"/>
    <w:lvl w:ilvl="0" w:tplc="0CEE4EAA">
      <w:start w:val="1"/>
      <w:numFmt w:val="bullet"/>
      <w:lvlText w:val="•"/>
      <w:lvlJc w:val="left"/>
      <w:pPr>
        <w:ind w:left="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1472E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FC416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1AEAF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04133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4A6C6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5685C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1216C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D8964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0B55543"/>
    <w:multiLevelType w:val="hybridMultilevel"/>
    <w:tmpl w:val="5E4E4E9C"/>
    <w:lvl w:ilvl="0" w:tplc="4F306E6E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9A257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FEAC9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FE4AF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FC525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5A52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D61FD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C8B1A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A2BF7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5C21927"/>
    <w:multiLevelType w:val="hybridMultilevel"/>
    <w:tmpl w:val="440E2EBA"/>
    <w:lvl w:ilvl="0" w:tplc="209ECEAE">
      <w:start w:val="1"/>
      <w:numFmt w:val="bullet"/>
      <w:lvlText w:val="•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D47834">
      <w:start w:val="1"/>
      <w:numFmt w:val="bullet"/>
      <w:lvlText w:val="o"/>
      <w:lvlJc w:val="left"/>
      <w:pPr>
        <w:ind w:left="12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C4467A">
      <w:start w:val="1"/>
      <w:numFmt w:val="bullet"/>
      <w:lvlText w:val="▪"/>
      <w:lvlJc w:val="left"/>
      <w:pPr>
        <w:ind w:left="19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12147A">
      <w:start w:val="1"/>
      <w:numFmt w:val="bullet"/>
      <w:lvlText w:val="•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5252E8">
      <w:start w:val="1"/>
      <w:numFmt w:val="bullet"/>
      <w:lvlText w:val="o"/>
      <w:lvlJc w:val="left"/>
      <w:pPr>
        <w:ind w:left="33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D87408">
      <w:start w:val="1"/>
      <w:numFmt w:val="bullet"/>
      <w:lvlText w:val="▪"/>
      <w:lvlJc w:val="left"/>
      <w:pPr>
        <w:ind w:left="41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DA17F6">
      <w:start w:val="1"/>
      <w:numFmt w:val="bullet"/>
      <w:lvlText w:val="•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CEA49E">
      <w:start w:val="1"/>
      <w:numFmt w:val="bullet"/>
      <w:lvlText w:val="o"/>
      <w:lvlJc w:val="left"/>
      <w:pPr>
        <w:ind w:left="55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44F262">
      <w:start w:val="1"/>
      <w:numFmt w:val="bullet"/>
      <w:lvlText w:val="▪"/>
      <w:lvlJc w:val="left"/>
      <w:pPr>
        <w:ind w:left="62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B0E4B24"/>
    <w:multiLevelType w:val="hybridMultilevel"/>
    <w:tmpl w:val="F564B532"/>
    <w:lvl w:ilvl="0" w:tplc="F13C4A62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963FE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C82A3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A089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A6618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02185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60E27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8A29E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8CBB4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1B33E30"/>
    <w:multiLevelType w:val="hybridMultilevel"/>
    <w:tmpl w:val="ED849C28"/>
    <w:lvl w:ilvl="0" w:tplc="4A46F1EC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BA82B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2EA75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96D79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88848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0E94D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64A52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747E3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4A741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4983081"/>
    <w:multiLevelType w:val="hybridMultilevel"/>
    <w:tmpl w:val="F2903036"/>
    <w:lvl w:ilvl="0" w:tplc="114AA8E2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823B1A">
      <w:start w:val="1"/>
      <w:numFmt w:val="decimal"/>
      <w:lvlText w:val="%2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D4D77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5E928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6C4822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77A7E2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52194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D8E7C6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D8F87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90A4324"/>
    <w:multiLevelType w:val="multilevel"/>
    <w:tmpl w:val="DB70FA3E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A195E1A"/>
    <w:multiLevelType w:val="hybridMultilevel"/>
    <w:tmpl w:val="92C88C54"/>
    <w:lvl w:ilvl="0" w:tplc="021EBBE8">
      <w:start w:val="1"/>
      <w:numFmt w:val="bullet"/>
      <w:lvlText w:val="•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4859B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BC790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E4D8B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2EABC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CE73D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4CC71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BE2ED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E466C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D7B2EE4"/>
    <w:multiLevelType w:val="hybridMultilevel"/>
    <w:tmpl w:val="5A363D00"/>
    <w:lvl w:ilvl="0" w:tplc="97F874D4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64D34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C02E6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D4ECC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A8305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68604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36630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F02B4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1A84E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2E72BD4"/>
    <w:multiLevelType w:val="hybridMultilevel"/>
    <w:tmpl w:val="24DEBF40"/>
    <w:lvl w:ilvl="0" w:tplc="9314FF2A">
      <w:start w:val="7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D489F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5705A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FD8E13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96CF05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9D215E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1084D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05C919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2E665E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8B71E5E"/>
    <w:multiLevelType w:val="hybridMultilevel"/>
    <w:tmpl w:val="809EB4AA"/>
    <w:lvl w:ilvl="0" w:tplc="6D06E496">
      <w:start w:val="1"/>
      <w:numFmt w:val="bullet"/>
      <w:lvlText w:val="•"/>
      <w:lvlJc w:val="left"/>
      <w:pPr>
        <w:ind w:left="11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907A5C">
      <w:start w:val="1"/>
      <w:numFmt w:val="bullet"/>
      <w:lvlText w:val="o"/>
      <w:lvlJc w:val="left"/>
      <w:pPr>
        <w:ind w:left="18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AC3CD0">
      <w:start w:val="1"/>
      <w:numFmt w:val="bullet"/>
      <w:lvlText w:val="▪"/>
      <w:lvlJc w:val="left"/>
      <w:pPr>
        <w:ind w:left="26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605536">
      <w:start w:val="1"/>
      <w:numFmt w:val="bullet"/>
      <w:lvlText w:val="•"/>
      <w:lvlJc w:val="left"/>
      <w:pPr>
        <w:ind w:left="33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B6C488">
      <w:start w:val="1"/>
      <w:numFmt w:val="bullet"/>
      <w:lvlText w:val="o"/>
      <w:lvlJc w:val="left"/>
      <w:pPr>
        <w:ind w:left="40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F6486C">
      <w:start w:val="1"/>
      <w:numFmt w:val="bullet"/>
      <w:lvlText w:val="▪"/>
      <w:lvlJc w:val="left"/>
      <w:pPr>
        <w:ind w:left="47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48350A">
      <w:start w:val="1"/>
      <w:numFmt w:val="bullet"/>
      <w:lvlText w:val="•"/>
      <w:lvlJc w:val="left"/>
      <w:pPr>
        <w:ind w:left="54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7AF274">
      <w:start w:val="1"/>
      <w:numFmt w:val="bullet"/>
      <w:lvlText w:val="o"/>
      <w:lvlJc w:val="left"/>
      <w:pPr>
        <w:ind w:left="62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88A136">
      <w:start w:val="1"/>
      <w:numFmt w:val="bullet"/>
      <w:lvlText w:val="▪"/>
      <w:lvlJc w:val="left"/>
      <w:pPr>
        <w:ind w:left="69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C177317"/>
    <w:multiLevelType w:val="hybridMultilevel"/>
    <w:tmpl w:val="0750067E"/>
    <w:lvl w:ilvl="0" w:tplc="60787194">
      <w:start w:val="1"/>
      <w:numFmt w:val="bullet"/>
      <w:lvlText w:val="•"/>
      <w:lvlJc w:val="left"/>
      <w:pPr>
        <w:ind w:left="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0A330A">
      <w:start w:val="1"/>
      <w:numFmt w:val="bullet"/>
      <w:lvlText w:val="o"/>
      <w:lvlJc w:val="left"/>
      <w:pPr>
        <w:ind w:left="11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B8A502">
      <w:start w:val="1"/>
      <w:numFmt w:val="bullet"/>
      <w:lvlText w:val="▪"/>
      <w:lvlJc w:val="left"/>
      <w:pPr>
        <w:ind w:left="18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BE4AD0">
      <w:start w:val="1"/>
      <w:numFmt w:val="bullet"/>
      <w:lvlText w:val="•"/>
      <w:lvlJc w:val="left"/>
      <w:pPr>
        <w:ind w:left="26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A69708">
      <w:start w:val="1"/>
      <w:numFmt w:val="bullet"/>
      <w:lvlText w:val="o"/>
      <w:lvlJc w:val="left"/>
      <w:pPr>
        <w:ind w:left="33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5EC5EC">
      <w:start w:val="1"/>
      <w:numFmt w:val="bullet"/>
      <w:lvlText w:val="▪"/>
      <w:lvlJc w:val="left"/>
      <w:pPr>
        <w:ind w:left="40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665D18">
      <w:start w:val="1"/>
      <w:numFmt w:val="bullet"/>
      <w:lvlText w:val="•"/>
      <w:lvlJc w:val="left"/>
      <w:pPr>
        <w:ind w:left="47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BCF940">
      <w:start w:val="1"/>
      <w:numFmt w:val="bullet"/>
      <w:lvlText w:val="o"/>
      <w:lvlJc w:val="left"/>
      <w:pPr>
        <w:ind w:left="54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EC2592">
      <w:start w:val="1"/>
      <w:numFmt w:val="bullet"/>
      <w:lvlText w:val="▪"/>
      <w:lvlJc w:val="left"/>
      <w:pPr>
        <w:ind w:left="62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79C7C6D"/>
    <w:multiLevelType w:val="hybridMultilevel"/>
    <w:tmpl w:val="7AE4FCE0"/>
    <w:lvl w:ilvl="0" w:tplc="A14448DA">
      <w:start w:val="1"/>
      <w:numFmt w:val="bullet"/>
      <w:lvlText w:val="•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A6CB9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C0D42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509D8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D0DA3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74899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F0E69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95AFB4E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6C786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96741E7"/>
    <w:multiLevelType w:val="hybridMultilevel"/>
    <w:tmpl w:val="E3A83CA0"/>
    <w:lvl w:ilvl="0" w:tplc="209077AA">
      <w:start w:val="1"/>
      <w:numFmt w:val="bullet"/>
      <w:lvlText w:val="•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7BAFC5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BB20336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272A9C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7B82DA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70E814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81C354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EE2BB3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8A27E6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D0447BE"/>
    <w:multiLevelType w:val="hybridMultilevel"/>
    <w:tmpl w:val="F722951A"/>
    <w:lvl w:ilvl="0" w:tplc="7136A85C">
      <w:start w:val="1"/>
      <w:numFmt w:val="decimal"/>
      <w:lvlText w:val="[%1]"/>
      <w:lvlJc w:val="left"/>
      <w:pPr>
        <w:ind w:left="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30286C">
      <w:start w:val="1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7CCEFA">
      <w:start w:val="29"/>
      <w:numFmt w:val="decimal"/>
      <w:lvlText w:val="%3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789014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C6FDA0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6CB9D2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A4C240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88B94C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ACA5B8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14916B0"/>
    <w:multiLevelType w:val="hybridMultilevel"/>
    <w:tmpl w:val="23165C52"/>
    <w:lvl w:ilvl="0" w:tplc="22A6BC9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02A21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0A16E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22190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FC57E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7802E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2C0A0F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FA7A6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A085C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5BF4CED"/>
    <w:multiLevelType w:val="hybridMultilevel"/>
    <w:tmpl w:val="EA7ADF84"/>
    <w:lvl w:ilvl="0" w:tplc="5CE681C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28B5A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0457E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96FC1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90364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7E0AE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2E3F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12FFD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D03DB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9B77A9C"/>
    <w:multiLevelType w:val="hybridMultilevel"/>
    <w:tmpl w:val="F33E2582"/>
    <w:lvl w:ilvl="0" w:tplc="79D2E54C">
      <w:start w:val="5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CAB14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98E55C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BCEF9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06EC2E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816022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D66540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E26221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8EA2F1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DC16C6C"/>
    <w:multiLevelType w:val="multilevel"/>
    <w:tmpl w:val="61509EAE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Text w:val="%1.%2"/>
      <w:lvlJc w:val="left"/>
      <w:pPr>
        <w:ind w:left="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7EB3CCF"/>
    <w:multiLevelType w:val="hybridMultilevel"/>
    <w:tmpl w:val="38D4AB1A"/>
    <w:lvl w:ilvl="0" w:tplc="A2FAD20C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DC13B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006D4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EE685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5E9E4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2E134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F85C6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10245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1885A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92853D9"/>
    <w:multiLevelType w:val="hybridMultilevel"/>
    <w:tmpl w:val="07603958"/>
    <w:lvl w:ilvl="0" w:tplc="446C6302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AA28B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4E1CC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0C0B8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A6CC9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B2AD4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9044C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A03F0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A6E9C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18"/>
  </w:num>
  <w:num w:numId="5">
    <w:abstractNumId w:val="1"/>
  </w:num>
  <w:num w:numId="6">
    <w:abstractNumId w:val="15"/>
  </w:num>
  <w:num w:numId="7">
    <w:abstractNumId w:val="16"/>
  </w:num>
  <w:num w:numId="8">
    <w:abstractNumId w:val="20"/>
  </w:num>
  <w:num w:numId="9">
    <w:abstractNumId w:val="12"/>
  </w:num>
  <w:num w:numId="10">
    <w:abstractNumId w:val="13"/>
  </w:num>
  <w:num w:numId="11">
    <w:abstractNumId w:val="11"/>
  </w:num>
  <w:num w:numId="12">
    <w:abstractNumId w:val="17"/>
  </w:num>
  <w:num w:numId="13">
    <w:abstractNumId w:val="7"/>
  </w:num>
  <w:num w:numId="14">
    <w:abstractNumId w:val="19"/>
  </w:num>
  <w:num w:numId="15">
    <w:abstractNumId w:val="8"/>
  </w:num>
  <w:num w:numId="16">
    <w:abstractNumId w:val="9"/>
  </w:num>
  <w:num w:numId="17">
    <w:abstractNumId w:val="14"/>
  </w:num>
  <w:num w:numId="18">
    <w:abstractNumId w:val="2"/>
  </w:num>
  <w:num w:numId="19">
    <w:abstractNumId w:val="4"/>
  </w:num>
  <w:num w:numId="20">
    <w:abstractNumId w:val="5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2F1"/>
    <w:rsid w:val="0013705F"/>
    <w:rsid w:val="001F1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5AF84C87-ED49-4463-B67A-08FDE3F2C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5" w:line="249" w:lineRule="auto"/>
      <w:ind w:left="118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339"/>
      <w:ind w:left="43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152" w:line="264" w:lineRule="auto"/>
      <w:ind w:left="718" w:hanging="10"/>
      <w:jc w:val="both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paragraph" w:styleId="Heading3">
    <w:name w:val="heading 3"/>
    <w:next w:val="Normal"/>
    <w:link w:val="Heading3Char"/>
    <w:uiPriority w:val="9"/>
    <w:unhideWhenUsed/>
    <w:qFormat/>
    <w:pPr>
      <w:keepNext/>
      <w:keepLines/>
      <w:spacing w:after="152" w:line="264" w:lineRule="auto"/>
      <w:ind w:left="718" w:hanging="10"/>
      <w:jc w:val="both"/>
      <w:outlineLvl w:val="2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Heading2Char">
    <w:name w:val="Heading 2 Char"/>
    <w:link w:val="Heading2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customStyle="1" w:styleId="Heading3Char">
    <w:name w:val="Heading 3 Char"/>
    <w:link w:val="Heading3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doi.org/10.1016/j.radcr.2024.11.021" TargetMode="Externa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g"/><Relationship Id="rId12" Type="http://schemas.openxmlformats.org/officeDocument/2006/relationships/image" Target="media/image3.jpg"/><Relationship Id="rId17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hyperlink" Target="https://grls.rosminzdrav.ru/" TargetMode="External"/><Relationship Id="rId20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hyperlink" Target="https://grls.rosminzdrav.ru/" TargetMode="External"/><Relationship Id="rId10" Type="http://schemas.openxmlformats.org/officeDocument/2006/relationships/footer" Target="footer3.xml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s://doi.org/10.1016/j.radcr.2024.11.02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14894</Words>
  <Characters>84896</Characters>
  <Application>Microsoft Office Word</Application>
  <DocSecurity>4</DocSecurity>
  <Lines>707</Lines>
  <Paragraphs>199</Paragraphs>
  <ScaleCrop>false</ScaleCrop>
  <Company/>
  <LinksUpToDate>false</LinksUpToDate>
  <CharactersWithSpaces>99591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cp:lastModifiedBy>word</cp:lastModifiedBy>
  <cp:revision>2</cp:revision>
  <dcterms:created xsi:type="dcterms:W3CDTF">2026-08-24T13:04:00Z</dcterms:created>
  <dcterms:modified xsi:type="dcterms:W3CDTF">2026-08-24T13:04:00Z</dcterms:modified>
</cp:coreProperties>
</file>