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325AD1" w:rsidRDefault="008C5E81">
      <w:pPr>
        <w:spacing w:after="0" w:line="259" w:lineRule="auto"/>
        <w:ind w:left="-1702" w:right="11544"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7560564" cy="10692381"/>
                <wp:effectExtent l="0" t="0" r="0" b="0"/>
                <wp:wrapTopAndBottom/>
                <wp:docPr id="69339" name="Group 69339"/>
                <wp:cNvGraphicFramePr/>
                <a:graphic xmlns:a="http://schemas.openxmlformats.org/drawingml/2006/main">
                  <a:graphicData uri="http://schemas.microsoft.com/office/word/2010/wordprocessingGroup">
                    <wpg:wgp>
                      <wpg:cNvGrpSpPr/>
                      <wpg:grpSpPr>
                        <a:xfrm>
                          <a:off x="0" y="0"/>
                          <a:ext cx="7560564" cy="10692381"/>
                          <a:chOff x="0" y="0"/>
                          <a:chExt cx="7560564" cy="10692381"/>
                        </a:xfrm>
                      </wpg:grpSpPr>
                      <wps:wsp>
                        <wps:cNvPr id="87698" name="Shape 87698"/>
                        <wps:cNvSpPr/>
                        <wps:spPr>
                          <a:xfrm>
                            <a:off x="0" y="0"/>
                            <a:ext cx="7560564" cy="10692381"/>
                          </a:xfrm>
                          <a:custGeom>
                            <a:avLst/>
                            <a:gdLst/>
                            <a:ahLst/>
                            <a:cxnLst/>
                            <a:rect l="0" t="0" r="0" b="0"/>
                            <a:pathLst>
                              <a:path w="7560564" h="10692381">
                                <a:moveTo>
                                  <a:pt x="0" y="0"/>
                                </a:moveTo>
                                <a:lnTo>
                                  <a:pt x="7560564" y="0"/>
                                </a:lnTo>
                                <a:lnTo>
                                  <a:pt x="7560564" y="10692381"/>
                                </a:lnTo>
                                <a:lnTo>
                                  <a:pt x="0" y="10692381"/>
                                </a:lnTo>
                                <a:lnTo>
                                  <a:pt x="0" y="0"/>
                                </a:lnTo>
                              </a:path>
                            </a:pathLst>
                          </a:custGeom>
                          <a:ln w="0" cap="flat">
                            <a:miter lim="127000"/>
                          </a:ln>
                        </wps:spPr>
                        <wps:style>
                          <a:lnRef idx="0">
                            <a:srgbClr val="000000">
                              <a:alpha val="0"/>
                            </a:srgbClr>
                          </a:lnRef>
                          <a:fillRef idx="1">
                            <a:srgbClr val="0B595D">
                              <a:alpha val="10196"/>
                            </a:srgbClr>
                          </a:fillRef>
                          <a:effectRef idx="0">
                            <a:scrgbClr r="0" g="0" b="0"/>
                          </a:effectRef>
                          <a:fontRef idx="none"/>
                        </wps:style>
                        <wps:bodyPr/>
                      </wps:wsp>
                      <wps:wsp>
                        <wps:cNvPr id="87699" name="Shape 87699"/>
                        <wps:cNvSpPr/>
                        <wps:spPr>
                          <a:xfrm>
                            <a:off x="405130" y="593089"/>
                            <a:ext cx="7000240" cy="8448040"/>
                          </a:xfrm>
                          <a:custGeom>
                            <a:avLst/>
                            <a:gdLst/>
                            <a:ahLst/>
                            <a:cxnLst/>
                            <a:rect l="0" t="0" r="0" b="0"/>
                            <a:pathLst>
                              <a:path w="7000240" h="8448040">
                                <a:moveTo>
                                  <a:pt x="0" y="0"/>
                                </a:moveTo>
                                <a:lnTo>
                                  <a:pt x="7000240" y="0"/>
                                </a:lnTo>
                                <a:lnTo>
                                  <a:pt x="7000240" y="8448040"/>
                                </a:lnTo>
                                <a:lnTo>
                                  <a:pt x="0" y="844804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 name="Rectangle 9"/>
                        <wps:cNvSpPr/>
                        <wps:spPr>
                          <a:xfrm>
                            <a:off x="4130929" y="647547"/>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10" name="Rectangle 10"/>
                        <wps:cNvSpPr/>
                        <wps:spPr>
                          <a:xfrm>
                            <a:off x="1530350" y="722223"/>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11" name="Rectangle 11"/>
                        <wps:cNvSpPr/>
                        <wps:spPr>
                          <a:xfrm>
                            <a:off x="1530350" y="985876"/>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12" name="Rectangle 12"/>
                        <wps:cNvSpPr/>
                        <wps:spPr>
                          <a:xfrm>
                            <a:off x="1530350" y="1248257"/>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13" name="Rectangle 13"/>
                        <wps:cNvSpPr/>
                        <wps:spPr>
                          <a:xfrm>
                            <a:off x="1530350" y="1511909"/>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14" name="Rectangle 14"/>
                        <wps:cNvSpPr/>
                        <wps:spPr>
                          <a:xfrm>
                            <a:off x="1530350" y="1774038"/>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15" name="Rectangle 15"/>
                        <wps:cNvSpPr/>
                        <wps:spPr>
                          <a:xfrm>
                            <a:off x="1530350" y="2037689"/>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16" name="Rectangle 16"/>
                        <wps:cNvSpPr/>
                        <wps:spPr>
                          <a:xfrm>
                            <a:off x="1080821" y="8358886"/>
                            <a:ext cx="42144" cy="189936"/>
                          </a:xfrm>
                          <a:prstGeom prst="rect">
                            <a:avLst/>
                          </a:prstGeom>
                          <a:ln>
                            <a:noFill/>
                          </a:ln>
                        </wps:spPr>
                        <wps:txbx>
                          <w:txbxContent>
                            <w:p w:rsidR="00325AD1" w:rsidRDefault="008C5E81">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7" name="Rectangle 17"/>
                        <wps:cNvSpPr/>
                        <wps:spPr>
                          <a:xfrm>
                            <a:off x="2909951" y="8328253"/>
                            <a:ext cx="50673" cy="224381"/>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18" name="Rectangle 18"/>
                        <wps:cNvSpPr/>
                        <wps:spPr>
                          <a:xfrm>
                            <a:off x="1598930" y="2433570"/>
                            <a:ext cx="1190815" cy="184382"/>
                          </a:xfrm>
                          <a:prstGeom prst="rect">
                            <a:avLst/>
                          </a:prstGeom>
                          <a:ln>
                            <a:noFill/>
                          </a:ln>
                        </wps:spPr>
                        <wps:txbx>
                          <w:txbxContent>
                            <w:p w:rsidR="00325AD1" w:rsidRDefault="008C5E81">
                              <w:pPr>
                                <w:spacing w:after="160" w:line="259" w:lineRule="auto"/>
                                <w:ind w:left="0" w:firstLine="0"/>
                                <w:jc w:val="left"/>
                              </w:pPr>
                              <w:r>
                                <w:rPr>
                                  <w:color w:val="808080"/>
                                </w:rPr>
                                <w:t xml:space="preserve">Клинические </w:t>
                              </w:r>
                            </w:p>
                          </w:txbxContent>
                        </wps:txbx>
                        <wps:bodyPr horzOverflow="overflow" vert="horz" lIns="0" tIns="0" rIns="0" bIns="0" rtlCol="0">
                          <a:noAutofit/>
                        </wps:bodyPr>
                      </wps:wsp>
                      <wps:wsp>
                        <wps:cNvPr id="19" name="Rectangle 19"/>
                        <wps:cNvSpPr/>
                        <wps:spPr>
                          <a:xfrm>
                            <a:off x="2495423" y="2433570"/>
                            <a:ext cx="1236624" cy="184382"/>
                          </a:xfrm>
                          <a:prstGeom prst="rect">
                            <a:avLst/>
                          </a:prstGeom>
                          <a:ln>
                            <a:noFill/>
                          </a:ln>
                        </wps:spPr>
                        <wps:txbx>
                          <w:txbxContent>
                            <w:p w:rsidR="00325AD1" w:rsidRDefault="008C5E81">
                              <w:pPr>
                                <w:spacing w:after="160" w:line="259" w:lineRule="auto"/>
                                <w:ind w:left="0" w:firstLine="0"/>
                                <w:jc w:val="left"/>
                              </w:pPr>
                              <w:r>
                                <w:rPr>
                                  <w:color w:val="767171"/>
                                </w:rPr>
                                <w:t>рекомендации</w:t>
                              </w:r>
                            </w:p>
                          </w:txbxContent>
                        </wps:txbx>
                        <wps:bodyPr horzOverflow="overflow" vert="horz" lIns="0" tIns="0" rIns="0" bIns="0" rtlCol="0">
                          <a:noAutofit/>
                        </wps:bodyPr>
                      </wps:wsp>
                      <wps:wsp>
                        <wps:cNvPr id="20" name="Rectangle 20"/>
                        <wps:cNvSpPr/>
                        <wps:spPr>
                          <a:xfrm>
                            <a:off x="3425063" y="2434082"/>
                            <a:ext cx="42143" cy="189937"/>
                          </a:xfrm>
                          <a:prstGeom prst="rect">
                            <a:avLst/>
                          </a:prstGeom>
                          <a:ln>
                            <a:noFill/>
                          </a:ln>
                        </wps:spPr>
                        <wps:txbx>
                          <w:txbxContent>
                            <w:p w:rsidR="00325AD1" w:rsidRDefault="008C5E81">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21" name="Rectangle 21"/>
                        <wps:cNvSpPr/>
                        <wps:spPr>
                          <a:xfrm>
                            <a:off x="1149401" y="2728062"/>
                            <a:ext cx="7801988" cy="302465"/>
                          </a:xfrm>
                          <a:prstGeom prst="rect">
                            <a:avLst/>
                          </a:prstGeom>
                          <a:ln>
                            <a:noFill/>
                          </a:ln>
                        </wps:spPr>
                        <wps:txbx>
                          <w:txbxContent>
                            <w:p w:rsidR="00325AD1" w:rsidRDefault="008C5E81">
                              <w:pPr>
                                <w:spacing w:after="160" w:line="259" w:lineRule="auto"/>
                                <w:ind w:left="0" w:firstLine="0"/>
                                <w:jc w:val="left"/>
                              </w:pPr>
                              <w:r>
                                <w:rPr>
                                  <w:b/>
                                  <w:sz w:val="40"/>
                                </w:rPr>
                                <w:t xml:space="preserve">Трансплантация поджелудочной железы, наличие </w:t>
                              </w:r>
                            </w:p>
                          </w:txbxContent>
                        </wps:txbx>
                        <wps:bodyPr horzOverflow="overflow" vert="horz" lIns="0" tIns="0" rIns="0" bIns="0" rtlCol="0">
                          <a:noAutofit/>
                        </wps:bodyPr>
                      </wps:wsp>
                      <wps:wsp>
                        <wps:cNvPr id="10356" name="Rectangle 10356"/>
                        <wps:cNvSpPr/>
                        <wps:spPr>
                          <a:xfrm>
                            <a:off x="1149401" y="3020669"/>
                            <a:ext cx="3226202" cy="302465"/>
                          </a:xfrm>
                          <a:prstGeom prst="rect">
                            <a:avLst/>
                          </a:prstGeom>
                          <a:ln>
                            <a:noFill/>
                          </a:ln>
                        </wps:spPr>
                        <wps:txbx>
                          <w:txbxContent>
                            <w:p w:rsidR="00325AD1" w:rsidRDefault="008C5E81">
                              <w:pPr>
                                <w:spacing w:after="160" w:line="259" w:lineRule="auto"/>
                                <w:ind w:left="0" w:firstLine="0"/>
                                <w:jc w:val="left"/>
                              </w:pPr>
                              <w:r>
                                <w:rPr>
                                  <w:b/>
                                  <w:sz w:val="40"/>
                                </w:rPr>
                                <w:t xml:space="preserve">трансплантированной </w:t>
                              </w:r>
                            </w:p>
                          </w:txbxContent>
                        </wps:txbx>
                        <wps:bodyPr horzOverflow="overflow" vert="horz" lIns="0" tIns="0" rIns="0" bIns="0" rtlCol="0">
                          <a:noAutofit/>
                        </wps:bodyPr>
                      </wps:wsp>
                      <wps:wsp>
                        <wps:cNvPr id="10357" name="Rectangle 10357"/>
                        <wps:cNvSpPr/>
                        <wps:spPr>
                          <a:xfrm>
                            <a:off x="4014143" y="3020669"/>
                            <a:ext cx="2220870" cy="302465"/>
                          </a:xfrm>
                          <a:prstGeom prst="rect">
                            <a:avLst/>
                          </a:prstGeom>
                          <a:ln>
                            <a:noFill/>
                          </a:ln>
                        </wps:spPr>
                        <wps:txbx>
                          <w:txbxContent>
                            <w:p w:rsidR="00325AD1" w:rsidRDefault="008C5E81">
                              <w:pPr>
                                <w:spacing w:after="160" w:line="259" w:lineRule="auto"/>
                                <w:ind w:left="0" w:firstLine="0"/>
                                <w:jc w:val="left"/>
                              </w:pPr>
                              <w:r>
                                <w:rPr>
                                  <w:b/>
                                  <w:sz w:val="40"/>
                                </w:rPr>
                                <w:t xml:space="preserve">поджелудочной </w:t>
                              </w:r>
                            </w:p>
                          </w:txbxContent>
                        </wps:txbx>
                        <wps:bodyPr horzOverflow="overflow" vert="horz" lIns="0" tIns="0" rIns="0" bIns="0" rtlCol="0">
                          <a:noAutofit/>
                        </wps:bodyPr>
                      </wps:wsp>
                      <wps:wsp>
                        <wps:cNvPr id="10358" name="Rectangle 10358"/>
                        <wps:cNvSpPr/>
                        <wps:spPr>
                          <a:xfrm>
                            <a:off x="6121469" y="3020669"/>
                            <a:ext cx="1189474" cy="302465"/>
                          </a:xfrm>
                          <a:prstGeom prst="rect">
                            <a:avLst/>
                          </a:prstGeom>
                          <a:ln>
                            <a:noFill/>
                          </a:ln>
                        </wps:spPr>
                        <wps:txbx>
                          <w:txbxContent>
                            <w:p w:rsidR="00325AD1" w:rsidRDefault="008C5E81">
                              <w:pPr>
                                <w:spacing w:after="160" w:line="259" w:lineRule="auto"/>
                                <w:ind w:left="0" w:firstLine="0"/>
                                <w:jc w:val="left"/>
                              </w:pPr>
                              <w:r>
                                <w:rPr>
                                  <w:b/>
                                  <w:sz w:val="40"/>
                                </w:rPr>
                                <w:t xml:space="preserve">железы, </w:t>
                              </w:r>
                            </w:p>
                          </w:txbxContent>
                        </wps:txbx>
                        <wps:bodyPr horzOverflow="overflow" vert="horz" lIns="0" tIns="0" rIns="0" bIns="0" rtlCol="0">
                          <a:noAutofit/>
                        </wps:bodyPr>
                      </wps:wsp>
                      <wps:wsp>
                        <wps:cNvPr id="10367" name="Rectangle 10367"/>
                        <wps:cNvSpPr/>
                        <wps:spPr>
                          <a:xfrm>
                            <a:off x="5380342" y="3311753"/>
                            <a:ext cx="2174157" cy="302465"/>
                          </a:xfrm>
                          <a:prstGeom prst="rect">
                            <a:avLst/>
                          </a:prstGeom>
                          <a:ln>
                            <a:noFill/>
                          </a:ln>
                        </wps:spPr>
                        <wps:txbx>
                          <w:txbxContent>
                            <w:p w:rsidR="00325AD1" w:rsidRDefault="008C5E81">
                              <w:pPr>
                                <w:spacing w:after="160" w:line="259" w:lineRule="auto"/>
                                <w:ind w:left="0" w:firstLine="0"/>
                                <w:jc w:val="left"/>
                              </w:pPr>
                              <w:r>
                                <w:rPr>
                                  <w:b/>
                                  <w:sz w:val="40"/>
                                </w:rPr>
                                <w:t xml:space="preserve">трансплантата </w:t>
                              </w:r>
                            </w:p>
                          </w:txbxContent>
                        </wps:txbx>
                        <wps:bodyPr horzOverflow="overflow" vert="horz" lIns="0" tIns="0" rIns="0" bIns="0" rtlCol="0">
                          <a:noAutofit/>
                        </wps:bodyPr>
                      </wps:wsp>
                      <wps:wsp>
                        <wps:cNvPr id="10359" name="Rectangle 10359"/>
                        <wps:cNvSpPr/>
                        <wps:spPr>
                          <a:xfrm>
                            <a:off x="1149401" y="3311753"/>
                            <a:ext cx="1598715" cy="302465"/>
                          </a:xfrm>
                          <a:prstGeom prst="rect">
                            <a:avLst/>
                          </a:prstGeom>
                          <a:ln>
                            <a:noFill/>
                          </a:ln>
                        </wps:spPr>
                        <wps:txbx>
                          <w:txbxContent>
                            <w:p w:rsidR="00325AD1" w:rsidRDefault="008C5E81">
                              <w:pPr>
                                <w:spacing w:after="160" w:line="259" w:lineRule="auto"/>
                                <w:ind w:left="0" w:firstLine="0"/>
                                <w:jc w:val="left"/>
                              </w:pPr>
                              <w:r>
                                <w:rPr>
                                  <w:b/>
                                  <w:sz w:val="40"/>
                                </w:rPr>
                                <w:t xml:space="preserve">отмирание </w:t>
                              </w:r>
                            </w:p>
                          </w:txbxContent>
                        </wps:txbx>
                        <wps:bodyPr horzOverflow="overflow" vert="horz" lIns="0" tIns="0" rIns="0" bIns="0" rtlCol="0">
                          <a:noAutofit/>
                        </wps:bodyPr>
                      </wps:wsp>
                      <wps:wsp>
                        <wps:cNvPr id="10361" name="Rectangle 10361"/>
                        <wps:cNvSpPr/>
                        <wps:spPr>
                          <a:xfrm>
                            <a:off x="2865039" y="3311753"/>
                            <a:ext cx="265042" cy="302465"/>
                          </a:xfrm>
                          <a:prstGeom prst="rect">
                            <a:avLst/>
                          </a:prstGeom>
                          <a:ln>
                            <a:noFill/>
                          </a:ln>
                        </wps:spPr>
                        <wps:txbx>
                          <w:txbxContent>
                            <w:p w:rsidR="00325AD1" w:rsidRDefault="008C5E81">
                              <w:pPr>
                                <w:spacing w:after="160" w:line="259" w:lineRule="auto"/>
                                <w:ind w:left="0" w:firstLine="0"/>
                                <w:jc w:val="left"/>
                              </w:pPr>
                              <w:r>
                                <w:rPr>
                                  <w:b/>
                                  <w:sz w:val="40"/>
                                </w:rPr>
                                <w:t xml:space="preserve">и </w:t>
                              </w:r>
                            </w:p>
                          </w:txbxContent>
                        </wps:txbx>
                        <wps:bodyPr horzOverflow="overflow" vert="horz" lIns="0" tIns="0" rIns="0" bIns="0" rtlCol="0">
                          <a:noAutofit/>
                        </wps:bodyPr>
                      </wps:wsp>
                      <wps:wsp>
                        <wps:cNvPr id="10365" name="Rectangle 10365"/>
                        <wps:cNvSpPr/>
                        <wps:spPr>
                          <a:xfrm>
                            <a:off x="3577916" y="3311753"/>
                            <a:ext cx="1712111" cy="302465"/>
                          </a:xfrm>
                          <a:prstGeom prst="rect">
                            <a:avLst/>
                          </a:prstGeom>
                          <a:ln>
                            <a:noFill/>
                          </a:ln>
                        </wps:spPr>
                        <wps:txbx>
                          <w:txbxContent>
                            <w:p w:rsidR="00325AD1" w:rsidRDefault="008C5E81">
                              <w:pPr>
                                <w:spacing w:after="160" w:line="259" w:lineRule="auto"/>
                                <w:ind w:left="0" w:firstLine="0"/>
                                <w:jc w:val="left"/>
                              </w:pPr>
                              <w:r>
                                <w:rPr>
                                  <w:b/>
                                  <w:sz w:val="40"/>
                                </w:rPr>
                                <w:t xml:space="preserve">отторжение </w:t>
                              </w:r>
                            </w:p>
                          </w:txbxContent>
                        </wps:txbx>
                        <wps:bodyPr horzOverflow="overflow" vert="horz" lIns="0" tIns="0" rIns="0" bIns="0" rtlCol="0">
                          <a:noAutofit/>
                        </wps:bodyPr>
                      </wps:wsp>
                      <wps:wsp>
                        <wps:cNvPr id="24" name="Rectangle 24"/>
                        <wps:cNvSpPr/>
                        <wps:spPr>
                          <a:xfrm>
                            <a:off x="1149401" y="3604742"/>
                            <a:ext cx="3258021" cy="302465"/>
                          </a:xfrm>
                          <a:prstGeom prst="rect">
                            <a:avLst/>
                          </a:prstGeom>
                          <a:ln>
                            <a:noFill/>
                          </a:ln>
                        </wps:spPr>
                        <wps:txbx>
                          <w:txbxContent>
                            <w:p w:rsidR="00325AD1" w:rsidRDefault="008C5E81">
                              <w:pPr>
                                <w:spacing w:after="160" w:line="259" w:lineRule="auto"/>
                                <w:ind w:left="0" w:firstLine="0"/>
                                <w:jc w:val="left"/>
                              </w:pPr>
                              <w:r>
                                <w:rPr>
                                  <w:b/>
                                  <w:sz w:val="40"/>
                                </w:rPr>
                                <w:t>поджелудочной железы</w:t>
                              </w:r>
                            </w:p>
                          </w:txbxContent>
                        </wps:txbx>
                        <wps:bodyPr horzOverflow="overflow" vert="horz" lIns="0" tIns="0" rIns="0" bIns="0" rtlCol="0">
                          <a:noAutofit/>
                        </wps:bodyPr>
                      </wps:wsp>
                      <wps:wsp>
                        <wps:cNvPr id="25" name="Rectangle 25"/>
                        <wps:cNvSpPr/>
                        <wps:spPr>
                          <a:xfrm>
                            <a:off x="3588131" y="3641318"/>
                            <a:ext cx="50673" cy="224380"/>
                          </a:xfrm>
                          <a:prstGeom prst="rect">
                            <a:avLst/>
                          </a:prstGeom>
                          <a:ln>
                            <a:noFill/>
                          </a:ln>
                        </wps:spPr>
                        <wps:txbx>
                          <w:txbxContent>
                            <w:p w:rsidR="00325AD1" w:rsidRDefault="008C5E81">
                              <w:pPr>
                                <w:spacing w:after="160" w:line="259" w:lineRule="auto"/>
                                <w:ind w:left="0" w:firstLine="0"/>
                                <w:jc w:val="left"/>
                              </w:pPr>
                              <w:r>
                                <w:rPr>
                                  <w:b/>
                                </w:rPr>
                                <w:t xml:space="preserve"> </w:t>
                              </w:r>
                            </w:p>
                          </w:txbxContent>
                        </wps:txbx>
                        <wps:bodyPr horzOverflow="overflow" vert="horz" lIns="0" tIns="0" rIns="0" bIns="0" rtlCol="0">
                          <a:noAutofit/>
                        </wps:bodyPr>
                      </wps:wsp>
                      <wps:wsp>
                        <wps:cNvPr id="26" name="Rectangle 26"/>
                        <wps:cNvSpPr/>
                        <wps:spPr>
                          <a:xfrm>
                            <a:off x="1149401" y="3837914"/>
                            <a:ext cx="50673" cy="224380"/>
                          </a:xfrm>
                          <a:prstGeom prst="rect">
                            <a:avLst/>
                          </a:prstGeom>
                          <a:ln>
                            <a:noFill/>
                          </a:ln>
                        </wps:spPr>
                        <wps:txbx>
                          <w:txbxContent>
                            <w:p w:rsidR="00325AD1" w:rsidRDefault="008C5E81">
                              <w:pPr>
                                <w:spacing w:after="160" w:line="259" w:lineRule="auto"/>
                                <w:ind w:left="0" w:firstLine="0"/>
                                <w:jc w:val="left"/>
                              </w:pPr>
                              <w:r>
                                <w:rPr>
                                  <w:b/>
                                </w:rPr>
                                <w:t xml:space="preserve"> </w:t>
                              </w:r>
                            </w:p>
                          </w:txbxContent>
                        </wps:txbx>
                        <wps:bodyPr horzOverflow="overflow" vert="horz" lIns="0" tIns="0" rIns="0" bIns="0" rtlCol="0">
                          <a:noAutofit/>
                        </wps:bodyPr>
                      </wps:wsp>
                      <wps:wsp>
                        <wps:cNvPr id="27" name="Rectangle 27"/>
                        <wps:cNvSpPr/>
                        <wps:spPr>
                          <a:xfrm>
                            <a:off x="2254250" y="4227699"/>
                            <a:ext cx="1456342" cy="184382"/>
                          </a:xfrm>
                          <a:prstGeom prst="rect">
                            <a:avLst/>
                          </a:prstGeom>
                          <a:ln>
                            <a:noFill/>
                          </a:ln>
                        </wps:spPr>
                        <wps:txbx>
                          <w:txbxContent>
                            <w:p w:rsidR="00325AD1" w:rsidRDefault="008C5E81">
                              <w:pPr>
                                <w:spacing w:after="160" w:line="259" w:lineRule="auto"/>
                                <w:ind w:left="0" w:firstLine="0"/>
                                <w:jc w:val="left"/>
                              </w:pPr>
                              <w:r>
                                <w:rPr>
                                  <w:color w:val="808080"/>
                                </w:rPr>
                                <w:t xml:space="preserve">Кодирование по </w:t>
                              </w:r>
                            </w:p>
                          </w:txbxContent>
                        </wps:txbx>
                        <wps:bodyPr horzOverflow="overflow" vert="horz" lIns="0" tIns="0" rIns="0" bIns="0" rtlCol="0">
                          <a:noAutofit/>
                        </wps:bodyPr>
                      </wps:wsp>
                      <wps:wsp>
                        <wps:cNvPr id="28" name="Rectangle 28"/>
                        <wps:cNvSpPr/>
                        <wps:spPr>
                          <a:xfrm>
                            <a:off x="1182929" y="4489827"/>
                            <a:ext cx="2880659" cy="184382"/>
                          </a:xfrm>
                          <a:prstGeom prst="rect">
                            <a:avLst/>
                          </a:prstGeom>
                          <a:ln>
                            <a:noFill/>
                          </a:ln>
                        </wps:spPr>
                        <wps:txbx>
                          <w:txbxContent>
                            <w:p w:rsidR="00325AD1" w:rsidRDefault="008C5E81">
                              <w:pPr>
                                <w:spacing w:after="160" w:line="259" w:lineRule="auto"/>
                                <w:ind w:left="0" w:firstLine="0"/>
                                <w:jc w:val="left"/>
                              </w:pPr>
                              <w:r>
                                <w:rPr>
                                  <w:color w:val="808080"/>
                                </w:rPr>
                                <w:t xml:space="preserve">Международной статистической </w:t>
                              </w:r>
                            </w:p>
                          </w:txbxContent>
                        </wps:txbx>
                        <wps:bodyPr horzOverflow="overflow" vert="horz" lIns="0" tIns="0" rIns="0" bIns="0" rtlCol="0">
                          <a:noAutofit/>
                        </wps:bodyPr>
                      </wps:wsp>
                      <wps:wsp>
                        <wps:cNvPr id="29" name="Rectangle 29"/>
                        <wps:cNvSpPr/>
                        <wps:spPr>
                          <a:xfrm>
                            <a:off x="1562354" y="4753479"/>
                            <a:ext cx="2375753" cy="184382"/>
                          </a:xfrm>
                          <a:prstGeom prst="rect">
                            <a:avLst/>
                          </a:prstGeom>
                          <a:ln>
                            <a:noFill/>
                          </a:ln>
                        </wps:spPr>
                        <wps:txbx>
                          <w:txbxContent>
                            <w:p w:rsidR="00325AD1" w:rsidRDefault="008C5E81">
                              <w:pPr>
                                <w:spacing w:after="160" w:line="259" w:lineRule="auto"/>
                                <w:ind w:left="0" w:firstLine="0"/>
                                <w:jc w:val="left"/>
                              </w:pPr>
                              <w:r>
                                <w:rPr>
                                  <w:color w:val="808080"/>
                                </w:rPr>
                                <w:t xml:space="preserve">классификации болезней и </w:t>
                              </w:r>
                            </w:p>
                          </w:txbxContent>
                        </wps:txbx>
                        <wps:bodyPr horzOverflow="overflow" vert="horz" lIns="0" tIns="0" rIns="0" bIns="0" rtlCol="0">
                          <a:noAutofit/>
                        </wps:bodyPr>
                      </wps:wsp>
                      <wps:wsp>
                        <wps:cNvPr id="30" name="Rectangle 30"/>
                        <wps:cNvSpPr/>
                        <wps:spPr>
                          <a:xfrm>
                            <a:off x="1821434" y="5015607"/>
                            <a:ext cx="2031987" cy="184382"/>
                          </a:xfrm>
                          <a:prstGeom prst="rect">
                            <a:avLst/>
                          </a:prstGeom>
                          <a:ln>
                            <a:noFill/>
                          </a:ln>
                        </wps:spPr>
                        <wps:txbx>
                          <w:txbxContent>
                            <w:p w:rsidR="00325AD1" w:rsidRDefault="008C5E81">
                              <w:pPr>
                                <w:spacing w:after="160" w:line="259" w:lineRule="auto"/>
                                <w:ind w:left="0" w:firstLine="0"/>
                                <w:jc w:val="left"/>
                              </w:pPr>
                              <w:r>
                                <w:rPr>
                                  <w:color w:val="808080"/>
                                </w:rPr>
                                <w:t xml:space="preserve">проблем, связанных со </w:t>
                              </w:r>
                            </w:p>
                          </w:txbxContent>
                        </wps:txbx>
                        <wps:bodyPr horzOverflow="overflow" vert="horz" lIns="0" tIns="0" rIns="0" bIns="0" rtlCol="0">
                          <a:noAutofit/>
                        </wps:bodyPr>
                      </wps:wsp>
                      <wps:wsp>
                        <wps:cNvPr id="31" name="Rectangle 31"/>
                        <wps:cNvSpPr/>
                        <wps:spPr>
                          <a:xfrm>
                            <a:off x="2597531" y="5279259"/>
                            <a:ext cx="1000488" cy="184382"/>
                          </a:xfrm>
                          <a:prstGeom prst="rect">
                            <a:avLst/>
                          </a:prstGeom>
                          <a:ln>
                            <a:noFill/>
                          </a:ln>
                        </wps:spPr>
                        <wps:txbx>
                          <w:txbxContent>
                            <w:p w:rsidR="00325AD1" w:rsidRDefault="008C5E81">
                              <w:pPr>
                                <w:spacing w:after="160" w:line="259" w:lineRule="auto"/>
                                <w:ind w:left="0" w:firstLine="0"/>
                                <w:jc w:val="left"/>
                              </w:pPr>
                              <w:r>
                                <w:rPr>
                                  <w:color w:val="808080"/>
                                </w:rPr>
                                <w:t xml:space="preserve">здоровьем: </w:t>
                              </w:r>
                            </w:p>
                          </w:txbxContent>
                        </wps:txbx>
                        <wps:bodyPr horzOverflow="overflow" vert="horz" lIns="0" tIns="0" rIns="0" bIns="0" rtlCol="0">
                          <a:noAutofit/>
                        </wps:bodyPr>
                      </wps:wsp>
                      <wps:wsp>
                        <wps:cNvPr id="32" name="Rectangle 32"/>
                        <wps:cNvSpPr/>
                        <wps:spPr>
                          <a:xfrm>
                            <a:off x="3350387" y="5249139"/>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33" name="Rectangle 33"/>
                        <wps:cNvSpPr/>
                        <wps:spPr>
                          <a:xfrm>
                            <a:off x="3312287" y="5511267"/>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34" name="Rectangle 34"/>
                        <wps:cNvSpPr/>
                        <wps:spPr>
                          <a:xfrm>
                            <a:off x="3449447" y="4197579"/>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35" name="Rectangle 35"/>
                        <wps:cNvSpPr/>
                        <wps:spPr>
                          <a:xfrm>
                            <a:off x="3449447" y="4459707"/>
                            <a:ext cx="476326" cy="224380"/>
                          </a:xfrm>
                          <a:prstGeom prst="rect">
                            <a:avLst/>
                          </a:prstGeom>
                          <a:ln>
                            <a:noFill/>
                          </a:ln>
                        </wps:spPr>
                        <wps:txbx>
                          <w:txbxContent>
                            <w:p w:rsidR="00325AD1" w:rsidRDefault="008C5E81">
                              <w:pPr>
                                <w:spacing w:after="160" w:line="259" w:lineRule="auto"/>
                                <w:ind w:left="0" w:firstLine="0"/>
                                <w:jc w:val="left"/>
                              </w:pPr>
                              <w:r>
                                <w:t>Z94.8</w:t>
                              </w:r>
                            </w:p>
                          </w:txbxContent>
                        </wps:txbx>
                        <wps:bodyPr horzOverflow="overflow" vert="horz" lIns="0" tIns="0" rIns="0" bIns="0" rtlCol="0">
                          <a:noAutofit/>
                        </wps:bodyPr>
                      </wps:wsp>
                      <wps:wsp>
                        <wps:cNvPr id="36" name="Rectangle 36"/>
                        <wps:cNvSpPr/>
                        <wps:spPr>
                          <a:xfrm>
                            <a:off x="3807587" y="4459707"/>
                            <a:ext cx="101346"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37" name="Rectangle 37"/>
                        <wps:cNvSpPr/>
                        <wps:spPr>
                          <a:xfrm>
                            <a:off x="3883787" y="4459707"/>
                            <a:ext cx="529229" cy="224380"/>
                          </a:xfrm>
                          <a:prstGeom prst="rect">
                            <a:avLst/>
                          </a:prstGeom>
                          <a:ln>
                            <a:noFill/>
                          </a:ln>
                        </wps:spPr>
                        <wps:txbx>
                          <w:txbxContent>
                            <w:p w:rsidR="00325AD1" w:rsidRDefault="008C5E81">
                              <w:pPr>
                                <w:spacing w:after="160" w:line="259" w:lineRule="auto"/>
                                <w:ind w:left="0" w:firstLine="0"/>
                                <w:jc w:val="left"/>
                              </w:pPr>
                              <w:r>
                                <w:t xml:space="preserve">T86.8 </w:t>
                              </w:r>
                            </w:p>
                          </w:txbxContent>
                        </wps:txbx>
                        <wps:bodyPr horzOverflow="overflow" vert="horz" lIns="0" tIns="0" rIns="0" bIns="0" rtlCol="0">
                          <a:noAutofit/>
                        </wps:bodyPr>
                      </wps:wsp>
                      <wps:wsp>
                        <wps:cNvPr id="38" name="Rectangle 38"/>
                        <wps:cNvSpPr/>
                        <wps:spPr>
                          <a:xfrm>
                            <a:off x="4283329" y="4490339"/>
                            <a:ext cx="42143" cy="189937"/>
                          </a:xfrm>
                          <a:prstGeom prst="rect">
                            <a:avLst/>
                          </a:prstGeom>
                          <a:ln>
                            <a:noFill/>
                          </a:ln>
                        </wps:spPr>
                        <wps:txbx>
                          <w:txbxContent>
                            <w:p w:rsidR="00325AD1" w:rsidRDefault="008C5E81">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39" name="Rectangle 39"/>
                        <wps:cNvSpPr/>
                        <wps:spPr>
                          <a:xfrm>
                            <a:off x="2050034" y="5805039"/>
                            <a:ext cx="1674844" cy="184382"/>
                          </a:xfrm>
                          <a:prstGeom prst="rect">
                            <a:avLst/>
                          </a:prstGeom>
                          <a:ln>
                            <a:noFill/>
                          </a:ln>
                        </wps:spPr>
                        <wps:txbx>
                          <w:txbxContent>
                            <w:p w:rsidR="00325AD1" w:rsidRDefault="008C5E81">
                              <w:pPr>
                                <w:spacing w:after="160" w:line="259" w:lineRule="auto"/>
                                <w:ind w:left="0" w:firstLine="0"/>
                                <w:jc w:val="left"/>
                              </w:pPr>
                              <w:r>
                                <w:rPr>
                                  <w:color w:val="767171"/>
                                </w:rPr>
                                <w:t>Возрастная группа:</w:t>
                              </w:r>
                            </w:p>
                          </w:txbxContent>
                        </wps:txbx>
                        <wps:bodyPr horzOverflow="overflow" vert="horz" lIns="0" tIns="0" rIns="0" bIns="0" rtlCol="0">
                          <a:noAutofit/>
                        </wps:bodyPr>
                      </wps:wsp>
                      <wps:wsp>
                        <wps:cNvPr id="40" name="Rectangle 40"/>
                        <wps:cNvSpPr/>
                        <wps:spPr>
                          <a:xfrm>
                            <a:off x="3312287" y="5774919"/>
                            <a:ext cx="50673" cy="224380"/>
                          </a:xfrm>
                          <a:prstGeom prst="rect">
                            <a:avLst/>
                          </a:prstGeom>
                          <a:ln>
                            <a:noFill/>
                          </a:ln>
                        </wps:spPr>
                        <wps:txbx>
                          <w:txbxContent>
                            <w:p w:rsidR="00325AD1" w:rsidRDefault="008C5E81">
                              <w:pPr>
                                <w:spacing w:after="160" w:line="259" w:lineRule="auto"/>
                                <w:ind w:left="0" w:firstLine="0"/>
                                <w:jc w:val="left"/>
                              </w:pPr>
                              <w:r>
                                <w:rPr>
                                  <w:color w:val="767171"/>
                                </w:rPr>
                                <w:t xml:space="preserve"> </w:t>
                              </w:r>
                            </w:p>
                          </w:txbxContent>
                        </wps:txbx>
                        <wps:bodyPr horzOverflow="overflow" vert="horz" lIns="0" tIns="0" rIns="0" bIns="0" rtlCol="0">
                          <a:noAutofit/>
                        </wps:bodyPr>
                      </wps:wsp>
                      <wps:wsp>
                        <wps:cNvPr id="41" name="Rectangle 41"/>
                        <wps:cNvSpPr/>
                        <wps:spPr>
                          <a:xfrm>
                            <a:off x="3449447" y="5805039"/>
                            <a:ext cx="833875" cy="184382"/>
                          </a:xfrm>
                          <a:prstGeom prst="rect">
                            <a:avLst/>
                          </a:prstGeom>
                          <a:ln>
                            <a:noFill/>
                          </a:ln>
                        </wps:spPr>
                        <wps:txbx>
                          <w:txbxContent>
                            <w:p w:rsidR="00325AD1" w:rsidRDefault="008C5E81">
                              <w:pPr>
                                <w:spacing w:after="160" w:line="259" w:lineRule="auto"/>
                                <w:ind w:left="0" w:firstLine="0"/>
                                <w:jc w:val="left"/>
                              </w:pPr>
                              <w:r>
                                <w:t>Взрослые</w:t>
                              </w:r>
                            </w:p>
                          </w:txbxContent>
                        </wps:txbx>
                        <wps:bodyPr horzOverflow="overflow" vert="horz" lIns="0" tIns="0" rIns="0" bIns="0" rtlCol="0">
                          <a:noAutofit/>
                        </wps:bodyPr>
                      </wps:wsp>
                      <wps:wsp>
                        <wps:cNvPr id="42" name="Rectangle 42"/>
                        <wps:cNvSpPr/>
                        <wps:spPr>
                          <a:xfrm>
                            <a:off x="4077589" y="5774919"/>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43" name="Rectangle 43"/>
                        <wps:cNvSpPr/>
                        <wps:spPr>
                          <a:xfrm>
                            <a:off x="2147570" y="6321929"/>
                            <a:ext cx="1547351" cy="184382"/>
                          </a:xfrm>
                          <a:prstGeom prst="rect">
                            <a:avLst/>
                          </a:prstGeom>
                          <a:ln>
                            <a:noFill/>
                          </a:ln>
                        </wps:spPr>
                        <wps:txbx>
                          <w:txbxContent>
                            <w:p w:rsidR="00325AD1" w:rsidRDefault="008C5E81">
                              <w:pPr>
                                <w:spacing w:after="160" w:line="259" w:lineRule="auto"/>
                                <w:ind w:left="0" w:firstLine="0"/>
                                <w:jc w:val="left"/>
                              </w:pPr>
                              <w:r>
                                <w:rPr>
                                  <w:color w:val="808080"/>
                                </w:rPr>
                                <w:t>Год утверждения:</w:t>
                              </w:r>
                            </w:p>
                          </w:txbxContent>
                        </wps:txbx>
                        <wps:bodyPr horzOverflow="overflow" vert="horz" lIns="0" tIns="0" rIns="0" bIns="0" rtlCol="0">
                          <a:noAutofit/>
                        </wps:bodyPr>
                      </wps:wsp>
                      <wps:wsp>
                        <wps:cNvPr id="44" name="Rectangle 44"/>
                        <wps:cNvSpPr/>
                        <wps:spPr>
                          <a:xfrm>
                            <a:off x="3312287" y="6291809"/>
                            <a:ext cx="50673" cy="224380"/>
                          </a:xfrm>
                          <a:prstGeom prst="rect">
                            <a:avLst/>
                          </a:prstGeom>
                          <a:ln>
                            <a:noFill/>
                          </a:ln>
                        </wps:spPr>
                        <wps:txbx>
                          <w:txbxContent>
                            <w:p w:rsidR="00325AD1" w:rsidRDefault="008C5E81">
                              <w:pPr>
                                <w:spacing w:after="160" w:line="259" w:lineRule="auto"/>
                                <w:ind w:left="0" w:firstLine="0"/>
                                <w:jc w:val="left"/>
                              </w:pPr>
                              <w:r>
                                <w:rPr>
                                  <w:color w:val="808080"/>
                                </w:rPr>
                                <w:t xml:space="preserve"> </w:t>
                              </w:r>
                            </w:p>
                          </w:txbxContent>
                        </wps:txbx>
                        <wps:bodyPr horzOverflow="overflow" vert="horz" lIns="0" tIns="0" rIns="0" bIns="0" rtlCol="0">
                          <a:noAutofit/>
                        </wps:bodyPr>
                      </wps:wsp>
                      <wps:wsp>
                        <wps:cNvPr id="45" name="Rectangle 45"/>
                        <wps:cNvSpPr/>
                        <wps:spPr>
                          <a:xfrm>
                            <a:off x="3449447" y="6291809"/>
                            <a:ext cx="202692" cy="224380"/>
                          </a:xfrm>
                          <a:prstGeom prst="rect">
                            <a:avLst/>
                          </a:prstGeom>
                          <a:ln>
                            <a:noFill/>
                          </a:ln>
                        </wps:spPr>
                        <wps:txbx>
                          <w:txbxContent>
                            <w:p w:rsidR="00325AD1" w:rsidRDefault="008C5E81">
                              <w:pPr>
                                <w:spacing w:after="160" w:line="259" w:lineRule="auto"/>
                                <w:ind w:left="0" w:firstLine="0"/>
                                <w:jc w:val="left"/>
                              </w:pPr>
                              <w:r>
                                <w:t>20</w:t>
                              </w:r>
                            </w:p>
                          </w:txbxContent>
                        </wps:txbx>
                        <wps:bodyPr horzOverflow="overflow" vert="horz" lIns="0" tIns="0" rIns="0" bIns="0" rtlCol="0">
                          <a:noAutofit/>
                        </wps:bodyPr>
                      </wps:wsp>
                      <wps:wsp>
                        <wps:cNvPr id="46" name="Rectangle 46"/>
                        <wps:cNvSpPr/>
                        <wps:spPr>
                          <a:xfrm>
                            <a:off x="3601847" y="6291809"/>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47" name="Rectangle 47"/>
                        <wps:cNvSpPr/>
                        <wps:spPr>
                          <a:xfrm>
                            <a:off x="1149401" y="6840089"/>
                            <a:ext cx="3584406" cy="184382"/>
                          </a:xfrm>
                          <a:prstGeom prst="rect">
                            <a:avLst/>
                          </a:prstGeom>
                          <a:ln>
                            <a:noFill/>
                          </a:ln>
                        </wps:spPr>
                        <wps:txbx>
                          <w:txbxContent>
                            <w:p w:rsidR="00325AD1" w:rsidRDefault="008C5E81">
                              <w:pPr>
                                <w:spacing w:after="160" w:line="259" w:lineRule="auto"/>
                                <w:ind w:left="0" w:firstLine="0"/>
                                <w:jc w:val="left"/>
                              </w:pPr>
                              <w:r>
                                <w:rPr>
                                  <w:color w:val="808080"/>
                                </w:rPr>
                                <w:t>Разработчик клинической рекомендации:</w:t>
                              </w:r>
                            </w:p>
                          </w:txbxContent>
                        </wps:txbx>
                        <wps:bodyPr horzOverflow="overflow" vert="horz" lIns="0" tIns="0" rIns="0" bIns="0" rtlCol="0">
                          <a:noAutofit/>
                        </wps:bodyPr>
                      </wps:wsp>
                      <wps:wsp>
                        <wps:cNvPr id="48" name="Rectangle 48"/>
                        <wps:cNvSpPr/>
                        <wps:spPr>
                          <a:xfrm>
                            <a:off x="3845687" y="6809969"/>
                            <a:ext cx="50673" cy="224379"/>
                          </a:xfrm>
                          <a:prstGeom prst="rect">
                            <a:avLst/>
                          </a:prstGeom>
                          <a:ln>
                            <a:noFill/>
                          </a:ln>
                        </wps:spPr>
                        <wps:txbx>
                          <w:txbxContent>
                            <w:p w:rsidR="00325AD1" w:rsidRDefault="008C5E81">
                              <w:pPr>
                                <w:spacing w:after="160" w:line="259" w:lineRule="auto"/>
                                <w:ind w:left="0" w:firstLine="0"/>
                                <w:jc w:val="left"/>
                              </w:pPr>
                              <w:r>
                                <w:rPr>
                                  <w:color w:val="808080"/>
                                </w:rPr>
                                <w:t xml:space="preserve"> </w:t>
                              </w:r>
                            </w:p>
                          </w:txbxContent>
                        </wps:txbx>
                        <wps:bodyPr horzOverflow="overflow" vert="horz" lIns="0" tIns="0" rIns="0" bIns="0" rtlCol="0">
                          <a:noAutofit/>
                        </wps:bodyPr>
                      </wps:wsp>
                      <wps:wsp>
                        <wps:cNvPr id="49" name="Rectangle 49"/>
                        <wps:cNvSpPr/>
                        <wps:spPr>
                          <a:xfrm>
                            <a:off x="1598930" y="7114409"/>
                            <a:ext cx="93238" cy="185075"/>
                          </a:xfrm>
                          <a:prstGeom prst="rect">
                            <a:avLst/>
                          </a:prstGeom>
                          <a:ln>
                            <a:noFill/>
                          </a:ln>
                        </wps:spPr>
                        <wps:txbx>
                          <w:txbxContent>
                            <w:p w:rsidR="00325AD1" w:rsidRDefault="008C5E81">
                              <w:pPr>
                                <w:spacing w:after="160" w:line="259" w:lineRule="auto"/>
                                <w:ind w:left="0" w:firstLine="0"/>
                                <w:jc w:val="left"/>
                              </w:pPr>
                              <w:r>
                                <w:rPr>
                                  <w:rFonts w:ascii="Segoe UI Symbol" w:eastAsia="Segoe UI Symbol" w:hAnsi="Segoe UI Symbol" w:cs="Segoe UI Symbol"/>
                                </w:rPr>
                                <w:t></w:t>
                              </w:r>
                            </w:p>
                          </w:txbxContent>
                        </wps:txbx>
                        <wps:bodyPr horzOverflow="overflow" vert="horz" lIns="0" tIns="0" rIns="0" bIns="0" rtlCol="0">
                          <a:noAutofit/>
                        </wps:bodyPr>
                      </wps:wsp>
                      <wps:wsp>
                        <wps:cNvPr id="50" name="Rectangle 50"/>
                        <wps:cNvSpPr/>
                        <wps:spPr>
                          <a:xfrm>
                            <a:off x="1669034" y="7082156"/>
                            <a:ext cx="56314" cy="226001"/>
                          </a:xfrm>
                          <a:prstGeom prst="rect">
                            <a:avLst/>
                          </a:prstGeom>
                          <a:ln>
                            <a:noFill/>
                          </a:ln>
                        </wps:spPr>
                        <wps:txbx>
                          <w:txbxContent>
                            <w:p w:rsidR="00325AD1" w:rsidRDefault="008C5E81">
                              <w:pPr>
                                <w:spacing w:after="160" w:line="259" w:lineRule="auto"/>
                                <w:ind w:left="0" w:firstLine="0"/>
                                <w:jc w:val="left"/>
                              </w:pPr>
                              <w:r>
                                <w:rPr>
                                  <w:rFonts w:ascii="Arial" w:eastAsia="Arial" w:hAnsi="Arial" w:cs="Arial"/>
                                </w:rPr>
                                <w:t xml:space="preserve"> </w:t>
                              </w:r>
                            </w:p>
                          </w:txbxContent>
                        </wps:txbx>
                        <wps:bodyPr horzOverflow="overflow" vert="horz" lIns="0" tIns="0" rIns="0" bIns="0" rtlCol="0">
                          <a:noAutofit/>
                        </wps:bodyPr>
                      </wps:wsp>
                      <wps:wsp>
                        <wps:cNvPr id="51" name="Rectangle 51"/>
                        <wps:cNvSpPr/>
                        <wps:spPr>
                          <a:xfrm>
                            <a:off x="1827530" y="7114409"/>
                            <a:ext cx="4389701" cy="184382"/>
                          </a:xfrm>
                          <a:prstGeom prst="rect">
                            <a:avLst/>
                          </a:prstGeom>
                          <a:ln>
                            <a:noFill/>
                          </a:ln>
                        </wps:spPr>
                        <wps:txbx>
                          <w:txbxContent>
                            <w:p w:rsidR="00325AD1" w:rsidRDefault="008C5E81">
                              <w:pPr>
                                <w:spacing w:after="160" w:line="259" w:lineRule="auto"/>
                                <w:ind w:left="0" w:firstLine="0"/>
                                <w:jc w:val="left"/>
                              </w:pPr>
                              <w:r>
                                <w:t xml:space="preserve">Профессиональная ассоциация: Общероссийская </w:t>
                              </w:r>
                            </w:p>
                          </w:txbxContent>
                        </wps:txbx>
                        <wps:bodyPr horzOverflow="overflow" vert="horz" lIns="0" tIns="0" rIns="0" bIns="0" rtlCol="0">
                          <a:noAutofit/>
                        </wps:bodyPr>
                      </wps:wsp>
                      <wps:wsp>
                        <wps:cNvPr id="52" name="Rectangle 52"/>
                        <wps:cNvSpPr/>
                        <wps:spPr>
                          <a:xfrm>
                            <a:off x="5162677" y="7114409"/>
                            <a:ext cx="2430479" cy="184382"/>
                          </a:xfrm>
                          <a:prstGeom prst="rect">
                            <a:avLst/>
                          </a:prstGeom>
                          <a:ln>
                            <a:noFill/>
                          </a:ln>
                        </wps:spPr>
                        <wps:txbx>
                          <w:txbxContent>
                            <w:p w:rsidR="00325AD1" w:rsidRDefault="008C5E81">
                              <w:pPr>
                                <w:spacing w:after="160" w:line="259" w:lineRule="auto"/>
                                <w:ind w:left="0" w:firstLine="0"/>
                                <w:jc w:val="left"/>
                              </w:pPr>
                              <w:r>
                                <w:t xml:space="preserve">общественная организация </w:t>
                              </w:r>
                            </w:p>
                          </w:txbxContent>
                        </wps:txbx>
                        <wps:bodyPr horzOverflow="overflow" vert="horz" lIns="0" tIns="0" rIns="0" bIns="0" rtlCol="0">
                          <a:noAutofit/>
                        </wps:bodyPr>
                      </wps:wsp>
                      <wps:wsp>
                        <wps:cNvPr id="53" name="Rectangle 53"/>
                        <wps:cNvSpPr/>
                        <wps:spPr>
                          <a:xfrm>
                            <a:off x="1827530" y="7376537"/>
                            <a:ext cx="5771250" cy="184382"/>
                          </a:xfrm>
                          <a:prstGeom prst="rect">
                            <a:avLst/>
                          </a:prstGeom>
                          <a:ln>
                            <a:noFill/>
                          </a:ln>
                        </wps:spPr>
                        <wps:txbx>
                          <w:txbxContent>
                            <w:p w:rsidR="00325AD1" w:rsidRDefault="008C5E81">
                              <w:pPr>
                                <w:spacing w:after="160" w:line="259" w:lineRule="auto"/>
                                <w:ind w:left="0" w:firstLine="0"/>
                                <w:jc w:val="left"/>
                              </w:pPr>
                              <w:r>
                                <w:t>трансплантологов «Российское трансплантологическое общество»</w:t>
                              </w:r>
                            </w:p>
                          </w:txbxContent>
                        </wps:txbx>
                        <wps:bodyPr horzOverflow="overflow" vert="horz" lIns="0" tIns="0" rIns="0" bIns="0" rtlCol="0">
                          <a:noAutofit/>
                        </wps:bodyPr>
                      </wps:wsp>
                      <wps:wsp>
                        <wps:cNvPr id="54" name="Rectangle 54"/>
                        <wps:cNvSpPr/>
                        <wps:spPr>
                          <a:xfrm>
                            <a:off x="6168898" y="7346417"/>
                            <a:ext cx="50673" cy="224379"/>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s:wsp>
                        <wps:cNvPr id="55" name="Rectangle 55"/>
                        <wps:cNvSpPr/>
                        <wps:spPr>
                          <a:xfrm>
                            <a:off x="1149401" y="7608544"/>
                            <a:ext cx="50673" cy="224380"/>
                          </a:xfrm>
                          <a:prstGeom prst="rect">
                            <a:avLst/>
                          </a:prstGeom>
                          <a:ln>
                            <a:noFill/>
                          </a:ln>
                        </wps:spPr>
                        <wps:txbx>
                          <w:txbxContent>
                            <w:p w:rsidR="00325AD1" w:rsidRDefault="008C5E81">
                              <w:pPr>
                                <w:spacing w:after="160" w:line="259" w:lineRule="auto"/>
                                <w:ind w:left="0" w:firstLine="0"/>
                                <w:jc w:val="left"/>
                              </w:pPr>
                              <w: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69339" style="width:595.32pt;height:841.92pt;position:absolute;mso-position-horizontal-relative:page;mso-position-horizontal:absolute;margin-left:0pt;mso-position-vertical-relative:page;margin-top:0pt;" coordsize="75605,106923">
                <v:shape id="Shape 87700" style="position:absolute;width:75605;height:106923;left:0;top:0;" coordsize="7560564,10692381" path="m0,0l7560564,0l7560564,10692381l0,10692381l0,0">
                  <v:stroke weight="0pt" endcap="flat" joinstyle="miter" miterlimit="10" on="false" color="#000000" opacity="0"/>
                  <v:fill on="true" color="#0b595d" opacity="0.101961"/>
                </v:shape>
                <v:shape id="Shape 87701" style="position:absolute;width:70002;height:84480;left:4051;top:5930;" coordsize="7000240,8448040" path="m0,0l7000240,0l7000240,8448040l0,8448040l0,0">
                  <v:stroke weight="0pt" endcap="flat" joinstyle="miter" miterlimit="10" on="false" color="#000000" opacity="0"/>
                  <v:fill on="true" color="#ffffff"/>
                </v:shape>
                <v:rect id="Rectangle 9" style="position:absolute;width:506;height:2243;left:41309;top:6475;" filled="f" stroked="f">
                  <v:textbox inset="0,0,0,0">
                    <w:txbxContent>
                      <w:p>
                        <w:pPr>
                          <w:spacing w:before="0" w:after="160" w:line="259" w:lineRule="auto"/>
                          <w:ind w:left="0" w:firstLine="0"/>
                          <w:jc w:val="left"/>
                        </w:pPr>
                        <w:r>
                          <w:rPr/>
                          <w:t xml:space="preserve"> </w:t>
                        </w:r>
                      </w:p>
                    </w:txbxContent>
                  </v:textbox>
                </v:rect>
                <v:rect id="Rectangle 10" style="position:absolute;width:506;height:2243;left:15303;top:7222;" filled="f" stroked="f">
                  <v:textbox inset="0,0,0,0">
                    <w:txbxContent>
                      <w:p>
                        <w:pPr>
                          <w:spacing w:before="0" w:after="160" w:line="259" w:lineRule="auto"/>
                          <w:ind w:left="0" w:firstLine="0"/>
                          <w:jc w:val="left"/>
                        </w:pPr>
                        <w:r>
                          <w:rPr/>
                          <w:t xml:space="preserve"> </w:t>
                        </w:r>
                      </w:p>
                    </w:txbxContent>
                  </v:textbox>
                </v:rect>
                <v:rect id="Rectangle 11" style="position:absolute;width:506;height:2243;left:15303;top:9858;" filled="f" stroked="f">
                  <v:textbox inset="0,0,0,0">
                    <w:txbxContent>
                      <w:p>
                        <w:pPr>
                          <w:spacing w:before="0" w:after="160" w:line="259" w:lineRule="auto"/>
                          <w:ind w:left="0" w:firstLine="0"/>
                          <w:jc w:val="left"/>
                        </w:pPr>
                        <w:r>
                          <w:rPr/>
                          <w:t xml:space="preserve"> </w:t>
                        </w:r>
                      </w:p>
                    </w:txbxContent>
                  </v:textbox>
                </v:rect>
                <v:rect id="Rectangle 12" style="position:absolute;width:506;height:2243;left:15303;top:12482;" filled="f" stroked="f">
                  <v:textbox inset="0,0,0,0">
                    <w:txbxContent>
                      <w:p>
                        <w:pPr>
                          <w:spacing w:before="0" w:after="160" w:line="259" w:lineRule="auto"/>
                          <w:ind w:left="0" w:firstLine="0"/>
                          <w:jc w:val="left"/>
                        </w:pPr>
                        <w:r>
                          <w:rPr/>
                          <w:t xml:space="preserve"> </w:t>
                        </w:r>
                      </w:p>
                    </w:txbxContent>
                  </v:textbox>
                </v:rect>
                <v:rect id="Rectangle 13" style="position:absolute;width:506;height:2243;left:15303;top:15119;" filled="f" stroked="f">
                  <v:textbox inset="0,0,0,0">
                    <w:txbxContent>
                      <w:p>
                        <w:pPr>
                          <w:spacing w:before="0" w:after="160" w:line="259" w:lineRule="auto"/>
                          <w:ind w:left="0" w:firstLine="0"/>
                          <w:jc w:val="left"/>
                        </w:pPr>
                        <w:r>
                          <w:rPr/>
                          <w:t xml:space="preserve"> </w:t>
                        </w:r>
                      </w:p>
                    </w:txbxContent>
                  </v:textbox>
                </v:rect>
                <v:rect id="Rectangle 14" style="position:absolute;width:506;height:2243;left:15303;top:17740;" filled="f" stroked="f">
                  <v:textbox inset="0,0,0,0">
                    <w:txbxContent>
                      <w:p>
                        <w:pPr>
                          <w:spacing w:before="0" w:after="160" w:line="259" w:lineRule="auto"/>
                          <w:ind w:left="0" w:firstLine="0"/>
                          <w:jc w:val="left"/>
                        </w:pPr>
                        <w:r>
                          <w:rPr/>
                          <w:t xml:space="preserve"> </w:t>
                        </w:r>
                      </w:p>
                    </w:txbxContent>
                  </v:textbox>
                </v:rect>
                <v:rect id="Rectangle 15" style="position:absolute;width:506;height:2243;left:15303;top:20376;" filled="f" stroked="f">
                  <v:textbox inset="0,0,0,0">
                    <w:txbxContent>
                      <w:p>
                        <w:pPr>
                          <w:spacing w:before="0" w:after="160" w:line="259" w:lineRule="auto"/>
                          <w:ind w:left="0" w:firstLine="0"/>
                          <w:jc w:val="left"/>
                        </w:pPr>
                        <w:r>
                          <w:rPr/>
                          <w:t xml:space="preserve"> </w:t>
                        </w:r>
                      </w:p>
                    </w:txbxContent>
                  </v:textbox>
                </v:rect>
                <v:rect id="Rectangle 16" style="position:absolute;width:421;height:1899;left:10808;top:83588;"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17" style="position:absolute;width:506;height:2243;left:29099;top:83282;" filled="f" stroked="f">
                  <v:textbox inset="0,0,0,0">
                    <w:txbxContent>
                      <w:p>
                        <w:pPr>
                          <w:spacing w:before="0" w:after="160" w:line="259" w:lineRule="auto"/>
                          <w:ind w:left="0" w:firstLine="0"/>
                          <w:jc w:val="left"/>
                        </w:pPr>
                        <w:r>
                          <w:rPr/>
                          <w:t xml:space="preserve"> </w:t>
                        </w:r>
                      </w:p>
                    </w:txbxContent>
                  </v:textbox>
                </v:rect>
                <v:rect id="Rectangle 18" style="position:absolute;width:11908;height:1843;left:15989;top:24335;" filled="f" stroked="f">
                  <v:textbox inset="0,0,0,0">
                    <w:txbxContent>
                      <w:p>
                        <w:pPr>
                          <w:spacing w:before="0" w:after="160" w:line="259" w:lineRule="auto"/>
                          <w:ind w:left="0" w:firstLine="0"/>
                          <w:jc w:val="left"/>
                        </w:pPr>
                        <w:r>
                          <w:rPr>
                            <w:color w:val="808080"/>
                          </w:rPr>
                          <w:t xml:space="preserve">Клинические </w:t>
                        </w:r>
                      </w:p>
                    </w:txbxContent>
                  </v:textbox>
                </v:rect>
                <v:rect id="Rectangle 19" style="position:absolute;width:12366;height:1843;left:24954;top:24335;" filled="f" stroked="f">
                  <v:textbox inset="0,0,0,0">
                    <w:txbxContent>
                      <w:p>
                        <w:pPr>
                          <w:spacing w:before="0" w:after="160" w:line="259" w:lineRule="auto"/>
                          <w:ind w:left="0" w:firstLine="0"/>
                          <w:jc w:val="left"/>
                        </w:pPr>
                        <w:r>
                          <w:rPr>
                            <w:color w:val="767171"/>
                          </w:rPr>
                          <w:t xml:space="preserve">рекомендации</w:t>
                        </w:r>
                      </w:p>
                    </w:txbxContent>
                  </v:textbox>
                </v:rect>
                <v:rect id="Rectangle 20" style="position:absolute;width:421;height:1899;left:34250;top:24340;"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21" style="position:absolute;width:78019;height:3024;left:11494;top:27280;"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Трансплантация поджелудочной железы, наличие </w:t>
                        </w:r>
                      </w:p>
                    </w:txbxContent>
                  </v:textbox>
                </v:rect>
                <v:rect id="Rectangle 10356" style="position:absolute;width:32262;height:3024;left:11494;top:30206;"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трансплантированной </w:t>
                        </w:r>
                      </w:p>
                    </w:txbxContent>
                  </v:textbox>
                </v:rect>
                <v:rect id="Rectangle 10357" style="position:absolute;width:22208;height:3024;left:40141;top:30206;"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поджелудочной </w:t>
                        </w:r>
                      </w:p>
                    </w:txbxContent>
                  </v:textbox>
                </v:rect>
                <v:rect id="Rectangle 10358" style="position:absolute;width:11894;height:3024;left:61214;top:30206;"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железы, </w:t>
                        </w:r>
                      </w:p>
                    </w:txbxContent>
                  </v:textbox>
                </v:rect>
                <v:rect id="Rectangle 10367" style="position:absolute;width:21741;height:3024;left:53803;top:33117;"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трансплантата </w:t>
                        </w:r>
                      </w:p>
                    </w:txbxContent>
                  </v:textbox>
                </v:rect>
                <v:rect id="Rectangle 10359" style="position:absolute;width:15987;height:3024;left:11494;top:33117;"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отмирание </w:t>
                        </w:r>
                      </w:p>
                    </w:txbxContent>
                  </v:textbox>
                </v:rect>
                <v:rect id="Rectangle 10361" style="position:absolute;width:2650;height:3024;left:28650;top:33117;"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и </w:t>
                        </w:r>
                      </w:p>
                    </w:txbxContent>
                  </v:textbox>
                </v:rect>
                <v:rect id="Rectangle 10365" style="position:absolute;width:17121;height:3024;left:35779;top:33117;"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отторжение </w:t>
                        </w:r>
                      </w:p>
                    </w:txbxContent>
                  </v:textbox>
                </v:rect>
                <v:rect id="Rectangle 24" style="position:absolute;width:32580;height:3024;left:11494;top:36047;" filled="f" stroked="f">
                  <v:textbox inset="0,0,0,0">
                    <w:txbxContent>
                      <w:p>
                        <w:pPr>
                          <w:spacing w:before="0" w:after="160" w:line="259" w:lineRule="auto"/>
                          <w:ind w:left="0" w:firstLine="0"/>
                          <w:jc w:val="left"/>
                        </w:pPr>
                        <w:r>
                          <w:rPr>
                            <w:rFonts w:cs="Times New Roman" w:hAnsi="Times New Roman" w:eastAsia="Times New Roman" w:ascii="Times New Roman"/>
                            <w:b w:val="1"/>
                            <w:sz w:val="40"/>
                          </w:rPr>
                          <w:t xml:space="preserve">поджелудочной железы</w:t>
                        </w:r>
                      </w:p>
                    </w:txbxContent>
                  </v:textbox>
                </v:rect>
                <v:rect id="Rectangle 25" style="position:absolute;width:506;height:2243;left:35881;top:36413;"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26" style="position:absolute;width:506;height:2243;left:11494;top:38379;"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27" style="position:absolute;width:14563;height:1843;left:22542;top:42276;" filled="f" stroked="f">
                  <v:textbox inset="0,0,0,0">
                    <w:txbxContent>
                      <w:p>
                        <w:pPr>
                          <w:spacing w:before="0" w:after="160" w:line="259" w:lineRule="auto"/>
                          <w:ind w:left="0" w:firstLine="0"/>
                          <w:jc w:val="left"/>
                        </w:pPr>
                        <w:r>
                          <w:rPr>
                            <w:color w:val="808080"/>
                          </w:rPr>
                          <w:t xml:space="preserve">Кодирование по </w:t>
                        </w:r>
                      </w:p>
                    </w:txbxContent>
                  </v:textbox>
                </v:rect>
                <v:rect id="Rectangle 28" style="position:absolute;width:28806;height:1843;left:11829;top:44898;" filled="f" stroked="f">
                  <v:textbox inset="0,0,0,0">
                    <w:txbxContent>
                      <w:p>
                        <w:pPr>
                          <w:spacing w:before="0" w:after="160" w:line="259" w:lineRule="auto"/>
                          <w:ind w:left="0" w:firstLine="0"/>
                          <w:jc w:val="left"/>
                        </w:pPr>
                        <w:r>
                          <w:rPr>
                            <w:color w:val="808080"/>
                          </w:rPr>
                          <w:t xml:space="preserve">Международной статистической </w:t>
                        </w:r>
                      </w:p>
                    </w:txbxContent>
                  </v:textbox>
                </v:rect>
                <v:rect id="Rectangle 29" style="position:absolute;width:23757;height:1843;left:15623;top:47534;" filled="f" stroked="f">
                  <v:textbox inset="0,0,0,0">
                    <w:txbxContent>
                      <w:p>
                        <w:pPr>
                          <w:spacing w:before="0" w:after="160" w:line="259" w:lineRule="auto"/>
                          <w:ind w:left="0" w:firstLine="0"/>
                          <w:jc w:val="left"/>
                        </w:pPr>
                        <w:r>
                          <w:rPr>
                            <w:color w:val="808080"/>
                          </w:rPr>
                          <w:t xml:space="preserve">классификации болезней и </w:t>
                        </w:r>
                      </w:p>
                    </w:txbxContent>
                  </v:textbox>
                </v:rect>
                <v:rect id="Rectangle 30" style="position:absolute;width:20319;height:1843;left:18214;top:50156;" filled="f" stroked="f">
                  <v:textbox inset="0,0,0,0">
                    <w:txbxContent>
                      <w:p>
                        <w:pPr>
                          <w:spacing w:before="0" w:after="160" w:line="259" w:lineRule="auto"/>
                          <w:ind w:left="0" w:firstLine="0"/>
                          <w:jc w:val="left"/>
                        </w:pPr>
                        <w:r>
                          <w:rPr>
                            <w:color w:val="808080"/>
                          </w:rPr>
                          <w:t xml:space="preserve">проблем, связанных со </w:t>
                        </w:r>
                      </w:p>
                    </w:txbxContent>
                  </v:textbox>
                </v:rect>
                <v:rect id="Rectangle 31" style="position:absolute;width:10004;height:1843;left:25975;top:52792;" filled="f" stroked="f">
                  <v:textbox inset="0,0,0,0">
                    <w:txbxContent>
                      <w:p>
                        <w:pPr>
                          <w:spacing w:before="0" w:after="160" w:line="259" w:lineRule="auto"/>
                          <w:ind w:left="0" w:firstLine="0"/>
                          <w:jc w:val="left"/>
                        </w:pPr>
                        <w:r>
                          <w:rPr>
                            <w:color w:val="808080"/>
                          </w:rPr>
                          <w:t xml:space="preserve">здоровьем: </w:t>
                        </w:r>
                      </w:p>
                    </w:txbxContent>
                  </v:textbox>
                </v:rect>
                <v:rect id="Rectangle 32" style="position:absolute;width:506;height:2243;left:33503;top:52491;" filled="f" stroked="f">
                  <v:textbox inset="0,0,0,0">
                    <w:txbxContent>
                      <w:p>
                        <w:pPr>
                          <w:spacing w:before="0" w:after="160" w:line="259" w:lineRule="auto"/>
                          <w:ind w:left="0" w:firstLine="0"/>
                          <w:jc w:val="left"/>
                        </w:pPr>
                        <w:r>
                          <w:rPr/>
                          <w:t xml:space="preserve"> </w:t>
                        </w:r>
                      </w:p>
                    </w:txbxContent>
                  </v:textbox>
                </v:rect>
                <v:rect id="Rectangle 33" style="position:absolute;width:506;height:2243;left:33122;top:55112;" filled="f" stroked="f">
                  <v:textbox inset="0,0,0,0">
                    <w:txbxContent>
                      <w:p>
                        <w:pPr>
                          <w:spacing w:before="0" w:after="160" w:line="259" w:lineRule="auto"/>
                          <w:ind w:left="0" w:firstLine="0"/>
                          <w:jc w:val="left"/>
                        </w:pPr>
                        <w:r>
                          <w:rPr/>
                          <w:t xml:space="preserve"> </w:t>
                        </w:r>
                      </w:p>
                    </w:txbxContent>
                  </v:textbox>
                </v:rect>
                <v:rect id="Rectangle 34" style="position:absolute;width:506;height:2243;left:34494;top:41975;" filled="f" stroked="f">
                  <v:textbox inset="0,0,0,0">
                    <w:txbxContent>
                      <w:p>
                        <w:pPr>
                          <w:spacing w:before="0" w:after="160" w:line="259" w:lineRule="auto"/>
                          <w:ind w:left="0" w:firstLine="0"/>
                          <w:jc w:val="left"/>
                        </w:pPr>
                        <w:r>
                          <w:rPr/>
                          <w:t xml:space="preserve"> </w:t>
                        </w:r>
                      </w:p>
                    </w:txbxContent>
                  </v:textbox>
                </v:rect>
                <v:rect id="Rectangle 35" style="position:absolute;width:4763;height:2243;left:34494;top:44597;" filled="f" stroked="f">
                  <v:textbox inset="0,0,0,0">
                    <w:txbxContent>
                      <w:p>
                        <w:pPr>
                          <w:spacing w:before="0" w:after="160" w:line="259" w:lineRule="auto"/>
                          <w:ind w:left="0" w:firstLine="0"/>
                          <w:jc w:val="left"/>
                        </w:pPr>
                        <w:r>
                          <w:rPr/>
                          <w:t xml:space="preserve">Z94.8</w:t>
                        </w:r>
                      </w:p>
                    </w:txbxContent>
                  </v:textbox>
                </v:rect>
                <v:rect id="Rectangle 36" style="position:absolute;width:1013;height:2243;left:38075;top:44597;" filled="f" stroked="f">
                  <v:textbox inset="0,0,0,0">
                    <w:txbxContent>
                      <w:p>
                        <w:pPr>
                          <w:spacing w:before="0" w:after="160" w:line="259" w:lineRule="auto"/>
                          <w:ind w:left="0" w:firstLine="0"/>
                          <w:jc w:val="left"/>
                        </w:pPr>
                        <w:r>
                          <w:rPr/>
                          <w:t xml:space="preserve">, </w:t>
                        </w:r>
                      </w:p>
                    </w:txbxContent>
                  </v:textbox>
                </v:rect>
                <v:rect id="Rectangle 37" style="position:absolute;width:5292;height:2243;left:38837;top:44597;" filled="f" stroked="f">
                  <v:textbox inset="0,0,0,0">
                    <w:txbxContent>
                      <w:p>
                        <w:pPr>
                          <w:spacing w:before="0" w:after="160" w:line="259" w:lineRule="auto"/>
                          <w:ind w:left="0" w:firstLine="0"/>
                          <w:jc w:val="left"/>
                        </w:pPr>
                        <w:r>
                          <w:rPr/>
                          <w:t xml:space="preserve">T86.8 </w:t>
                        </w:r>
                      </w:p>
                    </w:txbxContent>
                  </v:textbox>
                </v:rect>
                <v:rect id="Rectangle 38" style="position:absolute;width:421;height:1899;left:42833;top:44903;" filled="f" stroked="f">
                  <v:textbox inset="0,0,0,0">
                    <w:txbxContent>
                      <w:p>
                        <w:pPr>
                          <w:spacing w:before="0" w:after="160" w:line="259" w:lineRule="auto"/>
                          <w:ind w:left="0" w:firstLine="0"/>
                          <w:jc w:val="left"/>
                        </w:pPr>
                        <w:r>
                          <w:rPr>
                            <w:rFonts w:cs="Calibri" w:hAnsi="Calibri" w:eastAsia="Calibri" w:ascii="Calibri"/>
                            <w:sz w:val="22"/>
                          </w:rPr>
                          <w:t xml:space="preserve"> </w:t>
                        </w:r>
                      </w:p>
                    </w:txbxContent>
                  </v:textbox>
                </v:rect>
                <v:rect id="Rectangle 39" style="position:absolute;width:16748;height:1843;left:20500;top:58050;" filled="f" stroked="f">
                  <v:textbox inset="0,0,0,0">
                    <w:txbxContent>
                      <w:p>
                        <w:pPr>
                          <w:spacing w:before="0" w:after="160" w:line="259" w:lineRule="auto"/>
                          <w:ind w:left="0" w:firstLine="0"/>
                          <w:jc w:val="left"/>
                        </w:pPr>
                        <w:r>
                          <w:rPr>
                            <w:color w:val="767171"/>
                          </w:rPr>
                          <w:t xml:space="preserve">Возрастная группа:</w:t>
                        </w:r>
                      </w:p>
                    </w:txbxContent>
                  </v:textbox>
                </v:rect>
                <v:rect id="Rectangle 40" style="position:absolute;width:506;height:2243;left:33122;top:57749;" filled="f" stroked="f">
                  <v:textbox inset="0,0,0,0">
                    <w:txbxContent>
                      <w:p>
                        <w:pPr>
                          <w:spacing w:before="0" w:after="160" w:line="259" w:lineRule="auto"/>
                          <w:ind w:left="0" w:firstLine="0"/>
                          <w:jc w:val="left"/>
                        </w:pPr>
                        <w:r>
                          <w:rPr>
                            <w:color w:val="767171"/>
                          </w:rPr>
                          <w:t xml:space="preserve"> </w:t>
                        </w:r>
                      </w:p>
                    </w:txbxContent>
                  </v:textbox>
                </v:rect>
                <v:rect id="Rectangle 41" style="position:absolute;width:8338;height:1843;left:34494;top:58050;" filled="f" stroked="f">
                  <v:textbox inset="0,0,0,0">
                    <w:txbxContent>
                      <w:p>
                        <w:pPr>
                          <w:spacing w:before="0" w:after="160" w:line="259" w:lineRule="auto"/>
                          <w:ind w:left="0" w:firstLine="0"/>
                          <w:jc w:val="left"/>
                        </w:pPr>
                        <w:r>
                          <w:rPr/>
                          <w:t xml:space="preserve">Взрослые</w:t>
                        </w:r>
                      </w:p>
                    </w:txbxContent>
                  </v:textbox>
                </v:rect>
                <v:rect id="Rectangle 42" style="position:absolute;width:506;height:2243;left:40775;top:57749;" filled="f" stroked="f">
                  <v:textbox inset="0,0,0,0">
                    <w:txbxContent>
                      <w:p>
                        <w:pPr>
                          <w:spacing w:before="0" w:after="160" w:line="259" w:lineRule="auto"/>
                          <w:ind w:left="0" w:firstLine="0"/>
                          <w:jc w:val="left"/>
                        </w:pPr>
                        <w:r>
                          <w:rPr/>
                          <w:t xml:space="preserve"> </w:t>
                        </w:r>
                      </w:p>
                    </w:txbxContent>
                  </v:textbox>
                </v:rect>
                <v:rect id="Rectangle 43" style="position:absolute;width:15473;height:1843;left:21475;top:63219;" filled="f" stroked="f">
                  <v:textbox inset="0,0,0,0">
                    <w:txbxContent>
                      <w:p>
                        <w:pPr>
                          <w:spacing w:before="0" w:after="160" w:line="259" w:lineRule="auto"/>
                          <w:ind w:left="0" w:firstLine="0"/>
                          <w:jc w:val="left"/>
                        </w:pPr>
                        <w:r>
                          <w:rPr>
                            <w:color w:val="808080"/>
                          </w:rPr>
                          <w:t xml:space="preserve">Год утверждения:</w:t>
                        </w:r>
                      </w:p>
                    </w:txbxContent>
                  </v:textbox>
                </v:rect>
                <v:rect id="Rectangle 44" style="position:absolute;width:506;height:2243;left:33122;top:62918;" filled="f" stroked="f">
                  <v:textbox inset="0,0,0,0">
                    <w:txbxContent>
                      <w:p>
                        <w:pPr>
                          <w:spacing w:before="0" w:after="160" w:line="259" w:lineRule="auto"/>
                          <w:ind w:left="0" w:firstLine="0"/>
                          <w:jc w:val="left"/>
                        </w:pPr>
                        <w:r>
                          <w:rPr>
                            <w:color w:val="808080"/>
                          </w:rPr>
                          <w:t xml:space="preserve"> </w:t>
                        </w:r>
                      </w:p>
                    </w:txbxContent>
                  </v:textbox>
                </v:rect>
                <v:rect id="Rectangle 45" style="position:absolute;width:2026;height:2243;left:34494;top:62918;" filled="f" stroked="f">
                  <v:textbox inset="0,0,0,0">
                    <w:txbxContent>
                      <w:p>
                        <w:pPr>
                          <w:spacing w:before="0" w:after="160" w:line="259" w:lineRule="auto"/>
                          <w:ind w:left="0" w:firstLine="0"/>
                          <w:jc w:val="left"/>
                        </w:pPr>
                        <w:r>
                          <w:rPr/>
                          <w:t xml:space="preserve">20</w:t>
                        </w:r>
                      </w:p>
                    </w:txbxContent>
                  </v:textbox>
                </v:rect>
                <v:rect id="Rectangle 46" style="position:absolute;width:506;height:2243;left:36018;top:62918;" filled="f" stroked="f">
                  <v:textbox inset="0,0,0,0">
                    <w:txbxContent>
                      <w:p>
                        <w:pPr>
                          <w:spacing w:before="0" w:after="160" w:line="259" w:lineRule="auto"/>
                          <w:ind w:left="0" w:firstLine="0"/>
                          <w:jc w:val="left"/>
                        </w:pPr>
                        <w:r>
                          <w:rPr/>
                          <w:t xml:space="preserve"> </w:t>
                        </w:r>
                      </w:p>
                    </w:txbxContent>
                  </v:textbox>
                </v:rect>
                <v:rect id="Rectangle 47" style="position:absolute;width:35844;height:1843;left:11494;top:68400;" filled="f" stroked="f">
                  <v:textbox inset="0,0,0,0">
                    <w:txbxContent>
                      <w:p>
                        <w:pPr>
                          <w:spacing w:before="0" w:after="160" w:line="259" w:lineRule="auto"/>
                          <w:ind w:left="0" w:firstLine="0"/>
                          <w:jc w:val="left"/>
                        </w:pPr>
                        <w:r>
                          <w:rPr>
                            <w:color w:val="808080"/>
                          </w:rPr>
                          <w:t xml:space="preserve">Разработчик клинической рекомендации:</w:t>
                        </w:r>
                      </w:p>
                    </w:txbxContent>
                  </v:textbox>
                </v:rect>
                <v:rect id="Rectangle 48" style="position:absolute;width:506;height:2243;left:38456;top:68099;" filled="f" stroked="f">
                  <v:textbox inset="0,0,0,0">
                    <w:txbxContent>
                      <w:p>
                        <w:pPr>
                          <w:spacing w:before="0" w:after="160" w:line="259" w:lineRule="auto"/>
                          <w:ind w:left="0" w:firstLine="0"/>
                          <w:jc w:val="left"/>
                        </w:pPr>
                        <w:r>
                          <w:rPr>
                            <w:color w:val="808080"/>
                          </w:rPr>
                          <w:t xml:space="preserve"> </w:t>
                        </w:r>
                      </w:p>
                    </w:txbxContent>
                  </v:textbox>
                </v:rect>
                <v:rect id="Rectangle 49" style="position:absolute;width:932;height:1850;left:15989;top:71144;" filled="f" stroked="f">
                  <v:textbox inset="0,0,0,0">
                    <w:txbxContent>
                      <w:p>
                        <w:pPr>
                          <w:spacing w:before="0" w:after="160" w:line="259" w:lineRule="auto"/>
                          <w:ind w:left="0" w:firstLine="0"/>
                          <w:jc w:val="left"/>
                        </w:pPr>
                        <w:r>
                          <w:rPr>
                            <w:rFonts w:cs="Segoe UI Symbol" w:hAnsi="Segoe UI Symbol" w:eastAsia="Segoe UI Symbol" w:ascii="Segoe UI Symbol"/>
                          </w:rPr>
                          <w:t xml:space="preserve"></w:t>
                        </w:r>
                      </w:p>
                    </w:txbxContent>
                  </v:textbox>
                </v:rect>
                <v:rect id="Rectangle 50" style="position:absolute;width:563;height:2260;left:16690;top:70821;" filled="f" stroked="f">
                  <v:textbox inset="0,0,0,0">
                    <w:txbxContent>
                      <w:p>
                        <w:pPr>
                          <w:spacing w:before="0" w:after="160" w:line="259" w:lineRule="auto"/>
                          <w:ind w:left="0" w:firstLine="0"/>
                          <w:jc w:val="left"/>
                        </w:pPr>
                        <w:r>
                          <w:rPr>
                            <w:rFonts w:cs="Arial" w:hAnsi="Arial" w:eastAsia="Arial" w:ascii="Arial"/>
                          </w:rPr>
                          <w:t xml:space="preserve"> </w:t>
                        </w:r>
                      </w:p>
                    </w:txbxContent>
                  </v:textbox>
                </v:rect>
                <v:rect id="Rectangle 51" style="position:absolute;width:43897;height:1843;left:18275;top:71144;" filled="f" stroked="f">
                  <v:textbox inset="0,0,0,0">
                    <w:txbxContent>
                      <w:p>
                        <w:pPr>
                          <w:spacing w:before="0" w:after="160" w:line="259" w:lineRule="auto"/>
                          <w:ind w:left="0" w:firstLine="0"/>
                          <w:jc w:val="left"/>
                        </w:pPr>
                        <w:r>
                          <w:rPr/>
                          <w:t xml:space="preserve">Профессиональная ассоциация: Общероссийская </w:t>
                        </w:r>
                      </w:p>
                    </w:txbxContent>
                  </v:textbox>
                </v:rect>
                <v:rect id="Rectangle 52" style="position:absolute;width:24304;height:1843;left:51626;top:71144;" filled="f" stroked="f">
                  <v:textbox inset="0,0,0,0">
                    <w:txbxContent>
                      <w:p>
                        <w:pPr>
                          <w:spacing w:before="0" w:after="160" w:line="259" w:lineRule="auto"/>
                          <w:ind w:left="0" w:firstLine="0"/>
                          <w:jc w:val="left"/>
                        </w:pPr>
                        <w:r>
                          <w:rPr/>
                          <w:t xml:space="preserve">общественная организация </w:t>
                        </w:r>
                      </w:p>
                    </w:txbxContent>
                  </v:textbox>
                </v:rect>
                <v:rect id="Rectangle 53" style="position:absolute;width:57712;height:1843;left:18275;top:73765;" filled="f" stroked="f">
                  <v:textbox inset="0,0,0,0">
                    <w:txbxContent>
                      <w:p>
                        <w:pPr>
                          <w:spacing w:before="0" w:after="160" w:line="259" w:lineRule="auto"/>
                          <w:ind w:left="0" w:firstLine="0"/>
                          <w:jc w:val="left"/>
                        </w:pPr>
                        <w:r>
                          <w:rPr/>
                          <w:t xml:space="preserve">трансплантологов «Российское трансплантологическое общество»</w:t>
                        </w:r>
                      </w:p>
                    </w:txbxContent>
                  </v:textbox>
                </v:rect>
                <v:rect id="Rectangle 54" style="position:absolute;width:506;height:2243;left:61688;top:73464;" filled="f" stroked="f">
                  <v:textbox inset="0,0,0,0">
                    <w:txbxContent>
                      <w:p>
                        <w:pPr>
                          <w:spacing w:before="0" w:after="160" w:line="259" w:lineRule="auto"/>
                          <w:ind w:left="0" w:firstLine="0"/>
                          <w:jc w:val="left"/>
                        </w:pPr>
                        <w:r>
                          <w:rPr/>
                          <w:t xml:space="preserve"> </w:t>
                        </w:r>
                      </w:p>
                    </w:txbxContent>
                  </v:textbox>
                </v:rect>
                <v:rect id="Rectangle 55" style="position:absolute;width:506;height:2243;left:11494;top:76085;" filled="f" stroked="f">
                  <v:textbox inset="0,0,0,0">
                    <w:txbxContent>
                      <w:p>
                        <w:pPr>
                          <w:spacing w:before="0" w:after="160" w:line="259" w:lineRule="auto"/>
                          <w:ind w:left="0" w:firstLine="0"/>
                          <w:jc w:val="left"/>
                        </w:pPr>
                        <w:r>
                          <w:rPr/>
                          <w:t xml:space="preserve"> </w:t>
                        </w:r>
                      </w:p>
                    </w:txbxContent>
                  </v:textbox>
                </v:rect>
                <w10:wrap type="topAndBottom"/>
              </v:group>
            </w:pict>
          </mc:Fallback>
        </mc:AlternateContent>
      </w:r>
      <w:r>
        <w:br w:type="page"/>
      </w:r>
    </w:p>
    <w:p w:rsidR="00325AD1" w:rsidRDefault="008C5E81">
      <w:pPr>
        <w:spacing w:after="588" w:line="259" w:lineRule="auto"/>
        <w:ind w:left="0" w:firstLine="0"/>
        <w:jc w:val="left"/>
      </w:pPr>
      <w:r>
        <w:lastRenderedPageBreak/>
        <w:t xml:space="preserve"> </w:t>
      </w:r>
    </w:p>
    <w:p w:rsidR="00325AD1" w:rsidRDefault="008C5E81">
      <w:pPr>
        <w:spacing w:after="0" w:line="259" w:lineRule="auto"/>
        <w:ind w:left="0" w:right="483" w:firstLine="0"/>
        <w:jc w:val="center"/>
      </w:pPr>
      <w:r>
        <w:rPr>
          <w:rFonts w:ascii="Arial" w:eastAsia="Arial" w:hAnsi="Arial" w:cs="Arial"/>
          <w:b/>
          <w:color w:val="2F759E"/>
          <w:sz w:val="28"/>
        </w:rPr>
        <w:t xml:space="preserve">Оглавление </w:t>
      </w:r>
    </w:p>
    <w:p w:rsidR="00325AD1" w:rsidRDefault="008C5E81">
      <w:pPr>
        <w:spacing w:after="98"/>
        <w:ind w:right="479"/>
      </w:pPr>
      <w:r>
        <w:t xml:space="preserve">Список сокращений </w:t>
      </w:r>
      <w:r>
        <w:t xml:space="preserve">.......................................................................................................................4 </w:t>
      </w:r>
    </w:p>
    <w:p w:rsidR="00325AD1" w:rsidRDefault="008C5E81">
      <w:pPr>
        <w:spacing w:after="130"/>
        <w:ind w:right="479"/>
      </w:pPr>
      <w:r>
        <w:t>Термины и определения ................................................................................................................</w:t>
      </w:r>
      <w:r>
        <w:t xml:space="preserve">5 </w:t>
      </w:r>
    </w:p>
    <w:p w:rsidR="00325AD1" w:rsidRDefault="008C5E81">
      <w:pPr>
        <w:numPr>
          <w:ilvl w:val="0"/>
          <w:numId w:val="1"/>
        </w:numPr>
        <w:spacing w:after="123"/>
        <w:ind w:right="479" w:hanging="240"/>
      </w:pPr>
      <w:r>
        <w:t xml:space="preserve">Краткая информация по заболеванию или состоянию (группе заболеваний или состояний) ......................................................................................................................................6 </w:t>
      </w:r>
    </w:p>
    <w:p w:rsidR="00325AD1" w:rsidRDefault="008C5E81">
      <w:pPr>
        <w:numPr>
          <w:ilvl w:val="1"/>
          <w:numId w:val="1"/>
        </w:numPr>
        <w:spacing w:after="120" w:line="253" w:lineRule="auto"/>
        <w:ind w:right="477" w:hanging="331"/>
      </w:pPr>
      <w:r>
        <w:rPr>
          <w:sz w:val="22"/>
        </w:rPr>
        <w:t>Определение заболевания или состо</w:t>
      </w:r>
      <w:r>
        <w:rPr>
          <w:sz w:val="22"/>
        </w:rPr>
        <w:t>яния (группы заболеваний или состояний) ....................... 6</w:t>
      </w:r>
      <w:r>
        <w:t xml:space="preserve"> </w:t>
      </w:r>
    </w:p>
    <w:p w:rsidR="00325AD1" w:rsidRDefault="008C5E81">
      <w:pPr>
        <w:numPr>
          <w:ilvl w:val="1"/>
          <w:numId w:val="1"/>
        </w:numPr>
        <w:spacing w:after="117" w:line="253" w:lineRule="auto"/>
        <w:ind w:right="477" w:hanging="331"/>
      </w:pPr>
      <w:r>
        <w:rPr>
          <w:sz w:val="22"/>
        </w:rPr>
        <w:t>Этиология и патогенез заболевания или состояния (группы заболеваний или состояний)....... 6</w:t>
      </w:r>
      <w:r>
        <w:t xml:space="preserve"> </w:t>
      </w:r>
    </w:p>
    <w:p w:rsidR="00325AD1" w:rsidRDefault="008C5E81">
      <w:pPr>
        <w:numPr>
          <w:ilvl w:val="1"/>
          <w:numId w:val="1"/>
        </w:numPr>
        <w:spacing w:after="63" w:line="253" w:lineRule="auto"/>
        <w:ind w:right="477" w:hanging="331"/>
      </w:pPr>
      <w:r>
        <w:rPr>
          <w:sz w:val="22"/>
        </w:rPr>
        <w:t>Эпидемиология заболевания или состояния (группы заболеваний или состояний) .................. 7</w:t>
      </w:r>
      <w:r>
        <w:t xml:space="preserve"> </w:t>
      </w:r>
    </w:p>
    <w:p w:rsidR="00325AD1" w:rsidRDefault="008C5E81">
      <w:pPr>
        <w:numPr>
          <w:ilvl w:val="1"/>
          <w:numId w:val="1"/>
        </w:numPr>
        <w:spacing w:after="6" w:line="253" w:lineRule="auto"/>
        <w:ind w:right="477" w:hanging="331"/>
      </w:pPr>
      <w:r>
        <w:rPr>
          <w:sz w:val="22"/>
        </w:rPr>
        <w:t xml:space="preserve">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w:t>
      </w:r>
    </w:p>
    <w:p w:rsidR="00325AD1" w:rsidRDefault="008C5E81">
      <w:pPr>
        <w:spacing w:after="118" w:line="253" w:lineRule="auto"/>
        <w:ind w:left="231" w:right="477"/>
      </w:pPr>
      <w:r>
        <w:rPr>
          <w:sz w:val="22"/>
        </w:rPr>
        <w:t>здоровьем ................................................................................</w:t>
      </w:r>
      <w:r>
        <w:rPr>
          <w:sz w:val="22"/>
        </w:rPr>
        <w:t>................................................................. 7</w:t>
      </w:r>
      <w:r>
        <w:t xml:space="preserve"> </w:t>
      </w:r>
    </w:p>
    <w:p w:rsidR="00325AD1" w:rsidRDefault="008C5E81">
      <w:pPr>
        <w:numPr>
          <w:ilvl w:val="1"/>
          <w:numId w:val="1"/>
        </w:numPr>
        <w:spacing w:after="119" w:line="253" w:lineRule="auto"/>
        <w:ind w:right="477" w:hanging="331"/>
      </w:pPr>
      <w:r>
        <w:rPr>
          <w:sz w:val="22"/>
        </w:rPr>
        <w:t>Классификация заболевания или состояния (группы заболеваний или состояний) ................... 7</w:t>
      </w:r>
      <w:r>
        <w:t xml:space="preserve"> </w:t>
      </w:r>
    </w:p>
    <w:p w:rsidR="00325AD1" w:rsidRDefault="008C5E81">
      <w:pPr>
        <w:numPr>
          <w:ilvl w:val="1"/>
          <w:numId w:val="1"/>
        </w:numPr>
        <w:spacing w:after="128" w:line="253" w:lineRule="auto"/>
        <w:ind w:right="477" w:hanging="331"/>
      </w:pPr>
      <w:r>
        <w:rPr>
          <w:sz w:val="22"/>
        </w:rPr>
        <w:t xml:space="preserve">Клиническая картина заболевания или состояния (группы заболеваний или состояний) </w:t>
      </w:r>
      <w:r>
        <w:rPr>
          <w:sz w:val="22"/>
        </w:rPr>
        <w:t>......... 8</w:t>
      </w:r>
      <w:r>
        <w:t xml:space="preserve"> </w:t>
      </w:r>
    </w:p>
    <w:p w:rsidR="00325AD1" w:rsidRDefault="008C5E81">
      <w:pPr>
        <w:numPr>
          <w:ilvl w:val="0"/>
          <w:numId w:val="1"/>
        </w:numPr>
        <w:spacing w:after="91"/>
        <w:ind w:right="479" w:hanging="240"/>
      </w:pPr>
      <w:r>
        <w:t xml:space="preserve">Диагностика заболевания или состояния (группы заболеваний или состояний), медицинские показания и противопоказания к применению методов диагностики ..............8 </w:t>
      </w:r>
    </w:p>
    <w:p w:rsidR="00325AD1" w:rsidRDefault="008C5E81">
      <w:pPr>
        <w:numPr>
          <w:ilvl w:val="1"/>
          <w:numId w:val="1"/>
        </w:numPr>
        <w:spacing w:after="95" w:line="253" w:lineRule="auto"/>
        <w:ind w:right="477" w:hanging="331"/>
      </w:pPr>
      <w:r>
        <w:rPr>
          <w:sz w:val="22"/>
        </w:rPr>
        <w:t>Жалобы и анамнез .............................................................</w:t>
      </w:r>
      <w:r>
        <w:rPr>
          <w:sz w:val="22"/>
        </w:rPr>
        <w:t>................................................................ 9</w:t>
      </w:r>
      <w:r>
        <w:t xml:space="preserve"> </w:t>
      </w:r>
    </w:p>
    <w:p w:rsidR="00325AD1" w:rsidRDefault="008C5E81">
      <w:pPr>
        <w:numPr>
          <w:ilvl w:val="1"/>
          <w:numId w:val="1"/>
        </w:numPr>
        <w:spacing w:after="95" w:line="253" w:lineRule="auto"/>
        <w:ind w:right="477" w:hanging="331"/>
      </w:pPr>
      <w:r>
        <w:rPr>
          <w:sz w:val="22"/>
        </w:rPr>
        <w:t>Физикальное обследование ............................................................................................................ 10</w:t>
      </w:r>
      <w:r>
        <w:t xml:space="preserve"> </w:t>
      </w:r>
    </w:p>
    <w:p w:rsidR="00325AD1" w:rsidRDefault="008C5E81">
      <w:pPr>
        <w:numPr>
          <w:ilvl w:val="1"/>
          <w:numId w:val="1"/>
        </w:numPr>
        <w:spacing w:after="95" w:line="253" w:lineRule="auto"/>
        <w:ind w:right="477" w:hanging="331"/>
      </w:pPr>
      <w:r>
        <w:rPr>
          <w:sz w:val="22"/>
        </w:rPr>
        <w:t>Лабораторные диагностические исследования ........</w:t>
      </w:r>
      <w:r>
        <w:rPr>
          <w:sz w:val="22"/>
        </w:rPr>
        <w:t>.................................................................... 12</w:t>
      </w:r>
      <w:r>
        <w:t xml:space="preserve"> </w:t>
      </w:r>
    </w:p>
    <w:p w:rsidR="00325AD1" w:rsidRDefault="008C5E81">
      <w:pPr>
        <w:numPr>
          <w:ilvl w:val="1"/>
          <w:numId w:val="1"/>
        </w:numPr>
        <w:spacing w:after="95" w:line="253" w:lineRule="auto"/>
        <w:ind w:right="477" w:hanging="331"/>
      </w:pPr>
      <w:r>
        <w:rPr>
          <w:sz w:val="22"/>
        </w:rPr>
        <w:t>Инструментальные диагностические исследования .................................................................... 15</w:t>
      </w:r>
      <w:r>
        <w:t xml:space="preserve"> </w:t>
      </w:r>
    </w:p>
    <w:p w:rsidR="00325AD1" w:rsidRDefault="008C5E81">
      <w:pPr>
        <w:numPr>
          <w:ilvl w:val="1"/>
          <w:numId w:val="1"/>
        </w:numPr>
        <w:spacing w:after="128" w:line="253" w:lineRule="auto"/>
        <w:ind w:right="477" w:hanging="331"/>
      </w:pPr>
      <w:r>
        <w:rPr>
          <w:sz w:val="22"/>
        </w:rPr>
        <w:t>Иные диагностические исследования ..............................</w:t>
      </w:r>
      <w:r>
        <w:rPr>
          <w:sz w:val="22"/>
        </w:rPr>
        <w:t>............................................................. 18</w:t>
      </w:r>
      <w:r>
        <w:t xml:space="preserve"> </w:t>
      </w:r>
    </w:p>
    <w:p w:rsidR="00325AD1" w:rsidRDefault="008C5E81">
      <w:pPr>
        <w:numPr>
          <w:ilvl w:val="0"/>
          <w:numId w:val="1"/>
        </w:numPr>
        <w:spacing w:after="136"/>
        <w:ind w:right="479" w:hanging="240"/>
      </w:pPr>
      <w:r>
        <w:t>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 .............................</w:t>
      </w:r>
      <w:r>
        <w:t xml:space="preserve">............................................................................................................18 </w:t>
      </w:r>
    </w:p>
    <w:p w:rsidR="00325AD1" w:rsidRDefault="008C5E81">
      <w:pPr>
        <w:numPr>
          <w:ilvl w:val="0"/>
          <w:numId w:val="1"/>
        </w:numPr>
        <w:ind w:right="479" w:hanging="240"/>
      </w:pPr>
      <w:r>
        <w:t xml:space="preserve">Медицинская реабилитация и санаторно-курортное лечение, медицинские показания и противопоказания к применению методов медицинской реабилитации, </w:t>
      </w:r>
      <w:r>
        <w:t xml:space="preserve">в том числе </w:t>
      </w:r>
    </w:p>
    <w:p w:rsidR="00325AD1" w:rsidRDefault="008C5E81">
      <w:pPr>
        <w:spacing w:after="132"/>
        <w:ind w:right="479"/>
      </w:pPr>
      <w:r>
        <w:t xml:space="preserve">основанных на использовании природных лечебных факторов .............................................31 </w:t>
      </w:r>
    </w:p>
    <w:p w:rsidR="00325AD1" w:rsidRDefault="008C5E81">
      <w:pPr>
        <w:numPr>
          <w:ilvl w:val="0"/>
          <w:numId w:val="1"/>
        </w:numPr>
        <w:spacing w:after="109"/>
        <w:ind w:right="479" w:hanging="240"/>
      </w:pPr>
      <w:r>
        <w:t>Профилактика и диспансерное наблюдение, медицинские показания и противопоказания к применению методов профилактики .......................</w:t>
      </w:r>
      <w:r>
        <w:t xml:space="preserve">...............................................................32 </w:t>
      </w:r>
    </w:p>
    <w:p w:rsidR="00325AD1" w:rsidRDefault="008C5E81">
      <w:pPr>
        <w:numPr>
          <w:ilvl w:val="0"/>
          <w:numId w:val="1"/>
        </w:numPr>
        <w:spacing w:after="86"/>
        <w:ind w:right="479" w:hanging="240"/>
      </w:pPr>
      <w:r>
        <w:t xml:space="preserve">Организация оказания медицинской помощи ......................................................................34 </w:t>
      </w:r>
    </w:p>
    <w:p w:rsidR="00325AD1" w:rsidRDefault="008C5E81">
      <w:pPr>
        <w:numPr>
          <w:ilvl w:val="0"/>
          <w:numId w:val="1"/>
        </w:numPr>
        <w:spacing w:after="112"/>
        <w:ind w:right="479" w:hanging="240"/>
      </w:pPr>
      <w:r>
        <w:t xml:space="preserve">Дополнительная информация (в том числе факторы, влияющие на исход заболевания или состояния) .....................................................................................................................................35 </w:t>
      </w:r>
    </w:p>
    <w:p w:rsidR="00325AD1" w:rsidRDefault="008C5E81">
      <w:pPr>
        <w:spacing w:after="96"/>
        <w:ind w:right="479"/>
      </w:pPr>
      <w:r>
        <w:t>Критерии оценки качества м</w:t>
      </w:r>
      <w:r>
        <w:t xml:space="preserve">едицинской помощи ...................................................................37 </w:t>
      </w:r>
    </w:p>
    <w:p w:rsidR="00325AD1" w:rsidRDefault="008C5E81">
      <w:pPr>
        <w:spacing w:after="87"/>
        <w:ind w:right="479"/>
      </w:pPr>
      <w:r>
        <w:t xml:space="preserve">Список литературы ......................................................................................................................40 </w:t>
      </w:r>
    </w:p>
    <w:p w:rsidR="00325AD1" w:rsidRDefault="008C5E81">
      <w:pPr>
        <w:ind w:right="479"/>
      </w:pPr>
      <w:r>
        <w:t>Приложение А1. Состав рабоч</w:t>
      </w:r>
      <w:r>
        <w:t xml:space="preserve">ей группы по разработке и пересмотру клинических </w:t>
      </w:r>
    </w:p>
    <w:p w:rsidR="00325AD1" w:rsidRDefault="008C5E81">
      <w:pPr>
        <w:spacing w:after="120"/>
        <w:ind w:right="479"/>
      </w:pPr>
      <w:r>
        <w:t xml:space="preserve">рекомендаций ...............................................................................................................................56 </w:t>
      </w:r>
    </w:p>
    <w:p w:rsidR="00325AD1" w:rsidRDefault="008C5E81">
      <w:pPr>
        <w:spacing w:after="86"/>
        <w:ind w:right="479"/>
      </w:pPr>
      <w:r>
        <w:t>Приложение А2. Методология разработки клинических рекомендаций</w:t>
      </w:r>
      <w:r>
        <w:t xml:space="preserve"> ..............................58 </w:t>
      </w:r>
    </w:p>
    <w:p w:rsidR="00325AD1" w:rsidRDefault="008C5E81">
      <w:pPr>
        <w:ind w:right="479"/>
      </w:pPr>
      <w:r>
        <w:t xml:space="preserve">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w:t>
      </w:r>
    </w:p>
    <w:p w:rsidR="00325AD1" w:rsidRDefault="008C5E81">
      <w:pPr>
        <w:spacing w:after="123" w:line="344" w:lineRule="auto"/>
        <w:ind w:right="479"/>
      </w:pPr>
      <w:r>
        <w:t>по применению лекарственного препарата..................</w:t>
      </w:r>
      <w:r>
        <w:t>.............................................................60 Приложение Б. Алгоритмы действий врача .............................................................................63 Приложение В. Информация для пациента ...................................</w:t>
      </w:r>
      <w:r>
        <w:t xml:space="preserve">...........................................65 </w:t>
      </w:r>
    </w:p>
    <w:p w:rsidR="00325AD1" w:rsidRDefault="008C5E81">
      <w:pPr>
        <w:ind w:right="479"/>
      </w:pPr>
      <w:r>
        <w:t xml:space="preserve">Приложение Г1-ГN. Шкалы оценки, вопросники и другие оценочные инструменты </w:t>
      </w:r>
    </w:p>
    <w:p w:rsidR="00325AD1" w:rsidRDefault="008C5E81">
      <w:pPr>
        <w:spacing w:after="86"/>
        <w:ind w:right="479"/>
      </w:pPr>
      <w:r>
        <w:t xml:space="preserve">состояния пациента, приведенные в клинических рекомендациях ........................................66 </w:t>
      </w:r>
    </w:p>
    <w:p w:rsidR="00325AD1" w:rsidRDefault="008C5E81">
      <w:pPr>
        <w:spacing w:after="96" w:line="259" w:lineRule="auto"/>
        <w:ind w:left="0" w:firstLine="0"/>
        <w:jc w:val="left"/>
      </w:pPr>
      <w:r>
        <w:t xml:space="preserve"> </w:t>
      </w:r>
    </w:p>
    <w:p w:rsidR="00325AD1" w:rsidRDefault="008C5E81">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t xml:space="preserve"> </w:t>
      </w:r>
      <w:r>
        <w:br w:type="page"/>
      </w:r>
    </w:p>
    <w:p w:rsidR="00325AD1" w:rsidRDefault="008C5E81">
      <w:pPr>
        <w:spacing w:after="335" w:line="259" w:lineRule="auto"/>
        <w:ind w:left="708" w:firstLine="0"/>
        <w:jc w:val="left"/>
      </w:pPr>
      <w:r>
        <w:t xml:space="preserve"> </w:t>
      </w:r>
    </w:p>
    <w:p w:rsidR="00325AD1" w:rsidRDefault="008C5E81">
      <w:pPr>
        <w:pStyle w:val="Heading1"/>
        <w:spacing w:after="254"/>
        <w:ind w:left="-5" w:right="475"/>
      </w:pPr>
      <w:r>
        <w:t xml:space="preserve">Список сокращений </w:t>
      </w:r>
    </w:p>
    <w:p w:rsidR="00325AD1" w:rsidRDefault="008C5E81">
      <w:pPr>
        <w:spacing w:after="171"/>
        <w:ind w:right="479"/>
      </w:pPr>
      <w:r>
        <w:t xml:space="preserve">анти-HLA – антитела к антигенам главного комплекса гистосовместимости человека </w:t>
      </w:r>
    </w:p>
    <w:p w:rsidR="00325AD1" w:rsidRDefault="008C5E81">
      <w:pPr>
        <w:spacing w:after="168"/>
        <w:ind w:right="479"/>
      </w:pPr>
      <w:r>
        <w:t xml:space="preserve">АЧТВ – активированное частичное тромбопластиновое время  </w:t>
      </w:r>
    </w:p>
    <w:p w:rsidR="00325AD1" w:rsidRDefault="008C5E81">
      <w:pPr>
        <w:spacing w:after="164"/>
        <w:ind w:right="479"/>
      </w:pPr>
      <w:r>
        <w:t xml:space="preserve">ВИЧ – вирус иммунодефицита человека </w:t>
      </w:r>
    </w:p>
    <w:p w:rsidR="00325AD1" w:rsidRDefault="008C5E81">
      <w:pPr>
        <w:spacing w:after="168"/>
        <w:ind w:right="479"/>
      </w:pPr>
      <w:r>
        <w:t xml:space="preserve">ДНК (DNA) – дезоксирибонуклеиновая кислота </w:t>
      </w:r>
    </w:p>
    <w:p w:rsidR="00325AD1" w:rsidRDefault="008C5E81">
      <w:pPr>
        <w:spacing w:after="170"/>
        <w:ind w:right="479"/>
      </w:pPr>
      <w:r>
        <w:t xml:space="preserve">ИКН – ингибиторы кальциневрина </w:t>
      </w:r>
    </w:p>
    <w:p w:rsidR="00325AD1" w:rsidRDefault="008C5E81">
      <w:pPr>
        <w:spacing w:after="168"/>
        <w:ind w:right="479"/>
      </w:pPr>
      <w:r>
        <w:t>ИМТ –</w:t>
      </w:r>
      <w:r>
        <w:t xml:space="preserve"> индекс массы тела </w:t>
      </w:r>
    </w:p>
    <w:p w:rsidR="00325AD1" w:rsidRDefault="008C5E81">
      <w:pPr>
        <w:spacing w:after="171"/>
        <w:ind w:right="479"/>
      </w:pPr>
      <w:r>
        <w:t xml:space="preserve">КТ – компьютерная томография </w:t>
      </w:r>
    </w:p>
    <w:p w:rsidR="00325AD1" w:rsidRDefault="008C5E81">
      <w:pPr>
        <w:spacing w:after="168"/>
        <w:ind w:right="479"/>
      </w:pPr>
      <w:r>
        <w:t xml:space="preserve">ОФТ – отсроченная функция трансплантата </w:t>
      </w:r>
    </w:p>
    <w:p w:rsidR="00325AD1" w:rsidRDefault="008C5E81">
      <w:pPr>
        <w:spacing w:after="171"/>
        <w:ind w:right="479"/>
      </w:pPr>
      <w:r>
        <w:t xml:space="preserve">ПЖ – поджелудочная железа </w:t>
      </w:r>
    </w:p>
    <w:p w:rsidR="00325AD1" w:rsidRDefault="008C5E81">
      <w:pPr>
        <w:spacing w:after="167"/>
        <w:ind w:right="479"/>
      </w:pPr>
      <w:r>
        <w:t xml:space="preserve">РКИ – рандомизированное клиническое исследование </w:t>
      </w:r>
    </w:p>
    <w:p w:rsidR="00325AD1" w:rsidRDefault="008C5E81">
      <w:pPr>
        <w:spacing w:after="170"/>
        <w:ind w:right="479"/>
      </w:pPr>
      <w:r>
        <w:t xml:space="preserve">СД – сахарный диабет </w:t>
      </w:r>
    </w:p>
    <w:p w:rsidR="00325AD1" w:rsidRDefault="008C5E81">
      <w:pPr>
        <w:spacing w:after="167"/>
        <w:ind w:right="479"/>
      </w:pPr>
      <w:r>
        <w:t xml:space="preserve">СКФ – скорость клубочковой фильтрации </w:t>
      </w:r>
    </w:p>
    <w:p w:rsidR="00325AD1" w:rsidRDefault="008C5E81">
      <w:pPr>
        <w:spacing w:after="171"/>
        <w:ind w:right="479"/>
      </w:pPr>
      <w:r>
        <w:t xml:space="preserve">ТП – трансплантация почки </w:t>
      </w:r>
    </w:p>
    <w:p w:rsidR="00325AD1" w:rsidRDefault="008C5E81">
      <w:pPr>
        <w:spacing w:after="167"/>
        <w:ind w:right="479"/>
      </w:pPr>
      <w:r>
        <w:t xml:space="preserve">ТПЖ – трансплантация поджелудочной железы </w:t>
      </w:r>
    </w:p>
    <w:p w:rsidR="00325AD1" w:rsidRDefault="008C5E81">
      <w:pPr>
        <w:spacing w:after="168"/>
        <w:ind w:right="479"/>
      </w:pPr>
      <w:r>
        <w:t xml:space="preserve">УЗИ – ультразвуковое исследование  </w:t>
      </w:r>
    </w:p>
    <w:p w:rsidR="00325AD1" w:rsidRDefault="008C5E81">
      <w:pPr>
        <w:spacing w:after="170"/>
        <w:ind w:right="479"/>
      </w:pPr>
      <w:r>
        <w:t xml:space="preserve">ХБП – хроническая болезнь почек </w:t>
      </w:r>
    </w:p>
    <w:p w:rsidR="00325AD1" w:rsidRDefault="008C5E81">
      <w:pPr>
        <w:spacing w:after="169"/>
        <w:ind w:right="479"/>
      </w:pPr>
      <w:r>
        <w:t xml:space="preserve">ЦВД – центральное венозное давление </w:t>
      </w:r>
    </w:p>
    <w:p w:rsidR="00325AD1" w:rsidRDefault="008C5E81">
      <w:pPr>
        <w:spacing w:line="399" w:lineRule="auto"/>
        <w:ind w:right="479"/>
      </w:pPr>
      <w:r>
        <w:t>ЭКГ – Регистрация электрокардиограммы, Расшифровка, описание и интерпретация электрокардиографических данны</w:t>
      </w:r>
      <w:r>
        <w:t xml:space="preserve">х </w:t>
      </w:r>
    </w:p>
    <w:p w:rsidR="00325AD1" w:rsidRDefault="008C5E81">
      <w:pPr>
        <w:spacing w:line="374" w:lineRule="auto"/>
        <w:ind w:right="479"/>
      </w:pPr>
      <w:r>
        <w:t xml:space="preserve">HLA – (англ., human leukocyte antigen, лейкоцитарные антигены человека) главный комплекс гистосовместимости человека </w:t>
      </w:r>
    </w:p>
    <w:p w:rsidR="00325AD1" w:rsidRDefault="008C5E81">
      <w:pPr>
        <w:spacing w:after="0" w:line="259" w:lineRule="auto"/>
        <w:ind w:left="0" w:firstLine="0"/>
        <w:jc w:val="left"/>
      </w:pPr>
      <w:r>
        <w:t xml:space="preserve"> </w:t>
      </w:r>
      <w:r>
        <w:tab/>
        <w:t xml:space="preserve"> </w:t>
      </w:r>
    </w:p>
    <w:p w:rsidR="00325AD1" w:rsidRDefault="008C5E81">
      <w:pPr>
        <w:spacing w:after="299" w:line="259" w:lineRule="auto"/>
        <w:ind w:left="708" w:firstLine="0"/>
        <w:jc w:val="left"/>
      </w:pPr>
      <w:r>
        <w:rPr>
          <w:i/>
        </w:rPr>
        <w:t xml:space="preserve"> </w:t>
      </w:r>
    </w:p>
    <w:p w:rsidR="00325AD1" w:rsidRDefault="008C5E81">
      <w:pPr>
        <w:pStyle w:val="Heading1"/>
        <w:spacing w:after="259"/>
        <w:ind w:left="-5" w:right="475"/>
      </w:pPr>
      <w:r>
        <w:t>Термины и определения</w:t>
      </w:r>
      <w:r>
        <w:rPr>
          <w:sz w:val="24"/>
        </w:rPr>
        <w:t xml:space="preserve"> </w:t>
      </w:r>
    </w:p>
    <w:p w:rsidR="00325AD1" w:rsidRDefault="008C5E81">
      <w:pPr>
        <w:spacing w:after="26" w:line="377" w:lineRule="auto"/>
        <w:ind w:left="0" w:right="479" w:firstLine="708"/>
      </w:pPr>
      <w:r>
        <w:rPr>
          <w:b/>
        </w:rPr>
        <w:t>Трансплантация поджелудочной железы</w:t>
      </w:r>
      <w:r>
        <w:t xml:space="preserve"> – </w:t>
      </w:r>
      <w:r>
        <w:t>хирургическая операция, метод заместительной терапии, заключающийся в пересадке человеку поджелудочной железы, полученной от другого человека.</w:t>
      </w:r>
      <w:r>
        <w:rPr>
          <w:b/>
        </w:rPr>
        <w:t xml:space="preserve"> </w:t>
      </w:r>
    </w:p>
    <w:p w:rsidR="00325AD1" w:rsidRDefault="008C5E81">
      <w:pPr>
        <w:spacing w:line="397" w:lineRule="auto"/>
        <w:ind w:left="0" w:right="479" w:firstLine="708"/>
      </w:pPr>
      <w:r>
        <w:rPr>
          <w:b/>
        </w:rPr>
        <w:t>Реципиент поджелудочной железы</w:t>
      </w:r>
      <w:r>
        <w:t xml:space="preserve"> – пациент, у которого была выполнена трансплантация поджелудочной железы. </w:t>
      </w:r>
      <w:r>
        <w:rPr>
          <w:b/>
        </w:rPr>
        <w:t xml:space="preserve"> </w:t>
      </w:r>
    </w:p>
    <w:p w:rsidR="00325AD1" w:rsidRDefault="008C5E81">
      <w:pPr>
        <w:spacing w:after="35" w:line="368" w:lineRule="auto"/>
        <w:ind w:left="0" w:right="479" w:firstLine="708"/>
      </w:pPr>
      <w:r>
        <w:rPr>
          <w:b/>
        </w:rPr>
        <w:t>Оттор</w:t>
      </w:r>
      <w:r>
        <w:rPr>
          <w:b/>
        </w:rPr>
        <w:t>жение трансплантированной поджелудочной железы</w:t>
      </w:r>
      <w:r>
        <w:t xml:space="preserve"> – патологический процесс, при котором иммунная система реципиента распознает трансплантат поджелудочной железы как чужеродный объект, и активируется система антителоопосредованного (гуморального) и/или клеточн</w:t>
      </w:r>
      <w:r>
        <w:t xml:space="preserve">ого воспалительного ответа, что может привести к выраженной дисфункции органа. </w:t>
      </w:r>
      <w:r>
        <w:rPr>
          <w:b/>
        </w:rPr>
        <w:t xml:space="preserve"> </w:t>
      </w:r>
    </w:p>
    <w:p w:rsidR="00325AD1" w:rsidRDefault="008C5E81">
      <w:pPr>
        <w:spacing w:after="34" w:line="367" w:lineRule="auto"/>
        <w:ind w:left="0" w:right="479" w:firstLine="708"/>
      </w:pPr>
      <w:r>
        <w:rPr>
          <w:b/>
        </w:rPr>
        <w:t>Сахарный диабет</w:t>
      </w:r>
      <w:r>
        <w:t xml:space="preserve"> – группа метаболических (обменных) заболеваний, характеризующихся хронической гипергликемией, которая является результатом нарушения секреции инсулина, действи</w:t>
      </w:r>
      <w:r>
        <w:t>я инсулина или обоих этих факторов, и сопровождающаяся повреждением, дисфункцией или недостаточностью различных органов, особенно глаз, почек, нервов, сердца и кровеносных сосудов.</w:t>
      </w:r>
      <w:r>
        <w:rPr>
          <w:b/>
        </w:rPr>
        <w:t xml:space="preserve"> </w:t>
      </w:r>
    </w:p>
    <w:p w:rsidR="00325AD1" w:rsidRDefault="008C5E81">
      <w:pPr>
        <w:spacing w:line="398" w:lineRule="auto"/>
        <w:ind w:left="0" w:right="479" w:firstLine="708"/>
      </w:pPr>
      <w:r>
        <w:rPr>
          <w:b/>
        </w:rPr>
        <w:t>Сахарный диабет I типа</w:t>
      </w:r>
      <w:r>
        <w:t xml:space="preserve"> – нарушение углеводного обмена, вызванное деструкци</w:t>
      </w:r>
      <w:r>
        <w:t>ей β-клеток поджелудочной железы.</w:t>
      </w:r>
      <w:r>
        <w:rPr>
          <w:b/>
        </w:rPr>
        <w:t xml:space="preserve"> </w:t>
      </w:r>
    </w:p>
    <w:p w:rsidR="00325AD1" w:rsidRDefault="008C5E81">
      <w:pPr>
        <w:spacing w:line="360" w:lineRule="auto"/>
        <w:ind w:left="0" w:right="479" w:firstLine="708"/>
      </w:pPr>
      <w:r>
        <w:rPr>
          <w:b/>
        </w:rPr>
        <w:t>Хроническая болезнь почек</w:t>
      </w:r>
      <w:r>
        <w:t xml:space="preserve"> – повреждение почек либо снижение их функции в течение 3 месяцев и более. Заболевание классифицируется на 5 стадий, которые различаются по тактике ведения пациента и риску развития терминальной п</w:t>
      </w:r>
      <w:r>
        <w:t>очечной недостаточности и сердечно-сосудистых осложнений.</w:t>
      </w:r>
      <w:r>
        <w:rPr>
          <w:rFonts w:ascii="Arial" w:eastAsia="Arial" w:hAnsi="Arial" w:cs="Arial"/>
          <w:sz w:val="22"/>
        </w:rPr>
        <w:t xml:space="preserve"> </w:t>
      </w:r>
      <w:r>
        <w:rPr>
          <w:b/>
          <w:sz w:val="28"/>
        </w:rPr>
        <w:t xml:space="preserve"> </w:t>
      </w:r>
    </w:p>
    <w:p w:rsidR="00325AD1" w:rsidRDefault="008C5E81">
      <w:pPr>
        <w:spacing w:after="316" w:line="259" w:lineRule="auto"/>
        <w:ind w:left="708" w:firstLine="0"/>
        <w:jc w:val="left"/>
      </w:pPr>
      <w:r>
        <w:rPr>
          <w:b/>
          <w:sz w:val="28"/>
        </w:rPr>
        <w:t xml:space="preserve"> </w:t>
      </w:r>
    </w:p>
    <w:p w:rsidR="00325AD1" w:rsidRDefault="008C5E81">
      <w:pPr>
        <w:spacing w:after="154" w:line="259" w:lineRule="auto"/>
        <w:ind w:left="0" w:right="483" w:firstLine="0"/>
        <w:jc w:val="right"/>
      </w:pPr>
      <w:r>
        <w:rPr>
          <w:b/>
          <w:sz w:val="28"/>
        </w:rPr>
        <w:t>1.</w:t>
      </w:r>
      <w:r>
        <w:rPr>
          <w:rFonts w:ascii="Arial" w:eastAsia="Arial" w:hAnsi="Arial" w:cs="Arial"/>
          <w:b/>
          <w:sz w:val="28"/>
        </w:rPr>
        <w:t xml:space="preserve"> </w:t>
      </w:r>
      <w:r>
        <w:rPr>
          <w:b/>
          <w:sz w:val="28"/>
        </w:rPr>
        <w:t xml:space="preserve">Краткая информация по заболеванию или состоянию (группе </w:t>
      </w:r>
    </w:p>
    <w:p w:rsidR="00325AD1" w:rsidRDefault="008C5E81">
      <w:pPr>
        <w:pStyle w:val="Heading1"/>
        <w:spacing w:after="210"/>
        <w:ind w:left="730" w:right="475"/>
      </w:pPr>
      <w:r>
        <w:t>заболеваний или состояний)</w:t>
      </w:r>
      <w:r>
        <w:rPr>
          <w:sz w:val="24"/>
        </w:rPr>
        <w:t xml:space="preserve"> </w:t>
      </w:r>
    </w:p>
    <w:p w:rsidR="00325AD1" w:rsidRDefault="008C5E81">
      <w:pPr>
        <w:spacing w:line="369" w:lineRule="auto"/>
        <w:ind w:left="0" w:right="479" w:firstLine="708"/>
      </w:pPr>
      <w:r>
        <w:t xml:space="preserve">В данных рекомендациях представлено описание технологий оказания медицинской помощи, предполагающей проведение обследований с целью выбора тактики ведения больных сахарным диабетом I типа с различными осложнениями, в том числе с хронической болезнью почек </w:t>
      </w:r>
      <w:r>
        <w:t xml:space="preserve">в терминальной стадии, определения показаний для трансплантации поджелудочной железы, очередности для включения больных в лист ожидания, а также стабилизации клинического состояния и оценки возможности восстановления/реабилитации больного после проведения </w:t>
      </w:r>
      <w:r>
        <w:t>операции трансплантации поджелудочной железы.</w:t>
      </w:r>
      <w:r>
        <w:rPr>
          <w:color w:val="0D0D0D"/>
        </w:rPr>
        <w:t xml:space="preserve"> </w:t>
      </w:r>
    </w:p>
    <w:p w:rsidR="00325AD1" w:rsidRDefault="008C5E81">
      <w:pPr>
        <w:spacing w:after="0" w:line="401" w:lineRule="auto"/>
        <w:ind w:left="0" w:firstLine="708"/>
        <w:jc w:val="left"/>
      </w:pPr>
      <w:r>
        <w:rPr>
          <w:b/>
          <w:color w:val="0D0D0D"/>
        </w:rPr>
        <w:t xml:space="preserve">1.1 Определение заболевания или состояния (группы заболеваний или </w:t>
      </w:r>
    </w:p>
    <w:p w:rsidR="00325AD1" w:rsidRDefault="008C5E81">
      <w:pPr>
        <w:pStyle w:val="Heading2"/>
        <w:spacing w:after="0" w:line="401" w:lineRule="auto"/>
        <w:ind w:left="0" w:firstLine="708"/>
      </w:pPr>
      <w:r>
        <w:rPr>
          <w:b/>
          <w:i w:val="0"/>
          <w:color w:val="0D0D0D"/>
          <w:u w:val="none"/>
        </w:rPr>
        <w:t>состояний)</w:t>
      </w:r>
      <w:r>
        <w:rPr>
          <w:b/>
          <w:i w:val="0"/>
          <w:u w:val="none"/>
        </w:rPr>
        <w:t xml:space="preserve"> </w:t>
      </w:r>
    </w:p>
    <w:p w:rsidR="00325AD1" w:rsidRDefault="008C5E81">
      <w:pPr>
        <w:spacing w:after="46" w:line="371" w:lineRule="auto"/>
        <w:ind w:left="0" w:right="479" w:firstLine="708"/>
      </w:pPr>
      <w:r>
        <w:t xml:space="preserve">Трансплантация поджелудочной железы – один из видов заместительной терапии у пациентов, страдающих сахарным диабетом I </w:t>
      </w:r>
      <w:r>
        <w:t xml:space="preserve">типа с осложнениями со стороны органовмишеней, который заключается в выполнении пересадки аллогенной поджелудочной железы или ее части. </w:t>
      </w:r>
      <w:r>
        <w:rPr>
          <w:rFonts w:ascii="Calibri" w:eastAsia="Calibri" w:hAnsi="Calibri" w:cs="Calibri"/>
          <w:b/>
          <w:sz w:val="22"/>
        </w:rPr>
        <w:t xml:space="preserve"> </w:t>
      </w:r>
    </w:p>
    <w:p w:rsidR="00325AD1" w:rsidRDefault="008C5E81">
      <w:pPr>
        <w:spacing w:line="390" w:lineRule="auto"/>
        <w:ind w:left="-15" w:right="477" w:firstLine="710"/>
      </w:pPr>
      <w:r>
        <w:rPr>
          <w:b/>
        </w:rPr>
        <w:t>1.2 Этиология и патогенез заболевания или состояния (группы заболеваний или состояний)</w:t>
      </w:r>
      <w:r>
        <w:t xml:space="preserve"> </w:t>
      </w:r>
    </w:p>
    <w:p w:rsidR="00325AD1" w:rsidRDefault="008C5E81">
      <w:pPr>
        <w:spacing w:line="366" w:lineRule="auto"/>
        <w:ind w:left="0" w:right="479" w:firstLine="708"/>
      </w:pPr>
      <w:r>
        <w:t>На сегодняшний день численност</w:t>
      </w:r>
      <w:r>
        <w:t>ь больных СД в мире достигла более 415 млн человек. Согласно прогнозам Международной диабетической Федерации, к 2040 году СД будет страдать более 640 млн человек. В Российской Федерации, как и во всех странах мира, отмечается ощутимый рост случаев выявлени</w:t>
      </w:r>
      <w:r>
        <w:t>я СД. По данным федерального регистра СД, в РФ на окончание 2016 года состояло на диспансерном учете 4.35 млн человек (3,0% населения), из них: 92% (4 млн) – СД II типа, 6% (255 тыс.) – СД I типа и 2% (75 тыс.) – другие типы СД. Наибольшую опасность предст</w:t>
      </w:r>
      <w:r>
        <w:t>авляют различные осложнения сахарного диабета, особенно его системные сосудистые осложнения – нефропатия, ретинопатия, поражение магистральных сосудов сердца, головного мозга, периферических сосудов нижних конечностей. Именно эти осложнения являются основн</w:t>
      </w:r>
      <w:r>
        <w:t>ой причиной инвалидизации и смертности больных СД. Наличие хронической болезни почек как осложнения сахарного диабета I типа позволяет рассматривать данную категорию пациентов в качестве потенциальных реципиентов почки и поджелудочной железы. Выполнение од</w:t>
      </w:r>
      <w:r>
        <w:t>новременной трансплантации почки и поджелудочной железы ставит перед собой цель улучшить качество жизни пациентов с СД I типа и предотвратить развитие диабетической нефропатии в почечном трансплантате.</w:t>
      </w:r>
      <w:r>
        <w:rPr>
          <w:b/>
        </w:rPr>
        <w:t xml:space="preserve"> </w:t>
      </w:r>
    </w:p>
    <w:p w:rsidR="00325AD1" w:rsidRDefault="008C5E81">
      <w:pPr>
        <w:spacing w:line="390" w:lineRule="auto"/>
        <w:ind w:left="-15" w:right="477" w:firstLine="710"/>
      </w:pPr>
      <w:r>
        <w:rPr>
          <w:b/>
        </w:rPr>
        <w:t>1.3 Эпидемиология заболевания или состояния (группы з</w:t>
      </w:r>
      <w:r>
        <w:rPr>
          <w:b/>
        </w:rPr>
        <w:t>аболеваний или состояний)</w:t>
      </w:r>
      <w:r>
        <w:t xml:space="preserve"> </w:t>
      </w:r>
    </w:p>
    <w:p w:rsidR="00325AD1" w:rsidRDefault="008C5E81">
      <w:pPr>
        <w:spacing w:after="53" w:line="361" w:lineRule="auto"/>
        <w:ind w:left="0" w:right="479" w:firstLine="708"/>
      </w:pPr>
      <w:r>
        <w:t>К октябрю 1990 года в мире была зарегистрирована уже 1021 пересадка ПЖ в различных модификациях. По данным International Pancreas Transplant Registry, к 1998 году в мире насчитывалось уже более 12000 случаев ТПЖ. К 2016 году, по данным глобальной обсервато</w:t>
      </w:r>
      <w:r>
        <w:t>рии по донорству и трансплантации ВОЗ, выполняется не менее 2342 трансплантаций поджелудочной железы в год, также отмечается неуклонный рост данного вида помощи на 1,9% ежегодно. Подавляющее большинство трансплантаций поджелудочной железы выполнены от посм</w:t>
      </w:r>
      <w:r>
        <w:t>ертных доноров (панкреатодуоденальный комплекс) в сочетании с трансплантацией почки, хотя зарегистрированы и пересадки фрагмента ПЖ от живых родственных доноров. Последний вид трансплантации представляет интерес в свете проблемы дефицита органов от посмерт</w:t>
      </w:r>
      <w:r>
        <w:t xml:space="preserve">ных доноров, однако выбор потенциальных доноров для гемипанкреатэктомии предполагает чрезвычайно тщательное обследование для исключения риска метаболических изменений, связанных с нарушением эндокринной функции после операции. </w:t>
      </w:r>
      <w:r>
        <w:rPr>
          <w:b/>
        </w:rPr>
        <w:t xml:space="preserve"> </w:t>
      </w:r>
    </w:p>
    <w:p w:rsidR="00325AD1" w:rsidRDefault="008C5E81">
      <w:pPr>
        <w:spacing w:line="390" w:lineRule="auto"/>
        <w:ind w:left="-15" w:right="477" w:firstLine="710"/>
      </w:pPr>
      <w:r>
        <w:rPr>
          <w:b/>
        </w:rPr>
        <w:t>1.4 Особенности кодирования</w:t>
      </w:r>
      <w:r>
        <w:rPr>
          <w:b/>
        </w:rPr>
        <w:t xml:space="preserve">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r>
        <w:t xml:space="preserve"> </w:t>
      </w:r>
    </w:p>
    <w:p w:rsidR="00325AD1" w:rsidRDefault="008C5E81">
      <w:pPr>
        <w:spacing w:after="171"/>
        <w:ind w:left="718" w:right="479"/>
      </w:pPr>
      <w:r>
        <w:t xml:space="preserve">Z94.8 – наличие других трансплантированных органов и тканей.  </w:t>
      </w:r>
    </w:p>
    <w:p w:rsidR="00325AD1" w:rsidRDefault="008C5E81">
      <w:pPr>
        <w:spacing w:after="127"/>
        <w:ind w:left="718" w:right="479"/>
      </w:pPr>
      <w:r>
        <w:t>Т86.8 – отмирание и отторжение других пер</w:t>
      </w:r>
      <w:r>
        <w:t xml:space="preserve">есаженных органов и тканей. </w:t>
      </w:r>
    </w:p>
    <w:p w:rsidR="00325AD1" w:rsidRDefault="008C5E81">
      <w:pPr>
        <w:spacing w:line="259" w:lineRule="auto"/>
        <w:ind w:left="-15" w:right="477" w:firstLine="710"/>
      </w:pPr>
      <w:r>
        <w:rPr>
          <w:b/>
        </w:rPr>
        <w:t xml:space="preserve">1.5 Классификация заболевания или состояния (группы заболеваний или состояний) </w:t>
      </w:r>
    </w:p>
    <w:tbl>
      <w:tblPr>
        <w:tblStyle w:val="TableGrid"/>
        <w:tblW w:w="9530" w:type="dxa"/>
        <w:tblInd w:w="5" w:type="dxa"/>
        <w:tblCellMar>
          <w:top w:w="57" w:type="dxa"/>
          <w:left w:w="0" w:type="dxa"/>
          <w:bottom w:w="0" w:type="dxa"/>
          <w:right w:w="0" w:type="dxa"/>
        </w:tblCellMar>
        <w:tblLook w:val="04A0" w:firstRow="1" w:lastRow="0" w:firstColumn="1" w:lastColumn="0" w:noHBand="0" w:noVBand="1"/>
      </w:tblPr>
      <w:tblGrid>
        <w:gridCol w:w="2268"/>
        <w:gridCol w:w="675"/>
        <w:gridCol w:w="2397"/>
        <w:gridCol w:w="865"/>
        <w:gridCol w:w="3325"/>
      </w:tblGrid>
      <w:tr w:rsidR="00325AD1">
        <w:trPr>
          <w:trHeight w:val="1202"/>
        </w:trPr>
        <w:tc>
          <w:tcPr>
            <w:tcW w:w="2943" w:type="dxa"/>
            <w:gridSpan w:val="2"/>
            <w:tcBorders>
              <w:top w:val="single" w:sz="4" w:space="0" w:color="000000"/>
              <w:left w:val="single" w:sz="4" w:space="0" w:color="000000"/>
              <w:bottom w:val="single" w:sz="4" w:space="0" w:color="000000"/>
              <w:right w:val="single" w:sz="4" w:space="0" w:color="000000"/>
            </w:tcBorders>
          </w:tcPr>
          <w:p w:rsidR="00325AD1" w:rsidRDefault="008C5E81">
            <w:pPr>
              <w:spacing w:after="43" w:line="238" w:lineRule="auto"/>
              <w:ind w:left="108" w:right="108" w:firstLine="0"/>
            </w:pPr>
            <w:r>
              <w:rPr>
                <w:i/>
              </w:rPr>
              <w:t xml:space="preserve">Классификация в зависимости от источника донорского </w:t>
            </w:r>
          </w:p>
          <w:p w:rsidR="00325AD1" w:rsidRDefault="008C5E81">
            <w:pPr>
              <w:spacing w:after="0" w:line="259" w:lineRule="auto"/>
              <w:ind w:left="108" w:firstLine="0"/>
              <w:jc w:val="left"/>
            </w:pPr>
            <w:r>
              <w:rPr>
                <w:i/>
              </w:rPr>
              <w:t xml:space="preserve">органа </w:t>
            </w:r>
          </w:p>
        </w:tc>
        <w:tc>
          <w:tcPr>
            <w:tcW w:w="3262" w:type="dxa"/>
            <w:gridSpan w:val="2"/>
            <w:tcBorders>
              <w:top w:val="single" w:sz="4" w:space="0" w:color="000000"/>
              <w:left w:val="single" w:sz="4" w:space="0" w:color="000000"/>
              <w:bottom w:val="single" w:sz="4" w:space="0" w:color="000000"/>
              <w:right w:val="single" w:sz="4" w:space="0" w:color="000000"/>
            </w:tcBorders>
          </w:tcPr>
          <w:p w:rsidR="00325AD1" w:rsidRDefault="008C5E81">
            <w:pPr>
              <w:spacing w:after="6" w:line="278" w:lineRule="auto"/>
              <w:ind w:left="108" w:firstLine="0"/>
              <w:jc w:val="left"/>
            </w:pPr>
            <w:r>
              <w:t xml:space="preserve">Трансплантация поджелудочной </w:t>
            </w:r>
            <w:r>
              <w:tab/>
              <w:t xml:space="preserve">железы  </w:t>
            </w:r>
          </w:p>
          <w:p w:rsidR="00325AD1" w:rsidRDefault="008C5E81">
            <w:pPr>
              <w:spacing w:after="0" w:line="259" w:lineRule="auto"/>
              <w:ind w:left="108" w:firstLine="0"/>
              <w:jc w:val="left"/>
            </w:pPr>
            <w:r>
              <w:t xml:space="preserve">от посмертного донора </w:t>
            </w:r>
          </w:p>
        </w:tc>
        <w:tc>
          <w:tcPr>
            <w:tcW w:w="3325"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106" w:firstLine="0"/>
              <w:jc w:val="left"/>
            </w:pPr>
            <w:r>
              <w:t xml:space="preserve">Трансплантация </w:t>
            </w:r>
          </w:p>
          <w:p w:rsidR="00325AD1" w:rsidRDefault="008C5E81">
            <w:pPr>
              <w:spacing w:after="0" w:line="259" w:lineRule="auto"/>
              <w:ind w:left="106" w:firstLine="0"/>
            </w:pPr>
            <w:r>
              <w:t xml:space="preserve">поджелудочной железы от живого родственного донора </w:t>
            </w:r>
          </w:p>
        </w:tc>
      </w:tr>
      <w:tr w:rsidR="00325AD1">
        <w:trPr>
          <w:trHeight w:val="1275"/>
        </w:trPr>
        <w:tc>
          <w:tcPr>
            <w:tcW w:w="2268" w:type="dxa"/>
            <w:tcBorders>
              <w:top w:val="single" w:sz="4" w:space="0" w:color="000000"/>
              <w:left w:val="single" w:sz="4" w:space="0" w:color="000000"/>
              <w:bottom w:val="single" w:sz="4" w:space="0" w:color="000000"/>
              <w:right w:val="nil"/>
            </w:tcBorders>
          </w:tcPr>
          <w:p w:rsidR="00325AD1" w:rsidRDefault="008C5E81">
            <w:pPr>
              <w:spacing w:after="0" w:line="259" w:lineRule="auto"/>
              <w:ind w:left="108" w:firstLine="0"/>
              <w:jc w:val="left"/>
            </w:pPr>
            <w:r>
              <w:rPr>
                <w:i/>
              </w:rPr>
              <w:t xml:space="preserve">Классификация зависимости </w:t>
            </w:r>
            <w:r>
              <w:rPr>
                <w:i/>
              </w:rPr>
              <w:tab/>
              <w:t xml:space="preserve">от предыдущих трансплантаций </w:t>
            </w:r>
          </w:p>
        </w:tc>
        <w:tc>
          <w:tcPr>
            <w:tcW w:w="675" w:type="dxa"/>
            <w:tcBorders>
              <w:top w:val="single" w:sz="4" w:space="0" w:color="000000"/>
              <w:left w:val="nil"/>
              <w:bottom w:val="single" w:sz="4" w:space="0" w:color="000000"/>
              <w:right w:val="single" w:sz="4" w:space="0" w:color="000000"/>
            </w:tcBorders>
          </w:tcPr>
          <w:p w:rsidR="00325AD1" w:rsidRDefault="008C5E81">
            <w:pPr>
              <w:spacing w:after="0" w:line="259" w:lineRule="auto"/>
              <w:ind w:left="0" w:firstLine="463"/>
              <w:jc w:val="left"/>
            </w:pPr>
            <w:r>
              <w:rPr>
                <w:i/>
              </w:rPr>
              <w:t xml:space="preserve">в числа </w:t>
            </w:r>
          </w:p>
        </w:tc>
        <w:tc>
          <w:tcPr>
            <w:tcW w:w="2397" w:type="dxa"/>
            <w:tcBorders>
              <w:top w:val="single" w:sz="4" w:space="0" w:color="000000"/>
              <w:left w:val="single" w:sz="4" w:space="0" w:color="000000"/>
              <w:bottom w:val="single" w:sz="4" w:space="0" w:color="000000"/>
              <w:right w:val="nil"/>
            </w:tcBorders>
          </w:tcPr>
          <w:p w:rsidR="00325AD1" w:rsidRDefault="008C5E81">
            <w:pPr>
              <w:spacing w:after="0" w:line="259" w:lineRule="auto"/>
              <w:ind w:left="108" w:firstLine="0"/>
              <w:jc w:val="left"/>
            </w:pPr>
            <w:r>
              <w:t xml:space="preserve">Трансплантация поджелудочной первичная </w:t>
            </w:r>
          </w:p>
        </w:tc>
        <w:tc>
          <w:tcPr>
            <w:tcW w:w="865" w:type="dxa"/>
            <w:tcBorders>
              <w:top w:val="single" w:sz="4" w:space="0" w:color="000000"/>
              <w:left w:val="nil"/>
              <w:bottom w:val="single" w:sz="4" w:space="0" w:color="000000"/>
              <w:right w:val="single" w:sz="4" w:space="0" w:color="000000"/>
            </w:tcBorders>
          </w:tcPr>
          <w:p w:rsidR="00325AD1" w:rsidRDefault="008C5E81">
            <w:pPr>
              <w:spacing w:after="0" w:line="259" w:lineRule="auto"/>
              <w:ind w:left="0" w:firstLine="0"/>
            </w:pPr>
            <w:r>
              <w:t xml:space="preserve">железы </w:t>
            </w:r>
          </w:p>
        </w:tc>
        <w:tc>
          <w:tcPr>
            <w:tcW w:w="3325" w:type="dxa"/>
            <w:tcBorders>
              <w:top w:val="single" w:sz="4" w:space="0" w:color="000000"/>
              <w:left w:val="single" w:sz="4" w:space="0" w:color="000000"/>
              <w:bottom w:val="single" w:sz="4" w:space="0" w:color="000000"/>
              <w:right w:val="single" w:sz="4" w:space="0" w:color="000000"/>
            </w:tcBorders>
          </w:tcPr>
          <w:p w:rsidR="00325AD1" w:rsidRDefault="008C5E81">
            <w:pPr>
              <w:spacing w:line="259" w:lineRule="auto"/>
              <w:ind w:left="106" w:firstLine="0"/>
              <w:jc w:val="left"/>
            </w:pPr>
            <w:r>
              <w:t xml:space="preserve">Трансплантация </w:t>
            </w:r>
          </w:p>
          <w:p w:rsidR="00325AD1" w:rsidRDefault="008C5E81">
            <w:pPr>
              <w:tabs>
                <w:tab w:val="right" w:pos="3325"/>
              </w:tabs>
              <w:spacing w:after="27" w:line="259" w:lineRule="auto"/>
              <w:ind w:left="0" w:firstLine="0"/>
              <w:jc w:val="left"/>
            </w:pPr>
            <w:r>
              <w:t xml:space="preserve">поджелудочной </w:t>
            </w:r>
            <w:r>
              <w:tab/>
              <w:t xml:space="preserve">железы </w:t>
            </w:r>
          </w:p>
          <w:p w:rsidR="00325AD1" w:rsidRDefault="008C5E81">
            <w:pPr>
              <w:spacing w:after="0" w:line="259" w:lineRule="auto"/>
              <w:ind w:left="106" w:firstLine="0"/>
              <w:jc w:val="left"/>
            </w:pPr>
            <w:r>
              <w:t xml:space="preserve">повторная </w:t>
            </w:r>
          </w:p>
        </w:tc>
      </w:tr>
      <w:tr w:rsidR="00325AD1">
        <w:trPr>
          <w:trHeight w:val="1418"/>
        </w:trPr>
        <w:tc>
          <w:tcPr>
            <w:tcW w:w="2943" w:type="dxa"/>
            <w:gridSpan w:val="2"/>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108" w:right="108" w:firstLine="0"/>
            </w:pPr>
            <w:r>
              <w:rPr>
                <w:i/>
              </w:rPr>
              <w:t xml:space="preserve">Классификация в зависимости от числа трансплантируемых одномоментно органов </w:t>
            </w:r>
          </w:p>
        </w:tc>
        <w:tc>
          <w:tcPr>
            <w:tcW w:w="2397" w:type="dxa"/>
            <w:tcBorders>
              <w:top w:val="single" w:sz="4" w:space="0" w:color="000000"/>
              <w:left w:val="single" w:sz="4" w:space="0" w:color="000000"/>
              <w:bottom w:val="single" w:sz="4" w:space="0" w:color="000000"/>
              <w:right w:val="nil"/>
            </w:tcBorders>
          </w:tcPr>
          <w:p w:rsidR="00325AD1" w:rsidRDefault="008C5E81">
            <w:pPr>
              <w:spacing w:after="0" w:line="259" w:lineRule="auto"/>
              <w:ind w:left="108" w:firstLine="0"/>
              <w:jc w:val="left"/>
            </w:pPr>
            <w:r>
              <w:t xml:space="preserve">Трансплантация поджелудочной изолированная </w:t>
            </w:r>
          </w:p>
        </w:tc>
        <w:tc>
          <w:tcPr>
            <w:tcW w:w="865" w:type="dxa"/>
            <w:tcBorders>
              <w:top w:val="single" w:sz="4" w:space="0" w:color="000000"/>
              <w:left w:val="nil"/>
              <w:bottom w:val="single" w:sz="4" w:space="0" w:color="000000"/>
              <w:right w:val="single" w:sz="4" w:space="0" w:color="000000"/>
            </w:tcBorders>
          </w:tcPr>
          <w:p w:rsidR="00325AD1" w:rsidRDefault="008C5E81">
            <w:pPr>
              <w:spacing w:after="0" w:line="259" w:lineRule="auto"/>
              <w:ind w:left="0" w:firstLine="0"/>
            </w:pPr>
            <w:r>
              <w:t xml:space="preserve">железы </w:t>
            </w:r>
          </w:p>
        </w:tc>
        <w:tc>
          <w:tcPr>
            <w:tcW w:w="3325"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106" w:firstLine="0"/>
              <w:jc w:val="left"/>
            </w:pPr>
            <w:r>
              <w:t xml:space="preserve">Трансплантация </w:t>
            </w:r>
          </w:p>
          <w:p w:rsidR="00325AD1" w:rsidRDefault="008C5E81">
            <w:pPr>
              <w:spacing w:after="46" w:line="238" w:lineRule="auto"/>
              <w:ind w:left="106" w:firstLine="0"/>
            </w:pPr>
            <w:r>
              <w:t xml:space="preserve">поджелудочной железы сочетанная (с другими </w:t>
            </w:r>
          </w:p>
          <w:p w:rsidR="00325AD1" w:rsidRDefault="008C5E81">
            <w:pPr>
              <w:spacing w:after="0" w:line="259" w:lineRule="auto"/>
              <w:ind w:left="106" w:firstLine="0"/>
              <w:jc w:val="left"/>
            </w:pPr>
            <w:r>
              <w:t xml:space="preserve">органами: почка/печень) </w:t>
            </w:r>
          </w:p>
        </w:tc>
      </w:tr>
      <w:tr w:rsidR="00325AD1">
        <w:trPr>
          <w:trHeight w:val="1116"/>
        </w:trPr>
        <w:tc>
          <w:tcPr>
            <w:tcW w:w="2943" w:type="dxa"/>
            <w:gridSpan w:val="2"/>
            <w:tcBorders>
              <w:top w:val="single" w:sz="4" w:space="0" w:color="000000"/>
              <w:left w:val="single" w:sz="4" w:space="0" w:color="000000"/>
              <w:bottom w:val="single" w:sz="4" w:space="0" w:color="000000"/>
              <w:right w:val="single" w:sz="4" w:space="0" w:color="000000"/>
            </w:tcBorders>
          </w:tcPr>
          <w:p w:rsidR="00325AD1" w:rsidRDefault="008C5E81">
            <w:pPr>
              <w:spacing w:after="46" w:line="238" w:lineRule="auto"/>
              <w:ind w:left="2" w:firstLine="0"/>
            </w:pPr>
            <w:r>
              <w:rPr>
                <w:i/>
              </w:rPr>
              <w:t xml:space="preserve">Классификация в зависимости от </w:t>
            </w:r>
          </w:p>
          <w:p w:rsidR="00325AD1" w:rsidRDefault="008C5E81">
            <w:pPr>
              <w:spacing w:after="0" w:line="259" w:lineRule="auto"/>
              <w:ind w:left="2" w:firstLine="0"/>
              <w:jc w:val="left"/>
            </w:pPr>
            <w:r>
              <w:rPr>
                <w:i/>
              </w:rPr>
              <w:t xml:space="preserve">целостности органа </w:t>
            </w:r>
          </w:p>
        </w:tc>
        <w:tc>
          <w:tcPr>
            <w:tcW w:w="3262" w:type="dxa"/>
            <w:gridSpan w:val="2"/>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2" w:firstLine="0"/>
              <w:jc w:val="left"/>
            </w:pPr>
            <w:r>
              <w:t xml:space="preserve">Трансплантация </w:t>
            </w:r>
            <w:r>
              <w:tab/>
              <w:t xml:space="preserve">целой поджелудочной железы (или панкреатодуоденального комплекса)  </w:t>
            </w:r>
          </w:p>
        </w:tc>
        <w:tc>
          <w:tcPr>
            <w:tcW w:w="3325" w:type="dxa"/>
            <w:tcBorders>
              <w:top w:val="single" w:sz="4" w:space="0" w:color="000000"/>
              <w:left w:val="single" w:sz="4" w:space="0" w:color="000000"/>
              <w:bottom w:val="single" w:sz="4" w:space="0" w:color="000000"/>
              <w:right w:val="single" w:sz="4" w:space="0" w:color="000000"/>
            </w:tcBorders>
          </w:tcPr>
          <w:p w:rsidR="00325AD1" w:rsidRDefault="008C5E81">
            <w:pPr>
              <w:spacing w:after="46" w:line="238" w:lineRule="auto"/>
              <w:ind w:left="0" w:firstLine="0"/>
            </w:pPr>
            <w:r>
              <w:t xml:space="preserve">Трансплантация фрагмента поджелудочной железы </w:t>
            </w:r>
          </w:p>
          <w:p w:rsidR="00325AD1" w:rsidRDefault="008C5E81">
            <w:pPr>
              <w:spacing w:after="0" w:line="259" w:lineRule="auto"/>
              <w:ind w:left="0" w:firstLine="0"/>
              <w:jc w:val="left"/>
            </w:pPr>
            <w:r>
              <w:t xml:space="preserve">(дистального) </w:t>
            </w:r>
          </w:p>
        </w:tc>
      </w:tr>
      <w:tr w:rsidR="00325AD1">
        <w:trPr>
          <w:trHeight w:val="1202"/>
        </w:trPr>
        <w:tc>
          <w:tcPr>
            <w:tcW w:w="2943" w:type="dxa"/>
            <w:gridSpan w:val="2"/>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2" w:right="60" w:firstLine="0"/>
            </w:pPr>
            <w:r>
              <w:rPr>
                <w:i/>
              </w:rPr>
              <w:t xml:space="preserve">Классификация в зависимости от предшествующей трансплантации почки </w:t>
            </w:r>
          </w:p>
        </w:tc>
        <w:tc>
          <w:tcPr>
            <w:tcW w:w="3262" w:type="dxa"/>
            <w:gridSpan w:val="2"/>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2" w:firstLine="0"/>
              <w:jc w:val="left"/>
            </w:pPr>
            <w:r>
              <w:t xml:space="preserve">Одномоментная </w:t>
            </w:r>
          </w:p>
          <w:p w:rsidR="00325AD1" w:rsidRDefault="008C5E81">
            <w:pPr>
              <w:spacing w:after="21" w:line="264" w:lineRule="auto"/>
              <w:ind w:left="2" w:firstLine="0"/>
              <w:jc w:val="left"/>
            </w:pPr>
            <w:r>
              <w:t xml:space="preserve">трансплантация поджелудочной </w:t>
            </w:r>
            <w:r>
              <w:tab/>
              <w:t xml:space="preserve">железы </w:t>
            </w:r>
            <w:r>
              <w:tab/>
              <w:t xml:space="preserve">и </w:t>
            </w:r>
          </w:p>
          <w:p w:rsidR="00325AD1" w:rsidRDefault="008C5E81">
            <w:pPr>
              <w:spacing w:after="0" w:line="259" w:lineRule="auto"/>
              <w:ind w:left="2" w:firstLine="0"/>
              <w:jc w:val="left"/>
            </w:pPr>
            <w:r>
              <w:t xml:space="preserve">почки  </w:t>
            </w:r>
          </w:p>
        </w:tc>
        <w:tc>
          <w:tcPr>
            <w:tcW w:w="3325"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firstLine="0"/>
              <w:jc w:val="left"/>
            </w:pPr>
            <w:r>
              <w:t xml:space="preserve">Трансплантация </w:t>
            </w:r>
          </w:p>
          <w:p w:rsidR="00325AD1" w:rsidRDefault="008C5E81">
            <w:pPr>
              <w:spacing w:after="0" w:line="259" w:lineRule="auto"/>
              <w:ind w:left="0" w:firstLine="0"/>
            </w:pPr>
            <w:r>
              <w:t xml:space="preserve">поджелудочной железы после трансплантации почки </w:t>
            </w:r>
          </w:p>
        </w:tc>
      </w:tr>
    </w:tbl>
    <w:p w:rsidR="00325AD1" w:rsidRDefault="008C5E81">
      <w:pPr>
        <w:spacing w:after="170" w:line="259" w:lineRule="auto"/>
        <w:ind w:left="708" w:firstLine="0"/>
        <w:jc w:val="left"/>
      </w:pPr>
      <w:r>
        <w:t xml:space="preserve"> </w:t>
      </w:r>
    </w:p>
    <w:p w:rsidR="00325AD1" w:rsidRDefault="008C5E81">
      <w:pPr>
        <w:spacing w:line="390" w:lineRule="auto"/>
        <w:ind w:left="-15" w:right="477" w:firstLine="710"/>
      </w:pPr>
      <w:r>
        <w:rPr>
          <w:b/>
        </w:rPr>
        <w:t>1.6 Клиническая картина заболевания или состояния (группы заболеваний или состояний)</w:t>
      </w:r>
      <w:r>
        <w:rPr>
          <w:rFonts w:ascii="Arial" w:eastAsia="Arial" w:hAnsi="Arial" w:cs="Arial"/>
          <w:sz w:val="22"/>
        </w:rPr>
        <w:t xml:space="preserve"> </w:t>
      </w:r>
    </w:p>
    <w:p w:rsidR="00325AD1" w:rsidRDefault="008C5E81">
      <w:pPr>
        <w:numPr>
          <w:ilvl w:val="0"/>
          <w:numId w:val="2"/>
        </w:numPr>
        <w:spacing w:after="28" w:line="392" w:lineRule="auto"/>
        <w:ind w:right="479" w:hanging="360"/>
      </w:pPr>
      <w:r>
        <w:t xml:space="preserve">Как кандидаты на трансплантацию поджелудочной железы и почки рассматриваются пациенты, страдающие сахарным диабетом I типа и хронической болезнью почек 5 стадии [1-6, 199]. </w:t>
      </w:r>
      <w:r>
        <w:rPr>
          <w:rFonts w:ascii="Arial" w:eastAsia="Arial" w:hAnsi="Arial" w:cs="Arial"/>
          <w:b/>
          <w:sz w:val="22"/>
        </w:rPr>
        <w:t xml:space="preserve"> </w:t>
      </w:r>
    </w:p>
    <w:p w:rsidR="00325AD1" w:rsidRDefault="008C5E81">
      <w:pPr>
        <w:numPr>
          <w:ilvl w:val="0"/>
          <w:numId w:val="2"/>
        </w:numPr>
        <w:spacing w:after="27" w:line="393" w:lineRule="auto"/>
        <w:ind w:right="479" w:hanging="360"/>
      </w:pPr>
      <w:r>
        <w:t>Пациенты, страдающие сахарным диабетом I типа с наличием функционирующего почечно</w:t>
      </w:r>
      <w:r>
        <w:t xml:space="preserve">го трансплантата – кандидаты на трансплантацию поджелудочной железы после трансплантации почки [1-6, 199-207]. </w:t>
      </w:r>
    </w:p>
    <w:p w:rsidR="00325AD1" w:rsidRDefault="008C5E81">
      <w:pPr>
        <w:numPr>
          <w:ilvl w:val="0"/>
          <w:numId w:val="2"/>
        </w:numPr>
        <w:spacing w:line="374" w:lineRule="auto"/>
        <w:ind w:right="479" w:hanging="360"/>
      </w:pPr>
      <w:r>
        <w:t xml:space="preserve">Пациенты с тяжелой плохо контролируемой гипергликемией – как кандидата на изолированною трансплантацию поджелудочной железы, если пациент имеет </w:t>
      </w:r>
      <w:r>
        <w:t xml:space="preserve">сохранную функцию почек (СКФ &gt; 40 мл/мин/1,73 м2) [1-6]. </w:t>
      </w:r>
    </w:p>
    <w:p w:rsidR="00325AD1" w:rsidRDefault="008C5E81">
      <w:pPr>
        <w:spacing w:line="365" w:lineRule="auto"/>
        <w:ind w:left="0" w:right="479" w:firstLine="708"/>
      </w:pPr>
      <w:r>
        <w:t>Противопоказания к трансплантации ПЖ сходны с противопоказаниями к трансплантации других органов. Выделяют абсолютные и относительные противопоказания. К первым относятся все те предсуществующие пат</w:t>
      </w:r>
      <w:r>
        <w:t xml:space="preserve">ологические состояния и социальные обстоятельства, при которых выполнение оперативного вмешательства может повлечь за собой непосредственную угрозу жизни пациента или ухудшение ее прогноза. </w:t>
      </w:r>
    </w:p>
    <w:p w:rsidR="00325AD1" w:rsidRDefault="008C5E81">
      <w:pPr>
        <w:spacing w:after="151" w:line="365" w:lineRule="auto"/>
        <w:ind w:left="0" w:right="479" w:firstLine="708"/>
      </w:pPr>
      <w:r>
        <w:t>Трансплантация поджелудочной железы не показана при обструктивных</w:t>
      </w:r>
      <w:r>
        <w:t xml:space="preserve"> заболеваниях легких в необратимой стадии, декомпенсированной дыхательной недостаточностью, тяжелой сердечно-сосудистой недостаточности, не поддающейся лечению, прогрессирующих дегенеративных заболеваниях ЦНС, не поддающихся лечению системных и локальных и</w:t>
      </w:r>
      <w:r>
        <w:t xml:space="preserve">нфекциях (СПИД, репликация вирусов гепатита, активный туберкулез и др.), септических состояниях; злокачественных новообразованиях, наркотической и/или алкогольной зависимости. </w:t>
      </w:r>
      <w:r>
        <w:rPr>
          <w:b/>
          <w:sz w:val="28"/>
        </w:rPr>
        <w:t xml:space="preserve"> </w:t>
      </w:r>
    </w:p>
    <w:p w:rsidR="00325AD1" w:rsidRDefault="008C5E81">
      <w:pPr>
        <w:pStyle w:val="Heading1"/>
        <w:spacing w:line="364" w:lineRule="auto"/>
        <w:ind w:left="-15" w:right="475" w:firstLine="708"/>
      </w:pPr>
      <w:r>
        <w:rPr>
          <w:b w:val="0"/>
          <w:i/>
        </w:rPr>
        <w:t>2.</w:t>
      </w:r>
      <w:r>
        <w:rPr>
          <w:rFonts w:ascii="Arial" w:eastAsia="Arial" w:hAnsi="Arial" w:cs="Arial"/>
          <w:b w:val="0"/>
          <w:i/>
        </w:rPr>
        <w:t xml:space="preserve"> </w:t>
      </w:r>
      <w:r>
        <w:t>Диагностика заболевания или состояния (группы заболеваний или состояний), м</w:t>
      </w:r>
      <w:r>
        <w:t>едицинские показания и противопоказания к применению методов диагностики</w:t>
      </w:r>
      <w:r>
        <w:rPr>
          <w:b w:val="0"/>
          <w:i/>
          <w:sz w:val="24"/>
        </w:rPr>
        <w:t xml:space="preserve"> </w:t>
      </w:r>
    </w:p>
    <w:p w:rsidR="00325AD1" w:rsidRDefault="008C5E81">
      <w:pPr>
        <w:spacing w:after="164" w:line="368" w:lineRule="auto"/>
        <w:ind w:left="-15" w:right="476" w:firstLine="710"/>
      </w:pPr>
      <w:r>
        <w:rPr>
          <w:i/>
        </w:rPr>
        <w:t>Критерии установления диагноза/состояния: на основании патогномоничных для сахарного диабета и хронической болезни почек анамнестических данных, физикального обследования пациента, л</w:t>
      </w:r>
      <w:r>
        <w:rPr>
          <w:i/>
        </w:rPr>
        <w:t>абораторных и инструментальных исследований, подтверждающих наличие сахарного диабета, хронической болезни почек, дисфункции трансплантированного органа.</w:t>
      </w:r>
      <w:r>
        <w:t xml:space="preserve"> </w:t>
      </w:r>
    </w:p>
    <w:p w:rsidR="00325AD1" w:rsidRDefault="008C5E81">
      <w:pPr>
        <w:spacing w:after="177" w:line="259" w:lineRule="auto"/>
        <w:ind w:left="708" w:right="477" w:firstLine="0"/>
      </w:pPr>
      <w:r>
        <w:rPr>
          <w:b/>
        </w:rPr>
        <w:t xml:space="preserve">2.1 Жалобы и анамнез </w:t>
      </w:r>
      <w:r>
        <w:rPr>
          <w:b/>
          <w:color w:val="5B9BD5"/>
        </w:rPr>
        <w:t xml:space="preserve"> </w:t>
      </w:r>
    </w:p>
    <w:p w:rsidR="00325AD1" w:rsidRDefault="008C5E81">
      <w:pPr>
        <w:numPr>
          <w:ilvl w:val="0"/>
          <w:numId w:val="3"/>
        </w:numPr>
        <w:spacing w:line="374" w:lineRule="auto"/>
        <w:ind w:right="479" w:firstLine="708"/>
      </w:pPr>
      <w:r>
        <w:t xml:space="preserve">Рекомендуется тщательный сбор жалоб и анамнеза у всех потенциальных кандидатов на трансплантацию поджелудочной железы с целью выявления факторов, которые могут повлиять на выбор тактики лечения [7, 8, 237, 239]. </w:t>
      </w:r>
      <w:r>
        <w:rPr>
          <w:i/>
        </w:rPr>
        <w:t xml:space="preserve"> </w:t>
      </w:r>
      <w:r>
        <w:rPr>
          <w:b/>
        </w:rPr>
        <w:t xml:space="preserve"> </w:t>
      </w:r>
    </w:p>
    <w:p w:rsidR="00325AD1" w:rsidRDefault="008C5E81">
      <w:pPr>
        <w:spacing w:line="390" w:lineRule="auto"/>
        <w:ind w:left="-15" w:right="477" w:firstLine="710"/>
      </w:pPr>
      <w:r>
        <w:rPr>
          <w:b/>
        </w:rPr>
        <w:t>Уровень убедительности рекомендаций С (ур</w:t>
      </w:r>
      <w:r>
        <w:rPr>
          <w:b/>
        </w:rPr>
        <w:t>овень достоверности доказательств – 5).</w:t>
      </w:r>
      <w:r>
        <w:rPr>
          <w:i/>
        </w:rPr>
        <w:t xml:space="preserve"> </w:t>
      </w:r>
    </w:p>
    <w:p w:rsidR="00325AD1" w:rsidRDefault="008C5E81">
      <w:pPr>
        <w:spacing w:after="53" w:line="368" w:lineRule="auto"/>
        <w:ind w:left="-15" w:right="476" w:firstLine="710"/>
      </w:pPr>
      <w:r>
        <w:rPr>
          <w:i/>
        </w:rPr>
        <w:t>Комментарии: Прием (осмотр, консультация) врача-терапевта с изложением полного медицинского анамнеза, объективного статуса, принимаемых препаратов позволяет выявить любое состояние, которое может повлиять на безопас</w:t>
      </w:r>
      <w:r>
        <w:rPr>
          <w:i/>
        </w:rPr>
        <w:t>ность реципиента во время операции или в долгосрочной перспективе, а также скрытой или текущей инфекции у реципиента, которая может усугубиться после трансплантации.</w:t>
      </w:r>
      <w:r>
        <w:t xml:space="preserve"> </w:t>
      </w:r>
    </w:p>
    <w:p w:rsidR="00325AD1" w:rsidRDefault="008C5E81">
      <w:pPr>
        <w:numPr>
          <w:ilvl w:val="0"/>
          <w:numId w:val="3"/>
        </w:numPr>
        <w:spacing w:line="371" w:lineRule="auto"/>
        <w:ind w:right="479" w:firstLine="708"/>
      </w:pPr>
      <w:r>
        <w:t>Рекомендуется потенциальных кандидатов на сочетанную пересадку поджелудочной железы и поч</w:t>
      </w:r>
      <w:r>
        <w:t>ки направлять для их обследования до ожидаемого начала диализа с целью возможной додиализной сочетанной трансплантации [208, 210, 211, 237, 239].</w:t>
      </w:r>
      <w:r>
        <w:rPr>
          <w:b/>
        </w:rPr>
        <w:t xml:space="preserve">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4). </w:t>
      </w:r>
    </w:p>
    <w:p w:rsidR="00325AD1" w:rsidRDefault="008C5E81">
      <w:pPr>
        <w:spacing w:after="298" w:line="368" w:lineRule="auto"/>
        <w:ind w:left="-15" w:right="476" w:firstLine="710"/>
      </w:pPr>
      <w:r>
        <w:rPr>
          <w:i/>
        </w:rPr>
        <w:t>Комментарии: Превентивная трансплантация связана со значительно более высокой выживаемостью реципиентов по сравнению с группой без превентивной трансплантации [208,210,211]. Диализ при симультанной трансплантации поджелудочной железы и почки ухудшал выжива</w:t>
      </w:r>
      <w:r>
        <w:rPr>
          <w:i/>
        </w:rPr>
        <w:t xml:space="preserve">емость пациентов (ОР 1,66), особенно если продолжительность диализа составляла 12 месяцев или более [208]. </w:t>
      </w:r>
    </w:p>
    <w:p w:rsidR="00325AD1" w:rsidRDefault="008C5E81">
      <w:pPr>
        <w:numPr>
          <w:ilvl w:val="0"/>
          <w:numId w:val="3"/>
        </w:numPr>
        <w:spacing w:line="383" w:lineRule="auto"/>
        <w:ind w:right="479" w:firstLine="708"/>
      </w:pPr>
      <w:r>
        <w:t>Всем кандидатам на ТПЖ рекомендуется отказ от курения до и после выполнения трансплантации для снижения риска тромбоза трансплантата, увеличения выж</w:t>
      </w:r>
      <w:r>
        <w:t>иваемости пациента и трансплантата, а также уменьшение частоты сердечнососудистых осложнений и злокачественных новообразований [10-14]</w:t>
      </w:r>
      <w:r>
        <w:rPr>
          <w:i/>
        </w:rPr>
        <w:t xml:space="preserve">. </w:t>
      </w:r>
      <w:r>
        <w:rPr>
          <w:b/>
        </w:rPr>
        <w:t xml:space="preserve"> </w:t>
      </w:r>
    </w:p>
    <w:p w:rsidR="00325AD1" w:rsidRDefault="008C5E81">
      <w:pPr>
        <w:spacing w:line="390" w:lineRule="auto"/>
        <w:ind w:left="-15" w:right="477" w:firstLine="710"/>
      </w:pPr>
      <w:r>
        <w:rPr>
          <w:b/>
        </w:rPr>
        <w:t>Уровень убедительности рекомендаций А (уровень достоверности доказательств – 2).</w:t>
      </w:r>
      <w:r>
        <w:rPr>
          <w:i/>
        </w:rPr>
        <w:t xml:space="preserve"> </w:t>
      </w:r>
    </w:p>
    <w:p w:rsidR="00325AD1" w:rsidRDefault="008C5E81">
      <w:pPr>
        <w:numPr>
          <w:ilvl w:val="0"/>
          <w:numId w:val="3"/>
        </w:numPr>
        <w:spacing w:line="384" w:lineRule="auto"/>
        <w:ind w:right="479" w:firstLine="708"/>
      </w:pPr>
      <w:r>
        <w:t>Не рекомендуется исключать кандидато</w:t>
      </w:r>
      <w:r>
        <w:t>в на сочетанную трансплантацию поджелудочной железы и почки из-за ожирения (по определению ИМТ). Рекомендуется принимать меры по снижению веса кандидатам с ожирением до трансплантации [15 – 17, 237].</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w:t>
      </w:r>
      <w:r>
        <w:rPr>
          <w:b/>
        </w:rPr>
        <w:t xml:space="preserve">ности доказательств – 4). </w:t>
      </w:r>
      <w:r>
        <w:t xml:space="preserve"> </w:t>
      </w:r>
    </w:p>
    <w:p w:rsidR="00325AD1" w:rsidRDefault="008C5E81">
      <w:pPr>
        <w:spacing w:after="154" w:line="259" w:lineRule="auto"/>
        <w:ind w:left="708" w:right="477" w:firstLine="0"/>
      </w:pPr>
      <w:r>
        <w:rPr>
          <w:b/>
        </w:rPr>
        <w:t>2.2 Физикальное обследование</w:t>
      </w:r>
      <w:r>
        <w:rPr>
          <w:b/>
          <w:color w:val="5B9BD5"/>
        </w:rPr>
        <w:t xml:space="preserve"> </w:t>
      </w:r>
    </w:p>
    <w:p w:rsidR="00325AD1" w:rsidRDefault="008C5E81">
      <w:pPr>
        <w:spacing w:line="377" w:lineRule="auto"/>
        <w:ind w:left="0" w:right="479" w:firstLine="708"/>
      </w:pPr>
      <w:r>
        <w:t xml:space="preserve">•  </w:t>
      </w:r>
      <w:r>
        <w:t xml:space="preserve">Рекомендуется оценка психоэмоционального статуса кандидата на трансплантацию поджелудочной железы или сочетанную трансплантацию поджелудочной железы и почки с целью выявления возможной некомплаентности пациента [21 – 23]. </w:t>
      </w:r>
      <w:r>
        <w:rPr>
          <w:b/>
        </w:rPr>
        <w:t xml:space="preserve"> </w:t>
      </w:r>
    </w:p>
    <w:p w:rsidR="00325AD1" w:rsidRDefault="008C5E81">
      <w:pPr>
        <w:spacing w:line="390" w:lineRule="auto"/>
        <w:ind w:left="-15" w:right="477" w:firstLine="710"/>
      </w:pPr>
      <w:r>
        <w:rPr>
          <w:b/>
        </w:rPr>
        <w:t>Уровень убедительности рекоменда</w:t>
      </w:r>
      <w:r>
        <w:rPr>
          <w:b/>
        </w:rPr>
        <w:t>ций С (уровень достоверности доказательств – 4).</w:t>
      </w:r>
      <w:r>
        <w:rPr>
          <w:i/>
        </w:rPr>
        <w:t xml:space="preserve"> </w:t>
      </w:r>
    </w:p>
    <w:p w:rsidR="00325AD1" w:rsidRDefault="008C5E81">
      <w:pPr>
        <w:spacing w:after="53" w:line="368" w:lineRule="auto"/>
        <w:ind w:left="-15" w:right="476" w:firstLine="710"/>
      </w:pPr>
      <w:r>
        <w:rPr>
          <w:i/>
        </w:rPr>
        <w:t xml:space="preserve">Комментарии: психосоциальная оценка потенциальных кандидатов на трансплантацию поджелудочной железы и сочетанную трансплантацию поджелудочной железы и почки обычно проводится в междисциплинарном контексте. </w:t>
      </w:r>
      <w:r>
        <w:rPr>
          <w:i/>
        </w:rPr>
        <w:t>Это дает возможность оценить психологическое, поведенческое здоровье пациента, а также семейное и социальное окружение, которые могут облегчить или затруднить адаптацию к сложностям и проблемам хронического заболевания, трансплантации, модификации образа ж</w:t>
      </w:r>
      <w:r>
        <w:rPr>
          <w:i/>
        </w:rPr>
        <w:t xml:space="preserve">изни </w:t>
      </w:r>
      <w:r>
        <w:t xml:space="preserve"> </w:t>
      </w:r>
    </w:p>
    <w:p w:rsidR="00325AD1" w:rsidRDefault="008C5E81">
      <w:pPr>
        <w:numPr>
          <w:ilvl w:val="0"/>
          <w:numId w:val="4"/>
        </w:numPr>
        <w:spacing w:line="372" w:lineRule="auto"/>
        <w:ind w:right="479" w:firstLine="708"/>
      </w:pPr>
      <w:r>
        <w:t>Рекомендуется прием (осмотр, консультация) врача-хирурга кандидатам на трансплантацию поджелудочной железы или сочетанную трансплантацию поджелудочной железы и почки с целью исключения значимой хирургической патологии. Рекомендуется обследовать канд</w:t>
      </w:r>
      <w:r>
        <w:t>идатов на ТП на предмет заболеваний, препятствующих заживлению ран, включая ожирение, недоедание, употребление табака, перенесших операции на брюшной полости, чтобы выявить риски заживления ран и образования грыжи</w:t>
      </w:r>
      <w:r>
        <w:rPr>
          <w:i/>
        </w:rPr>
        <w:t xml:space="preserve"> </w:t>
      </w:r>
      <w:r>
        <w:t>[10, 24 – 27, 226].</w:t>
      </w:r>
      <w:r>
        <w:rPr>
          <w:b/>
        </w:rPr>
        <w:t xml:space="preserve"> </w:t>
      </w:r>
    </w:p>
    <w:p w:rsidR="00325AD1" w:rsidRDefault="008C5E81">
      <w:pPr>
        <w:spacing w:line="390" w:lineRule="auto"/>
        <w:ind w:left="-15" w:right="477" w:firstLine="710"/>
      </w:pPr>
      <w:r>
        <w:rPr>
          <w:b/>
        </w:rPr>
        <w:t>Уровень убедительност</w:t>
      </w:r>
      <w:r>
        <w:rPr>
          <w:b/>
        </w:rPr>
        <w:t>и рекомендаций С (уровень достоверности доказательств – 2).</w:t>
      </w:r>
      <w:r>
        <w:rPr>
          <w:i/>
        </w:rPr>
        <w:t xml:space="preserve"> </w:t>
      </w:r>
    </w:p>
    <w:p w:rsidR="00325AD1" w:rsidRDefault="008C5E81">
      <w:pPr>
        <w:spacing w:after="53" w:line="368" w:lineRule="auto"/>
        <w:ind w:left="-15" w:right="476" w:firstLine="710"/>
      </w:pPr>
      <w:r>
        <w:rPr>
          <w:i/>
        </w:rPr>
        <w:t>Комментарии: все процедуры по пересадке поджелудочной железы сопряжены с риском развития раневых осложнений, включая инфекцию и образование грыжи, что частично обусловлено воздействием иммунодепр</w:t>
      </w:r>
      <w:r>
        <w:rPr>
          <w:i/>
        </w:rPr>
        <w:t>ессантов на заживление ран. Сахарный диабет значительно повышает этот риск. Частота возникновения послеоперационной грыжи составляет около 7% в возрасте 10 лет и увеличивается в 2 раза у пациентов, которые ведут активный образ жизни или являются курильщика</w:t>
      </w:r>
      <w:r>
        <w:rPr>
          <w:i/>
        </w:rPr>
        <w:t>ми.</w:t>
      </w:r>
      <w:r>
        <w:t xml:space="preserve"> </w:t>
      </w:r>
      <w:r>
        <w:rPr>
          <w:i/>
        </w:rPr>
        <w:t xml:space="preserve">На заживление ран также влияет развитие поверхностных и глубоких тканевых инфекций [24– 27]. </w:t>
      </w:r>
      <w:r>
        <w:t xml:space="preserve"> </w:t>
      </w:r>
    </w:p>
    <w:p w:rsidR="00325AD1" w:rsidRDefault="008C5E81">
      <w:pPr>
        <w:numPr>
          <w:ilvl w:val="0"/>
          <w:numId w:val="4"/>
        </w:numPr>
        <w:spacing w:line="366" w:lineRule="auto"/>
        <w:ind w:right="479" w:firstLine="708"/>
      </w:pPr>
      <w:r>
        <w:t>Рекомендуется прием (осмотр, консультация) врача-стоматолога кандидатам на трансплантацию поджелудочной железы или сочетанную трансплантацию поджелудочной же</w:t>
      </w:r>
      <w:r>
        <w:t>лезы и почки с целью выявления показаний для санации ротовой полости до трансплантации [227-229, 237,239].</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5).</w:t>
      </w:r>
      <w:r>
        <w:rPr>
          <w:i/>
        </w:rPr>
        <w:t xml:space="preserve"> </w:t>
      </w:r>
    </w:p>
    <w:p w:rsidR="00325AD1" w:rsidRDefault="008C5E81">
      <w:pPr>
        <w:spacing w:after="53" w:line="368" w:lineRule="auto"/>
        <w:ind w:left="-15" w:right="476" w:firstLine="710"/>
      </w:pPr>
      <w:r>
        <w:rPr>
          <w:i/>
        </w:rPr>
        <w:t>Комментарии:</w:t>
      </w:r>
      <w:r>
        <w:t xml:space="preserve"> </w:t>
      </w:r>
      <w:r>
        <w:rPr>
          <w:i/>
        </w:rPr>
        <w:t>осмотр врача-стоматолога имеет важное значение с цель</w:t>
      </w:r>
      <w:r>
        <w:rPr>
          <w:i/>
        </w:rPr>
        <w:t>ю выявления инфекций ротовой полости, санации очагов инфекции перед трансплантацией и началом иммуносупрессивной терапии. Диабетики имеют повышенный риск заболеваний пародонта [28-31].</w:t>
      </w:r>
      <w:r>
        <w:rPr>
          <w:rFonts w:ascii="Calibri" w:eastAsia="Calibri" w:hAnsi="Calibri" w:cs="Calibri"/>
          <w:sz w:val="22"/>
        </w:rPr>
        <w:t xml:space="preserve"> </w:t>
      </w:r>
      <w:r>
        <w:rPr>
          <w:i/>
        </w:rPr>
        <w:t>Согласно международным протоколам трансплантационных центров, все актив</w:t>
      </w:r>
      <w:r>
        <w:rPr>
          <w:i/>
        </w:rPr>
        <w:t>ные заболевания зубов следует активно лечить до трансплантации, поскольку послеоперационная иммуносупрессия снижает способность пациента противостоять системной инфекции [227-229,237].</w:t>
      </w:r>
      <w:r>
        <w:t xml:space="preserve"> </w:t>
      </w:r>
    </w:p>
    <w:p w:rsidR="00325AD1" w:rsidRDefault="008C5E81">
      <w:pPr>
        <w:numPr>
          <w:ilvl w:val="0"/>
          <w:numId w:val="4"/>
        </w:numPr>
        <w:spacing w:line="380" w:lineRule="auto"/>
        <w:ind w:right="479" w:firstLine="708"/>
      </w:pPr>
      <w:r>
        <w:t>Рекомендуется прием (осмотр, консультация) врача-уролога для кандидато</w:t>
      </w:r>
      <w:r>
        <w:t xml:space="preserve">в на трансплантацию поджелудочной железы или сочетанную трансплантацию поджелудочной железы и почки с целью исключения патологии мочевыводящих путей, рака почек, мочевого пузыря, простаты [32 – 34, 176,237,239]. </w:t>
      </w:r>
      <w:r>
        <w:rPr>
          <w:b/>
        </w:rPr>
        <w:t xml:space="preserve"> </w:t>
      </w:r>
    </w:p>
    <w:p w:rsidR="00325AD1" w:rsidRDefault="008C5E81">
      <w:pPr>
        <w:spacing w:line="390" w:lineRule="auto"/>
        <w:ind w:left="-15" w:right="477" w:firstLine="710"/>
      </w:pPr>
      <w:r>
        <w:rPr>
          <w:b/>
        </w:rPr>
        <w:t>Уровень убедительности рекомендаций С (уро</w:t>
      </w:r>
      <w:r>
        <w:rPr>
          <w:b/>
        </w:rPr>
        <w:t>вень достоверности доказательств – 5).</w:t>
      </w:r>
      <w:r>
        <w:t xml:space="preserve"> </w:t>
      </w:r>
    </w:p>
    <w:p w:rsidR="00325AD1" w:rsidRDefault="008C5E81">
      <w:pPr>
        <w:numPr>
          <w:ilvl w:val="0"/>
          <w:numId w:val="4"/>
        </w:numPr>
        <w:spacing w:line="398" w:lineRule="auto"/>
        <w:ind w:right="479" w:firstLine="708"/>
      </w:pPr>
      <w:r>
        <w:t>Рекомендуется прием (осмотр, консультация) врача-онколога для женщин старше 40 лет для исключения новообразования молочных желез [35, 36,177,237].</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w:t>
      </w:r>
      <w:r>
        <w:rPr>
          <w:b/>
        </w:rPr>
        <w:t>ельств –5).</w:t>
      </w:r>
      <w:r>
        <w:t xml:space="preserve"> </w:t>
      </w:r>
    </w:p>
    <w:p w:rsidR="00325AD1" w:rsidRDefault="008C5E81">
      <w:pPr>
        <w:numPr>
          <w:ilvl w:val="0"/>
          <w:numId w:val="4"/>
        </w:numPr>
        <w:spacing w:line="374" w:lineRule="auto"/>
        <w:ind w:right="479" w:firstLine="708"/>
      </w:pPr>
      <w:r>
        <w:t>Рекомендуется пройти обследование у врача-кардиолога и лечиться в соответствии с действующими клиническими рекомендациями до дальнейшего рассмотрения вопроса о пересадке поджелудочной железы пациентам с признаками или симптомами активного серд</w:t>
      </w:r>
      <w:r>
        <w:t xml:space="preserve">ечного заболевания (например, стенокардией, аритмией, сердечной недостаточностью, пороком клапанов сердца – после проведенных инструментальных и функциональных методов обследования) [3,7,8,37,178,237,239]. </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4).</w:t>
      </w:r>
      <w:r>
        <w:t xml:space="preserve"> </w:t>
      </w:r>
    </w:p>
    <w:p w:rsidR="00325AD1" w:rsidRDefault="008C5E81">
      <w:pPr>
        <w:numPr>
          <w:ilvl w:val="0"/>
          <w:numId w:val="4"/>
        </w:numPr>
        <w:spacing w:line="357" w:lineRule="auto"/>
        <w:ind w:right="479" w:firstLine="708"/>
      </w:pPr>
      <w:r>
        <w:t>Рекомендуется прием (осмотр, консультация) врача-невролога кандидатам на трансплантацию поджелудочной железы или сочетанную трансплантацию поджелудочной железы и почки с цель</w:t>
      </w:r>
      <w:r>
        <w:t>ю исключения патологии нервной системы, выявления и коррекции диабетической нейропатии, а также для оценки остаточного неврологического дефицита, определения сроков безопасного выполнения трансплантации и стратификации периоперационного риска [2, 38,179, 2</w:t>
      </w:r>
      <w:r>
        <w:t>54].</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4).</w:t>
      </w:r>
      <w:r>
        <w:rPr>
          <w:i/>
        </w:rPr>
        <w:t xml:space="preserve"> </w:t>
      </w:r>
    </w:p>
    <w:p w:rsidR="00325AD1" w:rsidRDefault="008C5E81">
      <w:pPr>
        <w:spacing w:after="53" w:line="368" w:lineRule="auto"/>
        <w:ind w:left="-15" w:right="476" w:firstLine="710"/>
      </w:pPr>
      <w:r>
        <w:rPr>
          <w:i/>
        </w:rPr>
        <w:t>Комментарии:</w:t>
      </w:r>
      <w:r>
        <w:t xml:space="preserve"> </w:t>
      </w:r>
      <w:r>
        <w:rPr>
          <w:i/>
        </w:rPr>
        <w:t xml:space="preserve">предлагается воздержаться от постановки в лист ожидания пациентов, ранее 6 месяцев после перенесенного инсульта, ранее 3 месяцев после ТИА. </w:t>
      </w:r>
    </w:p>
    <w:p w:rsidR="00325AD1" w:rsidRDefault="008C5E81">
      <w:pPr>
        <w:spacing w:after="112" w:line="259" w:lineRule="auto"/>
        <w:ind w:left="-15" w:right="476" w:firstLine="0"/>
      </w:pPr>
      <w:r>
        <w:rPr>
          <w:i/>
        </w:rPr>
        <w:t xml:space="preserve">Пациентам должно быть проведено ультразвуковое исследование сонных артерий </w:t>
      </w:r>
      <w:r>
        <w:t xml:space="preserve">[39 – </w:t>
      </w:r>
    </w:p>
    <w:p w:rsidR="00325AD1" w:rsidRDefault="008C5E81">
      <w:pPr>
        <w:spacing w:after="193"/>
        <w:ind w:right="479"/>
      </w:pPr>
      <w:r>
        <w:t xml:space="preserve">42]. </w:t>
      </w:r>
    </w:p>
    <w:p w:rsidR="00325AD1" w:rsidRDefault="008C5E81">
      <w:pPr>
        <w:numPr>
          <w:ilvl w:val="0"/>
          <w:numId w:val="4"/>
        </w:numPr>
        <w:spacing w:line="388" w:lineRule="auto"/>
        <w:ind w:right="479" w:firstLine="708"/>
      </w:pPr>
      <w:r>
        <w:t>Рекомендуется прием (осмотр, консультация) врача-эндокринолога кандидатам на трансплантацию поджелудочной железы или сочетанную трансплантацию поджелудочной железы и по</w:t>
      </w:r>
      <w:r>
        <w:t xml:space="preserve">чки с целью компенсации углеводного обмена, оценки и коррекции перед трансплантацией осложнений сахарного диабета, исключения иной патологии органов эндокринной системы (гиперпаратиреоза и т.д.) [4,43,44, 237,239]. </w:t>
      </w:r>
      <w:r>
        <w:rPr>
          <w:b/>
        </w:rPr>
        <w:t xml:space="preserve"> </w:t>
      </w:r>
    </w:p>
    <w:p w:rsidR="00325AD1" w:rsidRDefault="008C5E81">
      <w:pPr>
        <w:spacing w:line="390" w:lineRule="auto"/>
        <w:ind w:left="-15" w:right="477" w:firstLine="710"/>
      </w:pPr>
      <w:r>
        <w:rPr>
          <w:b/>
        </w:rPr>
        <w:t>Уровень убедительности рекомендаций С (</w:t>
      </w:r>
      <w:r>
        <w:rPr>
          <w:b/>
        </w:rPr>
        <w:t>уровень достоверности доказательств – 5).</w:t>
      </w:r>
      <w:r>
        <w:rPr>
          <w:i/>
        </w:rPr>
        <w:t xml:space="preserve"> </w:t>
      </w:r>
    </w:p>
    <w:p w:rsidR="00325AD1" w:rsidRDefault="008C5E81">
      <w:pPr>
        <w:spacing w:after="190" w:line="259" w:lineRule="auto"/>
        <w:ind w:left="703"/>
        <w:jc w:val="left"/>
      </w:pPr>
      <w:r>
        <w:rPr>
          <w:rFonts w:ascii="Calibri" w:eastAsia="Calibri" w:hAnsi="Calibri" w:cs="Calibri"/>
          <w:b/>
          <w:sz w:val="22"/>
        </w:rPr>
        <w:t>2.3 Лабораторные диагностические исследования</w:t>
      </w:r>
      <w:r>
        <w:rPr>
          <w:rFonts w:ascii="Calibri" w:eastAsia="Calibri" w:hAnsi="Calibri" w:cs="Calibri"/>
          <w:sz w:val="22"/>
        </w:rPr>
        <w:t xml:space="preserve"> </w:t>
      </w:r>
    </w:p>
    <w:p w:rsidR="00325AD1" w:rsidRDefault="008C5E81">
      <w:pPr>
        <w:numPr>
          <w:ilvl w:val="0"/>
          <w:numId w:val="4"/>
        </w:numPr>
        <w:spacing w:after="32" w:line="377" w:lineRule="auto"/>
        <w:ind w:right="479" w:firstLine="708"/>
      </w:pPr>
      <w:r>
        <w:t>Рекомендуется определение основных групп по системе AB0, определение антигена D системы Резус (резус-фактор) потенциальному реципиенту перед трансплантацией поджелудо</w:t>
      </w:r>
      <w:r>
        <w:t xml:space="preserve">чной железы или поджелудочной железы и почки для определения совместимости/несовместимости донора и реципиента по группе крови [45 – 51,180] </w:t>
      </w:r>
      <w:r>
        <w:rPr>
          <w:b/>
        </w:rPr>
        <w:t xml:space="preserve"> </w:t>
      </w:r>
    </w:p>
    <w:p w:rsidR="00325AD1" w:rsidRDefault="008C5E81">
      <w:pPr>
        <w:spacing w:after="179" w:line="259" w:lineRule="auto"/>
        <w:ind w:left="-15" w:right="477" w:firstLine="0"/>
      </w:pPr>
      <w:r>
        <w:rPr>
          <w:b/>
        </w:rPr>
        <w:t>Уровень убедительности рекомендаций C (уровень достоверности доказательств – 4).</w:t>
      </w:r>
      <w:r>
        <w:rPr>
          <w:rFonts w:ascii="Calibri" w:eastAsia="Calibri" w:hAnsi="Calibri" w:cs="Calibri"/>
          <w:sz w:val="22"/>
        </w:rPr>
        <w:t xml:space="preserve"> </w:t>
      </w:r>
    </w:p>
    <w:p w:rsidR="00325AD1" w:rsidRDefault="008C5E81">
      <w:pPr>
        <w:numPr>
          <w:ilvl w:val="0"/>
          <w:numId w:val="4"/>
        </w:numPr>
        <w:spacing w:after="44" w:line="366" w:lineRule="auto"/>
        <w:ind w:right="479" w:firstLine="708"/>
      </w:pPr>
      <w:r>
        <w:t xml:space="preserve">Рекомендовано определение HLA- </w:t>
      </w:r>
      <w:r>
        <w:t>антигенов (генов) I и II классов, проба на совместимость по иммунным антителам реципиента и антигенам главного комплекса гистосовместимости донора, определение содержания антител к антигенам главного комплекса гистосовместимости в сыворотке крови потенциал</w:t>
      </w:r>
      <w:r>
        <w:t>ьному реципиенту для определения совместимости/несовместимости донора и реципиента [45 – 51, 180].</w:t>
      </w:r>
      <w:r>
        <w:rPr>
          <w:b/>
        </w:rPr>
        <w:t xml:space="preserve"> </w:t>
      </w:r>
    </w:p>
    <w:p w:rsidR="00325AD1" w:rsidRDefault="008C5E81">
      <w:pPr>
        <w:spacing w:after="155" w:line="259" w:lineRule="auto"/>
        <w:ind w:left="-15" w:right="477" w:firstLine="0"/>
      </w:pPr>
      <w:r>
        <w:rPr>
          <w:b/>
        </w:rPr>
        <w:t>Уровень убедительности рекомендаций C (уровень достоверности доказательств – 4).</w:t>
      </w:r>
      <w:r>
        <w:rPr>
          <w:i/>
        </w:rPr>
        <w:t xml:space="preserve"> </w:t>
      </w:r>
    </w:p>
    <w:p w:rsidR="00325AD1" w:rsidRDefault="008C5E81">
      <w:pPr>
        <w:spacing w:after="53" w:line="368" w:lineRule="auto"/>
        <w:ind w:left="-15" w:right="476" w:firstLine="710"/>
      </w:pPr>
      <w:r>
        <w:rPr>
          <w:i/>
        </w:rPr>
        <w:t>Комментарии: между потенциальным донором и реципиентом должна быть совмест</w:t>
      </w:r>
      <w:r>
        <w:rPr>
          <w:i/>
        </w:rPr>
        <w:t>имость по группе крови АВ0 и совпадение по лейкоцитарным антигенам человека (HLA), что создает оптимальные условия для успешной трансплантации.</w:t>
      </w:r>
      <w:r>
        <w:rPr>
          <w:sz w:val="22"/>
        </w:rPr>
        <w:t xml:space="preserve"> </w:t>
      </w:r>
      <w:r>
        <w:rPr>
          <w:i/>
        </w:rPr>
        <w:t>Важность совпадения донора и реципиента по HLA в трансплантации почки подтверждена множеством исследований. Одна</w:t>
      </w:r>
      <w:r>
        <w:rPr>
          <w:i/>
        </w:rPr>
        <w:t>ко влияние совпадения по системе HLA при трансплантации поджелудочной железы или сочетанной трансплантации на выживаемость трансплантата в сравнении с другими факторами является не столь значимым. Совпадение по системе HLA не должно быть ведущим фактором п</w:t>
      </w:r>
      <w:r>
        <w:rPr>
          <w:i/>
        </w:rPr>
        <w:t>ри выборе пары донор-реципиент.</w:t>
      </w:r>
      <w:r>
        <w:t xml:space="preserve"> </w:t>
      </w:r>
    </w:p>
    <w:p w:rsidR="00325AD1" w:rsidRDefault="008C5E81">
      <w:pPr>
        <w:numPr>
          <w:ilvl w:val="0"/>
          <w:numId w:val="4"/>
        </w:numPr>
        <w:spacing w:after="43" w:line="369" w:lineRule="auto"/>
        <w:ind w:right="479" w:firstLine="708"/>
      </w:pPr>
      <w:r>
        <w:t>Рекомендуется выполнять общий (клинический) анализ крови (исследование уровня эритроцитов в крови, исследование уровня тромбоцитов в крови, исследование уровня лейкоцитов в крови, исследование уровня общего гемоглобина в кр</w:t>
      </w:r>
      <w:r>
        <w:t>ови), дифференцированный подсчет лейкоцитов (лейкоцитарная формула), исследование уровня гликированного гемоглобина в крови потенциальным реципиентам поджелудочной железы или поджелудочной железы и почки с целью выявления/исключения анемии, синдрома систем</w:t>
      </w:r>
      <w:r>
        <w:t>ной воспалительной реакции, контроля компенсации сахарного диабета [7, 230, 237,239].</w:t>
      </w:r>
      <w:r>
        <w:rPr>
          <w:b/>
        </w:rPr>
        <w:t xml:space="preserve"> </w:t>
      </w:r>
    </w:p>
    <w:p w:rsidR="00325AD1" w:rsidRDefault="008C5E81">
      <w:pPr>
        <w:spacing w:after="119" w:line="390" w:lineRule="auto"/>
        <w:ind w:left="-15" w:right="477" w:firstLine="710"/>
      </w:pPr>
      <w:r>
        <w:rPr>
          <w:b/>
        </w:rPr>
        <w:t xml:space="preserve"> Уровень </w:t>
      </w:r>
      <w:r>
        <w:rPr>
          <w:b/>
        </w:rPr>
        <w:tab/>
        <w:t xml:space="preserve">убедительности </w:t>
      </w:r>
      <w:r>
        <w:rPr>
          <w:b/>
        </w:rPr>
        <w:tab/>
        <w:t xml:space="preserve">рекомендаций </w:t>
      </w:r>
      <w:r>
        <w:rPr>
          <w:b/>
        </w:rPr>
        <w:tab/>
        <w:t xml:space="preserve">С </w:t>
      </w:r>
      <w:r>
        <w:rPr>
          <w:b/>
        </w:rPr>
        <w:tab/>
        <w:t xml:space="preserve">(уровень </w:t>
      </w:r>
      <w:r>
        <w:rPr>
          <w:b/>
        </w:rPr>
        <w:tab/>
        <w:t>достоверности доказательств – 5).</w:t>
      </w:r>
      <w:r>
        <w:t xml:space="preserve"> </w:t>
      </w:r>
    </w:p>
    <w:p w:rsidR="00325AD1" w:rsidRDefault="008C5E81">
      <w:pPr>
        <w:numPr>
          <w:ilvl w:val="0"/>
          <w:numId w:val="4"/>
        </w:numPr>
        <w:spacing w:line="380" w:lineRule="auto"/>
        <w:ind w:right="479" w:firstLine="708"/>
      </w:pPr>
      <w:r>
        <w:t>Рекомендуется исследование уровня натрия в крови, исследование уровня калия в кро</w:t>
      </w:r>
      <w:r>
        <w:t xml:space="preserve">ви, исследование уровня хлоридов в крови, исследование кислотноосновного состояния и газов крови потенциальным реципиентам поджелудочной железы или поджелудочной железы и почки с целью выявления нарушений метаболизма и его коррекции до начала оперативного </w:t>
      </w:r>
      <w:r>
        <w:t xml:space="preserve">вмешательства по трансплантации [7, 52,237,239]. </w:t>
      </w:r>
      <w:r>
        <w:rPr>
          <w:b/>
        </w:rPr>
        <w:t xml:space="preserve">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5). </w:t>
      </w:r>
      <w:r>
        <w:rPr>
          <w:i/>
        </w:rPr>
        <w:t xml:space="preserve"> </w:t>
      </w:r>
    </w:p>
    <w:p w:rsidR="00325AD1" w:rsidRDefault="008C5E81">
      <w:pPr>
        <w:spacing w:after="149" w:line="368" w:lineRule="auto"/>
        <w:ind w:left="-15" w:right="476" w:firstLine="710"/>
      </w:pPr>
      <w:r>
        <w:rPr>
          <w:i/>
        </w:rPr>
        <w:t>Комментарии: нарушение электролитного и кислотно-основного равновесия с высокой частотой отмечается у пациентов, страдающи</w:t>
      </w:r>
      <w:r>
        <w:rPr>
          <w:i/>
        </w:rPr>
        <w:t xml:space="preserve">х сахарным диабетом и хронической почечной недостаточностью. </w:t>
      </w:r>
      <w:r>
        <w:t xml:space="preserve"> </w:t>
      </w:r>
    </w:p>
    <w:p w:rsidR="00325AD1" w:rsidRDefault="008C5E81">
      <w:pPr>
        <w:numPr>
          <w:ilvl w:val="0"/>
          <w:numId w:val="4"/>
        </w:numPr>
        <w:spacing w:after="3" w:line="259" w:lineRule="auto"/>
        <w:ind w:right="479" w:firstLine="708"/>
      </w:pPr>
      <w:r>
        <w:t xml:space="preserve">Рекомендуется </w:t>
      </w:r>
      <w:r>
        <w:tab/>
        <w:t xml:space="preserve">выполнение </w:t>
      </w:r>
      <w:r>
        <w:tab/>
        <w:t xml:space="preserve">анализа </w:t>
      </w:r>
      <w:r>
        <w:tab/>
        <w:t xml:space="preserve">крови </w:t>
      </w:r>
      <w:r>
        <w:tab/>
        <w:t xml:space="preserve">биохимического </w:t>
      </w:r>
    </w:p>
    <w:p w:rsidR="00325AD1" w:rsidRDefault="008C5E81">
      <w:pPr>
        <w:spacing w:line="362" w:lineRule="auto"/>
        <w:ind w:right="479"/>
      </w:pPr>
      <w:r>
        <w:t>общетерапевтического (исследование уровня общего белка в крови, исследование уровня альбумина в крови, исследование уровня креатинина в крови, исследование уровня мочевины в крови, определение активности аспартатаминотрансферазы в крови, определение активн</w:t>
      </w:r>
      <w:r>
        <w:t>ости аланинаминотрансферазы в крови) потенциальным реципиентам поджелудочной железы или поджелудочной железы и почки, с целью определения функции отдельных органов и систем [75, 167,237,239].</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w:t>
      </w:r>
      <w:r>
        <w:rPr>
          <w:b/>
        </w:rPr>
        <w:t>казательств – 5).</w:t>
      </w:r>
      <w:r>
        <w:t xml:space="preserve"> </w:t>
      </w:r>
    </w:p>
    <w:p w:rsidR="00325AD1" w:rsidRDefault="008C5E81">
      <w:pPr>
        <w:numPr>
          <w:ilvl w:val="0"/>
          <w:numId w:val="4"/>
        </w:numPr>
        <w:spacing w:line="382" w:lineRule="auto"/>
        <w:ind w:right="479" w:firstLine="708"/>
      </w:pPr>
      <w:r>
        <w:t>Рекомендуется молекулярно-биологического исследование крови на вирус Эпштейна-Барр (</w:t>
      </w:r>
      <w:r>
        <w:rPr>
          <w:i/>
        </w:rPr>
        <w:t>Epstein-Barr virus</w:t>
      </w:r>
      <w:r>
        <w:t>) потенциальным реципиентам поджелудочной железы или поджелудочной железы и почки перед трансплантацией с целью исключения виремии [53,</w:t>
      </w:r>
      <w:r>
        <w:t xml:space="preserve"> 55,241].</w:t>
      </w:r>
      <w:r>
        <w:rPr>
          <w:b/>
        </w:rPr>
        <w:t xml:space="preserve"> </w:t>
      </w:r>
    </w:p>
    <w:p w:rsidR="00325AD1" w:rsidRDefault="008C5E81">
      <w:pPr>
        <w:spacing w:after="123" w:line="390" w:lineRule="auto"/>
        <w:ind w:left="-15" w:right="477" w:firstLine="710"/>
      </w:pPr>
      <w:r>
        <w:rPr>
          <w:b/>
        </w:rPr>
        <w:t>Уровень убедительности рекомендаций С (уровень достоверности доказательств – 5).</w:t>
      </w:r>
      <w:r>
        <w:t xml:space="preserve"> </w:t>
      </w:r>
    </w:p>
    <w:p w:rsidR="00325AD1" w:rsidRDefault="008C5E81">
      <w:pPr>
        <w:numPr>
          <w:ilvl w:val="0"/>
          <w:numId w:val="4"/>
        </w:numPr>
        <w:spacing w:line="392" w:lineRule="auto"/>
        <w:ind w:right="479" w:firstLine="708"/>
      </w:pPr>
      <w:r>
        <w:t>Рекомендуется ежегодное определение антител классов M, G (IgM, IgG) к вирусу иммунодефицита человека ВИЧ-1 (</w:t>
      </w:r>
      <w:r>
        <w:rPr>
          <w:i/>
        </w:rPr>
        <w:t>Human immunodeficiency virus HIV 1</w:t>
      </w:r>
      <w:r>
        <w:t>) в крови, определени</w:t>
      </w:r>
      <w:r>
        <w:t>е антител классов M, G (IgM, IgG) к вирусу иммунодефицита человека ВИЧ-2 (</w:t>
      </w:r>
      <w:r>
        <w:rPr>
          <w:i/>
        </w:rPr>
        <w:t>Human immunodeficiency virus HIV 2</w:t>
      </w:r>
      <w:r>
        <w:t>) в крови потенциальным реципиентам поджелудочной железы или поджелудочной железы и почки с целью исключения ВИЧ инфекции до трансплантации [54, 55,</w:t>
      </w:r>
      <w:r>
        <w:t xml:space="preserve"> 56, 241].</w:t>
      </w:r>
      <w:r>
        <w:rPr>
          <w:b/>
        </w:rPr>
        <w:t xml:space="preserve"> </w:t>
      </w:r>
    </w:p>
    <w:p w:rsidR="00325AD1" w:rsidRDefault="008C5E81">
      <w:pPr>
        <w:spacing w:after="119" w:line="390" w:lineRule="auto"/>
        <w:ind w:left="-15" w:right="477" w:firstLine="710"/>
      </w:pPr>
      <w:r>
        <w:rPr>
          <w:b/>
        </w:rPr>
        <w:t>Уровень убедительности рекомендаций С (уровень достоверности доказательств – 5).</w:t>
      </w:r>
      <w:r>
        <w:t xml:space="preserve"> </w:t>
      </w:r>
    </w:p>
    <w:p w:rsidR="00325AD1" w:rsidRDefault="008C5E81">
      <w:pPr>
        <w:numPr>
          <w:ilvl w:val="0"/>
          <w:numId w:val="4"/>
        </w:numPr>
        <w:spacing w:line="387" w:lineRule="auto"/>
        <w:ind w:right="479" w:firstLine="708"/>
      </w:pPr>
      <w:r>
        <w:t>Рекомендуется ежегодное определение антигена (</w:t>
      </w:r>
      <w:r>
        <w:rPr>
          <w:i/>
        </w:rPr>
        <w:t>HbsAg</w:t>
      </w:r>
      <w:r>
        <w:t>) вируса гепатита B (</w:t>
      </w:r>
      <w:r>
        <w:rPr>
          <w:i/>
        </w:rPr>
        <w:t>Hepatitis B virus</w:t>
      </w:r>
      <w:r>
        <w:t>) в крови, определение антител класса M к ядерному антигену (</w:t>
      </w:r>
      <w:r>
        <w:rPr>
          <w:i/>
        </w:rPr>
        <w:t>anti-HBc IgM</w:t>
      </w:r>
      <w:r>
        <w:t>) вируса гепатита B (</w:t>
      </w:r>
      <w:r>
        <w:rPr>
          <w:i/>
        </w:rPr>
        <w:t>Hepatitis B virus</w:t>
      </w:r>
      <w:r>
        <w:t>) в крови, определение антител к поверхностному антигену (</w:t>
      </w:r>
      <w:r>
        <w:rPr>
          <w:i/>
        </w:rPr>
        <w:t>anti-HBs</w:t>
      </w:r>
      <w:r>
        <w:t>) вируса гепатита B (</w:t>
      </w:r>
      <w:r>
        <w:rPr>
          <w:i/>
        </w:rPr>
        <w:t>Hepatitis B virus</w:t>
      </w:r>
      <w:r>
        <w:t>) в крови, качественное исследование потенциальным реципиентам поджелудочной железы или поджелудочной железы и почки с целью исключения инфицирования и назначения противовирусного лечения до выполнения трансплантации [55, 56,241].</w:t>
      </w:r>
      <w:r>
        <w:rPr>
          <w:b/>
        </w:rPr>
        <w:t xml:space="preserve"> </w:t>
      </w:r>
    </w:p>
    <w:p w:rsidR="00325AD1" w:rsidRDefault="008C5E81">
      <w:pPr>
        <w:spacing w:line="390" w:lineRule="auto"/>
        <w:ind w:left="-15" w:right="477" w:firstLine="710"/>
      </w:pPr>
      <w:r>
        <w:rPr>
          <w:b/>
        </w:rPr>
        <w:t>Уровень убедительности р</w:t>
      </w:r>
      <w:r>
        <w:rPr>
          <w:b/>
        </w:rPr>
        <w:t>екомендаций С (уровень достоверности доказательств – 5).</w:t>
      </w:r>
      <w:r>
        <w:t xml:space="preserve"> </w:t>
      </w:r>
    </w:p>
    <w:p w:rsidR="00325AD1" w:rsidRDefault="008C5E81">
      <w:pPr>
        <w:numPr>
          <w:ilvl w:val="0"/>
          <w:numId w:val="4"/>
        </w:numPr>
        <w:spacing w:line="383" w:lineRule="auto"/>
        <w:ind w:right="479" w:firstLine="708"/>
      </w:pPr>
      <w:r>
        <w:t>Рекомендуется ежегодное определение антител к вирусу гепатита C (</w:t>
      </w:r>
      <w:r>
        <w:rPr>
          <w:i/>
        </w:rPr>
        <w:t>Hepatitis C virus</w:t>
      </w:r>
      <w:r>
        <w:t>) потенциальным реципиентам поджелудочной железы или поджелудочной железы и почки, получающим заместительную почечну</w:t>
      </w:r>
      <w:r>
        <w:t xml:space="preserve">ю терапию, в крови с целью контроля инфицирования гепатитом С и его лечения до трансплантации [55, 56, 57,241]. </w:t>
      </w:r>
    </w:p>
    <w:p w:rsidR="00325AD1" w:rsidRDefault="008C5E81">
      <w:pPr>
        <w:spacing w:after="119" w:line="390" w:lineRule="auto"/>
        <w:ind w:left="-15" w:right="477" w:firstLine="710"/>
      </w:pPr>
      <w:r>
        <w:t xml:space="preserve"> </w:t>
      </w:r>
      <w:r>
        <w:rPr>
          <w:b/>
        </w:rPr>
        <w:t xml:space="preserve">Уровень </w:t>
      </w:r>
      <w:r>
        <w:rPr>
          <w:b/>
        </w:rPr>
        <w:tab/>
        <w:t xml:space="preserve">убедительности </w:t>
      </w:r>
      <w:r>
        <w:rPr>
          <w:b/>
        </w:rPr>
        <w:tab/>
        <w:t xml:space="preserve">рекомендаций </w:t>
      </w:r>
      <w:r>
        <w:rPr>
          <w:b/>
        </w:rPr>
        <w:tab/>
        <w:t xml:space="preserve">С </w:t>
      </w:r>
      <w:r>
        <w:rPr>
          <w:b/>
        </w:rPr>
        <w:tab/>
        <w:t xml:space="preserve">(уровень </w:t>
      </w:r>
      <w:r>
        <w:rPr>
          <w:b/>
        </w:rPr>
        <w:tab/>
        <w:t>достоверности доказательств – 5).</w:t>
      </w:r>
      <w:r>
        <w:t xml:space="preserve"> </w:t>
      </w:r>
    </w:p>
    <w:p w:rsidR="00325AD1" w:rsidRDefault="008C5E81">
      <w:pPr>
        <w:numPr>
          <w:ilvl w:val="0"/>
          <w:numId w:val="4"/>
        </w:numPr>
        <w:spacing w:line="397" w:lineRule="auto"/>
        <w:ind w:right="479" w:firstLine="708"/>
      </w:pPr>
      <w:r>
        <w:t>Рекомендуется молекулярно-биологическое исследование кр</w:t>
      </w:r>
      <w:r>
        <w:t>ови на цитомегаловирус (</w:t>
      </w:r>
      <w:r>
        <w:rPr>
          <w:i/>
        </w:rPr>
        <w:t>Cytomegalovirus</w:t>
      </w:r>
      <w:r>
        <w:t xml:space="preserve">) потенциальным реципиентам поджелудочной железы или поджелудочной железы и почки с целью своевременного выявления виремии и предотвращения развития ЦМВ-болезни [55, 56, 58, 242]. </w:t>
      </w:r>
      <w:r>
        <w:rPr>
          <w:b/>
        </w:rPr>
        <w:t xml:space="preserve"> </w:t>
      </w:r>
    </w:p>
    <w:p w:rsidR="00325AD1" w:rsidRDefault="008C5E81">
      <w:pPr>
        <w:spacing w:after="26" w:line="390" w:lineRule="auto"/>
        <w:ind w:left="-15" w:right="477" w:firstLine="710"/>
      </w:pPr>
      <w:r>
        <w:rPr>
          <w:b/>
        </w:rPr>
        <w:t>Уровень убедительности рекомендаций С (уровень достоверности доказательств – 5).</w:t>
      </w:r>
      <w:r>
        <w:t xml:space="preserve"> </w:t>
      </w:r>
    </w:p>
    <w:p w:rsidR="00325AD1" w:rsidRDefault="008C5E81">
      <w:pPr>
        <w:numPr>
          <w:ilvl w:val="0"/>
          <w:numId w:val="4"/>
        </w:numPr>
        <w:spacing w:line="370" w:lineRule="auto"/>
        <w:ind w:right="479" w:firstLine="708"/>
      </w:pPr>
      <w:r>
        <w:t>Рекомендуется оценка коагулограммы (ориентировочное исследование системы гемостаза) (исследование уровня фибриногена в крови, определение активности антитромбина III в крови,</w:t>
      </w:r>
      <w:r>
        <w:t xml:space="preserve"> исследование уровня плазминогена в  крови, протромбинового (тромбопластинового) времени в крови или в плазме, активированного частичного тромбопластинового времени (АЧТВ) с использованием активаторов (каолин/кефалин) потенциальным реципиентам поджелудочно</w:t>
      </w:r>
      <w:r>
        <w:t>й железы или поджелудочной железы и почки с целью исключения тромбофилии/гемофилии, которые могут привести к тромбозу сосудов трансплантата, или кровотечению в интраоперационном или раннем послеоперационном периоде [60, 74,168].</w:t>
      </w:r>
      <w:r>
        <w:rPr>
          <w:b/>
        </w:rPr>
        <w:t xml:space="preserve"> </w:t>
      </w:r>
    </w:p>
    <w:p w:rsidR="00325AD1" w:rsidRDefault="008C5E81">
      <w:pPr>
        <w:spacing w:line="390" w:lineRule="auto"/>
        <w:ind w:left="-15" w:right="477" w:firstLine="710"/>
      </w:pPr>
      <w:r>
        <w:rPr>
          <w:b/>
        </w:rPr>
        <w:t>Уровень убедительности рек</w:t>
      </w:r>
      <w:r>
        <w:rPr>
          <w:b/>
        </w:rPr>
        <w:t xml:space="preserve">омендаций С (уровень достоверности доказательств – 4). </w:t>
      </w:r>
    </w:p>
    <w:p w:rsidR="00325AD1" w:rsidRDefault="008C5E81">
      <w:pPr>
        <w:spacing w:after="177" w:line="259" w:lineRule="auto"/>
        <w:ind w:left="708" w:right="477" w:firstLine="0"/>
      </w:pPr>
      <w:r>
        <w:rPr>
          <w:b/>
        </w:rPr>
        <w:t>2.4 Инструментальные диагностические исследования</w:t>
      </w:r>
      <w:r>
        <w:t xml:space="preserve"> </w:t>
      </w:r>
    </w:p>
    <w:p w:rsidR="00325AD1" w:rsidRDefault="008C5E81">
      <w:pPr>
        <w:numPr>
          <w:ilvl w:val="0"/>
          <w:numId w:val="4"/>
        </w:numPr>
        <w:spacing w:line="378" w:lineRule="auto"/>
        <w:ind w:right="479" w:firstLine="708"/>
      </w:pPr>
      <w:r>
        <w:t>Рекомендуется проводить УЗИ органов брюшной полости (комплексное) потенциальным реципиентам поджелудочной железы или поджелудочной железы и почки с ц</w:t>
      </w:r>
      <w:r>
        <w:t>елью исключения патологии органов брюшной полости [232,233].</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5).</w:t>
      </w:r>
      <w:r>
        <w:t xml:space="preserve"> </w:t>
      </w:r>
    </w:p>
    <w:p w:rsidR="00325AD1" w:rsidRDefault="008C5E81">
      <w:pPr>
        <w:numPr>
          <w:ilvl w:val="0"/>
          <w:numId w:val="4"/>
        </w:numPr>
        <w:spacing w:line="366" w:lineRule="auto"/>
        <w:ind w:right="479" w:firstLine="708"/>
      </w:pPr>
      <w:r>
        <w:t>Рекомендуется проводить дуплексное сканирование брахиоцефальных артерий (сонных и позвоночных) с цветовым доппле</w:t>
      </w:r>
      <w:r>
        <w:t>ровским картированием кровотока, ультразвуковую допплерографию сосудов (артерий и вен) нижних конечностей и дуплексное сканирование сосудов малого таза потенциальным реципиентам поджелудочной железы и почки с целью выявления окклюзионных заболеваний перифе</w:t>
      </w:r>
      <w:r>
        <w:t>рических артерий и/или варикозной болезни и ее возможных тромботических осложнений [7, 233, 237, 239, 255,256, 257].</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5).</w:t>
      </w:r>
      <w:r>
        <w:rPr>
          <w:i/>
        </w:rPr>
        <w:t xml:space="preserve"> </w:t>
      </w:r>
    </w:p>
    <w:p w:rsidR="00325AD1" w:rsidRDefault="008C5E81">
      <w:pPr>
        <w:spacing w:after="53" w:line="368" w:lineRule="auto"/>
        <w:ind w:left="-15" w:right="476" w:firstLine="710"/>
      </w:pPr>
      <w:r>
        <w:rPr>
          <w:i/>
        </w:rPr>
        <w:t>Комментарии: Потенциальные реципиенты с клинически выраж</w:t>
      </w:r>
      <w:r>
        <w:rPr>
          <w:i/>
        </w:rPr>
        <w:t>енным ЗПА должны пройти визуализацию и лечение своего ЗПА после консультации с врачомсердечно-сосудистым хирургом до трансплантации. Потенциальным реципиентам с клинически выраженным ЗПА необходимо пройти компьютерную томографию органов брюшной полости и к</w:t>
      </w:r>
      <w:r>
        <w:rPr>
          <w:i/>
        </w:rPr>
        <w:t>омпьютерную томографию органов малого таза без контрастирования для визуализация брюшной полости/таза для оценки артериальной кальцификации и уточнения клинической картины для планирования предстоящей операции [61 – 64].</w:t>
      </w:r>
      <w:r>
        <w:t xml:space="preserve"> </w:t>
      </w:r>
    </w:p>
    <w:p w:rsidR="00325AD1" w:rsidRDefault="008C5E81">
      <w:pPr>
        <w:numPr>
          <w:ilvl w:val="0"/>
          <w:numId w:val="4"/>
        </w:numPr>
        <w:spacing w:line="373" w:lineRule="auto"/>
        <w:ind w:right="479" w:firstLine="708"/>
      </w:pPr>
      <w:r>
        <w:t>Рекомендуется прицельная рентгеног</w:t>
      </w:r>
      <w:r>
        <w:t>рафия органов грудной клетки потенциальным реципиентам поджелудочной железы или поджелудочной железы и почки с целью исключения патологии легких. При наличии какой-либо патологии органов грудной клетки или по показаниям рекомендовано выполнение компьютерно</w:t>
      </w:r>
      <w:r>
        <w:t>й томографии грудной полости с внутривенным болюсным контрастированием, мультипланарной и трехмерной реконструкцией [233,234].</w:t>
      </w:r>
      <w:r>
        <w:rPr>
          <w:i/>
        </w:rPr>
        <w:t xml:space="preserve"> </w:t>
      </w:r>
      <w:r>
        <w:rPr>
          <w:b/>
        </w:rPr>
        <w:t xml:space="preserve"> </w:t>
      </w:r>
    </w:p>
    <w:p w:rsidR="00325AD1" w:rsidRDefault="008C5E81">
      <w:pPr>
        <w:spacing w:after="28" w:line="390" w:lineRule="auto"/>
        <w:ind w:left="-15" w:right="477" w:firstLine="710"/>
      </w:pPr>
      <w:r>
        <w:rPr>
          <w:b/>
        </w:rPr>
        <w:t>Уровень убедительности рекомендаций С (уровень достоверности доказательств – 5).</w:t>
      </w:r>
      <w:r>
        <w:t xml:space="preserve"> </w:t>
      </w:r>
    </w:p>
    <w:p w:rsidR="00325AD1" w:rsidRDefault="008C5E81">
      <w:pPr>
        <w:numPr>
          <w:ilvl w:val="0"/>
          <w:numId w:val="4"/>
        </w:numPr>
        <w:spacing w:after="38" w:line="370" w:lineRule="auto"/>
        <w:ind w:right="479" w:firstLine="708"/>
      </w:pPr>
      <w:r>
        <w:t xml:space="preserve">Рекомендуется выполнение ЭКГ потенциальным реципиентам поджелудочной железы или поджелудочной железы и почки с целью определения имеющихся очагов ишемии или кардиомиопатии [65 – 68,177, 237,239]. </w:t>
      </w:r>
      <w:r>
        <w:rPr>
          <w:b/>
        </w:rPr>
        <w:t xml:space="preserve"> </w:t>
      </w:r>
    </w:p>
    <w:p w:rsidR="00325AD1" w:rsidRDefault="008C5E81">
      <w:pPr>
        <w:spacing w:after="25" w:line="390" w:lineRule="auto"/>
        <w:ind w:left="-15" w:right="477" w:firstLine="710"/>
      </w:pPr>
      <w:r>
        <w:rPr>
          <w:b/>
        </w:rPr>
        <w:t>Уровень убедительности рекомендаций C (уровень достовернос</w:t>
      </w:r>
      <w:r>
        <w:rPr>
          <w:b/>
        </w:rPr>
        <w:t xml:space="preserve">ти доказательств –5). </w:t>
      </w:r>
      <w:r>
        <w:t xml:space="preserve"> </w:t>
      </w:r>
    </w:p>
    <w:p w:rsidR="00325AD1" w:rsidRDefault="008C5E81">
      <w:pPr>
        <w:numPr>
          <w:ilvl w:val="0"/>
          <w:numId w:val="4"/>
        </w:numPr>
        <w:spacing w:line="369" w:lineRule="auto"/>
        <w:ind w:right="479" w:firstLine="708"/>
      </w:pPr>
      <w:r>
        <w:t>Рекомендуется выполнение эхокардиографии, а также холтеровского мониторирования сердечного ритма, теста с физической нагрузкой с использованием эргометра потенциальным реципиентам поджелудочной железы или поджелудочной железы и почк</w:t>
      </w:r>
      <w:r>
        <w:t>и с целью определения функционального резерва сердца. При неоднозначных результатах исследований или при выявлении признаков ишемии миокарда рекомендовано выполнение коронарографии для оценки состояния коронарного русла [68,69, 75, 169, 237,239].</w:t>
      </w:r>
      <w:r>
        <w:rPr>
          <w:b/>
        </w:rPr>
        <w:t xml:space="preserve"> </w:t>
      </w:r>
    </w:p>
    <w:p w:rsidR="00325AD1" w:rsidRDefault="008C5E81">
      <w:pPr>
        <w:spacing w:line="390" w:lineRule="auto"/>
        <w:ind w:left="-15" w:right="477" w:firstLine="710"/>
      </w:pPr>
      <w:r>
        <w:rPr>
          <w:b/>
        </w:rPr>
        <w:t xml:space="preserve">Уровень </w:t>
      </w:r>
      <w:r>
        <w:rPr>
          <w:b/>
        </w:rPr>
        <w:t xml:space="preserve">убедительности рекомендаций С (уровень достоверности доказательств – 5). </w:t>
      </w:r>
      <w:r>
        <w:rPr>
          <w:i/>
        </w:rPr>
        <w:t xml:space="preserve"> </w:t>
      </w:r>
    </w:p>
    <w:p w:rsidR="00325AD1" w:rsidRDefault="008C5E81">
      <w:pPr>
        <w:spacing w:after="53" w:line="368" w:lineRule="auto"/>
        <w:ind w:left="-15" w:right="476" w:firstLine="710"/>
      </w:pPr>
      <w:r>
        <w:rPr>
          <w:i/>
        </w:rPr>
        <w:t>Комментарий: потенциальным реципиентам, которые были на диализе не менее двух лет или имели факторы риска легочной гипертензии (например, портальная гипертония, заболевание соединит</w:t>
      </w:r>
      <w:r>
        <w:rPr>
          <w:i/>
        </w:rPr>
        <w:t>ельной ткани, врожденный болезни сердца, хроническая обструктивная болезнь легких) следует пройти эхокардиографию. Имеются доказательства того, что аномальные результаты эхокардиографии и положительные результаты неинвазивных стресс-тестов являются значимы</w:t>
      </w:r>
      <w:r>
        <w:rPr>
          <w:i/>
        </w:rPr>
        <w:t>ми прогностическими факторами ИБС, сердечных событий и смерти пациентов. Нет никаких доказательств того, что ангиография требуется у бессимптомных пациентов с отрицательным неинвазивным стресс-тестом.</w:t>
      </w:r>
      <w:r>
        <w:t xml:space="preserve"> </w:t>
      </w:r>
    </w:p>
    <w:p w:rsidR="00325AD1" w:rsidRDefault="008C5E81">
      <w:pPr>
        <w:numPr>
          <w:ilvl w:val="0"/>
          <w:numId w:val="4"/>
        </w:numPr>
        <w:spacing w:line="365" w:lineRule="auto"/>
        <w:ind w:right="479" w:firstLine="708"/>
      </w:pPr>
      <w:r>
        <w:t>Рекомендуется выполнение спиральной компьютерной томог</w:t>
      </w:r>
      <w:r>
        <w:t>рафии органов брюшной полости с внутривенным болюсным контрастированием, мультипланарной и трехмерной реконструкцией потенциальным реципиентам поджелудочной железы или сочетанной трансплантации поджелудочной железы и почки с целью определения сосудистой ан</w:t>
      </w:r>
      <w:r>
        <w:t xml:space="preserve">атомии, диагностики новообразований, проходимости нижней полой вены [233, 235,236, 258,259]. </w:t>
      </w:r>
      <w:r>
        <w:rPr>
          <w:b/>
        </w:rPr>
        <w:t xml:space="preserve"> </w:t>
      </w:r>
    </w:p>
    <w:p w:rsidR="00325AD1" w:rsidRDefault="008C5E81">
      <w:pPr>
        <w:spacing w:after="28" w:line="390" w:lineRule="auto"/>
        <w:ind w:left="-15" w:right="477" w:firstLine="710"/>
      </w:pPr>
      <w:r>
        <w:rPr>
          <w:b/>
        </w:rPr>
        <w:t xml:space="preserve">Уровень убедительности рекомендаций С (уровень достоверности доказательств – 5). </w:t>
      </w:r>
      <w:r>
        <w:t xml:space="preserve"> </w:t>
      </w:r>
    </w:p>
    <w:p w:rsidR="00325AD1" w:rsidRDefault="008C5E81">
      <w:pPr>
        <w:numPr>
          <w:ilvl w:val="0"/>
          <w:numId w:val="4"/>
        </w:numPr>
        <w:spacing w:line="395" w:lineRule="auto"/>
        <w:ind w:right="479" w:firstLine="708"/>
      </w:pPr>
      <w:r>
        <w:t>Рекомендуется потенциальным реципиентам поджелудочной железы и почки исключить</w:t>
      </w:r>
      <w:r>
        <w:t xml:space="preserve"> эрозивно-язвенные поражения верхних отделов желудочно-кишечного тракта </w:t>
      </w:r>
    </w:p>
    <w:p w:rsidR="00325AD1" w:rsidRDefault="008C5E81">
      <w:pPr>
        <w:spacing w:after="177"/>
        <w:ind w:right="479"/>
      </w:pPr>
      <w:r>
        <w:t>[179].</w:t>
      </w:r>
      <w:r>
        <w:rPr>
          <w:b/>
        </w:rPr>
        <w:t xml:space="preserve"> </w:t>
      </w:r>
    </w:p>
    <w:p w:rsidR="00325AD1" w:rsidRDefault="008C5E81">
      <w:pPr>
        <w:spacing w:line="390" w:lineRule="auto"/>
        <w:ind w:left="-15" w:right="477" w:firstLine="710"/>
      </w:pPr>
      <w:r>
        <w:rPr>
          <w:b/>
        </w:rPr>
        <w:t xml:space="preserve">Уровень убедительности рекомендаций C (уровень достоверности доказательств – 5).  </w:t>
      </w:r>
    </w:p>
    <w:p w:rsidR="00325AD1" w:rsidRDefault="008C5E81">
      <w:pPr>
        <w:spacing w:after="53" w:line="368" w:lineRule="auto"/>
        <w:ind w:left="-15" w:right="476" w:firstLine="710"/>
      </w:pPr>
      <w:r>
        <w:rPr>
          <w:i/>
        </w:rPr>
        <w:t>Комментарий: желудочно-кишечное кровотечение – одно из наиболее частых осложнений трансплант</w:t>
      </w:r>
      <w:r>
        <w:rPr>
          <w:i/>
        </w:rPr>
        <w:t>ации поджелудочной железы. Предоперационное исключение язвенного поражения желудка и 12-перстной кишки снижает вероятность этого осложнения в раннем послеоперационном периоде, однако сохраняется риск кровотечения из зоны дуоденального анастомоза. Эзофагога</w:t>
      </w:r>
      <w:r>
        <w:rPr>
          <w:i/>
        </w:rPr>
        <w:t>стродуоденоскопия является стандартным методом исключения эрозивно-язвенных поражений верхних отделов ЖКТ перед плановыми абдоминальными операциями у пациентов с высоким риском кровотечений и на фоне иммуносупрессии (например, в соответствии с клиническими</w:t>
      </w:r>
      <w:r>
        <w:rPr>
          <w:i/>
        </w:rPr>
        <w:t xml:space="preserve"> рекомендациями по предоперационной подготовке) [70].</w:t>
      </w:r>
      <w:r>
        <w:t xml:space="preserve"> </w:t>
      </w:r>
    </w:p>
    <w:p w:rsidR="00325AD1" w:rsidRDefault="008C5E81">
      <w:pPr>
        <w:numPr>
          <w:ilvl w:val="0"/>
          <w:numId w:val="4"/>
        </w:numPr>
        <w:spacing w:line="372" w:lineRule="auto"/>
        <w:ind w:right="479" w:firstLine="708"/>
      </w:pPr>
      <w:r>
        <w:t>Рекомендуется выполнить цистоскопию у кандидатов на трансплантацию поджелудочной железы или поджелудочной железы и почки с повышенным риском для скрининга карциномы мочевого пузыря [71-73, 194, 195].</w:t>
      </w:r>
      <w:r>
        <w:rPr>
          <w:b/>
        </w:rPr>
        <w:t xml:space="preserve">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4). </w:t>
      </w:r>
    </w:p>
    <w:p w:rsidR="00325AD1" w:rsidRDefault="008C5E81">
      <w:pPr>
        <w:spacing w:after="53" w:line="368" w:lineRule="auto"/>
        <w:ind w:left="-15" w:right="476" w:firstLine="710"/>
      </w:pPr>
      <w:r>
        <w:rPr>
          <w:i/>
        </w:rPr>
        <w:t>Комментарий:</w:t>
      </w:r>
      <w:r>
        <w:rPr>
          <w:rFonts w:ascii="Calibri" w:eastAsia="Calibri" w:hAnsi="Calibri" w:cs="Calibri"/>
          <w:sz w:val="21"/>
        </w:rPr>
        <w:t xml:space="preserve"> </w:t>
      </w:r>
      <w:r>
        <w:rPr>
          <w:i/>
        </w:rPr>
        <w:t>Цистоскопия для скрининга рака мочевого пузыря необходима кандидатам на трансплантацию поджелудочной железы, пациентам из групп высокого риска: заядлым курильщикам (≥30 пачко-лет) и лицам с предшествующим воздействием противоопухолевых препаратов (например</w:t>
      </w:r>
      <w:r>
        <w:rPr>
          <w:i/>
        </w:rPr>
        <w:t xml:space="preserve">, циклофосфамида**) [71]. </w:t>
      </w:r>
    </w:p>
    <w:p w:rsidR="00325AD1" w:rsidRDefault="008C5E81">
      <w:pPr>
        <w:numPr>
          <w:ilvl w:val="0"/>
          <w:numId w:val="4"/>
        </w:numPr>
        <w:spacing w:line="397" w:lineRule="auto"/>
        <w:ind w:right="479" w:firstLine="708"/>
      </w:pPr>
      <w:r>
        <w:t xml:space="preserve">Рекомендуется провести КТ грудной клетки для нынешних или бывших заядлых курильщиков (≥ 30 пачко-лет) для скрининга рака легких [225].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5). </w:t>
      </w:r>
    </w:p>
    <w:p w:rsidR="00325AD1" w:rsidRDefault="008C5E81">
      <w:pPr>
        <w:spacing w:after="120" w:line="259" w:lineRule="auto"/>
        <w:ind w:left="720" w:firstLine="0"/>
        <w:jc w:val="left"/>
      </w:pPr>
      <w:r>
        <w:t xml:space="preserve"> </w:t>
      </w:r>
    </w:p>
    <w:p w:rsidR="00325AD1" w:rsidRDefault="008C5E81">
      <w:pPr>
        <w:spacing w:after="163" w:line="259" w:lineRule="auto"/>
        <w:ind w:left="720" w:firstLine="0"/>
        <w:jc w:val="left"/>
      </w:pPr>
      <w:r>
        <w:rPr>
          <w:b/>
        </w:rPr>
        <w:t xml:space="preserve"> </w:t>
      </w:r>
    </w:p>
    <w:p w:rsidR="00325AD1" w:rsidRDefault="008C5E81">
      <w:pPr>
        <w:spacing w:after="155" w:line="259" w:lineRule="auto"/>
        <w:ind w:left="360" w:right="477" w:firstLine="0"/>
      </w:pPr>
      <w:r>
        <w:rPr>
          <w:b/>
        </w:rPr>
        <w:t>2.5 Ины</w:t>
      </w:r>
      <w:r>
        <w:rPr>
          <w:b/>
        </w:rPr>
        <w:t xml:space="preserve">е диагностические исследования </w:t>
      </w:r>
    </w:p>
    <w:p w:rsidR="00325AD1" w:rsidRDefault="008C5E81">
      <w:pPr>
        <w:spacing w:after="336" w:line="259" w:lineRule="auto"/>
        <w:ind w:left="720" w:firstLine="0"/>
        <w:jc w:val="left"/>
      </w:pPr>
      <w:r>
        <w:rPr>
          <w:rFonts w:ascii="Calibri" w:eastAsia="Calibri" w:hAnsi="Calibri" w:cs="Calibri"/>
          <w:sz w:val="21"/>
        </w:rPr>
        <w:t>Нет</w:t>
      </w:r>
      <w:r>
        <w:rPr>
          <w:b/>
        </w:rPr>
        <w:t>.</w:t>
      </w:r>
      <w:r>
        <w:t xml:space="preserve"> </w:t>
      </w:r>
    </w:p>
    <w:p w:rsidR="00325AD1" w:rsidRDefault="008C5E81">
      <w:pPr>
        <w:pStyle w:val="Heading1"/>
        <w:spacing w:line="365" w:lineRule="auto"/>
        <w:ind w:left="-15" w:right="475" w:firstLine="708"/>
      </w:pPr>
      <w:r>
        <w:rPr>
          <w:b w:val="0"/>
        </w:rPr>
        <w:t>3.</w:t>
      </w:r>
      <w:r>
        <w:rPr>
          <w:rFonts w:ascii="Arial" w:eastAsia="Arial" w:hAnsi="Arial" w:cs="Arial"/>
          <w:b w:val="0"/>
        </w:rPr>
        <w:t xml:space="preserve"> </w:t>
      </w:r>
      <w:r>
        <w:t>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r>
        <w:rPr>
          <w:b w:val="0"/>
          <w:sz w:val="24"/>
        </w:rPr>
        <w:t xml:space="preserve"> </w:t>
      </w:r>
    </w:p>
    <w:p w:rsidR="00325AD1" w:rsidRDefault="008C5E81">
      <w:pPr>
        <w:spacing w:after="41" w:line="259" w:lineRule="auto"/>
        <w:ind w:left="-15" w:right="477" w:firstLine="0"/>
      </w:pPr>
      <w:r>
        <w:rPr>
          <w:b/>
        </w:rPr>
        <w:t>3.1 Консервативное лечение</w:t>
      </w:r>
      <w:r>
        <w:t xml:space="preserve"> </w:t>
      </w:r>
    </w:p>
    <w:p w:rsidR="00325AD1" w:rsidRDefault="008C5E81">
      <w:pPr>
        <w:numPr>
          <w:ilvl w:val="0"/>
          <w:numId w:val="5"/>
        </w:numPr>
        <w:spacing w:line="369" w:lineRule="auto"/>
        <w:ind w:right="479" w:firstLine="708"/>
      </w:pPr>
      <w:r>
        <w:t xml:space="preserve">Рекомендуется гемодиализ пациентам с инсулинозависимым сахарным диабетом с поражением почек перед трансплантацией для коррекции дисбаланса жидкости и электролитов [5, 181,182]. </w:t>
      </w:r>
      <w:r>
        <w:rPr>
          <w:b/>
        </w:rPr>
        <w:t xml:space="preserve">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w:t>
      </w:r>
      <w:r>
        <w:rPr>
          <w:b/>
        </w:rPr>
        <w:t>4).</w:t>
      </w:r>
      <w:r>
        <w:rPr>
          <w:i/>
        </w:rPr>
        <w:t xml:space="preserve"> </w:t>
      </w:r>
    </w:p>
    <w:p w:rsidR="00325AD1" w:rsidRDefault="008C5E81">
      <w:pPr>
        <w:spacing w:after="53" w:line="368" w:lineRule="auto"/>
        <w:ind w:left="-15" w:right="476" w:firstLine="710"/>
      </w:pPr>
      <w:r>
        <w:rPr>
          <w:i/>
        </w:rPr>
        <w:t>Комментарии</w:t>
      </w:r>
      <w:r>
        <w:t xml:space="preserve">: </w:t>
      </w:r>
      <w:r>
        <w:rPr>
          <w:i/>
        </w:rPr>
        <w:t>рутинное использование гемодиализа непосредственно перед трансплантацией почки не показано. Гиперкалиемия является наиболее распространенным показанием для гемодиализа до операции. Риски гемодиализа по сравнению с медикаментозной терапией</w:t>
      </w:r>
      <w:r>
        <w:rPr>
          <w:i/>
        </w:rPr>
        <w:t xml:space="preserve"> должны учитываться наряду с рисками интраоперационной перегрузки жидкостью, электролитных и кислотно-щелочных нарушений, особенно в тех случаях, когда почка от посмертного донора трансплантируется со значительным риском развития ОФТ. Предоперационный гемо</w:t>
      </w:r>
      <w:r>
        <w:rPr>
          <w:i/>
        </w:rPr>
        <w:t>диализ может инициировать провоспалительное состояние, отложить хирургическое вмешательство, увеличить время холодовой ишемии и повысить риск развития ОФТ.</w:t>
      </w:r>
      <w:r>
        <w:t xml:space="preserve"> </w:t>
      </w:r>
    </w:p>
    <w:p w:rsidR="00325AD1" w:rsidRDefault="008C5E81">
      <w:pPr>
        <w:numPr>
          <w:ilvl w:val="0"/>
          <w:numId w:val="5"/>
        </w:numPr>
        <w:spacing w:line="375" w:lineRule="auto"/>
        <w:ind w:right="479" w:firstLine="708"/>
      </w:pPr>
      <w:r>
        <w:t>Рекомендуется назначение антитромботических средств пациентам с хронической болезнью почек в ожидан</w:t>
      </w:r>
      <w:r>
        <w:t>ии трансплантации поджелудочной железы и почки с целью снижения рисков сосудистых и тромботических осложнений [18 – 20, 174, 175].</w:t>
      </w:r>
      <w:r>
        <w:rPr>
          <w:b/>
        </w:rPr>
        <w:t xml:space="preserve">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4). </w:t>
      </w:r>
      <w:r>
        <w:t xml:space="preserve"> </w:t>
      </w:r>
    </w:p>
    <w:p w:rsidR="00325AD1" w:rsidRDefault="008C5E81">
      <w:pPr>
        <w:spacing w:after="1" w:line="368" w:lineRule="auto"/>
        <w:ind w:left="-15" w:right="476" w:firstLine="710"/>
      </w:pPr>
      <w:r>
        <w:rPr>
          <w:i/>
        </w:rPr>
        <w:t>Комментарии: Так как не существует станда</w:t>
      </w:r>
      <w:r>
        <w:rPr>
          <w:i/>
        </w:rPr>
        <w:t>ртизированного протокола тромбопрофилактики у пациентов, ожидающих трансплантацию поджелудочной железы и почки, необходимо обсуждение предоперационного ведения на междисциплинарном консилиуме (врач-кардиолог, врач-гематолог и т.д.) [74]. Многие пациенты, н</w:t>
      </w:r>
      <w:r>
        <w:rPr>
          <w:i/>
        </w:rPr>
        <w:t xml:space="preserve">аходящиеся в активном листе ожидания трансплантата, имеют сосудистые заболевания и / или протромботические состояния, которые должны оцениваться до трансплантации. Двойная антиагрегантная терапия обычно назначается пациентам со стентами коронарных артерий </w:t>
      </w:r>
      <w:r>
        <w:rPr>
          <w:i/>
        </w:rPr>
        <w:t>в течение шести – двенадцати месяцев; планы периоперационного лечения этих пациентов следует обсудить с врачом-кардиологом, чтобы полностью исключить риск их отмены. Возможности отмены антикоагулянтной и послеоперационной антикоагулянтной терапии следует о</w:t>
      </w:r>
      <w:r>
        <w:rPr>
          <w:i/>
        </w:rPr>
        <w:t xml:space="preserve">бсудить с врачом-гематологом до внесения пациентов в список. </w:t>
      </w:r>
    </w:p>
    <w:p w:rsidR="00325AD1" w:rsidRDefault="008C5E81">
      <w:pPr>
        <w:spacing w:after="53" w:line="368" w:lineRule="auto"/>
        <w:ind w:left="-15" w:right="476" w:firstLine="710"/>
      </w:pPr>
      <w:r>
        <w:rPr>
          <w:i/>
        </w:rPr>
        <w:t>Некоторые пациенты будут активны в листе ожидания трансплантации, продолжая принимать антиагрегантную терапию и / или антикоагулянтную терапию. Показания для применения должны быть четко докумен</w:t>
      </w:r>
      <w:r>
        <w:rPr>
          <w:i/>
        </w:rPr>
        <w:t>тированы для каждого человека. Потенциальный повышенный риск периоперационного кровотечения необходимо взвесить против потенциального вреда от артериального или венозного тромбоза. У многих пациентов после пересадки поджелудочной железы назначаются антитро</w:t>
      </w:r>
      <w:r>
        <w:rPr>
          <w:i/>
        </w:rPr>
        <w:t>мботические средства, но выбор препарата зависит от индивидуального риска (тромбофилия, риск кровотечения). Это обосновывает необходимость участия врача-гематолога для выявления тромбофилий и врача-кардиолога/врача-нефролога для оценки баланса рисков [76].</w:t>
      </w:r>
      <w:r>
        <w:rPr>
          <w:i/>
        </w:rPr>
        <w:t xml:space="preserve"> При необходимости влияние антиагрегантной терапии может быть снижено при интраоперационных тромбоцитарных инфузиях. </w:t>
      </w:r>
      <w:r>
        <w:t xml:space="preserve"> </w:t>
      </w:r>
    </w:p>
    <w:p w:rsidR="00325AD1" w:rsidRDefault="008C5E81">
      <w:pPr>
        <w:numPr>
          <w:ilvl w:val="0"/>
          <w:numId w:val="5"/>
        </w:numPr>
        <w:spacing w:line="357" w:lineRule="auto"/>
        <w:ind w:right="479" w:firstLine="708"/>
      </w:pPr>
      <w:r>
        <w:t>Рекомендуется периоперационная профилактика антибактериальными препаратами системного действия и противогрибковыми препаратами системного</w:t>
      </w:r>
      <w:r>
        <w:t xml:space="preserve"> действия у реципиентов трансплантата поджелудочной железы или поджелудочной железы и почки [77, 78, 212,213,243].</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4).</w:t>
      </w:r>
      <w:r>
        <w:rPr>
          <w:i/>
        </w:rPr>
        <w:t xml:space="preserve"> </w:t>
      </w:r>
    </w:p>
    <w:p w:rsidR="00325AD1" w:rsidRDefault="008C5E81">
      <w:pPr>
        <w:spacing w:after="53" w:line="368" w:lineRule="auto"/>
        <w:ind w:left="-15" w:right="476" w:firstLine="710"/>
      </w:pPr>
      <w:r>
        <w:rPr>
          <w:i/>
        </w:rPr>
        <w:t>Комментарии: Грибковая и, в первую очередь, кандидозная ин</w:t>
      </w:r>
      <w:r>
        <w:rPr>
          <w:i/>
        </w:rPr>
        <w:t>фекция является частым осложнением после трансплантации поджелудочной железы, вызывая как системный кандидоз, так и местно распространенный инфекционный процесс (раневую инфекцию или локальный перитонит). Повышенная частота кандидозной инфекции обусловлена</w:t>
      </w:r>
      <w:r>
        <w:rPr>
          <w:i/>
        </w:rPr>
        <w:t xml:space="preserve"> продолжительной антибактериальной терапией после трансплантации и высокой вероятностью грибковой трансмиссии с донорским панкреато-дуоденальным комплексом </w:t>
      </w:r>
      <w:r>
        <w:t xml:space="preserve"> </w:t>
      </w:r>
    </w:p>
    <w:p w:rsidR="00325AD1" w:rsidRDefault="008C5E81">
      <w:pPr>
        <w:numPr>
          <w:ilvl w:val="0"/>
          <w:numId w:val="5"/>
        </w:numPr>
        <w:spacing w:after="33" w:line="375" w:lineRule="auto"/>
        <w:ind w:right="479" w:firstLine="708"/>
      </w:pPr>
      <w:r>
        <w:t>Рекомендуется использовать сдержанную интраоперационную гидратацию реципиента электролитами (B05BB</w:t>
      </w:r>
      <w:r>
        <w:t xml:space="preserve"> растворы, влияющие на водноэлектролитный баланс) для профилактики отека поджелудочной железы [79,183,].</w:t>
      </w:r>
      <w:r>
        <w:rPr>
          <w:b/>
        </w:rPr>
        <w:t xml:space="preserve"> </w:t>
      </w:r>
    </w:p>
    <w:p w:rsidR="00325AD1" w:rsidRDefault="008C5E81">
      <w:pPr>
        <w:spacing w:line="390" w:lineRule="auto"/>
        <w:ind w:left="-15" w:right="477" w:firstLine="710"/>
      </w:pPr>
      <w:r>
        <w:rPr>
          <w:b/>
        </w:rPr>
        <w:t>Уровень убедительности рекомендаций C (уровень достоверности доказательств – 5).</w:t>
      </w:r>
      <w:r>
        <w:rPr>
          <w:i/>
        </w:rPr>
        <w:t xml:space="preserve"> </w:t>
      </w:r>
    </w:p>
    <w:p w:rsidR="00325AD1" w:rsidRDefault="008C5E81">
      <w:pPr>
        <w:spacing w:after="9" w:line="368" w:lineRule="auto"/>
        <w:ind w:left="-15" w:right="476" w:firstLine="710"/>
      </w:pPr>
      <w:r>
        <w:rPr>
          <w:i/>
        </w:rPr>
        <w:t>Комментарии: для профилактики отека поджелудочной железы и оптимальной функции почечного трансплантата (если выполнятся симультанное вмешательство) необходимо тщательное соблюдение пери- и послеоперационного баланса жидкости. Сбалансированные растворы могу</w:t>
      </w:r>
      <w:r>
        <w:rPr>
          <w:i/>
        </w:rPr>
        <w:t xml:space="preserve">т быть оптимальным и более безопасным вариантом интраоперационной внутривенной жидкостной терапии.  </w:t>
      </w:r>
    </w:p>
    <w:p w:rsidR="00325AD1" w:rsidRDefault="008C5E81">
      <w:pPr>
        <w:spacing w:after="190" w:line="259" w:lineRule="auto"/>
        <w:ind w:left="703"/>
        <w:jc w:val="left"/>
      </w:pPr>
      <w:r>
        <w:rPr>
          <w:rFonts w:ascii="Calibri" w:eastAsia="Calibri" w:hAnsi="Calibri" w:cs="Calibri"/>
          <w:b/>
          <w:sz w:val="22"/>
        </w:rPr>
        <w:t>3.2 Хирургическое лечение</w:t>
      </w:r>
      <w:r>
        <w:rPr>
          <w:rFonts w:ascii="Calibri" w:eastAsia="Calibri" w:hAnsi="Calibri" w:cs="Calibri"/>
          <w:sz w:val="22"/>
        </w:rPr>
        <w:t xml:space="preserve"> </w:t>
      </w:r>
    </w:p>
    <w:p w:rsidR="00325AD1" w:rsidRDefault="008C5E81">
      <w:pPr>
        <w:numPr>
          <w:ilvl w:val="0"/>
          <w:numId w:val="5"/>
        </w:numPr>
        <w:spacing w:line="396" w:lineRule="auto"/>
        <w:ind w:right="479" w:firstLine="708"/>
      </w:pPr>
      <w:r>
        <w:t>Рекомендуется оценить и подготовить трансплантат поджелудочной железы от посмертного донора на отдельном столе до начала операции реципиента [81 – 84].</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5).</w:t>
      </w:r>
      <w:r>
        <w:rPr>
          <w:i/>
        </w:rPr>
        <w:t xml:space="preserve"> </w:t>
      </w:r>
    </w:p>
    <w:p w:rsidR="00325AD1" w:rsidRDefault="008C5E81">
      <w:pPr>
        <w:spacing w:after="24" w:line="368" w:lineRule="auto"/>
        <w:ind w:left="-15" w:right="476" w:firstLine="710"/>
      </w:pPr>
      <w:r>
        <w:rPr>
          <w:i/>
        </w:rPr>
        <w:t>Комментарии: обработк</w:t>
      </w:r>
      <w:r>
        <w:rPr>
          <w:i/>
        </w:rPr>
        <w:t xml:space="preserve">а трансплантата на отдельном столе (back-table preparation) является важным шагом в процессе трансплантации.  </w:t>
      </w:r>
    </w:p>
    <w:p w:rsidR="00325AD1" w:rsidRDefault="008C5E81">
      <w:pPr>
        <w:spacing w:after="7" w:line="368" w:lineRule="auto"/>
        <w:ind w:left="-15" w:right="476" w:firstLine="710"/>
      </w:pPr>
      <w:r>
        <w:rPr>
          <w:i/>
        </w:rPr>
        <w:t xml:space="preserve">Необходимо выявить количество, качество и целостность сосудов панкреадуделального комплекса, паренхимы поджелудочной железы и 12-перстной кишки. </w:t>
      </w:r>
      <w:r>
        <w:rPr>
          <w:i/>
        </w:rPr>
        <w:t>Далее перевязывают и отсекают соединительную (жировую) ткань по верхнему и нижнему краям поджелудочной железы. Далее необходимо выполнить следующие этапы подготовки трансплантата: спленэктомия осуществляется при раздельном лигировании и пересечении одноиме</w:t>
      </w:r>
      <w:r>
        <w:rPr>
          <w:i/>
        </w:rPr>
        <w:t xml:space="preserve">нных артерий и вен 2-3 порядков. Проксимальная культя селезеночной артерии помечается лигатурой. Лигируется нижняя брыжеечная вена у нижнего края поджелудочной железы. </w:t>
      </w:r>
    </w:p>
    <w:p w:rsidR="00325AD1" w:rsidRDefault="008C5E81">
      <w:pPr>
        <w:spacing w:after="53" w:line="368" w:lineRule="auto"/>
        <w:ind w:left="-15" w:right="476" w:firstLine="710"/>
      </w:pPr>
      <w:r>
        <w:rPr>
          <w:i/>
        </w:rPr>
        <w:t>На задней поверхности головки поджелудочной железы устье общего желчного протока ушивае</w:t>
      </w:r>
      <w:r>
        <w:rPr>
          <w:i/>
        </w:rPr>
        <w:t>тся наглухо. Культя воротной вены мобилизируется из окружающих тканей для удобства последующего ее анастомозирования. Мобилизируется верхняя брыжеечная артерия с перевязкой и пересечением ганглионарной ткани чревного сплетения</w:t>
      </w:r>
      <w:r>
        <w:t xml:space="preserve">. </w:t>
      </w:r>
      <w:r>
        <w:rPr>
          <w:i/>
        </w:rPr>
        <w:t>Проксимальная культя двенадц</w:t>
      </w:r>
      <w:r>
        <w:rPr>
          <w:i/>
        </w:rPr>
        <w:t>атиперстной кишки трансплантата отсекается дистальнее привратника (на уровне верхне-бокового края головки поджелудочной железы), герметизируется аппаратным швом и дополнительно погружается в кисет. Дистальная культя двенадцатиперстной кишки трансплантата т</w:t>
      </w:r>
      <w:r>
        <w:rPr>
          <w:i/>
        </w:rPr>
        <w:t>акже пересекается и ушивается аппаратным швом в месте перехода вертикальной в нижне-горизонтальную часть двенадцатиперстной кишки и дополнительно погружается в кисет. Корень брыжейки поперечной ободочной и тонкой кишки с включающими ее ветвями верхней брыж</w:t>
      </w:r>
      <w:r>
        <w:rPr>
          <w:i/>
        </w:rPr>
        <w:t>еечной артерии и вены также ушивается аппаратным швом с двойным прошиванием обивным непрерывным швомматериалом хирургическим шовным стерильным, нерассасывающимся из пролена 4/0. Проксимальные культи верхней брыжеечной артерии и одноименной вены ушиваются н</w:t>
      </w:r>
      <w:r>
        <w:rPr>
          <w:i/>
        </w:rPr>
        <w:t>аглухо у нижнего края поджелудочной железы. Устье верхней брыжеечной артерии и устье селезеночной артерии соединяются Y-образной вставкой (зона бифуркации общей подвздошной артерии донора на наружную и внутреннюю подвздошные артерии). Анастомозы накладываю</w:t>
      </w:r>
      <w:r>
        <w:rPr>
          <w:i/>
        </w:rPr>
        <w:t>тся непрерывным швом</w:t>
      </w:r>
      <w:r>
        <w:t xml:space="preserve"> </w:t>
      </w:r>
      <w:r>
        <w:rPr>
          <w:i/>
        </w:rPr>
        <w:t xml:space="preserve">материалом хирургическим шовным, стерильным, рассасывающимся из ПДС или материалом хирургическим шовным стерильным, нерассасывающимся из пролена 5-6/0 [80 – 84]. </w:t>
      </w:r>
      <w:r>
        <w:t xml:space="preserve"> </w:t>
      </w:r>
    </w:p>
    <w:p w:rsidR="00325AD1" w:rsidRDefault="008C5E81">
      <w:pPr>
        <w:numPr>
          <w:ilvl w:val="0"/>
          <w:numId w:val="6"/>
        </w:numPr>
        <w:spacing w:line="374" w:lineRule="auto"/>
        <w:ind w:right="479" w:firstLine="720"/>
      </w:pPr>
      <w:r>
        <w:t>Рекомендуется использовать внебрюшинный доступ к подвздошной ямке с пра</w:t>
      </w:r>
      <w:r>
        <w:t xml:space="preserve">вой стороны в качестве операционного доступа при изолированной трансплантации поджелудочной железы [82 – 86]. </w:t>
      </w:r>
      <w:r>
        <w:rPr>
          <w:b/>
        </w:rPr>
        <w:t xml:space="preserve"> </w:t>
      </w:r>
    </w:p>
    <w:p w:rsidR="00325AD1" w:rsidRDefault="008C5E81">
      <w:pPr>
        <w:spacing w:after="28" w:line="390" w:lineRule="auto"/>
        <w:ind w:left="-15" w:right="477" w:firstLine="710"/>
      </w:pPr>
      <w:r>
        <w:rPr>
          <w:b/>
        </w:rPr>
        <w:t xml:space="preserve">Уровень убедительности рекомендаций С (уровень достоверности доказательств – 5). </w:t>
      </w:r>
      <w:r>
        <w:t xml:space="preserve"> </w:t>
      </w:r>
    </w:p>
    <w:p w:rsidR="00325AD1" w:rsidRDefault="008C5E81">
      <w:pPr>
        <w:numPr>
          <w:ilvl w:val="0"/>
          <w:numId w:val="6"/>
        </w:numPr>
        <w:spacing w:line="371" w:lineRule="auto"/>
        <w:ind w:right="479" w:firstLine="720"/>
      </w:pPr>
      <w:r>
        <w:t>Рекомендуется использовать срединную лапаротомию, располагая трансплантат поджелудочной железы в правом латеральном канале, а почечный трансплантат в левой подвздошной ямке в качестве операционного доступа при сочетанной трансплантации поджелудочной железы</w:t>
      </w:r>
      <w:r>
        <w:t xml:space="preserve"> и почки [81, 86]. </w:t>
      </w:r>
      <w:r>
        <w:rPr>
          <w:b/>
        </w:rPr>
        <w:t xml:space="preserve">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5). </w:t>
      </w:r>
      <w:r>
        <w:rPr>
          <w:i/>
        </w:rPr>
        <w:t xml:space="preserve"> </w:t>
      </w:r>
    </w:p>
    <w:p w:rsidR="00325AD1" w:rsidRDefault="008C5E81">
      <w:pPr>
        <w:spacing w:after="53" w:line="368" w:lineRule="auto"/>
        <w:ind w:left="-15" w:right="476" w:firstLine="710"/>
      </w:pPr>
      <w:r>
        <w:rPr>
          <w:i/>
        </w:rPr>
        <w:t>Комментарии: в некоторых случаях возможно расположение трансплантатов справа, при этом трансплантат поджелудочной железы имплантируется каудальнее транс</w:t>
      </w:r>
      <w:r>
        <w:rPr>
          <w:i/>
        </w:rPr>
        <w:t>плантата почки. Забрюшинный доступ целесообразен с точки зрения изоляции перипанкреатической секреции от органов брюшной полости в послеоперационном периоде, срединная лапаротомия обеспечивает хорошую маневренность при выполнении дополнительных процедур: о</w:t>
      </w:r>
      <w:r>
        <w:rPr>
          <w:i/>
        </w:rPr>
        <w:t>дномоментной трансплантации почки, удаления перитонеального катетера.</w:t>
      </w:r>
      <w:r>
        <w:t xml:space="preserve"> </w:t>
      </w:r>
    </w:p>
    <w:p w:rsidR="00325AD1" w:rsidRDefault="008C5E81">
      <w:pPr>
        <w:numPr>
          <w:ilvl w:val="0"/>
          <w:numId w:val="6"/>
        </w:numPr>
        <w:spacing w:line="365" w:lineRule="auto"/>
        <w:ind w:right="479" w:firstLine="720"/>
      </w:pPr>
      <w:r>
        <w:t>Рекомендуется использовать наружные или общие подвздошные артерии реципиента для артериального анастомоза «конец в бок» с артерией трансплантата поджелудочной железы для реконструкции к</w:t>
      </w:r>
      <w:r>
        <w:t>ровоснабжения трансплантата поджелудочной железы [80 – 82, 86].</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5).</w:t>
      </w:r>
      <w:r>
        <w:rPr>
          <w:i/>
        </w:rPr>
        <w:t xml:space="preserve"> </w:t>
      </w:r>
    </w:p>
    <w:p w:rsidR="00325AD1" w:rsidRDefault="008C5E81">
      <w:pPr>
        <w:spacing w:after="53" w:line="368" w:lineRule="auto"/>
        <w:ind w:left="-15" w:right="476" w:firstLine="710"/>
      </w:pPr>
      <w:r>
        <w:rPr>
          <w:i/>
        </w:rPr>
        <w:t>Комментарии: выбор общей правой подвздошной артерии для анастомоза считается оптимальным, так как ее использо</w:t>
      </w:r>
      <w:r>
        <w:rPr>
          <w:i/>
        </w:rPr>
        <w:t>вание позволяет расположить трансплантат поджелудочной железы в любой позиции (головкой вверх или вниз).</w:t>
      </w:r>
      <w:r>
        <w:t xml:space="preserve"> </w:t>
      </w:r>
    </w:p>
    <w:p w:rsidR="00325AD1" w:rsidRDefault="008C5E81">
      <w:pPr>
        <w:numPr>
          <w:ilvl w:val="0"/>
          <w:numId w:val="6"/>
        </w:numPr>
        <w:spacing w:line="369" w:lineRule="auto"/>
        <w:ind w:right="479" w:firstLine="720"/>
      </w:pPr>
      <w:r>
        <w:t>Рекомендуется выполнять анастомоз между портальной веной трансплантата и нижней полой или общей подвздошной веной реципиента с целью восстановления ве</w:t>
      </w:r>
      <w:r>
        <w:t>нозного оттока трансплантата поджелудочной железы. Также возможно использование верхнебрыжеечной вены реципиента [87 – 89].</w:t>
      </w:r>
      <w:r>
        <w:rPr>
          <w:b/>
        </w:rPr>
        <w:t xml:space="preserve">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4). </w:t>
      </w:r>
      <w:r>
        <w:rPr>
          <w:i/>
        </w:rPr>
        <w:t xml:space="preserve"> </w:t>
      </w:r>
    </w:p>
    <w:p w:rsidR="00325AD1" w:rsidRDefault="008C5E81">
      <w:pPr>
        <w:spacing w:after="53" w:line="368" w:lineRule="auto"/>
        <w:ind w:left="-15" w:right="476" w:firstLine="710"/>
      </w:pPr>
      <w:r>
        <w:rPr>
          <w:i/>
        </w:rPr>
        <w:t>Комментарии: имплантация поджелудочной железы на</w:t>
      </w:r>
      <w:r>
        <w:rPr>
          <w:i/>
        </w:rPr>
        <w:t>чинается с реконструкции венозного оттока трансплантата. Выделяют два основных способа венозной реконструкции – портальный и системный. Портальная венозная реконструкция считается более физиологичной, так как нивелирует возможную гиперинсулинемию при прохо</w:t>
      </w:r>
      <w:r>
        <w:rPr>
          <w:i/>
        </w:rPr>
        <w:t>ждении крови через печень. Системный венозный отток может вести к периферической гиперинсулинемии с последующим развитием резистентности к инсулину и нарушению липидного обмена. В настоящее время наиболее часто применяется именно системный венозный дренаж,</w:t>
      </w:r>
      <w:r>
        <w:rPr>
          <w:i/>
        </w:rPr>
        <w:t xml:space="preserve"> однако выбор зависит от конкретного реципиента.</w:t>
      </w:r>
      <w:r>
        <w:t xml:space="preserve"> </w:t>
      </w:r>
    </w:p>
    <w:p w:rsidR="00325AD1" w:rsidRDefault="008C5E81">
      <w:pPr>
        <w:numPr>
          <w:ilvl w:val="0"/>
          <w:numId w:val="6"/>
        </w:numPr>
        <w:spacing w:line="368" w:lineRule="auto"/>
        <w:ind w:right="479" w:firstLine="720"/>
      </w:pPr>
      <w:r>
        <w:t>Рекомендуется выполнять восстановление экзокринного оттока поджелудочной железы кишечным дренированием у реципиента поджелудочной железы или сочетанной поджелудочной железы и почки с целью минимизации метаб</w:t>
      </w:r>
      <w:r>
        <w:t xml:space="preserve">олических осложнений [89 – 91]. </w:t>
      </w:r>
      <w:r>
        <w:rPr>
          <w:b/>
        </w:rPr>
        <w:t xml:space="preserve"> </w:t>
      </w:r>
    </w:p>
    <w:p w:rsidR="00325AD1" w:rsidRDefault="008C5E81">
      <w:pPr>
        <w:spacing w:line="390" w:lineRule="auto"/>
        <w:ind w:left="-15" w:right="477" w:firstLine="710"/>
      </w:pPr>
      <w:r>
        <w:rPr>
          <w:b/>
        </w:rPr>
        <w:t xml:space="preserve">Уровень убедительности рекомендаций С (уровень достоверности доказательств – 4). </w:t>
      </w:r>
      <w:r>
        <w:rPr>
          <w:i/>
        </w:rPr>
        <w:t xml:space="preserve"> </w:t>
      </w:r>
    </w:p>
    <w:p w:rsidR="00325AD1" w:rsidRDefault="008C5E81">
      <w:pPr>
        <w:spacing w:after="9" w:line="368" w:lineRule="auto"/>
        <w:ind w:left="-15" w:right="476" w:firstLine="710"/>
      </w:pPr>
      <w:r>
        <w:rPr>
          <w:i/>
        </w:rPr>
        <w:t>Комментарии: к настоящему времени описано более 40 методов ТПЖ в зависимости от вида трансплантата и методики формирования экзокринного дре</w:t>
      </w:r>
      <w:r>
        <w:rPr>
          <w:i/>
        </w:rPr>
        <w:t xml:space="preserve">нажа. Наиболее простым считается дуоденоцистостомия, позволяющая мониторировать уровень амилазы мочи как одного из маркеров функции трансплантата и отторжения в послеоперационном периоде. </w:t>
      </w:r>
    </w:p>
    <w:p w:rsidR="00325AD1" w:rsidRDefault="008C5E81">
      <w:pPr>
        <w:spacing w:after="53" w:line="368" w:lineRule="auto"/>
        <w:ind w:left="-15" w:right="476" w:firstLine="710"/>
      </w:pPr>
      <w:r>
        <w:rPr>
          <w:i/>
        </w:rPr>
        <w:t>Более предпочтительным считается наложение дуоденоеюноанастомоза, т</w:t>
      </w:r>
      <w:r>
        <w:rPr>
          <w:i/>
        </w:rPr>
        <w:t xml:space="preserve">ак как последний в отличие от дуоденоцистоанастомоза, не ведет к развитию ферментативного и/или геморрагического цистита и метаболическим расстройствам в посттрансплантационном периоде.  </w:t>
      </w:r>
    </w:p>
    <w:p w:rsidR="00325AD1" w:rsidRDefault="008C5E81">
      <w:pPr>
        <w:spacing w:after="53" w:line="368" w:lineRule="auto"/>
        <w:ind w:left="-15" w:right="476" w:firstLine="710"/>
      </w:pPr>
      <w:r>
        <w:rPr>
          <w:i/>
        </w:rPr>
        <w:t>Наиболее современной техникой является выполнение дуодено-дуоденоана</w:t>
      </w:r>
      <w:r>
        <w:rPr>
          <w:i/>
        </w:rPr>
        <w:t>стомоза. Данная методика более физиологична и позволяет осуществлять эндоскопический контроль состояния донорской 12-перстной кишки и выполнять биопсию трансплантата при необходимости.</w:t>
      </w:r>
      <w:r>
        <w:rPr>
          <w:rFonts w:ascii="Calibri" w:eastAsia="Calibri" w:hAnsi="Calibri" w:cs="Calibri"/>
          <w:i/>
          <w:sz w:val="22"/>
        </w:rPr>
        <w:t xml:space="preserve"> </w:t>
      </w:r>
    </w:p>
    <w:p w:rsidR="00325AD1" w:rsidRDefault="008C5E81">
      <w:pPr>
        <w:pStyle w:val="Heading2"/>
        <w:spacing w:after="184"/>
      </w:pPr>
      <w:r>
        <w:t>3.2.1 Хирургические осложнения</w:t>
      </w:r>
      <w:r>
        <w:rPr>
          <w:i w:val="0"/>
          <w:u w:val="none"/>
        </w:rPr>
        <w:t xml:space="preserve"> </w:t>
      </w:r>
    </w:p>
    <w:p w:rsidR="00325AD1" w:rsidRDefault="008C5E81">
      <w:pPr>
        <w:numPr>
          <w:ilvl w:val="0"/>
          <w:numId w:val="7"/>
        </w:numPr>
        <w:spacing w:after="34" w:line="376" w:lineRule="auto"/>
        <w:ind w:right="478" w:firstLine="710"/>
      </w:pPr>
      <w:r>
        <w:t>Рекомендуется проводить профилактику венозного тромбоза поджелудочной железы постоянной внутривенной инфузией гепарина натрия** с помощью насоса инфузионного шприцевого в течение 2-4 дней после трансплантации. Целевой показатель АЧТВ не должен превышать 50</w:t>
      </w:r>
      <w:r>
        <w:t xml:space="preserve"> сек.  Последующая антикоагулянтная терапия может проводиться препаратами группы гепарина [92,93,164].</w:t>
      </w:r>
      <w:r>
        <w:rPr>
          <w:b/>
        </w:rPr>
        <w:t xml:space="preserve"> </w:t>
      </w:r>
    </w:p>
    <w:p w:rsidR="00325AD1" w:rsidRDefault="008C5E81">
      <w:pPr>
        <w:spacing w:line="390" w:lineRule="auto"/>
        <w:ind w:left="-15" w:right="477" w:firstLine="710"/>
      </w:pPr>
      <w:r>
        <w:rPr>
          <w:b/>
        </w:rPr>
        <w:t>Уровень убедительности рекомендаций B (уровень достоверности доказательств – 2).</w:t>
      </w:r>
      <w:r>
        <w:rPr>
          <w:i/>
        </w:rPr>
        <w:t xml:space="preserve"> </w:t>
      </w:r>
    </w:p>
    <w:p w:rsidR="00325AD1" w:rsidRDefault="008C5E81">
      <w:pPr>
        <w:spacing w:after="53" w:line="368" w:lineRule="auto"/>
        <w:ind w:left="-15" w:right="476" w:firstLine="710"/>
      </w:pPr>
      <w:r>
        <w:rPr>
          <w:i/>
        </w:rPr>
        <w:t>Комментарии: тромбоз поджелудочной железы в настоящее время остается с</w:t>
      </w:r>
      <w:r>
        <w:rPr>
          <w:i/>
        </w:rPr>
        <w:t>амым частым осложнением раннего послеоперационного периода, которое в подавляющем количестве случаев приводит к потере функции трансплантата, выполнению повторных вмешательств на брюшной полости и трансплантатэктомии поджелудочной железы. В настоящее время</w:t>
      </w:r>
      <w:r>
        <w:rPr>
          <w:i/>
        </w:rPr>
        <w:t xml:space="preserve"> частота ранних тромбозов при сочетанной трансплантации составляет 4,1-5,5%, с тенденцией к снижению. Основным клиническим проявлением тромбоза является внезапное повышение уровня гликемии, появление темного геморрагического отделяемого в дренажах брюшной </w:t>
      </w:r>
      <w:r>
        <w:rPr>
          <w:i/>
        </w:rPr>
        <w:t>полости и исчезновение в нем и в моче амилазы в случаях пузырного дренирования экзокринного секрета. Подтвержденный диагноз острого тромбоза требует немедленного выполнения трансплантатэктомии поджелудочной железы, за исключением случаев позднего тромбоза,</w:t>
      </w:r>
      <w:r>
        <w:rPr>
          <w:i/>
        </w:rPr>
        <w:t xml:space="preserve"> не сопровождающегося явлениями интоксикации.</w:t>
      </w:r>
      <w:r>
        <w:t xml:space="preserve"> </w:t>
      </w:r>
    </w:p>
    <w:p w:rsidR="00325AD1" w:rsidRDefault="008C5E81">
      <w:pPr>
        <w:numPr>
          <w:ilvl w:val="0"/>
          <w:numId w:val="7"/>
        </w:numPr>
        <w:spacing w:after="33" w:line="377" w:lineRule="auto"/>
        <w:ind w:right="478" w:firstLine="710"/>
      </w:pPr>
      <w:r>
        <w:t>Рекомендуется при развитии пристеночного тромбоза селезеночной вены трансплантата поджелудочной железы проведение системной антикоагулянтной терапии гепарином натрия** без оперативного вмешательства [94,184,185].</w:t>
      </w:r>
      <w:r>
        <w:rPr>
          <w:b/>
        </w:rPr>
        <w:t xml:space="preserve"> </w:t>
      </w:r>
    </w:p>
    <w:p w:rsidR="00325AD1" w:rsidRDefault="008C5E81">
      <w:pPr>
        <w:spacing w:line="390" w:lineRule="auto"/>
        <w:ind w:left="-15" w:right="477" w:firstLine="710"/>
      </w:pPr>
      <w:r>
        <w:rPr>
          <w:b/>
        </w:rPr>
        <w:t>Уровень убедительности рекомендаций C (уро</w:t>
      </w:r>
      <w:r>
        <w:rPr>
          <w:b/>
        </w:rPr>
        <w:t>вень достоверности доказательств – 4).</w:t>
      </w:r>
      <w:r>
        <w:rPr>
          <w:i/>
        </w:rPr>
        <w:t xml:space="preserve"> </w:t>
      </w:r>
    </w:p>
    <w:p w:rsidR="00325AD1" w:rsidRDefault="008C5E81">
      <w:pPr>
        <w:spacing w:after="53" w:line="368" w:lineRule="auto"/>
        <w:ind w:left="-15" w:right="476" w:firstLine="710"/>
      </w:pPr>
      <w:r>
        <w:rPr>
          <w:i/>
        </w:rPr>
        <w:t xml:space="preserve">Комментарии: такая мера позволяет в некоторых случаях избежать прогрессирования тромбоза и сохранить трансплантат. </w:t>
      </w:r>
      <w:r>
        <w:t xml:space="preserve"> </w:t>
      </w:r>
    </w:p>
    <w:p w:rsidR="00325AD1" w:rsidRDefault="008C5E81">
      <w:pPr>
        <w:numPr>
          <w:ilvl w:val="0"/>
          <w:numId w:val="7"/>
        </w:numPr>
        <w:spacing w:after="74" w:line="259" w:lineRule="auto"/>
        <w:ind w:right="478" w:firstLine="710"/>
      </w:pPr>
      <w:r>
        <w:t xml:space="preserve">Рекомендуется </w:t>
      </w:r>
      <w:r>
        <w:tab/>
        <w:t xml:space="preserve">выполнение </w:t>
      </w:r>
      <w:r>
        <w:tab/>
        <w:t xml:space="preserve">эндоваскулярного </w:t>
      </w:r>
      <w:r>
        <w:tab/>
        <w:t xml:space="preserve">вмешательства </w:t>
      </w:r>
    </w:p>
    <w:p w:rsidR="00325AD1" w:rsidRDefault="008C5E81">
      <w:pPr>
        <w:spacing w:line="395" w:lineRule="auto"/>
        <w:ind w:right="479"/>
      </w:pPr>
      <w:r>
        <w:t>(эндоваскулярной катетерной тромбэктоми</w:t>
      </w:r>
      <w:r>
        <w:t>и, эндоваскулярной баллонной ангиопластики сосуда или эндоваскулярного стентирования сосуда) как при артериальном, так и при венозном частичном тромбозе сосудов трансплантата поджелудочной железы</w:t>
      </w:r>
      <w:r>
        <w:rPr>
          <w:i/>
        </w:rPr>
        <w:t xml:space="preserve"> </w:t>
      </w:r>
      <w:r>
        <w:t>[95- 97].</w:t>
      </w:r>
      <w:r>
        <w:rPr>
          <w:b/>
        </w:rPr>
        <w:t xml:space="preserve"> </w:t>
      </w:r>
    </w:p>
    <w:p w:rsidR="00325AD1" w:rsidRDefault="008C5E81">
      <w:pPr>
        <w:spacing w:line="390" w:lineRule="auto"/>
        <w:ind w:left="-15" w:right="477" w:firstLine="710"/>
      </w:pPr>
      <w:r>
        <w:rPr>
          <w:b/>
        </w:rPr>
        <w:t>Уровень убедительности рекомендаций С (уровень до</w:t>
      </w:r>
      <w:r>
        <w:rPr>
          <w:b/>
        </w:rPr>
        <w:t>стоверности доказательств – 4).</w:t>
      </w:r>
      <w:r>
        <w:rPr>
          <w:i/>
        </w:rPr>
        <w:t xml:space="preserve"> </w:t>
      </w:r>
    </w:p>
    <w:p w:rsidR="00325AD1" w:rsidRDefault="008C5E81">
      <w:pPr>
        <w:spacing w:after="184" w:line="259" w:lineRule="auto"/>
        <w:ind w:left="720" w:right="476" w:firstLine="0"/>
      </w:pPr>
      <w:r>
        <w:rPr>
          <w:i/>
        </w:rPr>
        <w:t xml:space="preserve">Комментарии: эффективность этих вмешательств не превышает 50%. </w:t>
      </w:r>
      <w:r>
        <w:t xml:space="preserve"> </w:t>
      </w:r>
    </w:p>
    <w:p w:rsidR="00325AD1" w:rsidRDefault="008C5E81">
      <w:pPr>
        <w:numPr>
          <w:ilvl w:val="0"/>
          <w:numId w:val="7"/>
        </w:numPr>
        <w:spacing w:line="375" w:lineRule="auto"/>
        <w:ind w:right="478" w:firstLine="710"/>
      </w:pPr>
      <w:r>
        <w:t>Рекомендуется применение внутривенной инфузии октреотида** для профилактики развития панкреатита в раннем послеоперационном периоде у реципиентов трансплантат</w:t>
      </w:r>
      <w:r>
        <w:t>а поджелудочной железы [93, 98 – 102].</w:t>
      </w:r>
      <w:r>
        <w:rPr>
          <w:b/>
        </w:rPr>
        <w:t xml:space="preserve"> </w:t>
      </w:r>
    </w:p>
    <w:p w:rsidR="00325AD1" w:rsidRDefault="008C5E81">
      <w:pPr>
        <w:spacing w:line="390" w:lineRule="auto"/>
        <w:ind w:left="-15" w:right="477" w:firstLine="710"/>
      </w:pPr>
      <w:r>
        <w:rPr>
          <w:b/>
        </w:rPr>
        <w:t>Уровень убедительности рекомендаций А (уровень достоверности доказательств – 2).</w:t>
      </w:r>
      <w:r>
        <w:t xml:space="preserve"> </w:t>
      </w:r>
    </w:p>
    <w:p w:rsidR="00325AD1" w:rsidRDefault="008C5E81">
      <w:pPr>
        <w:spacing w:after="3" w:line="368" w:lineRule="auto"/>
        <w:ind w:left="-15" w:right="476" w:firstLine="710"/>
      </w:pPr>
      <w:r>
        <w:t>Комментарии</w:t>
      </w:r>
      <w:r>
        <w:rPr>
          <w:i/>
        </w:rPr>
        <w:t>:</w:t>
      </w:r>
      <w:r>
        <w:t xml:space="preserve"> </w:t>
      </w:r>
      <w:r>
        <w:rPr>
          <w:i/>
        </w:rPr>
        <w:t>панкреатит трансплантата является вторым по частоте осложнением, возникающим после выполнения сочетанной трансплантации почки и поджелудочной железы. Так называемый физиологический острый панкреатит возникает как нормальная реакция на ишемию-реперфузию. Та</w:t>
      </w:r>
      <w:r>
        <w:rPr>
          <w:i/>
        </w:rPr>
        <w:t>кая форма острого панкреатита развивается практически в 100% случаев, протекает бессимптомно, проявляется только повышенным уровнем амилазы и липазы в дренируемой из брюшной полости жидкости и повышением уровня С-реактивного белка в крови реципиента, и пос</w:t>
      </w:r>
      <w:r>
        <w:rPr>
          <w:i/>
        </w:rPr>
        <w:t xml:space="preserve">тепенно угасает в силу своей природы и рутинного применения преднизолона** (метилпреднизолона**) в фазе индукции иммуносупрессивной терапии. Профилактика состоит в адекватном кондиционировании и селекции потенциального донора поджелудочной железы.  </w:t>
      </w:r>
    </w:p>
    <w:p w:rsidR="00325AD1" w:rsidRDefault="008C5E81">
      <w:pPr>
        <w:spacing w:after="53" w:line="368" w:lineRule="auto"/>
        <w:ind w:left="-15" w:right="476" w:firstLine="710"/>
      </w:pPr>
      <w:r>
        <w:rPr>
          <w:i/>
        </w:rPr>
        <w:t>Острый</w:t>
      </w:r>
      <w:r>
        <w:rPr>
          <w:i/>
        </w:rPr>
        <w:t xml:space="preserve"> деструктивный панкреатит (панкреонекроз) чаще обусловлен нюансами оперативной техники трансплантации поджелудочной железы на различных этапах. Среди основных факторов можно выделить сосудистый тромбоз, который может быть вызван техническими проблемами или</w:t>
      </w:r>
      <w:r>
        <w:rPr>
          <w:i/>
        </w:rPr>
        <w:t xml:space="preserve"> острым/сверхострым гуморальным отторжением. Основными хирургическими ошибками являются повреждения нижней панкреатодуоденальной или дорзальной панкреатической артерии, неправильное наложение венозного анастомоза, ведущие к замедлению оттока крови из подже</w:t>
      </w:r>
      <w:r>
        <w:rPr>
          <w:i/>
        </w:rPr>
        <w:t>лудочной железы. Лечение должно быть направлено на устранение причин панкреатита: с применением антибиотикотерапии, антикоагулянтной терапии, а также использование методов эндоваскулярной хирургии для коррекции сосудистых проблем и своевременном выполнении</w:t>
      </w:r>
      <w:r>
        <w:rPr>
          <w:i/>
        </w:rPr>
        <w:t xml:space="preserve"> некрсеквестрэктомии поджелудочной железы. Однако, несмотря на применение указанных терапевтических и хирургических методов, возникновение раннего острого панкреатита в подавляющем большинстве случаев приводит к быстрой потере трансплантата поджелудочной ж</w:t>
      </w:r>
      <w:r>
        <w:rPr>
          <w:i/>
        </w:rPr>
        <w:t>елезы.</w:t>
      </w:r>
      <w:r>
        <w:rPr>
          <w:rFonts w:ascii="Calibri" w:eastAsia="Calibri" w:hAnsi="Calibri" w:cs="Calibri"/>
          <w:sz w:val="22"/>
        </w:rPr>
        <w:t xml:space="preserve"> </w:t>
      </w:r>
    </w:p>
    <w:p w:rsidR="00325AD1" w:rsidRDefault="008C5E81">
      <w:pPr>
        <w:numPr>
          <w:ilvl w:val="0"/>
          <w:numId w:val="7"/>
        </w:numPr>
        <w:spacing w:line="358" w:lineRule="auto"/>
        <w:ind w:right="478" w:firstLine="710"/>
      </w:pPr>
      <w:r>
        <w:t xml:space="preserve">Рекомендуется восстановить целостность желудочно-кишечного тракта оперативными методами и одновременно сохранить пересаженную поджелудочную железу в случае своевременно выявленной несостоятельности дуоденального анастомоза [103, </w:t>
      </w:r>
    </w:p>
    <w:p w:rsidR="00325AD1" w:rsidRDefault="008C5E81">
      <w:pPr>
        <w:spacing w:after="129"/>
        <w:ind w:right="479"/>
      </w:pPr>
      <w:r>
        <w:t xml:space="preserve">104]. </w:t>
      </w:r>
      <w:r>
        <w:rPr>
          <w:b/>
        </w:rPr>
        <w:t xml:space="preserve"> </w:t>
      </w:r>
    </w:p>
    <w:p w:rsidR="00325AD1" w:rsidRDefault="008C5E81">
      <w:pPr>
        <w:spacing w:line="390" w:lineRule="auto"/>
        <w:ind w:left="-15" w:right="477" w:firstLine="710"/>
      </w:pPr>
      <w:r>
        <w:rPr>
          <w:b/>
        </w:rPr>
        <w:t>Уровень уб</w:t>
      </w:r>
      <w:r>
        <w:rPr>
          <w:b/>
        </w:rPr>
        <w:t>едительности рекомендаций С (уровень достоверности доказательств – 4).</w:t>
      </w:r>
      <w:r>
        <w:rPr>
          <w:b/>
          <w:i/>
        </w:rPr>
        <w:t xml:space="preserve"> </w:t>
      </w:r>
      <w:r>
        <w:rPr>
          <w:i/>
        </w:rPr>
        <w:t xml:space="preserve"> </w:t>
      </w:r>
    </w:p>
    <w:p w:rsidR="00325AD1" w:rsidRDefault="008C5E81">
      <w:pPr>
        <w:spacing w:after="53" w:line="368" w:lineRule="auto"/>
        <w:ind w:left="-15" w:right="476" w:firstLine="710"/>
      </w:pPr>
      <w:r>
        <w:rPr>
          <w:i/>
        </w:rPr>
        <w:t>Комментарии: опасность несостоятельности в случае кишечного дренирования состоит в быстром развитии перитонита и сепсиса. При позднем выявлении несостоятельности дуоденального анастом</w:t>
      </w:r>
      <w:r>
        <w:rPr>
          <w:i/>
        </w:rPr>
        <w:t>оза и развитии распространенного перитонита целесообразнее выполнить удаление трансплантата поджелудочной железы.</w:t>
      </w:r>
      <w:r>
        <w:rPr>
          <w:rFonts w:ascii="Calibri" w:eastAsia="Calibri" w:hAnsi="Calibri" w:cs="Calibri"/>
          <w:sz w:val="22"/>
        </w:rPr>
        <w:t xml:space="preserve"> </w:t>
      </w:r>
    </w:p>
    <w:p w:rsidR="00325AD1" w:rsidRDefault="008C5E81">
      <w:pPr>
        <w:numPr>
          <w:ilvl w:val="0"/>
          <w:numId w:val="7"/>
        </w:numPr>
        <w:spacing w:after="30" w:line="377" w:lineRule="auto"/>
        <w:ind w:right="478" w:firstLine="710"/>
      </w:pPr>
      <w:r>
        <w:t>Рекомендуется выполнение эндоскопической остановки желудочнокишечного кровотечения реципиентам трансплантата поджелудочной железы (включая со</w:t>
      </w:r>
      <w:r>
        <w:t>четанную трансплантацию с почкой) с энтеральным типом дренирования. Не рекомендуется применение инфузии октреотида** для остановки желудочно-кишечного кровотечения [70,97,103,104, 105, 106].</w:t>
      </w:r>
      <w:r>
        <w:rPr>
          <w:b/>
        </w:rPr>
        <w:t xml:space="preserve"> </w:t>
      </w:r>
    </w:p>
    <w:p w:rsidR="00325AD1" w:rsidRDefault="008C5E81">
      <w:pPr>
        <w:spacing w:line="390" w:lineRule="auto"/>
        <w:ind w:left="-15" w:right="477" w:firstLine="710"/>
      </w:pPr>
      <w:r>
        <w:rPr>
          <w:b/>
        </w:rPr>
        <w:t>Уровень убедительности рекомендаций C (уровень достоверности док</w:t>
      </w:r>
      <w:r>
        <w:rPr>
          <w:b/>
        </w:rPr>
        <w:t>азательств – 4).</w:t>
      </w:r>
      <w:r>
        <w:rPr>
          <w:b/>
          <w:i/>
        </w:rPr>
        <w:t xml:space="preserve"> </w:t>
      </w:r>
      <w:r>
        <w:rPr>
          <w:b/>
        </w:rPr>
        <w:t xml:space="preserve"> </w:t>
      </w:r>
    </w:p>
    <w:p w:rsidR="00325AD1" w:rsidRDefault="008C5E81">
      <w:pPr>
        <w:spacing w:line="259" w:lineRule="auto"/>
        <w:ind w:left="720" w:right="477" w:firstLine="0"/>
      </w:pPr>
      <w:r>
        <w:rPr>
          <w:b/>
        </w:rPr>
        <w:t xml:space="preserve">3.3 Иммуносупрессивная терапия </w:t>
      </w:r>
    </w:p>
    <w:p w:rsidR="00325AD1" w:rsidRDefault="008C5E81">
      <w:pPr>
        <w:spacing w:after="0" w:line="259" w:lineRule="auto"/>
        <w:ind w:left="720" w:firstLine="0"/>
        <w:jc w:val="left"/>
      </w:pPr>
      <w:r>
        <w:rPr>
          <w:b/>
        </w:rPr>
        <w:t xml:space="preserve"> </w:t>
      </w:r>
    </w:p>
    <w:p w:rsidR="00325AD1" w:rsidRDefault="008C5E81">
      <w:pPr>
        <w:spacing w:after="0" w:line="376" w:lineRule="auto"/>
        <w:ind w:left="0" w:right="483" w:firstLine="710"/>
      </w:pPr>
      <w:r>
        <w:rPr>
          <w:sz w:val="23"/>
        </w:rPr>
        <w:t>Трансплантация органа стимулирует развитие иммунного ответа, который может привести к дисфункции и потере трансплантата. Прием иммуносупрессивной терапии направлен на подавление ответа иммунной системы р</w:t>
      </w:r>
      <w:r>
        <w:rPr>
          <w:sz w:val="23"/>
        </w:rPr>
        <w:t>еципиента и предупреждает развитие отторжения. Лекарственные препараты, рекомендуемые вне показаний (офф-лейбл), возможно использовать только при коде МКБ-10 Т86.8  (в соответствии с распоряжением Правительства РФ от 16.05.2022 №1180-р «Об утверждении пере</w:t>
      </w:r>
      <w:r>
        <w:rPr>
          <w:sz w:val="23"/>
        </w:rPr>
        <w:t>чня заболеваний или состояний (групп заболеваний или состояний), при которых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w:t>
      </w:r>
      <w:r>
        <w:t xml:space="preserve"> </w:t>
      </w:r>
    </w:p>
    <w:p w:rsidR="00325AD1" w:rsidRDefault="008C5E81">
      <w:pPr>
        <w:spacing w:after="23" w:line="259" w:lineRule="auto"/>
        <w:ind w:left="0" w:firstLine="0"/>
        <w:jc w:val="left"/>
      </w:pPr>
      <w:r>
        <w:t xml:space="preserve"> </w:t>
      </w:r>
    </w:p>
    <w:p w:rsidR="00325AD1" w:rsidRDefault="008C5E81">
      <w:pPr>
        <w:spacing w:after="182" w:line="259" w:lineRule="auto"/>
        <w:ind w:left="708" w:right="476" w:firstLine="0"/>
      </w:pPr>
      <w:r>
        <w:rPr>
          <w:i/>
        </w:rPr>
        <w:t xml:space="preserve">Перечень основных препаратов, которые пациенты получают на текущий момент: </w:t>
      </w:r>
    </w:p>
    <w:p w:rsidR="00325AD1" w:rsidRDefault="008C5E81">
      <w:pPr>
        <w:numPr>
          <w:ilvl w:val="0"/>
          <w:numId w:val="7"/>
        </w:numPr>
        <w:spacing w:after="53" w:line="368" w:lineRule="auto"/>
        <w:ind w:right="478" w:firstLine="710"/>
      </w:pPr>
      <w:r>
        <w:rPr>
          <w:i/>
        </w:rPr>
        <w:t xml:space="preserve">ингибиторы кальциневрина (ИКН) (преимущественно #такролимус**, реже циклоспорин**); </w:t>
      </w:r>
    </w:p>
    <w:p w:rsidR="00325AD1" w:rsidRDefault="008C5E81">
      <w:pPr>
        <w:numPr>
          <w:ilvl w:val="0"/>
          <w:numId w:val="7"/>
        </w:numPr>
        <w:spacing w:after="143" w:line="259" w:lineRule="auto"/>
        <w:ind w:right="478" w:firstLine="710"/>
      </w:pPr>
      <w:r>
        <w:rPr>
          <w:i/>
        </w:rPr>
        <w:t xml:space="preserve">#микофенолата мофетил**/#микофеноловая кислота**; </w:t>
      </w:r>
    </w:p>
    <w:p w:rsidR="00325AD1" w:rsidRDefault="008C5E81">
      <w:pPr>
        <w:numPr>
          <w:ilvl w:val="0"/>
          <w:numId w:val="7"/>
        </w:numPr>
        <w:spacing w:after="53" w:line="259" w:lineRule="auto"/>
        <w:ind w:right="478" w:firstLine="710"/>
      </w:pPr>
      <w:r>
        <w:rPr>
          <w:i/>
        </w:rPr>
        <w:t xml:space="preserve">преднизолон** или метилпреднизолон**; </w:t>
      </w:r>
    </w:p>
    <w:p w:rsidR="00325AD1" w:rsidRDefault="008C5E81">
      <w:pPr>
        <w:numPr>
          <w:ilvl w:val="0"/>
          <w:numId w:val="7"/>
        </w:numPr>
        <w:spacing w:after="30" w:line="368" w:lineRule="auto"/>
        <w:ind w:right="478" w:firstLine="710"/>
      </w:pPr>
      <w:r>
        <w:rPr>
          <w:i/>
        </w:rPr>
        <w:t>индук</w:t>
      </w:r>
      <w:r>
        <w:rPr>
          <w:i/>
        </w:rPr>
        <w:t xml:space="preserve">ционная терапия (у пациентов с невысокими рисками используется преимущественно #базиликсимаб**, а у пациентов с высоким риском – иммуноглобулин антитимоцитарный**). </w:t>
      </w:r>
    </w:p>
    <w:p w:rsidR="00325AD1" w:rsidRDefault="008C5E81">
      <w:pPr>
        <w:spacing w:after="33" w:line="368" w:lineRule="auto"/>
        <w:ind w:left="-15" w:right="476" w:firstLine="710"/>
      </w:pPr>
      <w:r>
        <w:rPr>
          <w:i/>
        </w:rPr>
        <w:t>Многокомпонентная терапия является стандартным методом лечения у большинства реципиентов п</w:t>
      </w:r>
      <w:r>
        <w:rPr>
          <w:i/>
        </w:rPr>
        <w:t>о всему миру и может быть скорректирована в зависимости от конкретных условий и иммунологического риска. В связи с разработкой новых иммуносупрессивных протоколов и новых иммунодепрессантов стандартная терапия, вероятно, будет меняться. Кроме того, любой с</w:t>
      </w:r>
      <w:r>
        <w:rPr>
          <w:i/>
        </w:rPr>
        <w:t xml:space="preserve">тартовый протокол иммуносупрессивной терапии должен быть подобран с учетом потребностей отдельно взятого пациента в зависимости от проявления побочных эффектов, эффективности или требований протокола. </w:t>
      </w:r>
    </w:p>
    <w:p w:rsidR="00325AD1" w:rsidRDefault="008C5E81">
      <w:pPr>
        <w:pStyle w:val="Heading2"/>
        <w:ind w:left="-5"/>
      </w:pPr>
      <w:r>
        <w:t>3.3.1 Ингибиторы кальциневрина</w:t>
      </w:r>
      <w:r>
        <w:rPr>
          <w:i w:val="0"/>
          <w:u w:val="none"/>
        </w:rPr>
        <w:t xml:space="preserve"> </w:t>
      </w:r>
    </w:p>
    <w:p w:rsidR="00325AD1" w:rsidRDefault="008C5E81">
      <w:pPr>
        <w:numPr>
          <w:ilvl w:val="0"/>
          <w:numId w:val="8"/>
        </w:numPr>
        <w:spacing w:after="27" w:line="383" w:lineRule="auto"/>
        <w:ind w:right="479" w:firstLine="714"/>
      </w:pPr>
      <w:r>
        <w:t>В качестве ИКН первой линии рекомендуется использовать #такролимус** в дозе 0,2 мг/кг/день per os реципиентам поджелудочной железы или почки и поджелудочной железы с достижением начальной концентрации 10–15 нг/мл, через 3–6 недель 8–12 нг/мл, через 6 недел</w:t>
      </w:r>
      <w:r>
        <w:t xml:space="preserve">ь до 6–10 нг/мл в связи с более высокой эффективностью [6, 107-109, 186, 217, 220, 221, 237, 239, 261]. </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2).</w:t>
      </w:r>
      <w:r>
        <w:rPr>
          <w:i/>
        </w:rPr>
        <w:t xml:space="preserve"> </w:t>
      </w:r>
    </w:p>
    <w:p w:rsidR="00325AD1" w:rsidRDefault="008C5E81">
      <w:pPr>
        <w:spacing w:after="53" w:line="368" w:lineRule="auto"/>
        <w:ind w:left="-15" w:right="476" w:firstLine="710"/>
      </w:pPr>
      <w:r>
        <w:rPr>
          <w:i/>
        </w:rPr>
        <w:t>Комментарии: учитывая, что трансплантация поджелудочной железы в подавляющем большинстве случаев выполняется комбинированно с трансплантацией почки и имеет высокий риск развития острого и хронического отторжения обоих трансплантатов и определенные трудност</w:t>
      </w:r>
      <w:r>
        <w:rPr>
          <w:i/>
        </w:rPr>
        <w:t>и своевременной диагностики отторжения поджелудочной железы, рекомендуется использовать более эффективные схемы иммуносупрессивной терапии.</w:t>
      </w:r>
      <w:r>
        <w:t xml:space="preserve"> </w:t>
      </w:r>
    </w:p>
    <w:p w:rsidR="00325AD1" w:rsidRDefault="008C5E81">
      <w:pPr>
        <w:numPr>
          <w:ilvl w:val="0"/>
          <w:numId w:val="8"/>
        </w:numPr>
        <w:spacing w:after="53" w:line="358" w:lineRule="auto"/>
        <w:ind w:right="479" w:firstLine="714"/>
      </w:pPr>
      <w:r>
        <w:t>Рекомендуется регулярно проводить контроль концентрации #такролимуса** в цельной крови всем пациентам после транспл</w:t>
      </w:r>
      <w:r>
        <w:t>антации для оптимальной коррекции дозы [112, 188, 189, 237, 239].</w:t>
      </w:r>
      <w:r>
        <w:rPr>
          <w:b/>
        </w:rPr>
        <w:t xml:space="preserve"> </w:t>
      </w:r>
    </w:p>
    <w:p w:rsidR="00325AD1" w:rsidRDefault="008C5E81">
      <w:pPr>
        <w:spacing w:line="390" w:lineRule="auto"/>
        <w:ind w:left="-15" w:right="477" w:firstLine="710"/>
      </w:pPr>
      <w:r>
        <w:rPr>
          <w:b/>
        </w:rPr>
        <w:t>Уровень убедительности рекомендаций C (уровень достоверности доказательств – 4).</w:t>
      </w:r>
      <w:r>
        <w:rPr>
          <w:i/>
        </w:rPr>
        <w:t xml:space="preserve"> </w:t>
      </w:r>
    </w:p>
    <w:p w:rsidR="00325AD1" w:rsidRDefault="008C5E81">
      <w:pPr>
        <w:spacing w:after="53" w:line="368" w:lineRule="auto"/>
        <w:ind w:left="-15" w:right="476" w:firstLine="710"/>
      </w:pPr>
      <w:r>
        <w:rPr>
          <w:i/>
        </w:rPr>
        <w:t>Комментарии: #такролимус** имеет существенные побочные эффекты, которые потенциально опасны как для транспл</w:t>
      </w:r>
      <w:r>
        <w:rPr>
          <w:i/>
        </w:rPr>
        <w:t>антата, так и для реципиента: препарат нефротоксичен, и длительное его применение является причиной хронической дисфункции трансплантата, что может привести к потере трансплантата почки, либо к тяжелой хронической болезни почек у реципиентов без пересаженн</w:t>
      </w:r>
      <w:r>
        <w:rPr>
          <w:i/>
        </w:rPr>
        <w:t>ой почки. Оба ИКН относятся к препаратам с узким терапевтическим окном, выход за рамки которого может привести к тяжелой интоксикации либо отсутствию достаточного эффекта. В связи с узким терапевтическим окном и высокой вероятностью лекарственного взаимоде</w:t>
      </w:r>
      <w:r>
        <w:rPr>
          <w:i/>
        </w:rPr>
        <w:t>йствия необходим контроль уровня ИКН, помогающий объективно оценить содержание препарата в крови.</w:t>
      </w:r>
      <w:r>
        <w:t xml:space="preserve"> </w:t>
      </w:r>
      <w:r>
        <w:rPr>
          <w:i/>
        </w:rPr>
        <w:t>Особенностью фармакокинетики такролимуса** у реципиентов с сахарным диабетом I типа является то, что его биодоступность на 26-30% ниже, чем у пациентов, причи</w:t>
      </w:r>
      <w:r>
        <w:rPr>
          <w:i/>
        </w:rPr>
        <w:t>ной хронической болезни почек которых стала другая патология. Низкая биодоступность #такролимуса** обусловлена проявлениями автономной гастроинтестинальной диабетической нейропатии и может потребовать применения более высоких доз препарата. Применение лека</w:t>
      </w:r>
      <w:r>
        <w:rPr>
          <w:i/>
        </w:rPr>
        <w:t>рственных форм с пролонгированным высвобождением препарата является более предпочтительным у диабетических пациентов [111].</w:t>
      </w:r>
      <w:r>
        <w:t xml:space="preserve">  </w:t>
      </w:r>
    </w:p>
    <w:p w:rsidR="00325AD1" w:rsidRDefault="008C5E81">
      <w:pPr>
        <w:numPr>
          <w:ilvl w:val="0"/>
          <w:numId w:val="8"/>
        </w:numPr>
        <w:spacing w:line="388" w:lineRule="auto"/>
        <w:ind w:right="479" w:firstLine="714"/>
      </w:pPr>
      <w:r>
        <w:t>Рекомендуется реципиентам трансплантата поджелудочной железы и поджелудочной железы и почки при непереносимости #такролимуса** зам</w:t>
      </w:r>
      <w:r>
        <w:t xml:space="preserve">ена на циклоспорин** (начальная доза 50 мг внутрь дважды в сутки) и поддержании минимальных концентраций (100–125 нг/мл) в составе комбинированной иммуносупрессивной терапии и в сочетании с индукционной терапией иммуноглобулином антитимоцитарным** с целью </w:t>
      </w:r>
      <w:r>
        <w:t>купирования побочных эффектов и профилактики отторжения [269,270,271].</w:t>
      </w:r>
      <w:r>
        <w:rPr>
          <w:i/>
        </w:rPr>
        <w:t xml:space="preserve"> </w:t>
      </w:r>
    </w:p>
    <w:p w:rsidR="00325AD1" w:rsidRDefault="008C5E81">
      <w:pPr>
        <w:spacing w:after="26" w:line="390" w:lineRule="auto"/>
        <w:ind w:left="-15" w:right="477" w:firstLine="710"/>
      </w:pPr>
      <w:r>
        <w:rPr>
          <w:b/>
        </w:rPr>
        <w:t xml:space="preserve">Уровень убедительности рекомендаций С (уровень достоверности доказательств – 4). </w:t>
      </w:r>
    </w:p>
    <w:p w:rsidR="00325AD1" w:rsidRDefault="008C5E81">
      <w:pPr>
        <w:numPr>
          <w:ilvl w:val="0"/>
          <w:numId w:val="8"/>
        </w:numPr>
        <w:spacing w:after="30" w:line="379" w:lineRule="auto"/>
        <w:ind w:right="479" w:firstLine="714"/>
      </w:pPr>
      <w:r>
        <w:t>Рекомендуется реципиентам трансплантата поджелудочной железы и поджелудочной железы и почки при провед</w:t>
      </w:r>
      <w:r>
        <w:t xml:space="preserve">ении индукционной терапии </w:t>
      </w:r>
      <w:r>
        <w:rPr>
          <w:rFonts w:ascii="Calibri" w:eastAsia="Calibri" w:hAnsi="Calibri" w:cs="Calibri"/>
          <w:sz w:val="22"/>
        </w:rPr>
        <w:t>#</w:t>
      </w:r>
      <w:r>
        <w:t>базиликсимабом** прием  циклоспорина**  в начальной дозе 5 мг/кг c последующей коррекцией для поддержания минимальной концентрации препарата в крови в диапазоне от 200 до 250 нг/мл в течение первых двух недель после трансплантаци</w:t>
      </w:r>
      <w:r>
        <w:t>и, от 150 до 200 нг/мл в течение третьей и четвертой недель, и от 125 до 175 нг/мл в дальнейшем с целью профилактики отторжения [265].</w:t>
      </w:r>
      <w:r>
        <w:rPr>
          <w:i/>
        </w:rPr>
        <w:t xml:space="preserve"> </w:t>
      </w:r>
    </w:p>
    <w:p w:rsidR="00325AD1" w:rsidRDefault="008C5E81">
      <w:pPr>
        <w:spacing w:line="390" w:lineRule="auto"/>
        <w:ind w:left="-15" w:right="477" w:firstLine="710"/>
      </w:pPr>
      <w:r>
        <w:rPr>
          <w:b/>
        </w:rPr>
        <w:t>Уровень убедительности рекомендаций C (уровень достоверности доказательств – 2).</w:t>
      </w:r>
      <w:r>
        <w:rPr>
          <w:i/>
        </w:rPr>
        <w:t xml:space="preserve"> </w:t>
      </w:r>
    </w:p>
    <w:p w:rsidR="00325AD1" w:rsidRDefault="008C5E81">
      <w:pPr>
        <w:spacing w:after="26" w:line="368" w:lineRule="auto"/>
        <w:ind w:left="-15" w:right="476" w:firstLine="710"/>
      </w:pPr>
      <w:r>
        <w:rPr>
          <w:i/>
        </w:rPr>
        <w:t>Комментарии:Cледует принимать во внима</w:t>
      </w:r>
      <w:r>
        <w:rPr>
          <w:i/>
        </w:rPr>
        <w:t xml:space="preserve">ние, что высокие концентрации циклоспорина** &gt;150 нг/мл были ассоциированы с тромбозом трансплантата поджелудочной железы и с дисфункцией почечного аллотрансплантата (у реципиентов почки и поджелудочной железы) [271]. </w:t>
      </w:r>
    </w:p>
    <w:p w:rsidR="00325AD1" w:rsidRDefault="008C5E81">
      <w:pPr>
        <w:spacing w:after="0" w:line="259" w:lineRule="auto"/>
        <w:ind w:left="708" w:firstLine="0"/>
        <w:jc w:val="left"/>
      </w:pPr>
      <w:r>
        <w:rPr>
          <w:i/>
        </w:rPr>
        <w:t xml:space="preserve"> </w:t>
      </w:r>
    </w:p>
    <w:p w:rsidR="00325AD1" w:rsidRDefault="008C5E81">
      <w:pPr>
        <w:pStyle w:val="Heading2"/>
        <w:ind w:left="-5"/>
      </w:pPr>
      <w:r>
        <w:t>3.3.2 #Микофеноловая кислота**/#мик</w:t>
      </w:r>
      <w:r>
        <w:t>офенолата мофетил**</w:t>
      </w:r>
      <w:r>
        <w:rPr>
          <w:i w:val="0"/>
          <w:u w:val="none"/>
        </w:rPr>
        <w:t xml:space="preserve"> </w:t>
      </w:r>
    </w:p>
    <w:p w:rsidR="00325AD1" w:rsidRDefault="008C5E81">
      <w:pPr>
        <w:numPr>
          <w:ilvl w:val="0"/>
          <w:numId w:val="9"/>
        </w:numPr>
        <w:spacing w:line="365" w:lineRule="auto"/>
        <w:ind w:right="479" w:firstLine="720"/>
      </w:pPr>
      <w:r>
        <w:t>Рекомендуется включать #микофеноловую кислоту** в дозе 720мг 2 раза в сутки или #микофенолата мофетил** в эквивалентной дозе 1000мг 2 раза в состав стартовой комбинированной иммуносупрессивной терапии у реципиентов трансплантата поджелудочной железы и почк</w:t>
      </w:r>
      <w:r>
        <w:t>и, не имеющим противопоказаний,  в сочетании с преднизолоном** и ингибиторами кальциневрина с целью профилактики отторжения [114116, 192, 219-221, 217, 237, 239, 261].</w:t>
      </w:r>
      <w:r>
        <w:rPr>
          <w:b/>
        </w:rPr>
        <w:t xml:space="preserve"> </w:t>
      </w:r>
    </w:p>
    <w:p w:rsidR="00325AD1" w:rsidRDefault="008C5E81">
      <w:pPr>
        <w:spacing w:after="27" w:line="390" w:lineRule="auto"/>
        <w:ind w:left="-15" w:right="477" w:firstLine="710"/>
      </w:pPr>
      <w:r>
        <w:rPr>
          <w:b/>
        </w:rPr>
        <w:t>Уровень убедительности рекомендаций С (уровень достоверности доказательств – 4).</w:t>
      </w:r>
      <w:r>
        <w:t xml:space="preserve"> </w:t>
      </w:r>
    </w:p>
    <w:p w:rsidR="00325AD1" w:rsidRDefault="008C5E81">
      <w:pPr>
        <w:numPr>
          <w:ilvl w:val="0"/>
          <w:numId w:val="9"/>
        </w:numPr>
        <w:spacing w:after="46" w:line="357" w:lineRule="auto"/>
        <w:ind w:right="479" w:firstLine="720"/>
      </w:pPr>
      <w:r>
        <w:t>Реком</w:t>
      </w:r>
      <w:r>
        <w:t xml:space="preserve">ендуется применять валганцикловир** для профилактики цитомегаловирусной инфекции либо использовать превентивную тактику с регулярным контролем виремии ЦМВ у пациентов, принимающих #микофеноловую кислоту**/ </w:t>
      </w:r>
    </w:p>
    <w:p w:rsidR="00325AD1" w:rsidRDefault="008C5E81">
      <w:pPr>
        <w:spacing w:line="358" w:lineRule="auto"/>
        <w:ind w:right="479"/>
      </w:pPr>
      <w:r>
        <w:t>#микофенолата мофетил**, в связи с высокой частот</w:t>
      </w:r>
      <w:r>
        <w:t>ой возникновения ЦМВ-инфекции [59,154, 222-224].</w:t>
      </w:r>
      <w:r>
        <w:rPr>
          <w:b/>
        </w:rPr>
        <w:t xml:space="preserve"> </w:t>
      </w:r>
    </w:p>
    <w:p w:rsidR="00325AD1" w:rsidRDefault="008C5E81">
      <w:pPr>
        <w:spacing w:line="390" w:lineRule="auto"/>
        <w:ind w:left="-15" w:right="477" w:firstLine="710"/>
      </w:pPr>
      <w:r>
        <w:rPr>
          <w:b/>
        </w:rPr>
        <w:t>Уровень убедительности рекомендаций А (уровень достоверности доказательств – 1).</w:t>
      </w:r>
      <w:r>
        <w:rPr>
          <w:i/>
        </w:rPr>
        <w:t xml:space="preserve"> </w:t>
      </w:r>
    </w:p>
    <w:p w:rsidR="00325AD1" w:rsidRDefault="008C5E81">
      <w:pPr>
        <w:spacing w:after="3" w:line="368" w:lineRule="auto"/>
        <w:ind w:left="-15" w:right="476" w:firstLine="710"/>
      </w:pPr>
      <w:r>
        <w:rPr>
          <w:i/>
        </w:rPr>
        <w:t>Комментарии: совместное назначение #микофеноловой кислоты**, преднизолона** и ИКН обеспечивает стойкое снижение частоты отто</w:t>
      </w:r>
      <w:r>
        <w:rPr>
          <w:i/>
        </w:rPr>
        <w:t>ржений по данным биопсии. #Микофеноловая кислота** не обладает нефротоксичностью, однако она угнетает функцию костного мозга и может быть причиной возникновения ЦМВинфекции, а также гастроинтестинальных нарушений, в особенности диареи. При применении #мико</w:t>
      </w:r>
      <w:r>
        <w:rPr>
          <w:i/>
        </w:rPr>
        <w:t xml:space="preserve">фенолата мофетила** повышается риск развития полиомавирусной нефропатии, особенно в комбинации с #такролимусом** [119]. </w:t>
      </w:r>
    </w:p>
    <w:p w:rsidR="00325AD1" w:rsidRDefault="008C5E81">
      <w:pPr>
        <w:spacing w:after="53" w:line="368" w:lineRule="auto"/>
        <w:ind w:left="-15" w:right="476" w:firstLine="710"/>
      </w:pPr>
      <w:r>
        <w:rPr>
          <w:i/>
        </w:rPr>
        <w:t>#Микофеноловая кислота** официально не разрешена в использовании в комбинации с #такролимусом**, хотя это самая распространенная комбин</w:t>
      </w:r>
      <w:r>
        <w:rPr>
          <w:i/>
        </w:rPr>
        <w:t>ация препаратов в мире, рекомендованная руководствами, однако дозировка в данной комбинации не имеет научного подтверждения [122, 237, 239]. #Такролимус** не оказывает влияния на накопление #микофеноловой кислоты**, однако при этом накопление (биодоступнос</w:t>
      </w:r>
      <w:r>
        <w:rPr>
          <w:i/>
        </w:rPr>
        <w:t xml:space="preserve">ть) #микофеноловой кислоты** на 30% выше по сравнению с циклоспорином**. В связи с высокой частотой развития побочных эффектов некоторые центры практикуют плановое снижение микофеноловой кислоты** у пациентов, принимающих такролимус**.  </w:t>
      </w:r>
    </w:p>
    <w:p w:rsidR="00325AD1" w:rsidRDefault="008C5E81">
      <w:pPr>
        <w:pStyle w:val="Heading2"/>
        <w:ind w:left="-5"/>
      </w:pPr>
      <w:r>
        <w:t>3.3.3 Азатиоприн**</w:t>
      </w:r>
      <w:r>
        <w:rPr>
          <w:i w:val="0"/>
          <w:u w:val="none"/>
        </w:rPr>
        <w:t xml:space="preserve"> </w:t>
      </w:r>
    </w:p>
    <w:p w:rsidR="00325AD1" w:rsidRDefault="008C5E81">
      <w:pPr>
        <w:spacing w:line="394" w:lineRule="auto"/>
        <w:ind w:left="0" w:right="479" w:firstLine="708"/>
      </w:pPr>
      <w:r>
        <w:rPr>
          <w:rFonts w:ascii="Segoe UI Symbol" w:eastAsia="Segoe UI Symbol" w:hAnsi="Segoe UI Symbol" w:cs="Segoe UI Symbol"/>
        </w:rPr>
        <w:t></w:t>
      </w:r>
      <w:r>
        <w:rPr>
          <w:rFonts w:ascii="Arial" w:eastAsia="Arial" w:hAnsi="Arial" w:cs="Arial"/>
        </w:rPr>
        <w:t xml:space="preserve"> </w:t>
      </w:r>
      <w:r>
        <w:t>#Азатиоприн** может быть рекомендован к использованию в дозе 100 мг в день per os у пациентов с низким иммунологическим риском в качестве иммунодепрессанта, особенно у пациентов с непереносимостью #микофеноловой кислоты**/ #микофенолата мофетила** [117</w:t>
      </w:r>
      <w:r>
        <w:t xml:space="preserve"> - 118, 121, 191, 196].</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4).</w:t>
      </w:r>
      <w:r>
        <w:rPr>
          <w:i/>
        </w:rPr>
        <w:t xml:space="preserve"> </w:t>
      </w:r>
    </w:p>
    <w:p w:rsidR="00325AD1" w:rsidRDefault="008C5E81">
      <w:pPr>
        <w:spacing w:after="28" w:line="368" w:lineRule="auto"/>
        <w:ind w:left="-15" w:right="476" w:firstLine="710"/>
      </w:pPr>
      <w:r>
        <w:rPr>
          <w:i/>
        </w:rPr>
        <w:t>Комментарии: вместо #азатиоприна** в большинстве трансплантологических центров по всему миру в качестве стандартной терапии используются #микофенолов</w:t>
      </w:r>
      <w:r>
        <w:rPr>
          <w:i/>
        </w:rPr>
        <w:t>ая кислота**/#микофенолата мофетил**. Согласно проспективным рандомизированным исследованиям #микофеноловая кислота** значительно снижает частоту отторжений по сравнению с #азатиоприном** [118]. Хотя по данным большого проспективного исследования #азатиопр</w:t>
      </w:r>
      <w:r>
        <w:rPr>
          <w:i/>
        </w:rPr>
        <w:t xml:space="preserve">ин** может давать приемлемые результаты у пациентов с низким иммунологическим риском, но чаще #азатиоприн** применяется пациентами с непереносимостью #микофеноловой кислоты**[119]. </w:t>
      </w:r>
    </w:p>
    <w:p w:rsidR="00325AD1" w:rsidRDefault="008C5E81">
      <w:pPr>
        <w:pStyle w:val="Heading2"/>
        <w:ind w:left="-5"/>
      </w:pPr>
      <w:r>
        <w:t>3.3.4 Преднизолон**, метилпреднизолон**</w:t>
      </w:r>
      <w:r>
        <w:rPr>
          <w:i w:val="0"/>
          <w:u w:val="none"/>
        </w:rPr>
        <w:t xml:space="preserve"> </w:t>
      </w:r>
    </w:p>
    <w:p w:rsidR="00325AD1" w:rsidRDefault="008C5E81">
      <w:pPr>
        <w:spacing w:after="51" w:line="360" w:lineRule="auto"/>
        <w:ind w:left="0" w:right="479" w:firstLine="708"/>
      </w:pPr>
      <w:r>
        <w:rPr>
          <w:rFonts w:ascii="Segoe UI Symbol" w:eastAsia="Segoe UI Symbol" w:hAnsi="Segoe UI Symbol" w:cs="Segoe UI Symbol"/>
        </w:rPr>
        <w:t></w:t>
      </w:r>
      <w:r>
        <w:rPr>
          <w:rFonts w:ascii="Arial" w:eastAsia="Arial" w:hAnsi="Arial" w:cs="Arial"/>
        </w:rPr>
        <w:t xml:space="preserve"> </w:t>
      </w:r>
      <w:r>
        <w:t>Рекомендуется включать преднизолон** (метилпреднизолон**) в состав стартовой иммуносупрессивной терапии у реципиентов трансплантата поджелудочной железы или поджелудочной железы и почки  в периоперационный и ранний послеоперационный периоды в сочетании с и</w:t>
      </w:r>
      <w:r>
        <w:t>нгибитором кальциневрина, #микофенолата мофетилом** / #микофеноловой кислотой** с целью профилактики острого отторжения трансплантата [92, 197, 198, 237, 239].</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4).</w:t>
      </w:r>
      <w:r>
        <w:rPr>
          <w:i/>
        </w:rPr>
        <w:t xml:space="preserve"> </w:t>
      </w:r>
    </w:p>
    <w:p w:rsidR="00325AD1" w:rsidRDefault="008C5E81">
      <w:pPr>
        <w:spacing w:after="0" w:line="368" w:lineRule="auto"/>
        <w:ind w:left="-15" w:right="476" w:firstLine="710"/>
      </w:pPr>
      <w:r>
        <w:rPr>
          <w:i/>
        </w:rPr>
        <w:t xml:space="preserve">Комментарии: </w:t>
      </w:r>
      <w:r>
        <w:rPr>
          <w:i/>
        </w:rPr>
        <w:t>у преднизолона** или метилпреднизолона** много побочных эффектов, особенно при длительном применении. Большая часть практикующих специалистов до сих пор считает преднизолон** или метилпреднизолон** основным компонентом иммуносупрессивной терапии, даже с уч</w:t>
      </w:r>
      <w:r>
        <w:rPr>
          <w:i/>
        </w:rPr>
        <w:t>етом последующей успешной отмены по данным многих проспективных рандомизированных исследований. Данные исследования предполагают, что риски при отмене преднизолона** или метилпреднизолона** зависят от использования сопутствующих иммунодепрессантов, иммунол</w:t>
      </w:r>
      <w:r>
        <w:rPr>
          <w:i/>
        </w:rPr>
        <w:t>огического риска, расовой принадлежности реципиента и срока после трансплантации. Хотя с течением времени риск отторжения снижается, возможная польза от отмены после длительного периода лечения преднизолоном** или метилпреднизолоном** может быть не столь з</w:t>
      </w:r>
      <w:r>
        <w:rPr>
          <w:i/>
        </w:rPr>
        <w:t>начимой. На сегодняшний момент стало ясно, что быстрая отмена преднизолона** или метилпреднизолона** не влияет ни в положительную, ни в отрицательную сторону на выживаемость трансплантата поджелудочной железы, однако несколько повышает риски потери функции</w:t>
      </w:r>
      <w:r>
        <w:rPr>
          <w:i/>
        </w:rPr>
        <w:t xml:space="preserve"> почечного трансплантата [92, 123]. </w:t>
      </w:r>
    </w:p>
    <w:p w:rsidR="00325AD1" w:rsidRDefault="008C5E81">
      <w:pPr>
        <w:pStyle w:val="Heading2"/>
        <w:ind w:left="-5"/>
      </w:pPr>
      <w:r>
        <w:t>3.3.5 Иммунодепрессанты: #Эверолимус**</w:t>
      </w:r>
      <w:r>
        <w:rPr>
          <w:i w:val="0"/>
          <w:u w:val="none"/>
        </w:rPr>
        <w:t xml:space="preserve"> </w:t>
      </w:r>
    </w:p>
    <w:p w:rsidR="00325AD1" w:rsidRDefault="008C5E81">
      <w:pPr>
        <w:numPr>
          <w:ilvl w:val="0"/>
          <w:numId w:val="10"/>
        </w:numPr>
        <w:spacing w:after="42" w:line="369" w:lineRule="auto"/>
        <w:ind w:right="479" w:firstLine="708"/>
      </w:pPr>
      <w:r>
        <w:t xml:space="preserve">Рекомендуется назначение #Эверолимуса** </w:t>
      </w:r>
      <w:r>
        <w:rPr>
          <w:i/>
        </w:rPr>
        <w:t xml:space="preserve">в дозе 0,75-1,5 мг дважды в сутки для достижения целевой концентрации 3-8 нг/мл </w:t>
      </w:r>
      <w:r>
        <w:t>как альтернативного компонента иммуносупрессивной терапии у</w:t>
      </w:r>
      <w:r>
        <w:t xml:space="preserve"> отдельных реципиентов трансплантата поджелудочной железы или поджелудочной железы и почки при непереносимости стандартной иммуносупрессивной терапии или необходимости снижения дозы ингибитора кальциневрина [190, 266, 267]. </w:t>
      </w:r>
    </w:p>
    <w:p w:rsidR="00325AD1" w:rsidRDefault="008C5E81">
      <w:pPr>
        <w:spacing w:after="28" w:line="390" w:lineRule="auto"/>
        <w:ind w:left="708" w:right="477" w:firstLine="0"/>
      </w:pPr>
      <w:r>
        <w:rPr>
          <w:b/>
        </w:rPr>
        <w:t>Уровень убедительности рекоменд</w:t>
      </w:r>
      <w:r>
        <w:rPr>
          <w:b/>
        </w:rPr>
        <w:t>аций C (уровень достоверности доказательств – 4).</w:t>
      </w:r>
      <w:r>
        <w:t xml:space="preserve"> </w:t>
      </w:r>
    </w:p>
    <w:p w:rsidR="00325AD1" w:rsidRDefault="008C5E81">
      <w:pPr>
        <w:numPr>
          <w:ilvl w:val="0"/>
          <w:numId w:val="10"/>
        </w:numPr>
        <w:spacing w:after="32" w:line="375" w:lineRule="auto"/>
        <w:ind w:right="479" w:firstLine="708"/>
      </w:pPr>
      <w:r>
        <w:t xml:space="preserve">Рекомендуется значительно снижать дозировку ИКН с целью предотвращения нефротоксичности при использовании в комбинации с #эверолимусом** у реципиентов поджелудочной железы [125 – 126]. </w:t>
      </w:r>
      <w:r>
        <w:rPr>
          <w:b/>
        </w:rPr>
        <w:t xml:space="preserve"> </w:t>
      </w:r>
    </w:p>
    <w:p w:rsidR="00325AD1" w:rsidRDefault="008C5E81">
      <w:pPr>
        <w:spacing w:after="157" w:line="259" w:lineRule="auto"/>
        <w:ind w:left="-15" w:right="477" w:firstLine="0"/>
      </w:pPr>
      <w:r>
        <w:rPr>
          <w:b/>
        </w:rPr>
        <w:t>Уровень убедительн</w:t>
      </w:r>
      <w:r>
        <w:rPr>
          <w:b/>
        </w:rPr>
        <w:t>ости рекомендаций C (уровень достоверности доказательств – 5).</w:t>
      </w:r>
      <w:r>
        <w:rPr>
          <w:i/>
        </w:rPr>
        <w:t xml:space="preserve"> </w:t>
      </w:r>
    </w:p>
    <w:p w:rsidR="00325AD1" w:rsidRDefault="008C5E81">
      <w:pPr>
        <w:pStyle w:val="Heading2"/>
        <w:ind w:left="-5"/>
      </w:pPr>
      <w:r>
        <w:t>3.3.6 Индукционная иммуносупрессивная терапия</w:t>
      </w:r>
      <w:r>
        <w:rPr>
          <w:i w:val="0"/>
          <w:u w:val="none"/>
        </w:rPr>
        <w:t xml:space="preserve"> </w:t>
      </w:r>
    </w:p>
    <w:p w:rsidR="00325AD1" w:rsidRDefault="008C5E81">
      <w:pPr>
        <w:spacing w:line="371" w:lineRule="auto"/>
        <w:ind w:left="0" w:right="479" w:firstLine="708"/>
      </w:pPr>
      <w:r>
        <w:t>• Иммуноглобулин антитимоцитарный** рекомендован в качестве индукционной иммуносупресивной терапии у пациентов с высоким иммунологическим риском,</w:t>
      </w:r>
      <w:r>
        <w:t xml:space="preserve"> к которым относятся пациенты с сочетанной трансплантацией поджелудочной железы и почки [127 – 132].</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4).</w:t>
      </w:r>
      <w:r>
        <w:rPr>
          <w:i/>
        </w:rPr>
        <w:t xml:space="preserve"> </w:t>
      </w:r>
    </w:p>
    <w:p w:rsidR="00325AD1" w:rsidRDefault="008C5E81">
      <w:pPr>
        <w:spacing w:after="27" w:line="368" w:lineRule="auto"/>
        <w:ind w:left="-15" w:right="476" w:firstLine="710"/>
      </w:pPr>
      <w:r>
        <w:rPr>
          <w:i/>
        </w:rPr>
        <w:t xml:space="preserve">Комментарии: во многих странах, особенно в США, в качестве профилактики используется анти-Т-лимфоцитарная «индукционная» терапия. Кроме того, данный сильнодействующий препарат используется для лечения эпизодов тяжелого стероидрезистентного отторжения [92, </w:t>
      </w:r>
      <w:r>
        <w:rPr>
          <w:i/>
        </w:rPr>
        <w:t xml:space="preserve">132 – 138]. </w:t>
      </w:r>
    </w:p>
    <w:p w:rsidR="00325AD1" w:rsidRDefault="008C5E81">
      <w:pPr>
        <w:spacing w:after="53" w:line="368" w:lineRule="auto"/>
        <w:ind w:left="-15" w:right="476" w:firstLine="710"/>
      </w:pPr>
      <w:r>
        <w:rPr>
          <w:i/>
        </w:rPr>
        <w:t xml:space="preserve">На фоне индукционной терапии частота отторжений трансплантатов поджелудочной железы и почки изначально ниже, однако влияние на отдаленные результаты их выживаемости не столь однозначно. </w:t>
      </w:r>
    </w:p>
    <w:p w:rsidR="00325AD1" w:rsidRDefault="008C5E81">
      <w:pPr>
        <w:pStyle w:val="Heading2"/>
        <w:ind w:left="-5"/>
      </w:pPr>
      <w:r>
        <w:t xml:space="preserve">3.3.7 Индукция ингибитором интерлейкина – </w:t>
      </w:r>
      <w:r>
        <w:rPr>
          <w:rFonts w:ascii="Calibri" w:eastAsia="Calibri" w:hAnsi="Calibri" w:cs="Calibri"/>
          <w:i w:val="0"/>
          <w:sz w:val="22"/>
          <w:u w:val="none"/>
        </w:rPr>
        <w:t>#</w:t>
      </w:r>
      <w:r>
        <w:t>базиликсимаб*</w:t>
      </w:r>
      <w:r>
        <w:t>*</w:t>
      </w:r>
      <w:r>
        <w:rPr>
          <w:rFonts w:ascii="Calibri" w:eastAsia="Calibri" w:hAnsi="Calibri" w:cs="Calibri"/>
          <w:i w:val="0"/>
          <w:sz w:val="22"/>
          <w:u w:val="none"/>
        </w:rPr>
        <w:t xml:space="preserve"> </w:t>
      </w:r>
    </w:p>
    <w:p w:rsidR="00325AD1" w:rsidRDefault="008C5E81">
      <w:pPr>
        <w:spacing w:line="376" w:lineRule="auto"/>
        <w:ind w:left="0" w:right="479" w:firstLine="358"/>
      </w:pPr>
      <w:r>
        <w:rPr>
          <w:rFonts w:ascii="Segoe UI Symbol" w:eastAsia="Segoe UI Symbol" w:hAnsi="Segoe UI Symbol" w:cs="Segoe UI Symbol"/>
        </w:rPr>
        <w:t></w:t>
      </w:r>
      <w:r>
        <w:rPr>
          <w:rFonts w:ascii="Arial" w:eastAsia="Arial" w:hAnsi="Arial" w:cs="Arial"/>
        </w:rPr>
        <w:t xml:space="preserve"> </w:t>
      </w:r>
      <w:r>
        <w:t>#Базиликсимаб**  (</w:t>
      </w:r>
      <w:r>
        <w:rPr>
          <w:sz w:val="26"/>
        </w:rPr>
        <w:t>внутривенно (струйно или капельно) в течение 20-30 минут, 20 мг в течение  двух часов до трансплантации и через четыре дня после</w:t>
      </w:r>
      <w:r>
        <w:t>) рекомендуется в качестве индукции иммуносупрессивной терапии с целью снижения частоты острого отторжени</w:t>
      </w:r>
      <w:r>
        <w:t>я у реципиентов с сочетанной трансплантацией поджелудочной железы и почки [ 218, 237, 239, 261,262].</w:t>
      </w:r>
      <w:r>
        <w:rPr>
          <w:b/>
        </w:rPr>
        <w:t xml:space="preserve"> </w:t>
      </w:r>
    </w:p>
    <w:p w:rsidR="00325AD1" w:rsidRDefault="008C5E81">
      <w:pPr>
        <w:spacing w:line="390" w:lineRule="auto"/>
        <w:ind w:left="-15" w:right="477" w:firstLine="710"/>
      </w:pPr>
      <w:r>
        <w:rPr>
          <w:b/>
        </w:rPr>
        <w:t>Уровень убедительности рекомендаций C (уровень достоверности доказательств – 3).</w:t>
      </w:r>
      <w:r>
        <w:rPr>
          <w:i/>
        </w:rPr>
        <w:t xml:space="preserve"> </w:t>
      </w:r>
    </w:p>
    <w:p w:rsidR="00325AD1" w:rsidRDefault="008C5E81">
      <w:pPr>
        <w:spacing w:after="209" w:line="368" w:lineRule="auto"/>
        <w:ind w:left="-15" w:right="476" w:firstLine="710"/>
      </w:pPr>
      <w:r>
        <w:rPr>
          <w:i/>
        </w:rPr>
        <w:t>Комментарии:</w:t>
      </w:r>
      <w:r>
        <w:t xml:space="preserve"> </w:t>
      </w:r>
      <w:r>
        <w:rPr>
          <w:i/>
        </w:rPr>
        <w:t>в аспекте трансплантации поджелудочной железы и почки #бази</w:t>
      </w:r>
      <w:r>
        <w:rPr>
          <w:i/>
        </w:rPr>
        <w:t>ликсимаб** дает схожие результаты отдаленной выживаемости обоих трансплантатов в сравнении с «тимоцит-истощающей» терапией. Однако отмечена более высокая частота острого отторжения в раннем послеоперационном периоде, что требует более внимательного контрол</w:t>
      </w:r>
      <w:r>
        <w:rPr>
          <w:i/>
        </w:rPr>
        <w:t>я за функцией пересаженной поджелудочной железы и использованием ранних маркеров диагностики отторжения поджелудочной железы, что является весьма затруднительной задачей [131,139,141].</w:t>
      </w:r>
      <w:r>
        <w:rPr>
          <w:sz w:val="22"/>
        </w:rPr>
        <w:t xml:space="preserve"> </w:t>
      </w:r>
    </w:p>
    <w:p w:rsidR="00325AD1" w:rsidRDefault="008C5E81">
      <w:pPr>
        <w:pStyle w:val="Heading1"/>
        <w:spacing w:line="371" w:lineRule="auto"/>
        <w:ind w:left="-5" w:right="475"/>
      </w:pPr>
      <w:r>
        <w:t>4. Медицинская реабилитация и санаторно-курортное лечение, медицинские</w:t>
      </w:r>
      <w:r>
        <w:t xml:space="preserve"> показания и противопоказания к применению методов медицинской реабилитации, в том числе основанных на использовании природных лечебных факторов </w:t>
      </w:r>
    </w:p>
    <w:p w:rsidR="00325AD1" w:rsidRDefault="008C5E81">
      <w:pPr>
        <w:spacing w:after="49" w:line="362" w:lineRule="auto"/>
        <w:ind w:left="720" w:right="479" w:hanging="360"/>
      </w:pPr>
      <w:r>
        <w:rPr>
          <w:rFonts w:ascii="Segoe UI Symbol" w:eastAsia="Segoe UI Symbol" w:hAnsi="Segoe UI Symbol" w:cs="Segoe UI Symbol"/>
        </w:rPr>
        <w:t></w:t>
      </w:r>
      <w:r>
        <w:rPr>
          <w:rFonts w:ascii="Arial" w:eastAsia="Arial" w:hAnsi="Arial" w:cs="Arial"/>
        </w:rPr>
        <w:t xml:space="preserve"> </w:t>
      </w:r>
      <w:r>
        <w:t xml:space="preserve">Рекомендуется проведение индивидуализированной программы медицинской реабилитации реципиентам трансплантата </w:t>
      </w:r>
      <w:r>
        <w:t>поджелудочной железы или поджелудочной железы и почки после стабилизации состояния в раннем послеоперационном периоде с целью восстановления физической активности, профилактики тромбоэмболических осложнений, саркопении и функциональной дезадаптации, улучше</w:t>
      </w:r>
      <w:r>
        <w:t xml:space="preserve">ния переносимости физических нагрузок, качества жизни и социальной адаптации [239, 244, 253–255]. </w:t>
      </w:r>
    </w:p>
    <w:p w:rsidR="00325AD1" w:rsidRDefault="008C5E81">
      <w:pPr>
        <w:spacing w:after="115" w:line="259" w:lineRule="auto"/>
        <w:ind w:left="0" w:right="485" w:firstLine="0"/>
        <w:jc w:val="right"/>
      </w:pPr>
      <w:r>
        <w:rPr>
          <w:b/>
        </w:rPr>
        <w:t xml:space="preserve">Уровень убедительности рекомендаций C (уровень достоверности доказательств – </w:t>
      </w:r>
    </w:p>
    <w:p w:rsidR="00325AD1" w:rsidRDefault="008C5E81">
      <w:pPr>
        <w:spacing w:after="108" w:line="259" w:lineRule="auto"/>
        <w:ind w:left="360" w:right="477" w:firstLine="0"/>
      </w:pPr>
      <w:r>
        <w:rPr>
          <w:b/>
        </w:rPr>
        <w:t xml:space="preserve">5). </w:t>
      </w:r>
    </w:p>
    <w:p w:rsidR="00325AD1" w:rsidRDefault="008C5E81">
      <w:pPr>
        <w:spacing w:line="368" w:lineRule="auto"/>
        <w:ind w:left="358" w:right="476" w:firstLine="0"/>
      </w:pPr>
      <w:r>
        <w:rPr>
          <w:i/>
        </w:rPr>
        <w:t>Комментарий: медицинская реабилитация должна проводиться мультидисциплинарной командой с учетом функции трансплантатов, состояния послеоперационной раны, риска инфекционных и сердечно-сосудистых осложнений, выраженности диабетической нейропатии, ретинопати</w:t>
      </w:r>
      <w:r>
        <w:rPr>
          <w:i/>
        </w:rPr>
        <w:t xml:space="preserve">и, периферической артериальной болезни и сопутствующей ХБП. В раннем послеоперационном периоде целесообразны дыхательная гимнастика, ранняя вертикализация, дозированная ходьба и профилактика тромбозов. После заживления послеоперационной раны - постепенное </w:t>
      </w:r>
      <w:r>
        <w:rPr>
          <w:i/>
        </w:rPr>
        <w:t>расширение аэробной и силовой нагрузки под контролем клинического состояния [244-247]. У пациентов после трансплантации поджелудочной железы NHS Blood and Transplant рекомендует ходьбу в первые недели для профилактики тромбозов, а при благоприятном восстан</w:t>
      </w:r>
      <w:r>
        <w:rPr>
          <w:i/>
        </w:rPr>
        <w:t xml:space="preserve">овлении — расширение физической активности через 6–8 недель; Mayo Clinic также указывает, что физическая активность после трансплантации должна быть регулярной, постепенно расширяться и подбираться индивидуально [248,249].  </w:t>
      </w:r>
    </w:p>
    <w:p w:rsidR="00325AD1" w:rsidRDefault="008C5E81">
      <w:pPr>
        <w:spacing w:line="383" w:lineRule="auto"/>
        <w:ind w:left="0" w:right="479" w:firstLine="708"/>
      </w:pPr>
      <w:r>
        <w:t>Необходимо вести активный образ</w:t>
      </w:r>
      <w:r>
        <w:t xml:space="preserve"> жизни, однако после трансплантации почки и поджелудочной железы, однако не следует заниматься теми видами спорта, при которых возможны прямые удары или другие повреждения трансплантированного органа (например, кикбоксинг) [143 – 146]. </w:t>
      </w:r>
    </w:p>
    <w:p w:rsidR="00325AD1" w:rsidRDefault="008C5E81">
      <w:pPr>
        <w:spacing w:after="181" w:line="389" w:lineRule="auto"/>
        <w:ind w:left="0" w:right="479" w:firstLine="708"/>
      </w:pPr>
      <w:r>
        <w:t>Злоупотребление алк</w:t>
      </w:r>
      <w:r>
        <w:t>оголем или психоактивными веществами может увеличить риск нежелательных событий [147,148].</w:t>
      </w:r>
      <w:r>
        <w:rPr>
          <w:b/>
        </w:rPr>
        <w:t xml:space="preserve"> </w:t>
      </w:r>
    </w:p>
    <w:p w:rsidR="00325AD1" w:rsidRDefault="008C5E81">
      <w:pPr>
        <w:spacing w:after="125" w:line="375" w:lineRule="auto"/>
        <w:ind w:left="-5" w:right="475"/>
      </w:pPr>
      <w:r>
        <w:rPr>
          <w:b/>
          <w:sz w:val="28"/>
        </w:rPr>
        <w:t xml:space="preserve">5. Профилактика и диспансерное наблюдение, медицинские показания и </w:t>
      </w:r>
    </w:p>
    <w:p w:rsidR="00325AD1" w:rsidRDefault="008C5E81">
      <w:pPr>
        <w:pStyle w:val="Heading1"/>
        <w:spacing w:line="375" w:lineRule="auto"/>
        <w:ind w:left="-5" w:right="475"/>
      </w:pPr>
      <w:r>
        <w:t>противопоказания к применению методов профилактики</w:t>
      </w:r>
      <w:r>
        <w:rPr>
          <w:sz w:val="24"/>
        </w:rPr>
        <w:t xml:space="preserve"> </w:t>
      </w:r>
    </w:p>
    <w:p w:rsidR="00325AD1" w:rsidRDefault="008C5E81">
      <w:pPr>
        <w:numPr>
          <w:ilvl w:val="0"/>
          <w:numId w:val="11"/>
        </w:numPr>
        <w:spacing w:line="370" w:lineRule="auto"/>
        <w:ind w:right="479" w:firstLine="708"/>
      </w:pPr>
      <w:r>
        <w:t>Рекомендуется диспансерный прием (осмотр, ко</w:t>
      </w:r>
      <w:r>
        <w:t>нсультация) врачаэндокринолога с привлечением врача-нефролога, врача-диетолога, врача-кардиолога, врача-уролога и других врачей-специалистов по показаниям реципиентам трансплантата поджелудочной железы или поджелудочной железы и почки с целью раннего выявл</w:t>
      </w:r>
      <w:r>
        <w:t xml:space="preserve">ения дисфункции трансплантата, осложнений трансплантации, нежелательных явлений иммуносупрессивной терапии и прогрессирования осложнений сахарного диабета [239, 248,249]. </w:t>
      </w:r>
      <w:r>
        <w:rPr>
          <w:b/>
        </w:rPr>
        <w:t xml:space="preserve"> </w:t>
      </w:r>
    </w:p>
    <w:p w:rsidR="00325AD1" w:rsidRDefault="008C5E81">
      <w:pPr>
        <w:spacing w:line="390" w:lineRule="auto"/>
        <w:ind w:left="-15" w:right="477" w:firstLine="710"/>
      </w:pPr>
      <w:r>
        <w:rPr>
          <w:b/>
        </w:rPr>
        <w:t>Уровень убедительности рекомендаций С (уровень достоверности доказательств – 5).</w:t>
      </w:r>
      <w:r>
        <w:rPr>
          <w:i/>
        </w:rPr>
        <w:t xml:space="preserve"> </w:t>
      </w:r>
    </w:p>
    <w:p w:rsidR="00325AD1" w:rsidRDefault="008C5E81">
      <w:pPr>
        <w:spacing w:after="8" w:line="368" w:lineRule="auto"/>
        <w:ind w:left="-15" w:right="476" w:firstLine="710"/>
      </w:pPr>
      <w:r>
        <w:rPr>
          <w:i/>
        </w:rPr>
        <w:t>К</w:t>
      </w:r>
      <w:r>
        <w:rPr>
          <w:i/>
        </w:rPr>
        <w:t xml:space="preserve">омментарии: к моменту трансплантации поджелудочной железы пациенты имеют широкий спектр осложнений сахарного диабета, многие осложнения продолжают прогрессировать какое-то время после трансплантации поджелудочной железы, что требует контроля за состоянием </w:t>
      </w:r>
      <w:r>
        <w:rPr>
          <w:i/>
        </w:rPr>
        <w:t xml:space="preserve">пациента со стороны различных специалистов [11,15,16].  В связи с этим диспансерное наблюдение должно быть мультидисциплинарным </w:t>
      </w:r>
    </w:p>
    <w:p w:rsidR="00325AD1" w:rsidRDefault="008C5E81">
      <w:pPr>
        <w:spacing w:after="53" w:line="368" w:lineRule="auto"/>
        <w:ind w:left="-15" w:right="476" w:firstLine="0"/>
      </w:pPr>
      <w:r>
        <w:rPr>
          <w:i/>
        </w:rPr>
        <w:t>и включать контроль функции трансплантатов, осложнений иммуносупрессивной терапии, сердечно-</w:t>
      </w:r>
      <w:r>
        <w:rPr>
          <w:i/>
        </w:rPr>
        <w:t>сосудистого риска, инфекционных осложнений и онкологического скрининга [239, 248, 249].</w:t>
      </w:r>
      <w:r>
        <w:t xml:space="preserve"> </w:t>
      </w:r>
    </w:p>
    <w:p w:rsidR="00325AD1" w:rsidRDefault="008C5E81">
      <w:pPr>
        <w:numPr>
          <w:ilvl w:val="0"/>
          <w:numId w:val="11"/>
        </w:numPr>
        <w:spacing w:line="365" w:lineRule="auto"/>
        <w:ind w:right="479" w:firstLine="708"/>
      </w:pPr>
      <w:r>
        <w:t>Рекомендуется при неосложненном течении послеоперационного периода проводить повторные диспансерные приемы (осмотры, консультации) пациента в трансплантационном центре</w:t>
      </w:r>
      <w:r>
        <w:t xml:space="preserve"> с целью контроля функции трансплантата поджелудочной железы и почечного трансплантата, коррекции иммуносупрессивной терапии и раннего выявления инфекционных, хирургических, метаболических, сердечно-сосудистых и онкологических осложнений: не реже 1 раза в </w:t>
      </w:r>
      <w:r>
        <w:t>месяц в течение первого года после трансплантации, далее не реже 1 раза в 3 месяца; при стабильной функции трансплантатов и отсутствии осложнений интервал наблюдения может быть индивидуально увеличен до 36 месяцев [250, 251, 253].</w:t>
      </w:r>
      <w:r>
        <w:rPr>
          <w:b/>
        </w:rPr>
        <w:t xml:space="preserve"> </w:t>
      </w:r>
    </w:p>
    <w:p w:rsidR="00325AD1" w:rsidRDefault="008C5E81">
      <w:pPr>
        <w:spacing w:line="390" w:lineRule="auto"/>
        <w:ind w:left="-15" w:right="477" w:firstLine="710"/>
      </w:pPr>
      <w:r>
        <w:rPr>
          <w:b/>
        </w:rPr>
        <w:t>Уровень убедительности р</w:t>
      </w:r>
      <w:r>
        <w:rPr>
          <w:b/>
        </w:rPr>
        <w:t>екомендаций С (уровень достоверности доказательств – 5).</w:t>
      </w:r>
      <w:r>
        <w:rPr>
          <w:rFonts w:ascii="Calibri" w:eastAsia="Calibri" w:hAnsi="Calibri" w:cs="Calibri"/>
          <w:i/>
          <w:sz w:val="22"/>
        </w:rPr>
        <w:t xml:space="preserve"> </w:t>
      </w:r>
    </w:p>
    <w:p w:rsidR="00325AD1" w:rsidRDefault="008C5E81">
      <w:pPr>
        <w:spacing w:after="32" w:line="368" w:lineRule="auto"/>
        <w:ind w:left="-15" w:right="476" w:firstLine="710"/>
      </w:pPr>
      <w:r>
        <w:rPr>
          <w:i/>
        </w:rPr>
        <w:t>Комментарии: частота повторных визитов зависит от особенностей послеоперационного периода и количества времени, прошедшего после вмешательства, наличия или отсутствия осложнений, связанных непосредс</w:t>
      </w:r>
      <w:r>
        <w:rPr>
          <w:i/>
        </w:rPr>
        <w:t>твенно с трансплантацией поджелудочной железы или с прогрессированием осложнений сахарного диабета. Регулярное наблюдение опытных врачей-хирургов (трансплантологов) имеет важное значение для раннего выявления осложнений или дисфункции трансплантата и для к</w:t>
      </w:r>
      <w:r>
        <w:rPr>
          <w:i/>
        </w:rPr>
        <w:t xml:space="preserve">онтроля строгого соблюдения предписанного иммуносупрессивного режима.  </w:t>
      </w:r>
    </w:p>
    <w:p w:rsidR="00325AD1" w:rsidRDefault="008C5E81">
      <w:pPr>
        <w:spacing w:after="12" w:line="368" w:lineRule="auto"/>
        <w:ind w:left="-15" w:right="476" w:firstLine="710"/>
      </w:pPr>
      <w:r>
        <w:rPr>
          <w:i/>
        </w:rPr>
        <w:t>Необходимо проводить (приблизительно каждые 4 - 8 недель в первые 6 месяцев после трансплантации поджелудочной железы) исследование уровня С-пептида и исследование уровня инсулина в кр</w:t>
      </w:r>
      <w:r>
        <w:rPr>
          <w:i/>
        </w:rPr>
        <w:t>ови, уровня панкреатической амилазы и уровня липазы в крови, исследование уровня креатинина в крови с расчетом скорости клубочковой фильтрации, исследование уровня белка в моче, уровня концентрации препаратов иммуносупрессивной терапии в крови, исследовани</w:t>
      </w:r>
      <w:r>
        <w:rPr>
          <w:i/>
        </w:rPr>
        <w:t>е уровня гликированного гемоглобина в крови, проводить ультразвуковое исследование трансплантата поджелудочной железы с цветовым допплеровским картированием для исключения пристеночного тромбоза сосудов поджелудочной железы. Проведение этих исследований на</w:t>
      </w:r>
      <w:r>
        <w:rPr>
          <w:i/>
        </w:rPr>
        <w:t xml:space="preserve">правлено на ранние выявления возможных осложнений на субклинической стадии. </w:t>
      </w:r>
    </w:p>
    <w:p w:rsidR="00325AD1" w:rsidRDefault="008C5E81">
      <w:pPr>
        <w:spacing w:after="7" w:line="368" w:lineRule="auto"/>
        <w:ind w:left="-15" w:right="476" w:firstLine="710"/>
      </w:pPr>
      <w:r>
        <w:rPr>
          <w:i/>
        </w:rPr>
        <w:t>Ежегодный скрининг должен включать дерматологическое обследование, обследование сердечно-сосудистой системы, скрининг опухолей (в том числе обследование лимфоузлов, исследование к</w:t>
      </w:r>
      <w:r>
        <w:rPr>
          <w:i/>
        </w:rPr>
        <w:t>ала на скрытую кровь, прицельную рентгенографию органов грудной клетки, гинекологическое и урологическое обследование) и УЗИ органов брюшной полости (комплексное), включая УЗИ собственных и трансплантированной почки, эзофагогастродуоденоскопию. При необход</w:t>
      </w:r>
      <w:r>
        <w:rPr>
          <w:i/>
        </w:rPr>
        <w:t xml:space="preserve">имости дальнейшие диагностические тесты должны проводиться для лечения или замедления прогрессирования любого выявленного осложнения. </w:t>
      </w:r>
    </w:p>
    <w:p w:rsidR="00325AD1" w:rsidRDefault="008C5E81">
      <w:pPr>
        <w:spacing w:after="3" w:line="368" w:lineRule="auto"/>
        <w:ind w:left="-15" w:right="476" w:firstLine="710"/>
      </w:pPr>
      <w:r>
        <w:rPr>
          <w:i/>
        </w:rPr>
        <w:t>Осложнения иммуносупрессивной терапии возникают часто, включая специфические осложнения различных препаратов, а также как</w:t>
      </w:r>
      <w:r>
        <w:rPr>
          <w:i/>
        </w:rPr>
        <w:t xml:space="preserve"> следствие чрезмерной иммуносупрессивной терапии (а именно – оппортунистические инфекции и злокачественные новообразования). Риск развития злокачественных новообразований некоторых локализаций и сердечно-сосудистых заболеваний в несколько раз выше у трансп</w:t>
      </w:r>
      <w:r>
        <w:rPr>
          <w:i/>
        </w:rPr>
        <w:t>лантированных пациентов, чем в общей популяции. Злокачественные новообразования являются причиной значительной заболеваемости и смертности в популяции трансплантированных пациентов. Сердечно-сосудистые заболевания и инфекции являются наиболее частой причин</w:t>
      </w:r>
      <w:r>
        <w:rPr>
          <w:i/>
        </w:rPr>
        <w:t xml:space="preserve">ой смерти реципиентов поджелудочной железы. Другими важными отдаленными проблемами являются несоблюдение предписанного режима терапии, развитие анти-HLA, рецидив сахарного диабета [9 – 10, </w:t>
      </w:r>
    </w:p>
    <w:p w:rsidR="00325AD1" w:rsidRDefault="008C5E81">
      <w:pPr>
        <w:spacing w:after="297" w:line="259" w:lineRule="auto"/>
        <w:ind w:left="-15" w:right="476" w:firstLine="0"/>
      </w:pPr>
      <w:r>
        <w:rPr>
          <w:i/>
        </w:rPr>
        <w:t xml:space="preserve">12, 13, 9, 17, 18, 61]. </w:t>
      </w:r>
    </w:p>
    <w:p w:rsidR="00325AD1" w:rsidRDefault="008C5E81">
      <w:pPr>
        <w:pStyle w:val="Heading1"/>
        <w:spacing w:after="268"/>
        <w:ind w:left="-5" w:right="475"/>
      </w:pPr>
      <w:r>
        <w:t>6. Организация оказания медицинской помощ</w:t>
      </w:r>
      <w:r>
        <w:t>и</w:t>
      </w:r>
      <w:r>
        <w:rPr>
          <w:sz w:val="24"/>
        </w:rPr>
        <w:t xml:space="preserve"> </w:t>
      </w:r>
    </w:p>
    <w:p w:rsidR="00325AD1" w:rsidRDefault="008C5E81">
      <w:pPr>
        <w:spacing w:after="155" w:line="259" w:lineRule="auto"/>
        <w:ind w:left="720" w:right="477" w:firstLine="0"/>
      </w:pPr>
      <w:r>
        <w:rPr>
          <w:b/>
        </w:rPr>
        <w:t>6.1 Показания для плановой госпитализации</w:t>
      </w:r>
      <w:r>
        <w:t xml:space="preserve"> </w:t>
      </w:r>
    </w:p>
    <w:p w:rsidR="00325AD1" w:rsidRDefault="008C5E81">
      <w:pPr>
        <w:numPr>
          <w:ilvl w:val="0"/>
          <w:numId w:val="12"/>
        </w:numPr>
        <w:spacing w:after="124"/>
        <w:ind w:right="479" w:firstLine="720"/>
      </w:pPr>
      <w:r>
        <w:t xml:space="preserve">Подготовка к трансплантации поджелудочной железы. </w:t>
      </w:r>
    </w:p>
    <w:p w:rsidR="00325AD1" w:rsidRDefault="008C5E81">
      <w:pPr>
        <w:numPr>
          <w:ilvl w:val="0"/>
          <w:numId w:val="12"/>
        </w:numPr>
        <w:spacing w:line="396" w:lineRule="auto"/>
        <w:ind w:right="479" w:firstLine="720"/>
      </w:pPr>
      <w:r>
        <w:t xml:space="preserve">Подготовка к сочетанной трансплантации почки (санация очага инфекции, нефрэктомия). </w:t>
      </w:r>
    </w:p>
    <w:p w:rsidR="00325AD1" w:rsidRDefault="008C5E81">
      <w:pPr>
        <w:spacing w:after="168"/>
        <w:ind w:left="730" w:right="479"/>
      </w:pPr>
      <w:r>
        <w:t xml:space="preserve">3.Дисфункция трансплантата поджелудочной железы.  </w:t>
      </w:r>
    </w:p>
    <w:p w:rsidR="00325AD1" w:rsidRDefault="008C5E81">
      <w:pPr>
        <w:numPr>
          <w:ilvl w:val="0"/>
          <w:numId w:val="13"/>
        </w:numPr>
        <w:spacing w:line="398" w:lineRule="auto"/>
        <w:ind w:right="479" w:firstLine="720"/>
      </w:pPr>
      <w:r>
        <w:t xml:space="preserve">Дисфункция трансплантата почки (при сочетанной трансплантации почки и поджелудочной железы). </w:t>
      </w:r>
    </w:p>
    <w:p w:rsidR="00325AD1" w:rsidRDefault="008C5E81">
      <w:pPr>
        <w:numPr>
          <w:ilvl w:val="0"/>
          <w:numId w:val="13"/>
        </w:numPr>
        <w:spacing w:after="122"/>
        <w:ind w:right="479" w:firstLine="720"/>
      </w:pPr>
      <w:r>
        <w:t xml:space="preserve">Нестабильность концентрации ингибиторов кальциневрина. </w:t>
      </w:r>
    </w:p>
    <w:p w:rsidR="00325AD1" w:rsidRDefault="008C5E81">
      <w:pPr>
        <w:numPr>
          <w:ilvl w:val="0"/>
          <w:numId w:val="13"/>
        </w:numPr>
        <w:spacing w:line="399" w:lineRule="auto"/>
        <w:ind w:right="479" w:firstLine="720"/>
      </w:pPr>
      <w:r>
        <w:t>Выполнение пункционной биопсии трансплантата поджелудочной железы и или почки (при сочетанной трансплантац</w:t>
      </w:r>
      <w:r>
        <w:t xml:space="preserve">ии). </w:t>
      </w:r>
    </w:p>
    <w:p w:rsidR="00325AD1" w:rsidRDefault="008C5E81">
      <w:pPr>
        <w:spacing w:after="170" w:line="259" w:lineRule="auto"/>
        <w:ind w:left="720" w:firstLine="0"/>
        <w:jc w:val="left"/>
      </w:pPr>
      <w:r>
        <w:t xml:space="preserve"> </w:t>
      </w:r>
    </w:p>
    <w:p w:rsidR="00325AD1" w:rsidRDefault="008C5E81">
      <w:pPr>
        <w:spacing w:after="155" w:line="259" w:lineRule="auto"/>
        <w:ind w:left="720" w:right="477" w:firstLine="0"/>
      </w:pPr>
      <w:r>
        <w:rPr>
          <w:b/>
        </w:rPr>
        <w:t>6.2 Показания для экстренной госпитализации</w:t>
      </w:r>
      <w:r>
        <w:t xml:space="preserve"> </w:t>
      </w:r>
    </w:p>
    <w:p w:rsidR="00325AD1" w:rsidRDefault="008C5E81">
      <w:pPr>
        <w:spacing w:line="377" w:lineRule="auto"/>
        <w:ind w:left="0" w:right="479" w:firstLine="720"/>
      </w:pPr>
      <w:r>
        <w:t xml:space="preserve">1. Наличие совместимой донорской поджелудочной железы от посмертного донора. 2. Наличие совместимых донорских поджелудочной железы и почки для сочетанной трансплантации. </w:t>
      </w:r>
    </w:p>
    <w:p w:rsidR="00325AD1" w:rsidRDefault="008C5E81">
      <w:pPr>
        <w:numPr>
          <w:ilvl w:val="0"/>
          <w:numId w:val="14"/>
        </w:numPr>
        <w:spacing w:line="396" w:lineRule="auto"/>
        <w:ind w:right="479" w:firstLine="720"/>
      </w:pPr>
      <w:r>
        <w:t xml:space="preserve">Дисфункция трансплантата поджелудочной железы и(или) почки при угрожающих жизни состояниях. </w:t>
      </w:r>
    </w:p>
    <w:p w:rsidR="00325AD1" w:rsidRDefault="008C5E81">
      <w:pPr>
        <w:numPr>
          <w:ilvl w:val="0"/>
          <w:numId w:val="14"/>
        </w:numPr>
        <w:spacing w:after="169"/>
        <w:ind w:right="479" w:firstLine="720"/>
      </w:pPr>
      <w:r>
        <w:t xml:space="preserve">Острый панкреатит трансплантата. </w:t>
      </w:r>
    </w:p>
    <w:p w:rsidR="00325AD1" w:rsidRDefault="008C5E81">
      <w:pPr>
        <w:numPr>
          <w:ilvl w:val="0"/>
          <w:numId w:val="14"/>
        </w:numPr>
        <w:spacing w:after="125"/>
        <w:ind w:right="479" w:firstLine="720"/>
      </w:pPr>
      <w:r>
        <w:t xml:space="preserve">Хирургические/урологические осложнения после трансплантации. </w:t>
      </w:r>
    </w:p>
    <w:p w:rsidR="00325AD1" w:rsidRDefault="008C5E81">
      <w:pPr>
        <w:numPr>
          <w:ilvl w:val="0"/>
          <w:numId w:val="14"/>
        </w:numPr>
        <w:spacing w:line="397" w:lineRule="auto"/>
        <w:ind w:right="479" w:firstLine="720"/>
      </w:pPr>
      <w:r>
        <w:t>Острые состояния или обострения хронических заболеваний в раннем по</w:t>
      </w:r>
      <w:r>
        <w:t>сттрансплантационном периоде.</w:t>
      </w:r>
      <w:r>
        <w:rPr>
          <w:b/>
        </w:rPr>
        <w:t xml:space="preserve"> </w:t>
      </w:r>
    </w:p>
    <w:p w:rsidR="00325AD1" w:rsidRDefault="008C5E81">
      <w:pPr>
        <w:spacing w:after="108" w:line="259" w:lineRule="auto"/>
        <w:ind w:left="720" w:right="477" w:firstLine="0"/>
      </w:pPr>
      <w:r>
        <w:rPr>
          <w:b/>
        </w:rPr>
        <w:t>6.3 Показания к выписке пациента из стационара</w:t>
      </w:r>
      <w:r>
        <w:t xml:space="preserve"> </w:t>
      </w:r>
    </w:p>
    <w:p w:rsidR="00325AD1" w:rsidRDefault="008C5E81">
      <w:pPr>
        <w:numPr>
          <w:ilvl w:val="0"/>
          <w:numId w:val="15"/>
        </w:numPr>
        <w:spacing w:line="398" w:lineRule="auto"/>
        <w:ind w:right="479" w:firstLine="720"/>
      </w:pPr>
      <w:r>
        <w:t xml:space="preserve">Удовлетворительная функция трансплантата поджелудочной железы (и почки при сочетанной трансплантации). </w:t>
      </w:r>
    </w:p>
    <w:p w:rsidR="00325AD1" w:rsidRDefault="008C5E81">
      <w:pPr>
        <w:numPr>
          <w:ilvl w:val="0"/>
          <w:numId w:val="15"/>
        </w:numPr>
        <w:ind w:right="479" w:firstLine="720"/>
      </w:pPr>
      <w:r>
        <w:t>Отсутствие показаний для нахождения в стационаре.</w:t>
      </w:r>
      <w:r>
        <w:rPr>
          <w:sz w:val="22"/>
        </w:rPr>
        <w:t xml:space="preserve"> </w:t>
      </w:r>
    </w:p>
    <w:p w:rsidR="00325AD1" w:rsidRDefault="008C5E81">
      <w:pPr>
        <w:pStyle w:val="Heading1"/>
        <w:spacing w:after="9" w:line="401" w:lineRule="auto"/>
        <w:ind w:left="-5" w:right="475"/>
      </w:pPr>
      <w:r>
        <w:t xml:space="preserve">7. Дополнительная информация (в том числе факторы, влияющие на исход заболевания или состояния) </w:t>
      </w:r>
    </w:p>
    <w:p w:rsidR="00325AD1" w:rsidRDefault="008C5E81">
      <w:pPr>
        <w:spacing w:after="34" w:line="259" w:lineRule="auto"/>
        <w:ind w:left="0" w:firstLine="0"/>
        <w:jc w:val="left"/>
      </w:pPr>
      <w:r>
        <w:rPr>
          <w:rFonts w:ascii="Calibri" w:eastAsia="Calibri" w:hAnsi="Calibri" w:cs="Calibri"/>
          <w:sz w:val="22"/>
        </w:rPr>
        <w:t xml:space="preserve"> </w:t>
      </w:r>
    </w:p>
    <w:p w:rsidR="00325AD1" w:rsidRDefault="008C5E81">
      <w:pPr>
        <w:spacing w:after="169"/>
        <w:ind w:left="1438" w:right="479"/>
      </w:pPr>
      <w:r>
        <w:t xml:space="preserve">7.1 Трансплантация при беременности </w:t>
      </w:r>
    </w:p>
    <w:p w:rsidR="00325AD1" w:rsidRDefault="008C5E81">
      <w:pPr>
        <w:spacing w:after="171"/>
        <w:ind w:left="1438" w:right="479"/>
      </w:pPr>
      <w:r>
        <w:t xml:space="preserve">7.1.1 Планирование беременности </w:t>
      </w:r>
    </w:p>
    <w:p w:rsidR="00325AD1" w:rsidRDefault="008C5E81">
      <w:pPr>
        <w:numPr>
          <w:ilvl w:val="0"/>
          <w:numId w:val="16"/>
        </w:numPr>
        <w:spacing w:line="368" w:lineRule="auto"/>
        <w:ind w:right="479" w:firstLine="708"/>
      </w:pPr>
      <w:r>
        <w:t>Рекомендуется планировать беременность реципиенткам поджелудочной железы или поджелудочной железы и почки только в условиях хорошего общего состояния, стабильной функции трансплантата и при постоянной иммуносупрессивной терапии, а также при отсутствии приз</w:t>
      </w:r>
      <w:r>
        <w:t>наков дисфункции трансплантата поджелудочной железы (и почки, в случаях сочетанной трансплантации), артериальной гипертензии, протеинурии, гидронефроза или хронической инфекции. Идеальным временем для беременности является второй год после выполненной тран</w:t>
      </w:r>
      <w:r>
        <w:t xml:space="preserve">сплантации [151-154, 236]. </w:t>
      </w:r>
    </w:p>
    <w:p w:rsidR="00325AD1" w:rsidRDefault="008C5E81">
      <w:pPr>
        <w:spacing w:line="390" w:lineRule="auto"/>
        <w:ind w:left="720" w:right="477" w:firstLine="710"/>
      </w:pPr>
      <w:r>
        <w:rPr>
          <w:b/>
        </w:rPr>
        <w:t xml:space="preserve">Уровень убедительности рекомендаций C (уровень достоверности доказательств – 4). </w:t>
      </w:r>
    </w:p>
    <w:p w:rsidR="00325AD1" w:rsidRDefault="008C5E81">
      <w:pPr>
        <w:spacing w:after="53" w:line="368" w:lineRule="auto"/>
        <w:ind w:left="720" w:right="476" w:firstLine="710"/>
      </w:pPr>
      <w:r>
        <w:rPr>
          <w:i/>
        </w:rPr>
        <w:t xml:space="preserve">Комментарий: сахарный диабет зачастую сопровождается нарушениями сексуальной и репродуктивной функций. После трансплантации почки половая жизнь и </w:t>
      </w:r>
      <w:r>
        <w:rPr>
          <w:i/>
        </w:rPr>
        <w:t xml:space="preserve">репродуктивная функция восстанавливаются [151, 236]. Женщины с сахарным диабетом и терминальной стадией почечной недостаточности должны быть хорошо информированы по вопросам беременности. Беременность должна протекать при хорошем состоянии общего здоровья </w:t>
      </w:r>
      <w:r>
        <w:rPr>
          <w:i/>
        </w:rPr>
        <w:t xml:space="preserve">и трансплантата поджелудочной железы, обычно не ранее чем через 1–2 года после выполнения трансплантации [150].  </w:t>
      </w:r>
    </w:p>
    <w:p w:rsidR="00325AD1" w:rsidRDefault="008C5E81">
      <w:pPr>
        <w:numPr>
          <w:ilvl w:val="0"/>
          <w:numId w:val="16"/>
        </w:numPr>
        <w:spacing w:line="369" w:lineRule="auto"/>
        <w:ind w:right="479" w:firstLine="708"/>
      </w:pPr>
      <w:r>
        <w:t>Реципиентам поджелудочной железы или поджелудочной железы и почки может быть рекомендовано выполнение кесарева сечения по акушерским показания</w:t>
      </w:r>
      <w:r>
        <w:t xml:space="preserve">м, однако они имеют более высокий риск повреждения мочевого пузыря и других хирургических осложнений при этом вмешательстве [148, 151, 236]. </w:t>
      </w:r>
    </w:p>
    <w:p w:rsidR="00325AD1" w:rsidRDefault="008C5E81">
      <w:pPr>
        <w:spacing w:line="390" w:lineRule="auto"/>
        <w:ind w:left="720" w:right="477" w:firstLine="710"/>
      </w:pPr>
      <w:r>
        <w:rPr>
          <w:b/>
        </w:rPr>
        <w:t xml:space="preserve">Уровень убедительности рекомендаций C (уровень достоверности доказательств – 4). </w:t>
      </w:r>
    </w:p>
    <w:p w:rsidR="00325AD1" w:rsidRDefault="008C5E81">
      <w:pPr>
        <w:spacing w:after="19" w:line="368" w:lineRule="auto"/>
        <w:ind w:left="720" w:right="476" w:firstLine="710"/>
      </w:pPr>
      <w:r>
        <w:rPr>
          <w:i/>
        </w:rPr>
        <w:t>Комментарий: при стабильном функ</w:t>
      </w:r>
      <w:r>
        <w:rPr>
          <w:i/>
        </w:rPr>
        <w:t>циональном состоянии трансплантата поджелудочной железы и/или почки и постоянной иммуносупрессивной терапии, а также при отсутствии признаков отторжения трансплантата, артериальной гипертензии, протеинурии, гидронефроза или хронической инфекции не отмечает</w:t>
      </w:r>
      <w:r>
        <w:rPr>
          <w:i/>
        </w:rPr>
        <w:t>ся существенного различия исходов ранней, оптимальной или поздней беременности [152, 153]. При гидронефрозе отмечается более высокий риск прерывания беременности вследствие увеличения вероятности развития инфекции или мочекаменной болезни, которые могут ос</w:t>
      </w:r>
      <w:r>
        <w:rPr>
          <w:i/>
        </w:rPr>
        <w:t>ложнять течение III триместра беременности. Необходимо как можно раньше диагностировать беременность для максимально раннего начала динамического наблюдения и коррекции иммуносупрессивной терапии. Беременность у женщин, перенесших трансплантацию органов, з</w:t>
      </w:r>
      <w:r>
        <w:rPr>
          <w:i/>
        </w:rPr>
        <w:t xml:space="preserve">ачастую не является проблемой, однако данные пациентки во всех случаях должны включаться в категорию повышенного риска; беременность должна протекать под динамическим наблюдением врача-акушерагинеколога, врача-нефролога и врача-уролога. </w:t>
      </w:r>
    </w:p>
    <w:p w:rsidR="00325AD1" w:rsidRDefault="008C5E81">
      <w:pPr>
        <w:spacing w:after="172"/>
        <w:ind w:left="1438" w:right="479"/>
      </w:pPr>
      <w:r>
        <w:t>7.1.2 Тактика веде</w:t>
      </w:r>
      <w:r>
        <w:t xml:space="preserve">ния беременности </w:t>
      </w:r>
    </w:p>
    <w:p w:rsidR="00325AD1" w:rsidRDefault="008C5E81">
      <w:pPr>
        <w:numPr>
          <w:ilvl w:val="0"/>
          <w:numId w:val="16"/>
        </w:numPr>
        <w:spacing w:line="376" w:lineRule="auto"/>
        <w:ind w:right="479" w:firstLine="708"/>
      </w:pPr>
      <w:r>
        <w:t xml:space="preserve">Всем беременным женщинам, ранее перенесшим трансплантацию поджелудочной железы, рекомендуется контроль факторов риска, с целью выявления ранних признаков дисфункции трансплантата и инфекции [151-154]. </w:t>
      </w:r>
    </w:p>
    <w:p w:rsidR="00325AD1" w:rsidRDefault="008C5E81">
      <w:pPr>
        <w:spacing w:line="391" w:lineRule="auto"/>
        <w:ind w:left="720" w:right="479" w:firstLine="708"/>
      </w:pPr>
      <w:r>
        <w:t xml:space="preserve">Уровень убедительности рекомендаций </w:t>
      </w:r>
      <w:r>
        <w:t xml:space="preserve">C (уровень достоверности доказательств – 4). </w:t>
      </w:r>
    </w:p>
    <w:p w:rsidR="00325AD1" w:rsidRDefault="008C5E81">
      <w:pPr>
        <w:spacing w:after="53" w:line="368" w:lineRule="auto"/>
        <w:ind w:left="720" w:right="476" w:firstLine="710"/>
      </w:pPr>
      <w:r>
        <w:rPr>
          <w:i/>
        </w:rPr>
        <w:t xml:space="preserve">Комментарий: в частности, следует выполнять с периодичностью 1 раз в месяц </w:t>
      </w:r>
      <w:r>
        <w:rPr>
          <w:b/>
          <w:i/>
        </w:rPr>
        <w:t>анализы мочи</w:t>
      </w:r>
      <w:r>
        <w:rPr>
          <w:i/>
        </w:rPr>
        <w:t xml:space="preserve"> (ранняя диагностика инфекций мочеполовой системы), устранять бактериурию независимо от наличия клинических проявлений. Во </w:t>
      </w:r>
      <w:r>
        <w:rPr>
          <w:i/>
        </w:rPr>
        <w:t>избежание фето- и нефротоксичности необходимо назначать бета-лактамные антибактериальные препараты, пенициллины [165]. Необходима профилактика и подавление любых вирусных инфекций во избежание внутриутробных дефектов (например, умственная отсталость ребенк</w:t>
      </w:r>
      <w:r>
        <w:rPr>
          <w:i/>
        </w:rPr>
        <w:t xml:space="preserve">а после перенесенной внутриутробной ЦМВ-инфекции). Для ранней диагностики внутриутробных инфекций применяется культурологическое исследование амниотической жидкости [154]. </w:t>
      </w:r>
    </w:p>
    <w:p w:rsidR="00325AD1" w:rsidRDefault="008C5E81">
      <w:pPr>
        <w:spacing w:after="169"/>
        <w:ind w:left="1438" w:right="479"/>
      </w:pPr>
      <w:r>
        <w:t xml:space="preserve">7.1.3 Иммуносупрессивная терапия при беременности </w:t>
      </w:r>
    </w:p>
    <w:p w:rsidR="00325AD1" w:rsidRDefault="008C5E81">
      <w:pPr>
        <w:numPr>
          <w:ilvl w:val="0"/>
          <w:numId w:val="16"/>
        </w:numPr>
        <w:spacing w:line="370" w:lineRule="auto"/>
        <w:ind w:right="479" w:firstLine="708"/>
      </w:pPr>
      <w:r>
        <w:t xml:space="preserve">Не рекомендуется использование микофеноловой кислоты**/ микофеноловой кислоты** и эверолимуса** для поддерживающей иммуносупрессивной терапии при беременности реципиенток после сочетанной трансплантации поджелудочной железы и почки [155-159]. </w:t>
      </w:r>
    </w:p>
    <w:p w:rsidR="00325AD1" w:rsidRDefault="008C5E81">
      <w:pPr>
        <w:spacing w:line="391" w:lineRule="auto"/>
        <w:ind w:left="720" w:right="479" w:firstLine="708"/>
      </w:pPr>
      <w:r>
        <w:t>Уровень убед</w:t>
      </w:r>
      <w:r>
        <w:t xml:space="preserve">ительности рекомендаций С (уровень достоверности доказательств – 4). </w:t>
      </w:r>
    </w:p>
    <w:p w:rsidR="00325AD1" w:rsidRDefault="008C5E81">
      <w:pPr>
        <w:spacing w:after="20" w:line="368" w:lineRule="auto"/>
        <w:ind w:left="720" w:right="476" w:firstLine="710"/>
      </w:pPr>
      <w:r>
        <w:rPr>
          <w:i/>
        </w:rPr>
        <w:t>Комментарий: препарат #такролимус** [155, 156], применяющийся с целью супрессии иммунной системы после трансплантации поджелудочной железы, характеризуется достаточно высокой безопасност</w:t>
      </w:r>
      <w:r>
        <w:rPr>
          <w:i/>
        </w:rPr>
        <w:t xml:space="preserve">ью. Лишь отдельные исследования свидетельствуют о том, что микофенолата мофетил** и #сиролимус обладают тератогенностью, в связи с чем их использование противопоказано при беременности [157]. </w:t>
      </w:r>
    </w:p>
    <w:p w:rsidR="00325AD1" w:rsidRDefault="008C5E81">
      <w:pPr>
        <w:numPr>
          <w:ilvl w:val="0"/>
          <w:numId w:val="16"/>
        </w:numPr>
        <w:spacing w:after="150" w:line="371" w:lineRule="auto"/>
        <w:ind w:right="479" w:firstLine="708"/>
      </w:pPr>
      <w:r>
        <w:t>Не рекомендовано грудное вскармливание при применении #микофено</w:t>
      </w:r>
      <w:r>
        <w:t xml:space="preserve">лата мофетила** в связи с высоким риском попадания иммунодепрессантов в организм новорожденного и малым количеством данных об их безопасности при воздействии на новорожденного [166]. </w:t>
      </w:r>
    </w:p>
    <w:p w:rsidR="00325AD1" w:rsidRDefault="008C5E81">
      <w:pPr>
        <w:spacing w:after="115" w:line="259" w:lineRule="auto"/>
        <w:ind w:right="478"/>
        <w:jc w:val="right"/>
      </w:pPr>
      <w:r>
        <w:t>Уровень убедительности рекомендаций C (уровень достоверности доказательс</w:t>
      </w:r>
      <w:r>
        <w:t xml:space="preserve">тв – </w:t>
      </w:r>
    </w:p>
    <w:p w:rsidR="00325AD1" w:rsidRDefault="008C5E81">
      <w:pPr>
        <w:spacing w:after="307"/>
        <w:ind w:right="479"/>
      </w:pPr>
      <w:r>
        <w:t xml:space="preserve">5). </w:t>
      </w:r>
    </w:p>
    <w:p w:rsidR="00325AD1" w:rsidRDefault="008C5E81">
      <w:pPr>
        <w:spacing w:after="0" w:line="259" w:lineRule="auto"/>
        <w:ind w:left="-5"/>
        <w:jc w:val="left"/>
      </w:pPr>
      <w:r>
        <w:rPr>
          <w:b/>
          <w:sz w:val="28"/>
          <w:u w:val="single" w:color="000000"/>
        </w:rPr>
        <w:t>Критерии оценки качества медицинской помощи</w:t>
      </w:r>
      <w:r>
        <w:rPr>
          <w:b/>
        </w:rPr>
        <w:t xml:space="preserve"> </w:t>
      </w:r>
    </w:p>
    <w:tbl>
      <w:tblPr>
        <w:tblStyle w:val="TableGrid"/>
        <w:tblW w:w="9342" w:type="dxa"/>
        <w:tblInd w:w="-151" w:type="dxa"/>
        <w:tblCellMar>
          <w:top w:w="11" w:type="dxa"/>
          <w:left w:w="0" w:type="dxa"/>
          <w:bottom w:w="12" w:type="dxa"/>
          <w:right w:w="6" w:type="dxa"/>
        </w:tblCellMar>
        <w:tblLook w:val="04A0" w:firstRow="1" w:lastRow="0" w:firstColumn="1" w:lastColumn="0" w:noHBand="0" w:noVBand="1"/>
      </w:tblPr>
      <w:tblGrid>
        <w:gridCol w:w="722"/>
        <w:gridCol w:w="6786"/>
        <w:gridCol w:w="1834"/>
      </w:tblGrid>
      <w:tr w:rsidR="00325AD1">
        <w:trPr>
          <w:trHeight w:val="842"/>
        </w:trPr>
        <w:tc>
          <w:tcPr>
            <w:tcW w:w="722"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245" w:firstLine="0"/>
              <w:jc w:val="left"/>
            </w:pPr>
            <w:r>
              <w:t xml:space="preserve">№ </w:t>
            </w:r>
          </w:p>
          <w:p w:rsidR="00325AD1" w:rsidRDefault="008C5E81">
            <w:pPr>
              <w:spacing w:after="0" w:line="259" w:lineRule="auto"/>
              <w:ind w:left="63" w:firstLine="0"/>
              <w:jc w:val="center"/>
            </w:pPr>
            <w:r>
              <w:t xml:space="preserve"> </w:t>
            </w:r>
          </w:p>
        </w:tc>
        <w:tc>
          <w:tcPr>
            <w:tcW w:w="6786"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0" w:firstLine="0"/>
              <w:jc w:val="center"/>
            </w:pPr>
            <w:r>
              <w:t xml:space="preserve">Критерии качества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44" w:line="238" w:lineRule="auto"/>
              <w:ind w:left="0" w:firstLine="0"/>
              <w:jc w:val="center"/>
            </w:pPr>
            <w:r>
              <w:t xml:space="preserve">Оценка выполнения </w:t>
            </w:r>
          </w:p>
          <w:p w:rsidR="00325AD1" w:rsidRDefault="008C5E81">
            <w:pPr>
              <w:spacing w:after="0" w:line="259" w:lineRule="auto"/>
              <w:ind w:left="3" w:firstLine="0"/>
              <w:jc w:val="center"/>
            </w:pPr>
            <w:r>
              <w:t xml:space="preserve">(да/нет) </w:t>
            </w:r>
          </w:p>
        </w:tc>
      </w:tr>
      <w:tr w:rsidR="00325AD1">
        <w:trPr>
          <w:trHeight w:val="842"/>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1" w:firstLine="0"/>
            </w:pPr>
            <w:r>
              <w:t xml:space="preserve">Выполнен прием (осмотр, консультация) врача-эндокринолога кандидатам </w:t>
            </w:r>
            <w:r>
              <w:t xml:space="preserve">на трансплантацию поджелудочной железы или сочетанную трансплантацию поджелудочной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vAlign w:val="center"/>
          </w:tcPr>
          <w:p w:rsidR="00325AD1" w:rsidRDefault="008C5E81">
            <w:pPr>
              <w:tabs>
                <w:tab w:val="center" w:pos="914"/>
              </w:tabs>
              <w:spacing w:after="0" w:line="259" w:lineRule="auto"/>
              <w:ind w:left="-13" w:firstLine="0"/>
              <w:jc w:val="left"/>
            </w:pPr>
            <w:r>
              <w:t xml:space="preserve"> </w:t>
            </w:r>
            <w:r>
              <w:tab/>
              <w:t xml:space="preserve">Да/нет </w:t>
            </w:r>
          </w:p>
        </w:tc>
      </w:tr>
      <w:tr w:rsidR="00325AD1">
        <w:trPr>
          <w:trHeight w:val="842"/>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2.</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3" w:firstLine="0"/>
            </w:pPr>
            <w:r>
              <w:t>Выполнен прием (осмотр, консультация) врача-хирурга кандидатам на трансплантацию поджелудочной железы или сочетанную трансплантацию поджелудо</w:t>
            </w:r>
            <w:r>
              <w:t xml:space="preserve">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vAlign w:val="center"/>
          </w:tcPr>
          <w:p w:rsidR="00325AD1" w:rsidRDefault="008C5E81">
            <w:pPr>
              <w:tabs>
                <w:tab w:val="center" w:pos="914"/>
              </w:tabs>
              <w:spacing w:after="0" w:line="259" w:lineRule="auto"/>
              <w:ind w:left="-13" w:firstLine="0"/>
              <w:jc w:val="left"/>
            </w:pPr>
            <w:r>
              <w:t xml:space="preserve"> </w:t>
            </w:r>
            <w:r>
              <w:tab/>
              <w:t xml:space="preserve">Да/нет </w:t>
            </w:r>
          </w:p>
        </w:tc>
      </w:tr>
      <w:tr w:rsidR="00325AD1">
        <w:trPr>
          <w:trHeight w:val="1119"/>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3.</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4" w:firstLine="0"/>
            </w:pPr>
            <w:r>
              <w:t xml:space="preserve">Выполнено определение основных групп по системе AB0, определение антигена D системы Резус (резус-фактор) потенциальному реципиенту перед трансплантацией поджелудочной железы или поджелудочной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158" w:line="259" w:lineRule="auto"/>
              <w:ind w:left="-14" w:firstLine="0"/>
              <w:jc w:val="left"/>
            </w:pPr>
            <w:r>
              <w:t xml:space="preserve"> </w:t>
            </w:r>
          </w:p>
          <w:p w:rsidR="00325AD1" w:rsidRDefault="008C5E81">
            <w:pPr>
              <w:spacing w:after="0" w:line="259" w:lineRule="auto"/>
              <w:ind w:left="0" w:firstLine="0"/>
              <w:jc w:val="center"/>
            </w:pPr>
            <w:r>
              <w:t xml:space="preserve">Да/нет </w:t>
            </w:r>
          </w:p>
          <w:p w:rsidR="00325AD1" w:rsidRDefault="008C5E81">
            <w:pPr>
              <w:spacing w:after="0" w:line="259" w:lineRule="auto"/>
              <w:ind w:left="-14" w:firstLine="0"/>
              <w:jc w:val="left"/>
            </w:pPr>
            <w:r>
              <w:t xml:space="preserve"> </w:t>
            </w:r>
          </w:p>
        </w:tc>
      </w:tr>
      <w:tr w:rsidR="00325AD1">
        <w:trPr>
          <w:trHeight w:val="1673"/>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4.</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2" w:firstLine="0"/>
            </w:pPr>
            <w:r>
              <w:t xml:space="preserve">Выполнены определение HLA- антигенов (генов) I и II </w:t>
            </w:r>
            <w:r>
              <w:t xml:space="preserve">классов, проба на совместимость по иммунным антителам реципиента и антигенам главного комплекса гистосовместимости донора, определение содержания антител к антигенам главного комплекса гистосовместимости в сыворотке крови потенциальному реципиенту </w:t>
            </w:r>
          </w:p>
        </w:tc>
        <w:tc>
          <w:tcPr>
            <w:tcW w:w="1834"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15" w:firstLine="0"/>
              <w:jc w:val="left"/>
            </w:pPr>
            <w:r>
              <w:t xml:space="preserve"> </w:t>
            </w:r>
          </w:p>
          <w:p w:rsidR="00325AD1" w:rsidRDefault="008C5E81">
            <w:pPr>
              <w:spacing w:after="0" w:line="259" w:lineRule="auto"/>
              <w:ind w:left="-12" w:firstLine="0"/>
              <w:jc w:val="left"/>
            </w:pPr>
            <w:r>
              <w:t xml:space="preserve"> </w:t>
            </w:r>
          </w:p>
          <w:p w:rsidR="00325AD1" w:rsidRDefault="008C5E81">
            <w:pPr>
              <w:spacing w:after="0" w:line="259" w:lineRule="auto"/>
              <w:ind w:left="0" w:firstLine="0"/>
              <w:jc w:val="center"/>
            </w:pPr>
            <w:r>
              <w:t xml:space="preserve">Да/нет </w:t>
            </w:r>
          </w:p>
          <w:p w:rsidR="00325AD1" w:rsidRDefault="008C5E81">
            <w:pPr>
              <w:spacing w:after="0" w:line="259" w:lineRule="auto"/>
              <w:ind w:left="-13" w:firstLine="0"/>
              <w:jc w:val="left"/>
            </w:pPr>
            <w:r>
              <w:t xml:space="preserve"> </w:t>
            </w:r>
          </w:p>
          <w:p w:rsidR="00325AD1" w:rsidRDefault="008C5E81">
            <w:pPr>
              <w:spacing w:after="0" w:line="259" w:lineRule="auto"/>
              <w:ind w:left="-13" w:firstLine="0"/>
              <w:jc w:val="left"/>
            </w:pPr>
            <w:r>
              <w:t xml:space="preserve"> </w:t>
            </w:r>
          </w:p>
        </w:tc>
      </w:tr>
      <w:tr w:rsidR="00325AD1">
        <w:trPr>
          <w:trHeight w:val="1947"/>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5.</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3" w:firstLine="0"/>
            </w:pPr>
            <w:r>
              <w:t xml:space="preserve">Выполнено ежегодное определение антител классов M, G </w:t>
            </w:r>
            <w:r>
              <w:rPr>
                <w:i/>
              </w:rPr>
              <w:t>(IgM, IgG)</w:t>
            </w:r>
            <w:r>
              <w:t xml:space="preserve"> к вирусу иммунодефицита человека ВИЧ-1 (</w:t>
            </w:r>
            <w:r>
              <w:rPr>
                <w:i/>
              </w:rPr>
              <w:t>Human immunodeficiency virus HIV 1</w:t>
            </w:r>
            <w:r>
              <w:t>) в крови, определение антител классов M, G (IgM, IgG) к вирусу иммунодефицита человека ВИЧ2 (</w:t>
            </w:r>
            <w:r>
              <w:rPr>
                <w:i/>
              </w:rPr>
              <w:t>Human immunodeficiency virus HIV 2</w:t>
            </w:r>
            <w:r>
              <w:t xml:space="preserve">) в крови потенциальным реципиентам поджелудочной железы или поджелудочной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vAlign w:val="bottom"/>
          </w:tcPr>
          <w:p w:rsidR="00325AD1" w:rsidRDefault="008C5E81">
            <w:pPr>
              <w:spacing w:after="19" w:line="259" w:lineRule="auto"/>
              <w:ind w:left="-11" w:firstLine="0"/>
              <w:jc w:val="left"/>
            </w:pPr>
            <w:r>
              <w:t xml:space="preserve"> </w:t>
            </w:r>
          </w:p>
          <w:p w:rsidR="00325AD1" w:rsidRDefault="008C5E81">
            <w:pPr>
              <w:spacing w:after="0" w:line="259" w:lineRule="auto"/>
              <w:ind w:left="0" w:firstLine="0"/>
              <w:jc w:val="center"/>
            </w:pPr>
            <w:r>
              <w:t xml:space="preserve">Да/нет </w:t>
            </w:r>
          </w:p>
          <w:p w:rsidR="00325AD1" w:rsidRDefault="008C5E81">
            <w:pPr>
              <w:spacing w:after="0" w:line="259" w:lineRule="auto"/>
              <w:ind w:left="-10" w:firstLine="0"/>
              <w:jc w:val="left"/>
            </w:pPr>
            <w:r>
              <w:t xml:space="preserve"> </w:t>
            </w:r>
          </w:p>
          <w:p w:rsidR="00325AD1" w:rsidRDefault="008C5E81">
            <w:pPr>
              <w:spacing w:after="0" w:line="259" w:lineRule="auto"/>
              <w:ind w:left="-10" w:firstLine="0"/>
              <w:jc w:val="left"/>
            </w:pPr>
            <w:r>
              <w:t xml:space="preserve"> </w:t>
            </w:r>
          </w:p>
        </w:tc>
      </w:tr>
      <w:tr w:rsidR="00325AD1">
        <w:trPr>
          <w:trHeight w:val="1946"/>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6.</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pPr>
            <w:r>
              <w:t>Выполнено ежегодное определение антигена (</w:t>
            </w:r>
            <w:r>
              <w:rPr>
                <w:i/>
              </w:rPr>
              <w:t>HbsAg</w:t>
            </w:r>
            <w:r>
              <w:t>) вируса гепатита B (</w:t>
            </w:r>
            <w:r>
              <w:rPr>
                <w:i/>
              </w:rPr>
              <w:t>Hepatitis B virus</w:t>
            </w:r>
            <w:r>
              <w:t>) в крови, определение антител класса M к ядерному антигену (</w:t>
            </w:r>
            <w:r>
              <w:rPr>
                <w:i/>
              </w:rPr>
              <w:t>anti-HBc IgM</w:t>
            </w:r>
            <w:r>
              <w:t>) вируса гепатита B (</w:t>
            </w:r>
            <w:r>
              <w:rPr>
                <w:i/>
              </w:rPr>
              <w:t>Hepatitis B virus</w:t>
            </w:r>
            <w:r>
              <w:t>) в крови, определение антител к поверхностному антигену (</w:t>
            </w:r>
            <w:r>
              <w:rPr>
                <w:i/>
              </w:rPr>
              <w:t>anti-HBs</w:t>
            </w:r>
            <w:r>
              <w:t>) вируса гепатита B (</w:t>
            </w:r>
            <w:r>
              <w:rPr>
                <w:i/>
              </w:rPr>
              <w:t>Hepatitis B virus</w:t>
            </w:r>
            <w:r>
              <w:t>) в крови, качественное исследование поте</w:t>
            </w:r>
            <w:r>
              <w:t xml:space="preserve">нциальным реципиентам поджелудочной железы или поджелудочной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10" w:firstLine="0"/>
              <w:jc w:val="left"/>
            </w:pPr>
            <w:r>
              <w:t xml:space="preserve"> </w:t>
            </w:r>
          </w:p>
          <w:p w:rsidR="00325AD1" w:rsidRDefault="008C5E81">
            <w:pPr>
              <w:spacing w:after="20" w:line="259" w:lineRule="auto"/>
              <w:ind w:left="-10" w:firstLine="0"/>
              <w:jc w:val="left"/>
            </w:pPr>
            <w:r>
              <w:t xml:space="preserve"> </w:t>
            </w:r>
          </w:p>
          <w:p w:rsidR="00325AD1" w:rsidRDefault="008C5E81">
            <w:pPr>
              <w:tabs>
                <w:tab w:val="center" w:pos="914"/>
              </w:tabs>
              <w:spacing w:after="258" w:line="259" w:lineRule="auto"/>
              <w:ind w:left="-10" w:firstLine="0"/>
              <w:jc w:val="left"/>
            </w:pPr>
            <w:r>
              <w:t xml:space="preserve"> </w:t>
            </w:r>
            <w:r>
              <w:tab/>
              <w:t xml:space="preserve">Да/нет </w:t>
            </w:r>
          </w:p>
          <w:p w:rsidR="00325AD1" w:rsidRDefault="008C5E81">
            <w:pPr>
              <w:spacing w:after="0" w:line="259" w:lineRule="auto"/>
              <w:ind w:left="-13" w:firstLine="0"/>
              <w:jc w:val="left"/>
            </w:pPr>
            <w:r>
              <w:t xml:space="preserve"> </w:t>
            </w:r>
          </w:p>
        </w:tc>
      </w:tr>
    </w:tbl>
    <w:p w:rsidR="00325AD1" w:rsidRDefault="00325AD1">
      <w:pPr>
        <w:spacing w:after="0" w:line="259" w:lineRule="auto"/>
        <w:ind w:left="-1702" w:right="651" w:firstLine="0"/>
        <w:jc w:val="left"/>
      </w:pPr>
    </w:p>
    <w:tbl>
      <w:tblPr>
        <w:tblStyle w:val="TableGrid"/>
        <w:tblW w:w="9342" w:type="dxa"/>
        <w:tblInd w:w="-151" w:type="dxa"/>
        <w:tblCellMar>
          <w:top w:w="11" w:type="dxa"/>
          <w:left w:w="0" w:type="dxa"/>
          <w:bottom w:w="0" w:type="dxa"/>
          <w:right w:w="5" w:type="dxa"/>
        </w:tblCellMar>
        <w:tblLook w:val="04A0" w:firstRow="1" w:lastRow="0" w:firstColumn="1" w:lastColumn="0" w:noHBand="0" w:noVBand="1"/>
      </w:tblPr>
      <w:tblGrid>
        <w:gridCol w:w="722"/>
        <w:gridCol w:w="6786"/>
        <w:gridCol w:w="1834"/>
      </w:tblGrid>
      <w:tr w:rsidR="00325AD1">
        <w:trPr>
          <w:trHeight w:val="845"/>
        </w:trPr>
        <w:tc>
          <w:tcPr>
            <w:tcW w:w="722"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245" w:firstLine="0"/>
              <w:jc w:val="left"/>
            </w:pPr>
            <w:r>
              <w:t xml:space="preserve">№ </w:t>
            </w:r>
          </w:p>
          <w:p w:rsidR="00325AD1" w:rsidRDefault="008C5E81">
            <w:pPr>
              <w:spacing w:after="0" w:line="259" w:lineRule="auto"/>
              <w:ind w:left="62" w:firstLine="0"/>
              <w:jc w:val="center"/>
            </w:pPr>
            <w:r>
              <w:t xml:space="preserve"> </w:t>
            </w:r>
          </w:p>
        </w:tc>
        <w:tc>
          <w:tcPr>
            <w:tcW w:w="6786"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0" w:right="1" w:firstLine="0"/>
              <w:jc w:val="center"/>
            </w:pPr>
            <w:r>
              <w:t xml:space="preserve">Критерии качества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45" w:line="238" w:lineRule="auto"/>
              <w:ind w:left="0" w:firstLine="0"/>
              <w:jc w:val="center"/>
            </w:pPr>
            <w:r>
              <w:t xml:space="preserve">Оценка выполнения </w:t>
            </w:r>
          </w:p>
          <w:p w:rsidR="00325AD1" w:rsidRDefault="008C5E81">
            <w:pPr>
              <w:spacing w:after="0" w:line="259" w:lineRule="auto"/>
              <w:ind w:left="2" w:firstLine="0"/>
              <w:jc w:val="center"/>
            </w:pPr>
            <w:r>
              <w:t xml:space="preserve">(да/нет) </w:t>
            </w:r>
          </w:p>
        </w:tc>
      </w:tr>
      <w:tr w:rsidR="00325AD1">
        <w:trPr>
          <w:trHeight w:val="1118"/>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7.</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3" w:lineRule="auto"/>
              <w:ind w:left="7" w:right="4" w:firstLine="0"/>
            </w:pPr>
            <w:r>
              <w:t>Выполнено ежегодное определение антител к вирусу гепатита C (</w:t>
            </w:r>
            <w:r>
              <w:rPr>
                <w:i/>
              </w:rPr>
              <w:t>Hepatitis C virus</w:t>
            </w:r>
            <w:r>
              <w:t>) потенциальным реципиентам поджелудочной железы или поджелудочной железы и почки, получающим</w:t>
            </w:r>
          </w:p>
          <w:p w:rsidR="00325AD1" w:rsidRDefault="008C5E81">
            <w:pPr>
              <w:spacing w:after="0" w:line="259" w:lineRule="auto"/>
              <w:ind w:left="7" w:firstLine="0"/>
              <w:jc w:val="left"/>
            </w:pPr>
            <w:r>
              <w:t xml:space="preserve">заместительную почечную терапию, в крови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156" w:line="259" w:lineRule="auto"/>
              <w:ind w:left="-13" w:firstLine="0"/>
              <w:jc w:val="left"/>
            </w:pPr>
            <w:r>
              <w:t xml:space="preserve"> </w:t>
            </w:r>
          </w:p>
          <w:p w:rsidR="00325AD1" w:rsidRDefault="008C5E81">
            <w:pPr>
              <w:spacing w:after="0" w:line="259" w:lineRule="auto"/>
              <w:ind w:left="0" w:right="1" w:firstLine="0"/>
              <w:jc w:val="center"/>
            </w:pPr>
            <w:r>
              <w:t xml:space="preserve">Да/нет </w:t>
            </w:r>
          </w:p>
        </w:tc>
      </w:tr>
      <w:tr w:rsidR="00325AD1">
        <w:trPr>
          <w:trHeight w:val="2498"/>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8.</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pPr>
            <w:r>
              <w:t>Выполнена оценка коагулограммы (ориентировочное исследование системы гемостаза) (исследование уровня фибриногена в крови, определение активности антитромбина III в крови, исследование уровня плазминогена в крови, протромбинового (тромбопластинового) времен</w:t>
            </w:r>
            <w:r>
              <w:t xml:space="preserve">и в крови или в плазме, активированного частичного тромбопластинового времени (АЧТВ) с использованием активаторов (каолин/кефалин) потенциальным реципиентам поджелудочной железы или поджелудочной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vAlign w:val="bottom"/>
          </w:tcPr>
          <w:p w:rsidR="00325AD1" w:rsidRDefault="008C5E81">
            <w:pPr>
              <w:spacing w:after="20" w:line="259" w:lineRule="auto"/>
              <w:ind w:left="-11" w:firstLine="0"/>
              <w:jc w:val="left"/>
            </w:pPr>
            <w:r>
              <w:t xml:space="preserve"> </w:t>
            </w:r>
          </w:p>
          <w:p w:rsidR="00325AD1" w:rsidRDefault="008C5E81">
            <w:pPr>
              <w:tabs>
                <w:tab w:val="center" w:pos="914"/>
              </w:tabs>
              <w:spacing w:after="0" w:line="259" w:lineRule="auto"/>
              <w:ind w:left="-13" w:firstLine="0"/>
              <w:jc w:val="left"/>
            </w:pPr>
            <w:r>
              <w:t xml:space="preserve"> </w:t>
            </w:r>
            <w:r>
              <w:tab/>
              <w:t xml:space="preserve">Да/нет </w:t>
            </w:r>
          </w:p>
          <w:p w:rsidR="00325AD1" w:rsidRDefault="008C5E81">
            <w:pPr>
              <w:spacing w:after="0" w:line="259" w:lineRule="auto"/>
              <w:ind w:left="-12" w:firstLine="0"/>
              <w:jc w:val="left"/>
            </w:pPr>
            <w:r>
              <w:t xml:space="preserve"> </w:t>
            </w:r>
          </w:p>
          <w:p w:rsidR="00325AD1" w:rsidRDefault="008C5E81">
            <w:pPr>
              <w:spacing w:after="0" w:line="259" w:lineRule="auto"/>
              <w:ind w:left="-13" w:firstLine="0"/>
              <w:jc w:val="left"/>
            </w:pPr>
            <w:r>
              <w:t xml:space="preserve"> </w:t>
            </w:r>
          </w:p>
          <w:p w:rsidR="00325AD1" w:rsidRDefault="008C5E81">
            <w:pPr>
              <w:spacing w:after="0" w:line="259" w:lineRule="auto"/>
              <w:ind w:left="-11" w:firstLine="0"/>
              <w:jc w:val="left"/>
            </w:pPr>
            <w:r>
              <w:t xml:space="preserve"> </w:t>
            </w:r>
          </w:p>
        </w:tc>
      </w:tr>
      <w:tr w:rsidR="00325AD1">
        <w:trPr>
          <w:trHeight w:val="843"/>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9.</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7" w:firstLine="0"/>
            </w:pPr>
            <w:r>
              <w:t xml:space="preserve">Выполнена прицельная рентгенография органов грудной клетки потенциальным реципиентам поджелудочной железы или поджелудочной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20" w:line="259" w:lineRule="auto"/>
              <w:ind w:left="-13" w:firstLine="0"/>
              <w:jc w:val="left"/>
            </w:pPr>
            <w:r>
              <w:t xml:space="preserve"> </w:t>
            </w:r>
          </w:p>
          <w:p w:rsidR="00325AD1" w:rsidRDefault="008C5E81">
            <w:pPr>
              <w:tabs>
                <w:tab w:val="center" w:pos="914"/>
              </w:tabs>
              <w:spacing w:after="0" w:line="259" w:lineRule="auto"/>
              <w:ind w:left="-14" w:firstLine="0"/>
              <w:jc w:val="left"/>
            </w:pPr>
            <w:r>
              <w:t xml:space="preserve"> </w:t>
            </w:r>
            <w:r>
              <w:tab/>
              <w:t xml:space="preserve">Да/нет </w:t>
            </w:r>
          </w:p>
        </w:tc>
      </w:tr>
      <w:tr w:rsidR="00325AD1">
        <w:trPr>
          <w:trHeight w:val="569"/>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10.</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pPr>
            <w:r>
              <w:t xml:space="preserve">Выполнена ЭКГ потенциальным реципиентам поджелудочной железы или поджелудочной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13" w:firstLine="0"/>
              <w:jc w:val="left"/>
            </w:pPr>
            <w:r>
              <w:t xml:space="preserve"> </w:t>
            </w:r>
          </w:p>
          <w:p w:rsidR="00325AD1" w:rsidRDefault="008C5E81">
            <w:pPr>
              <w:spacing w:after="0" w:line="259" w:lineRule="auto"/>
              <w:ind w:left="0" w:right="1" w:firstLine="0"/>
              <w:jc w:val="center"/>
            </w:pPr>
            <w:r>
              <w:t xml:space="preserve">Да/нет </w:t>
            </w:r>
          </w:p>
        </w:tc>
      </w:tr>
      <w:tr w:rsidR="00325AD1">
        <w:trPr>
          <w:trHeight w:val="566"/>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11.</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 xml:space="preserve"> Выполнена </w:t>
            </w:r>
            <w:r>
              <w:tab/>
              <w:t xml:space="preserve">эзофагогастродуоденоскопия </w:t>
            </w:r>
            <w:r>
              <w:tab/>
              <w:t xml:space="preserve">потенциальным реципиентам поджелудочной железы и почки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11" w:firstLine="0"/>
              <w:jc w:val="left"/>
            </w:pPr>
            <w:r>
              <w:t xml:space="preserve"> </w:t>
            </w:r>
          </w:p>
          <w:p w:rsidR="00325AD1" w:rsidRDefault="008C5E81">
            <w:pPr>
              <w:spacing w:after="0" w:line="259" w:lineRule="auto"/>
              <w:ind w:left="0" w:right="1" w:firstLine="0"/>
              <w:jc w:val="center"/>
            </w:pPr>
            <w:r>
              <w:t xml:space="preserve">Да/нет </w:t>
            </w:r>
          </w:p>
        </w:tc>
      </w:tr>
      <w:tr w:rsidR="00325AD1">
        <w:trPr>
          <w:trHeight w:val="1118"/>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12.</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3" w:firstLine="0"/>
            </w:pPr>
            <w:r>
              <w:t>Проведена периоперационная профилактика противогрибковыми препаратами системного действия и антибактериальными препаратами системного действия у реципиентов трансплантата поджелудочной железы или поджелудочной железы и почки</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158" w:line="259" w:lineRule="auto"/>
              <w:ind w:left="-13" w:firstLine="0"/>
              <w:jc w:val="left"/>
            </w:pPr>
            <w:r>
              <w:t xml:space="preserve"> </w:t>
            </w:r>
          </w:p>
          <w:p w:rsidR="00325AD1" w:rsidRDefault="008C5E81">
            <w:pPr>
              <w:spacing w:after="0" w:line="259" w:lineRule="auto"/>
              <w:ind w:left="0" w:right="1" w:firstLine="0"/>
              <w:jc w:val="center"/>
            </w:pPr>
            <w:r>
              <w:t xml:space="preserve">Да/нет </w:t>
            </w:r>
          </w:p>
          <w:p w:rsidR="00325AD1" w:rsidRDefault="008C5E81">
            <w:pPr>
              <w:spacing w:after="0" w:line="259" w:lineRule="auto"/>
              <w:ind w:left="-10" w:firstLine="0"/>
              <w:jc w:val="left"/>
            </w:pPr>
            <w:r>
              <w:t xml:space="preserve"> </w:t>
            </w:r>
          </w:p>
        </w:tc>
      </w:tr>
      <w:tr w:rsidR="00325AD1">
        <w:trPr>
          <w:trHeight w:val="1119"/>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13.</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5" w:firstLine="0"/>
            </w:pPr>
            <w:r>
              <w:t xml:space="preserve">Проведена </w:t>
            </w:r>
            <w:r>
              <w:t>профилактика венозного тромбоза поджелудочной железы постоянной внутривенной инфузией гепарина натрия** с помощью насоса инфузионного шприцевого в течение 2-4 дней после трансплантации</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12" w:firstLine="0"/>
              <w:jc w:val="left"/>
            </w:pPr>
            <w:r>
              <w:t xml:space="preserve"> </w:t>
            </w:r>
          </w:p>
          <w:p w:rsidR="00325AD1" w:rsidRDefault="008C5E81">
            <w:pPr>
              <w:spacing w:after="0" w:line="259" w:lineRule="auto"/>
              <w:ind w:left="-13" w:firstLine="0"/>
              <w:jc w:val="left"/>
            </w:pPr>
            <w:r>
              <w:t xml:space="preserve"> </w:t>
            </w:r>
          </w:p>
          <w:p w:rsidR="00325AD1" w:rsidRDefault="008C5E81">
            <w:pPr>
              <w:spacing w:after="0" w:line="259" w:lineRule="auto"/>
              <w:ind w:left="0" w:right="1" w:firstLine="0"/>
              <w:jc w:val="center"/>
            </w:pPr>
            <w:r>
              <w:t xml:space="preserve">Да/нет </w:t>
            </w:r>
          </w:p>
        </w:tc>
      </w:tr>
      <w:tr w:rsidR="00325AD1">
        <w:trPr>
          <w:trHeight w:val="1946"/>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14.</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1" w:line="278" w:lineRule="auto"/>
              <w:ind w:left="7" w:right="3" w:firstLine="0"/>
            </w:pPr>
            <w:r>
              <w:t xml:space="preserve">Проведена комбинированная </w:t>
            </w:r>
            <w:r>
              <w:t>иммуносупрессивная терапия ингибитором кальциневрина (преимущественно #такролимус** или циклоспорин**), #микофенолатом мофетилом**/#микофеноловой кислотой**, преднизолоном** (метилпреднизолоном**) и индукцией иммунодепрессантами:</w:t>
            </w:r>
          </w:p>
          <w:p w:rsidR="00325AD1" w:rsidRDefault="008C5E81">
            <w:pPr>
              <w:spacing w:after="0" w:line="259" w:lineRule="auto"/>
              <w:ind w:left="7" w:firstLine="0"/>
            </w:pPr>
            <w:r>
              <w:t>#</w:t>
            </w:r>
            <w:r>
              <w:t>базиликсимабом** либо иммуноглобулином антитимоцитарным</w:t>
            </w:r>
          </w:p>
          <w:p w:rsidR="00325AD1" w:rsidRDefault="008C5E81">
            <w:pPr>
              <w:spacing w:after="0" w:line="259" w:lineRule="auto"/>
              <w:ind w:left="7" w:firstLine="0"/>
              <w:jc w:val="left"/>
            </w:pPr>
            <w:r>
              <w:t>**</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572" w:line="259" w:lineRule="auto"/>
              <w:ind w:left="-11" w:firstLine="0"/>
              <w:jc w:val="left"/>
            </w:pPr>
            <w:r>
              <w:t xml:space="preserve"> </w:t>
            </w:r>
          </w:p>
          <w:p w:rsidR="00325AD1" w:rsidRDefault="008C5E81">
            <w:pPr>
              <w:tabs>
                <w:tab w:val="center" w:pos="914"/>
              </w:tabs>
              <w:spacing w:after="258" w:line="259" w:lineRule="auto"/>
              <w:ind w:left="-12" w:firstLine="0"/>
              <w:jc w:val="left"/>
            </w:pPr>
            <w:r>
              <w:t xml:space="preserve"> </w:t>
            </w:r>
            <w:r>
              <w:tab/>
              <w:t xml:space="preserve">Да/нет </w:t>
            </w:r>
          </w:p>
          <w:p w:rsidR="00325AD1" w:rsidRDefault="008C5E81">
            <w:pPr>
              <w:spacing w:after="0" w:line="259" w:lineRule="auto"/>
              <w:ind w:left="-13" w:firstLine="0"/>
              <w:jc w:val="left"/>
            </w:pPr>
            <w:r>
              <w:t xml:space="preserve"> </w:t>
            </w:r>
          </w:p>
        </w:tc>
      </w:tr>
      <w:tr w:rsidR="00325AD1">
        <w:trPr>
          <w:trHeight w:val="845"/>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15.</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 xml:space="preserve">Проведена </w:t>
            </w:r>
            <w:r>
              <w:tab/>
              <w:t xml:space="preserve">терапия </w:t>
            </w:r>
            <w:r>
              <w:tab/>
              <w:t xml:space="preserve">#такролимусом** </w:t>
            </w:r>
            <w:r>
              <w:tab/>
              <w:t>реципиентам поджелудочной железы или почки и поджелудочной железы в качестве терапии первой линии.</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0" w:right="1" w:firstLine="0"/>
              <w:jc w:val="center"/>
            </w:pPr>
            <w:r>
              <w:t xml:space="preserve">Да/нет </w:t>
            </w:r>
          </w:p>
        </w:tc>
      </w:tr>
      <w:tr w:rsidR="00325AD1">
        <w:trPr>
          <w:trHeight w:val="843"/>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16.</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 xml:space="preserve">Проведена </w:t>
            </w:r>
            <w:r>
              <w:tab/>
              <w:t xml:space="preserve">терапия </w:t>
            </w:r>
            <w:r>
              <w:tab/>
              <w:t xml:space="preserve">циклоспорином** </w:t>
            </w:r>
            <w:r>
              <w:tab/>
              <w:t xml:space="preserve">реципиентам поджелудочной железы или почки и поджелудочной железы при непереносимости #такролимуса**. </w:t>
            </w:r>
          </w:p>
        </w:tc>
        <w:tc>
          <w:tcPr>
            <w:tcW w:w="1834"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60" w:firstLine="0"/>
              <w:jc w:val="center"/>
            </w:pPr>
            <w:r>
              <w:t xml:space="preserve"> </w:t>
            </w:r>
          </w:p>
        </w:tc>
      </w:tr>
      <w:tr w:rsidR="00325AD1">
        <w:trPr>
          <w:trHeight w:val="566"/>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17.</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pPr>
            <w:r>
              <w:t>Проведен регулярный контроль концентрации #такролимуса** в цельной крови всем пациентам после трансплантации</w:t>
            </w:r>
            <w:r>
              <w:t xml:space="preserve"> </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0" w:right="1" w:firstLine="0"/>
              <w:jc w:val="center"/>
            </w:pPr>
            <w:r>
              <w:t xml:space="preserve">Да/нет </w:t>
            </w:r>
          </w:p>
        </w:tc>
      </w:tr>
      <w:tr w:rsidR="00325AD1">
        <w:trPr>
          <w:trHeight w:val="1121"/>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firstLine="0"/>
              <w:jc w:val="left"/>
            </w:pPr>
            <w:r>
              <w:t>18.</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7" w:right="1" w:firstLine="0"/>
            </w:pPr>
            <w:r>
              <w:t>Проведена профилактика ЦМВ либо использована превентивная тактика с регулярным контролем виремии ЦМВ у пациентов, принимающих #микофеноловую кислоту**/ #микофенолата мофетил**</w:t>
            </w:r>
            <w:r>
              <w:rPr>
                <w:rFonts w:ascii="Calibri" w:eastAsia="Calibri" w:hAnsi="Calibri" w:cs="Calibri"/>
                <w:sz w:val="22"/>
              </w:rPr>
              <w:t xml:space="preserve">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13" w:firstLine="0"/>
              <w:jc w:val="left"/>
            </w:pPr>
            <w:r>
              <w:t xml:space="preserve"> </w:t>
            </w:r>
          </w:p>
          <w:p w:rsidR="00325AD1" w:rsidRDefault="008C5E81">
            <w:pPr>
              <w:spacing w:after="0" w:line="259" w:lineRule="auto"/>
              <w:ind w:left="-14" w:firstLine="0"/>
              <w:jc w:val="left"/>
            </w:pPr>
            <w:r>
              <w:t xml:space="preserve"> </w:t>
            </w:r>
          </w:p>
          <w:p w:rsidR="00325AD1" w:rsidRDefault="008C5E81">
            <w:pPr>
              <w:spacing w:after="0" w:line="259" w:lineRule="auto"/>
              <w:ind w:left="0" w:right="1" w:firstLine="0"/>
              <w:jc w:val="center"/>
            </w:pPr>
            <w:r>
              <w:t xml:space="preserve">Да/нет </w:t>
            </w:r>
          </w:p>
        </w:tc>
      </w:tr>
      <w:tr w:rsidR="00325AD1">
        <w:trPr>
          <w:trHeight w:val="845"/>
        </w:trPr>
        <w:tc>
          <w:tcPr>
            <w:tcW w:w="722"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238" w:firstLine="0"/>
              <w:jc w:val="left"/>
            </w:pPr>
            <w:r>
              <w:t xml:space="preserve">№ </w:t>
            </w:r>
          </w:p>
          <w:p w:rsidR="00325AD1" w:rsidRDefault="008C5E81">
            <w:pPr>
              <w:spacing w:after="0" w:line="259" w:lineRule="auto"/>
              <w:ind w:left="57" w:firstLine="0"/>
              <w:jc w:val="center"/>
            </w:pPr>
            <w:r>
              <w:t xml:space="preserve"> </w:t>
            </w:r>
          </w:p>
        </w:tc>
        <w:tc>
          <w:tcPr>
            <w:tcW w:w="6786"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0" w:right="6" w:firstLine="0"/>
              <w:jc w:val="center"/>
            </w:pPr>
            <w:r>
              <w:t xml:space="preserve">Критерии качества </w:t>
            </w:r>
          </w:p>
        </w:tc>
        <w:tc>
          <w:tcPr>
            <w:tcW w:w="1834" w:type="dxa"/>
            <w:tcBorders>
              <w:top w:val="single" w:sz="6" w:space="0" w:color="000000"/>
              <w:left w:val="single" w:sz="6" w:space="0" w:color="000000"/>
              <w:bottom w:val="single" w:sz="6" w:space="0" w:color="000000"/>
              <w:right w:val="single" w:sz="6" w:space="0" w:color="000000"/>
            </w:tcBorders>
          </w:tcPr>
          <w:p w:rsidR="00325AD1" w:rsidRDefault="008C5E81">
            <w:pPr>
              <w:spacing w:after="45" w:line="238" w:lineRule="auto"/>
              <w:ind w:left="0" w:firstLine="0"/>
              <w:jc w:val="center"/>
            </w:pPr>
            <w:r>
              <w:t xml:space="preserve">Оценка выполнения </w:t>
            </w:r>
          </w:p>
          <w:p w:rsidR="00325AD1" w:rsidRDefault="008C5E81">
            <w:pPr>
              <w:spacing w:after="0" w:line="259" w:lineRule="auto"/>
              <w:ind w:left="0" w:right="3" w:firstLine="0"/>
              <w:jc w:val="center"/>
            </w:pPr>
            <w:r>
              <w:t xml:space="preserve">(да/нет) </w:t>
            </w:r>
          </w:p>
        </w:tc>
      </w:tr>
      <w:tr w:rsidR="00325AD1">
        <w:trPr>
          <w:trHeight w:val="1118"/>
        </w:trPr>
        <w:tc>
          <w:tcPr>
            <w:tcW w:w="722"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0" w:firstLine="0"/>
              <w:jc w:val="left"/>
            </w:pPr>
            <w:r>
              <w:t>19.</w:t>
            </w:r>
            <w:r>
              <w:rPr>
                <w:rFonts w:ascii="Arial" w:eastAsia="Arial" w:hAnsi="Arial" w:cs="Arial"/>
              </w:rPr>
              <w:t xml:space="preserve"> </w:t>
            </w:r>
          </w:p>
        </w:tc>
        <w:tc>
          <w:tcPr>
            <w:tcW w:w="6786" w:type="dxa"/>
            <w:tcBorders>
              <w:top w:val="single" w:sz="6" w:space="0" w:color="000000"/>
              <w:left w:val="single" w:sz="6" w:space="0" w:color="000000"/>
              <w:bottom w:val="single" w:sz="6" w:space="0" w:color="000000"/>
              <w:right w:val="single" w:sz="6" w:space="0" w:color="000000"/>
            </w:tcBorders>
          </w:tcPr>
          <w:p w:rsidR="00325AD1" w:rsidRDefault="008C5E81">
            <w:pPr>
              <w:spacing w:after="0" w:line="259" w:lineRule="auto"/>
              <w:ind w:left="0" w:firstLine="0"/>
            </w:pPr>
            <w:r>
              <w:t xml:space="preserve">Выполнен диспансерный прием (осмотр, консультация) врачаэндокринолога с привлечением врача-нефролога, врачадиетолога, врача-кардиолога, врача-уролога и других врачейспециалистов по показаниям  </w:t>
            </w:r>
          </w:p>
        </w:tc>
        <w:tc>
          <w:tcPr>
            <w:tcW w:w="1834" w:type="dxa"/>
            <w:tcBorders>
              <w:top w:val="single" w:sz="6" w:space="0" w:color="000000"/>
              <w:left w:val="single" w:sz="6" w:space="0" w:color="000000"/>
              <w:bottom w:val="single" w:sz="6" w:space="0" w:color="000000"/>
              <w:right w:val="single" w:sz="6" w:space="0" w:color="000000"/>
            </w:tcBorders>
            <w:vAlign w:val="center"/>
          </w:tcPr>
          <w:p w:rsidR="00325AD1" w:rsidRDefault="008C5E81">
            <w:pPr>
              <w:spacing w:after="0" w:line="259" w:lineRule="auto"/>
              <w:ind w:left="0" w:right="6" w:firstLine="0"/>
              <w:jc w:val="center"/>
            </w:pPr>
            <w:r>
              <w:t xml:space="preserve">Да/нет </w:t>
            </w:r>
          </w:p>
        </w:tc>
      </w:tr>
    </w:tbl>
    <w:p w:rsidR="00325AD1" w:rsidRDefault="008C5E81">
      <w:pPr>
        <w:spacing w:after="0" w:line="259" w:lineRule="auto"/>
        <w:ind w:left="0" w:firstLine="0"/>
      </w:pPr>
      <w:r>
        <w:rPr>
          <w:rFonts w:ascii="Calibri" w:eastAsia="Calibri" w:hAnsi="Calibri" w:cs="Calibri"/>
          <w:sz w:val="22"/>
        </w:rPr>
        <w:t xml:space="preserve"> </w:t>
      </w:r>
      <w:r>
        <w:rPr>
          <w:rFonts w:ascii="Calibri" w:eastAsia="Calibri" w:hAnsi="Calibri" w:cs="Calibri"/>
          <w:sz w:val="22"/>
        </w:rPr>
        <w:tab/>
      </w:r>
      <w:r>
        <w:t xml:space="preserve"> </w:t>
      </w:r>
      <w:r>
        <w:br w:type="page"/>
      </w:r>
    </w:p>
    <w:p w:rsidR="00325AD1" w:rsidRDefault="008C5E81">
      <w:pPr>
        <w:spacing w:after="292" w:line="259" w:lineRule="auto"/>
        <w:ind w:left="-5"/>
        <w:jc w:val="left"/>
      </w:pPr>
      <w:r>
        <w:rPr>
          <w:b/>
          <w:sz w:val="28"/>
          <w:u w:val="single" w:color="000000"/>
        </w:rPr>
        <w:t>Список литературы</w:t>
      </w:r>
      <w:r>
        <w:rPr>
          <w:rFonts w:ascii="Calibri" w:eastAsia="Calibri" w:hAnsi="Calibri" w:cs="Calibri"/>
        </w:rPr>
        <w:t xml:space="preserve"> </w:t>
      </w:r>
    </w:p>
    <w:p w:rsidR="00325AD1" w:rsidRDefault="008C5E81">
      <w:pPr>
        <w:numPr>
          <w:ilvl w:val="0"/>
          <w:numId w:val="17"/>
        </w:numPr>
        <w:spacing w:after="81"/>
        <w:ind w:right="479"/>
      </w:pPr>
      <w:r>
        <w:t xml:space="preserve">Kasiske BL, Cangro CB, Hariharan S, et al. The evaluation of renal transplantation candidates: clinical practice guidelines. Am J Transplant. 2001; 1 Suppl 2: 3–95. </w:t>
      </w:r>
    </w:p>
    <w:p w:rsidR="00325AD1" w:rsidRDefault="008C5E81">
      <w:pPr>
        <w:numPr>
          <w:ilvl w:val="0"/>
          <w:numId w:val="17"/>
        </w:numPr>
        <w:spacing w:after="63"/>
        <w:ind w:right="479"/>
      </w:pPr>
      <w:r>
        <w:t>Argente-Pla M, Pérez-Lázaro A, Martinez-Millana A, et al. Simultaneous Pancreas Kidney Tra</w:t>
      </w:r>
      <w:r>
        <w:t xml:space="preserve">nsplantation Improves Cardiovascular Autonomic Neuropathy with Improved Valsalva Ratio as the Most Precocious Test. J Diabetes Res. 2020; 7574628. doi: 10.1155/2020/7574628. </w:t>
      </w:r>
    </w:p>
    <w:p w:rsidR="00325AD1" w:rsidRDefault="008C5E81">
      <w:pPr>
        <w:numPr>
          <w:ilvl w:val="0"/>
          <w:numId w:val="17"/>
        </w:numPr>
        <w:spacing w:after="65"/>
        <w:ind w:right="479"/>
      </w:pPr>
      <w:r>
        <w:t>St Michel D, Donnelly T, Jackson T, et al. Assessing Pancreas Transplant Candidat</w:t>
      </w:r>
      <w:r>
        <w:t xml:space="preserve">e Cardiac Disease: Preoperative Protocol Development at a Rapidly Growing Transplant Program. Methods Protoc. 2019; 2(4): 82. doi: 10.3390/mps2040082. </w:t>
      </w:r>
    </w:p>
    <w:p w:rsidR="00325AD1" w:rsidRDefault="008C5E81">
      <w:pPr>
        <w:numPr>
          <w:ilvl w:val="0"/>
          <w:numId w:val="17"/>
        </w:numPr>
        <w:spacing w:after="62"/>
        <w:ind w:right="479"/>
      </w:pPr>
      <w:r>
        <w:t>Chadban SJ, Staplin ND. Is it time to increase access to transplantation for those with diabetic end-sta</w:t>
      </w:r>
      <w:r>
        <w:t xml:space="preserve">ge kidney disease? Kidney Int. 2014; 86: 464–466. </w:t>
      </w:r>
    </w:p>
    <w:p w:rsidR="00325AD1" w:rsidRDefault="008C5E81">
      <w:pPr>
        <w:numPr>
          <w:ilvl w:val="0"/>
          <w:numId w:val="17"/>
        </w:numPr>
        <w:spacing w:after="65"/>
        <w:ind w:right="479"/>
      </w:pPr>
      <w:r>
        <w:t xml:space="preserve">Van Loo, A.A., et al. Pretransplantation hemodialysis strategy influences early renal graft function. J Am Soc Nephrol. 1998; 9: 473.  </w:t>
      </w:r>
    </w:p>
    <w:p w:rsidR="00325AD1" w:rsidRDefault="008C5E81">
      <w:pPr>
        <w:numPr>
          <w:ilvl w:val="0"/>
          <w:numId w:val="17"/>
        </w:numPr>
        <w:spacing w:after="62"/>
        <w:ind w:right="479"/>
      </w:pPr>
      <w:r>
        <w:t xml:space="preserve">Kandaswamy R, Stock PG., Gustafson SK et al. OPTN/SRTR 2016 Annual Data Report: Pancreas. Am. J. Transplant. 2018; 18: 114–171. doi: 10.1111/ajt.14558. PMID: 29292605. </w:t>
      </w:r>
      <w:r>
        <w:rPr>
          <w:sz w:val="28"/>
        </w:rPr>
        <w:t>7.</w:t>
      </w:r>
      <w:r>
        <w:rPr>
          <w:rFonts w:ascii="Arial" w:eastAsia="Arial" w:hAnsi="Arial" w:cs="Arial"/>
          <w:sz w:val="28"/>
        </w:rPr>
        <w:t xml:space="preserve"> </w:t>
      </w:r>
      <w:r>
        <w:t xml:space="preserve">Мартынов СА, Северина АС, Ларина ИИ, и др. Подготовка пациента с сахарным диабетом 1 типа на заместительной почечной терапии диализом к трансплантации почки. Проблемы Эндокринологии. 2020; 66(6): 18-30. https://doi.org/10.14341/probl12686.  </w:t>
      </w:r>
    </w:p>
    <w:p w:rsidR="00325AD1" w:rsidRDefault="008C5E81">
      <w:pPr>
        <w:spacing w:after="61"/>
        <w:ind w:left="137" w:right="479"/>
      </w:pPr>
      <w:r>
        <w:rPr>
          <w:sz w:val="28"/>
        </w:rPr>
        <w:t>8.</w:t>
      </w:r>
      <w:r>
        <w:rPr>
          <w:rFonts w:ascii="Arial" w:eastAsia="Arial" w:hAnsi="Arial" w:cs="Arial"/>
          <w:sz w:val="28"/>
        </w:rPr>
        <w:t xml:space="preserve"> </w:t>
      </w:r>
      <w:r>
        <w:t>British Tra</w:t>
      </w:r>
      <w:r>
        <w:t xml:space="preserve">nsplantation Society. UK Guidelines on Pancreas and Islet Transplantation. UK: British Transplantation Society; 2019. 146 p. Доступно: https://bts.org.uk/guidelines-standards/  </w:t>
      </w:r>
      <w:r>
        <w:rPr>
          <w:sz w:val="28"/>
        </w:rPr>
        <w:t>9.</w:t>
      </w:r>
      <w:r>
        <w:rPr>
          <w:rFonts w:ascii="Arial" w:eastAsia="Arial" w:hAnsi="Arial" w:cs="Arial"/>
          <w:sz w:val="28"/>
        </w:rPr>
        <w:t xml:space="preserve"> </w:t>
      </w:r>
      <w:r>
        <w:t>Parajuli S, Swanson KJ, Patel R, et al. Outcomes of simultaneous pancreas an</w:t>
      </w:r>
      <w:r>
        <w:t xml:space="preserve">d kidney transplants based on preemptive transplant compared to those who were on dialysis before transplant - a retrospective study. Transpl Int. 2020. doi: 10.1111/tri.13665. Online ahead of print. </w:t>
      </w:r>
    </w:p>
    <w:p w:rsidR="00325AD1" w:rsidRDefault="008C5E81">
      <w:pPr>
        <w:numPr>
          <w:ilvl w:val="0"/>
          <w:numId w:val="18"/>
        </w:numPr>
        <w:spacing w:after="64"/>
        <w:ind w:right="479" w:hanging="566"/>
      </w:pPr>
      <w:r>
        <w:t>Thomsen T, Villebro N, Moller AM. Interventions for pre</w:t>
      </w:r>
      <w:r>
        <w:t xml:space="preserve">operative smoking cessation. Cochrane Database Syst Rev. 2014: CD002294.  </w:t>
      </w:r>
    </w:p>
    <w:p w:rsidR="00325AD1" w:rsidRDefault="008C5E81">
      <w:pPr>
        <w:numPr>
          <w:ilvl w:val="0"/>
          <w:numId w:val="18"/>
        </w:numPr>
        <w:spacing w:after="62"/>
        <w:ind w:right="479" w:hanging="566"/>
      </w:pPr>
      <w:r>
        <w:t>Shahrestani S, Spike E, Hort A, et al. Risk Factors for Thrombosis in Simultaneous Pancreas-Kidney Transplants Performed Over Ten Years at Westmead Hospital. Transplantation. 2018;1</w:t>
      </w:r>
      <w:r>
        <w:t xml:space="preserve">02(S240). DOI: 10.1097/01.tp.0000542917.48792.6b </w:t>
      </w:r>
    </w:p>
    <w:p w:rsidR="00325AD1" w:rsidRDefault="008C5E81">
      <w:pPr>
        <w:numPr>
          <w:ilvl w:val="0"/>
          <w:numId w:val="18"/>
        </w:numPr>
        <w:spacing w:after="64"/>
        <w:ind w:right="479" w:hanging="566"/>
      </w:pPr>
      <w:r>
        <w:t xml:space="preserve">Nourbala MH, Nemati E, Rostami Z, et al. Impact of cigarette smoking on kidney transplant recipients: a systematic review. Iran J Kidney Dis. 2011; 5: 141–148.  </w:t>
      </w:r>
    </w:p>
    <w:p w:rsidR="00325AD1" w:rsidRDefault="008C5E81">
      <w:pPr>
        <w:numPr>
          <w:ilvl w:val="0"/>
          <w:numId w:val="18"/>
        </w:numPr>
        <w:spacing w:after="63"/>
        <w:ind w:right="479" w:hanging="566"/>
      </w:pPr>
      <w:r>
        <w:t>Biesenbach G, Biesenbach P, Bodlaj G, et al.</w:t>
      </w:r>
      <w:r>
        <w:t xml:space="preserve"> Impact of smoking on progression of vascular diseases and patient survival in type-1 diabetic patients after simultaneous kidney-pancreas transplantation in a single centre. Transplant International. 2008;21(4):. DOI: 10.1111/j.14322277.2007.00621.x. </w:t>
      </w:r>
    </w:p>
    <w:p w:rsidR="00325AD1" w:rsidRDefault="008C5E81">
      <w:pPr>
        <w:numPr>
          <w:ilvl w:val="0"/>
          <w:numId w:val="18"/>
        </w:numPr>
        <w:spacing w:after="65"/>
        <w:ind w:right="479" w:hanging="566"/>
      </w:pPr>
      <w:r>
        <w:t>Kar</w:t>
      </w:r>
      <w:r>
        <w:t xml:space="preserve">im H. Anis, Larry A. Weinrauch, John A. D'Elia. Effects of Smoking on Solid Organ Transplantation Outcomes. The American Journal of Medicine. 2019; 132 (4): 413-419. https://doi.org/10.1016/j.amjmed.2018.11.005. </w:t>
      </w:r>
    </w:p>
    <w:p w:rsidR="00325AD1" w:rsidRDefault="008C5E81">
      <w:pPr>
        <w:numPr>
          <w:ilvl w:val="0"/>
          <w:numId w:val="18"/>
        </w:numPr>
        <w:spacing w:after="62"/>
        <w:ind w:right="479" w:hanging="566"/>
      </w:pPr>
      <w:r>
        <w:t>Sampaio MS, Reddy PN, Kuo HT, et al. Obesit</w:t>
      </w:r>
      <w:r>
        <w:t xml:space="preserve">y was associated with inferior outcomes in simultaneous pancreas kidney transplant. Transplantation. 2010; 89(9): 1117-25. doi: 10.1097/TP.0b013e3181d2bfb2. PMID: 20164819. </w:t>
      </w:r>
    </w:p>
    <w:p w:rsidR="00325AD1" w:rsidRDefault="008C5E81">
      <w:pPr>
        <w:numPr>
          <w:ilvl w:val="0"/>
          <w:numId w:val="18"/>
        </w:numPr>
        <w:spacing w:after="65"/>
        <w:ind w:right="479" w:hanging="566"/>
      </w:pPr>
      <w:r>
        <w:t>Molnar MZ, Streja E, Kovesdy CP, et al. Associations of body mass index and weight</w:t>
      </w:r>
      <w:r>
        <w:t xml:space="preserve"> loss with mortality in transplant-waitlisted maintenance hemodialysis patients. Am J Transplant. 2011; 11: 725–736.  </w:t>
      </w:r>
    </w:p>
    <w:p w:rsidR="00325AD1" w:rsidRDefault="008C5E81">
      <w:pPr>
        <w:numPr>
          <w:ilvl w:val="0"/>
          <w:numId w:val="18"/>
        </w:numPr>
        <w:ind w:right="479" w:hanging="566"/>
      </w:pPr>
      <w:r>
        <w:t>Troppmann C, Santhanakrishnan C, Kuo JH, et al. Impact of panniculectomy on transplant candidacy of obese patients with chronic kidney di</w:t>
      </w:r>
      <w:r>
        <w:t xml:space="preserve">sease declined for kidney transplantation because of a high-risk abdominal panniculus: A pilot study. Surgery. 2016; 159: 1612–1622. </w:t>
      </w:r>
    </w:p>
    <w:p w:rsidR="00325AD1" w:rsidRDefault="008C5E81">
      <w:pPr>
        <w:numPr>
          <w:ilvl w:val="0"/>
          <w:numId w:val="18"/>
        </w:numPr>
        <w:spacing w:after="64"/>
        <w:ind w:right="479" w:hanging="566"/>
      </w:pPr>
      <w:r>
        <w:t>Domingueti CP, Dusse LM, Carvalho Md, et al. Diabetes mellitus: The linkage between oxidative stress, inflammation, hyperc</w:t>
      </w:r>
      <w:r>
        <w:t xml:space="preserve">oagulability and vascular complications. Diabetes Complications. 2016; 30(4): 738-45. doi: 10.1016/j.jdiacomp.2015.12.018. </w:t>
      </w:r>
    </w:p>
    <w:p w:rsidR="00325AD1" w:rsidRDefault="008C5E81">
      <w:pPr>
        <w:numPr>
          <w:ilvl w:val="0"/>
          <w:numId w:val="18"/>
        </w:numPr>
        <w:spacing w:after="62"/>
        <w:ind w:right="479" w:hanging="566"/>
      </w:pPr>
      <w:r>
        <w:t>Zimmerman D, Sood MM, Rigatto C, et al. Systematic review and meta-analysis of incidence, prevalence and outcomes of atrial fibrilla</w:t>
      </w:r>
      <w:r>
        <w:t xml:space="preserve">tion in patients on dialysis. Nephrol Dial Transplant. 2012; 27: 3816–3822.  </w:t>
      </w:r>
    </w:p>
    <w:p w:rsidR="00325AD1" w:rsidRDefault="008C5E81">
      <w:pPr>
        <w:numPr>
          <w:ilvl w:val="0"/>
          <w:numId w:val="18"/>
        </w:numPr>
        <w:spacing w:after="65"/>
        <w:ind w:right="479" w:hanging="566"/>
      </w:pPr>
      <w:r>
        <w:t>Garg L, Chen C, Haines DE. Atrial fibrillation and chronic kidney disease requiring hemodialysis - Does warfarin therapy improve the risks of this lethal combination? Int J Cardi</w:t>
      </w:r>
      <w:r>
        <w:t xml:space="preserve">ol. 2016; 222. </w:t>
      </w:r>
    </w:p>
    <w:p w:rsidR="00325AD1" w:rsidRDefault="008C5E81">
      <w:pPr>
        <w:numPr>
          <w:ilvl w:val="0"/>
          <w:numId w:val="18"/>
        </w:numPr>
        <w:spacing w:after="62"/>
        <w:ind w:right="479" w:hanging="566"/>
      </w:pPr>
      <w:r>
        <w:t xml:space="preserve">Olbrisch ME, Benedict SM, Ashe K, et al. Psychological assessment and care of organ transplant patients. J Consult Clin Psychol. 2002; 70: 771–783. </w:t>
      </w:r>
    </w:p>
    <w:p w:rsidR="00325AD1" w:rsidRDefault="008C5E81">
      <w:pPr>
        <w:numPr>
          <w:ilvl w:val="0"/>
          <w:numId w:val="18"/>
        </w:numPr>
        <w:spacing w:after="64"/>
        <w:ind w:right="479" w:hanging="566"/>
      </w:pPr>
      <w:r>
        <w:t>Dew MA, Switzer GE, DiMartini AF, et al. Psychosocial assessments and outcomes in organ tra</w:t>
      </w:r>
      <w:r>
        <w:t xml:space="preserve">nsplantation. Prog Transplant. 2000; 10: 239–259. </w:t>
      </w:r>
    </w:p>
    <w:p w:rsidR="00325AD1" w:rsidRDefault="008C5E81">
      <w:pPr>
        <w:numPr>
          <w:ilvl w:val="0"/>
          <w:numId w:val="18"/>
        </w:numPr>
        <w:spacing w:after="62"/>
        <w:ind w:right="479" w:hanging="566"/>
      </w:pPr>
      <w:r>
        <w:t>Maldonado JR et al. The Stanford Integrated Psychosocial Assessment for Transplantation (SIPAT): a new tool for the psychosocial evaluation of pre-transplant candidates. Psychosomatics. – 2012; 53 (2): 123</w:t>
      </w:r>
      <w:r>
        <w:t xml:space="preserve">-132. </w:t>
      </w:r>
    </w:p>
    <w:p w:rsidR="00325AD1" w:rsidRDefault="008C5E81">
      <w:pPr>
        <w:numPr>
          <w:ilvl w:val="0"/>
          <w:numId w:val="18"/>
        </w:numPr>
        <w:spacing w:after="110"/>
        <w:ind w:right="479" w:hanging="566"/>
      </w:pPr>
      <w:r>
        <w:t xml:space="preserve">Natori Y, Albahrani S, Alabdulla M, et al. Risk factors for surgical site infection after kidney and pancreas transplantation. Infect Control Hosp Epidemiol. 2018; 39(9): 1042-1048. doi: 10.1017/ice.2018.148.  </w:t>
      </w:r>
    </w:p>
    <w:p w:rsidR="00325AD1" w:rsidRDefault="008C5E81">
      <w:pPr>
        <w:numPr>
          <w:ilvl w:val="0"/>
          <w:numId w:val="18"/>
        </w:numPr>
        <w:spacing w:after="62"/>
        <w:ind w:right="479" w:hanging="566"/>
      </w:pPr>
      <w:r>
        <w:t xml:space="preserve">Piros L, Máthé Z, Földes K, Langer RM. Incisional hernia after simultaneous pancreas kidney tranplantation: a single-center experience from Budapest. Transplant Proc. 2011 May;43(4):1303-5. doi: 10.1016/j.transproceed.2011.03.090.. </w:t>
      </w:r>
    </w:p>
    <w:p w:rsidR="00325AD1" w:rsidRDefault="008C5E81">
      <w:pPr>
        <w:numPr>
          <w:ilvl w:val="0"/>
          <w:numId w:val="18"/>
        </w:numPr>
        <w:spacing w:after="65"/>
        <w:ind w:right="479" w:hanging="566"/>
      </w:pPr>
      <w:r>
        <w:t>Shahrestani S, Tran HM,</w:t>
      </w:r>
      <w:r>
        <w:t xml:space="preserve"> Pleass HC, Hawthorne WJ. Optimal surgical management in kidney and pancreas transplantation to minimise wound complications: A systematic review and meta-analysis. Ann Med Surg (Lond). 2018 Aug 18;33:24-31. doi: 10.1016/j.amsu.2018.08.006. PMID: 30167299;</w:t>
      </w:r>
      <w:r>
        <w:t xml:space="preserve"> PMCID: PMC6108074. </w:t>
      </w:r>
    </w:p>
    <w:p w:rsidR="00325AD1" w:rsidRDefault="008C5E81">
      <w:pPr>
        <w:numPr>
          <w:ilvl w:val="0"/>
          <w:numId w:val="18"/>
        </w:numPr>
        <w:spacing w:after="62"/>
        <w:ind w:right="479" w:hanging="566"/>
      </w:pPr>
      <w:r>
        <w:t xml:space="preserve">Smith CT, Katz MG, Foley D, et al. Incidence and risk factors of incisional hernia formation following abdominal organ transplantation. Surg Endosc. 2015; 29: 398–404. </w:t>
      </w:r>
    </w:p>
    <w:p w:rsidR="00325AD1" w:rsidRDefault="008C5E81">
      <w:pPr>
        <w:numPr>
          <w:ilvl w:val="0"/>
          <w:numId w:val="18"/>
        </w:numPr>
        <w:spacing w:after="64"/>
        <w:ind w:right="479" w:hanging="566"/>
      </w:pPr>
      <w:r>
        <w:t xml:space="preserve">Kudiyirickal MG, Pappachan JM. Diabetes mellitus and oral health. </w:t>
      </w:r>
      <w:r>
        <w:t xml:space="preserve">Endocrine. 2015; 49(1): 27-34. doi: 10.1007/s12020-014-0496-3.  </w:t>
      </w:r>
    </w:p>
    <w:p w:rsidR="00325AD1" w:rsidRDefault="008C5E81">
      <w:pPr>
        <w:numPr>
          <w:ilvl w:val="0"/>
          <w:numId w:val="18"/>
        </w:numPr>
        <w:spacing w:after="62"/>
        <w:ind w:right="479" w:hanging="566"/>
      </w:pPr>
      <w:r>
        <w:t>Nylund KM, Meurman JH, Heikkinen AM, et al. Oral health in patients with renal disease: a longitudinal study from predialysis to kidney transplantation. Clin Oral Investig. 2018; 22: 339–347.</w:t>
      </w:r>
      <w:r>
        <w:t xml:space="preserve"> </w:t>
      </w:r>
    </w:p>
    <w:p w:rsidR="00325AD1" w:rsidRDefault="008C5E81">
      <w:pPr>
        <w:numPr>
          <w:ilvl w:val="0"/>
          <w:numId w:val="18"/>
        </w:numPr>
        <w:spacing w:after="64"/>
        <w:ind w:right="479" w:hanging="566"/>
      </w:pPr>
      <w:r>
        <w:t xml:space="preserve">Nylund K, Meurman JH, Heikkinen AM, et al. Oral health in predialysis patients with emphasis on periodontal disease. Quintessence Int. 2015; 46: 899–907. </w:t>
      </w:r>
    </w:p>
    <w:p w:rsidR="00325AD1" w:rsidRDefault="008C5E81">
      <w:pPr>
        <w:numPr>
          <w:ilvl w:val="0"/>
          <w:numId w:val="18"/>
        </w:numPr>
        <w:spacing w:after="65"/>
        <w:ind w:right="479" w:hanging="566"/>
      </w:pPr>
      <w:r>
        <w:t>Veisa G, Tasmoc A, Nistor I, et al. The impact of periodontal disease on physical and psychological</w:t>
      </w:r>
      <w:r>
        <w:t xml:space="preserve"> domains in long-term hemodialysis patients: a cross-sectional study. Int Urol Nephrol. 2017; 49: 1261–1266. </w:t>
      </w:r>
    </w:p>
    <w:p w:rsidR="00325AD1" w:rsidRDefault="008C5E81">
      <w:pPr>
        <w:numPr>
          <w:ilvl w:val="0"/>
          <w:numId w:val="18"/>
        </w:numPr>
        <w:spacing w:after="65"/>
        <w:ind w:right="479" w:hanging="566"/>
      </w:pPr>
      <w:r>
        <w:t xml:space="preserve">Blanchet P, Droupy S, Eschwege P, Hammoudi Y, Durrbach A, Charpentier B, Benoit G. Urodynamic testing predicts long-term urological complications </w:t>
      </w:r>
      <w:r>
        <w:t xml:space="preserve">following simultaneous pancreas-kidney transplantation. Clin Transplant. 2003 Feb;17(1):26-31. doi: 10.1034/j.13990012.2003.02026.x. PMID: 12588318.. </w:t>
      </w:r>
    </w:p>
    <w:p w:rsidR="00325AD1" w:rsidRDefault="008C5E81">
      <w:pPr>
        <w:numPr>
          <w:ilvl w:val="0"/>
          <w:numId w:val="18"/>
        </w:numPr>
        <w:spacing w:after="110"/>
        <w:ind w:right="479" w:hanging="566"/>
      </w:pPr>
      <w:r>
        <w:t>Gettman MT, Levy JB, Engen DE, Nehra A. Urological complications after kidneypancreas transplantation. Th</w:t>
      </w:r>
      <w:r>
        <w:t xml:space="preserve">e Journal of Urology. 1998;159(1):38-43. DOI: 10.1016/S00225347(01)64005-9. </w:t>
      </w:r>
    </w:p>
    <w:p w:rsidR="00325AD1" w:rsidRDefault="008C5E81">
      <w:pPr>
        <w:numPr>
          <w:ilvl w:val="0"/>
          <w:numId w:val="18"/>
        </w:numPr>
        <w:ind w:right="479" w:hanging="566"/>
      </w:pPr>
      <w:r>
        <w:t>Medina Polo J, Morales JM, Blanco M, Aguirre JF, Andrés A, Díaz R, Jiménez C, Leiva O, Meneu JC, Moreno E, Pamplona M, Passas J, Rodríguez A, de la Rosa F. Urological complication</w:t>
      </w:r>
      <w:r>
        <w:t xml:space="preserve">s after simultaneous pancreas-kidney transplantation. Transplant Proc. 2009 JulAug;41(6):2457-9. doi: 10.1016/j.transproceed.2009.06.065.. </w:t>
      </w:r>
    </w:p>
    <w:p w:rsidR="00325AD1" w:rsidRDefault="008C5E81">
      <w:pPr>
        <w:numPr>
          <w:ilvl w:val="0"/>
          <w:numId w:val="18"/>
        </w:numPr>
        <w:ind w:right="479" w:hanging="566"/>
      </w:pPr>
      <w:r>
        <w:t xml:space="preserve">Acuna SA, Huang JW, Scott AL, Micic S, Daly C, Brezden-Masley C, Kim SJ, Baxter NN. </w:t>
      </w:r>
    </w:p>
    <w:p w:rsidR="00325AD1" w:rsidRDefault="008C5E81">
      <w:pPr>
        <w:spacing w:after="65"/>
        <w:ind w:left="137" w:right="479"/>
      </w:pPr>
      <w:r>
        <w:t>Cancer Screening Recommendation</w:t>
      </w:r>
      <w:r>
        <w:t xml:space="preserve">s for Solid Organ Transplant Recipients: A Systematic Review of Clinical Practice Guidelines. Am J Transplant. 2017 Jan;17(1):103-114. doi: 10.1111/ajt.13978. Epub 2016 Aug 30. PMID: 27575845.. </w:t>
      </w:r>
    </w:p>
    <w:p w:rsidR="00325AD1" w:rsidRDefault="008C5E81">
      <w:pPr>
        <w:numPr>
          <w:ilvl w:val="0"/>
          <w:numId w:val="18"/>
        </w:numPr>
        <w:spacing w:after="62"/>
        <w:ind w:right="479" w:hanging="566"/>
      </w:pPr>
      <w:r>
        <w:t>Smith RA, Andrews KS, Brooks D, et al. Cancer screening in th</w:t>
      </w:r>
      <w:r>
        <w:t xml:space="preserve">e United States, 2019: A review of current American Cancer Society guidelines and current issues in cancer screening. CA Cancer J Clin. 2019; 69: 184–210. </w:t>
      </w:r>
    </w:p>
    <w:p w:rsidR="00325AD1" w:rsidRDefault="008C5E81">
      <w:pPr>
        <w:numPr>
          <w:ilvl w:val="0"/>
          <w:numId w:val="18"/>
        </w:numPr>
        <w:spacing w:after="64"/>
        <w:ind w:right="479" w:hanging="566"/>
      </w:pPr>
      <w:r>
        <w:t>Siu AL. Screening for Breast Cancer: U.S. Preventive Services Task Force Recommendation Statement. A</w:t>
      </w:r>
      <w:r>
        <w:t xml:space="preserve">nn Intern Med. 2016; 164: 279–296. </w:t>
      </w:r>
    </w:p>
    <w:p w:rsidR="00325AD1" w:rsidRDefault="008C5E81">
      <w:pPr>
        <w:numPr>
          <w:ilvl w:val="0"/>
          <w:numId w:val="18"/>
        </w:numPr>
        <w:ind w:right="479" w:hanging="566"/>
      </w:pPr>
      <w:r>
        <w:t xml:space="preserve">Kennedy WR, Navarro X, Sutherland DE. Neuropathy profile of diabetic patients in a pancreas transplantation program. Neurology. 1995 Apr;45(4):773-80. doi: </w:t>
      </w:r>
    </w:p>
    <w:p w:rsidR="00325AD1" w:rsidRDefault="008C5E81">
      <w:pPr>
        <w:spacing w:after="60"/>
        <w:ind w:left="137" w:right="479"/>
      </w:pPr>
      <w:r>
        <w:t xml:space="preserve">10.1212/wnl.45.4.773 . </w:t>
      </w:r>
    </w:p>
    <w:p w:rsidR="00325AD1" w:rsidRDefault="008C5E81">
      <w:pPr>
        <w:numPr>
          <w:ilvl w:val="0"/>
          <w:numId w:val="18"/>
        </w:numPr>
        <w:ind w:right="479" w:hanging="566"/>
      </w:pPr>
      <w:r>
        <w:t>Freeman R. Diabetic autonomic neuropath</w:t>
      </w:r>
      <w:r>
        <w:t xml:space="preserve">y. Handb Clin Neurol. 2014; 126: 63-79. doi: </w:t>
      </w:r>
    </w:p>
    <w:p w:rsidR="00325AD1" w:rsidRDefault="008C5E81">
      <w:pPr>
        <w:spacing w:after="62"/>
        <w:ind w:left="137" w:right="479"/>
      </w:pPr>
      <w:r>
        <w:t xml:space="preserve">10.1016/B978-0-444-53480-4.00006-0. </w:t>
      </w:r>
    </w:p>
    <w:p w:rsidR="00325AD1" w:rsidRDefault="008C5E81">
      <w:pPr>
        <w:numPr>
          <w:ilvl w:val="0"/>
          <w:numId w:val="18"/>
        </w:numPr>
        <w:spacing w:after="62"/>
        <w:ind w:right="479" w:hanging="566"/>
      </w:pPr>
      <w:r>
        <w:t xml:space="preserve">Sanders RD, Bottle A, Jameson SS, et al. Independent preoperative predictors of outcomes in orthopedic and vascular surgery: the influence </w:t>
      </w:r>
      <w:r>
        <w:t xml:space="preserve">of time interval between an acute coronary syndrome or stroke and the operation. Ann Surg. 2012; 255: 901–907. </w:t>
      </w:r>
    </w:p>
    <w:p w:rsidR="00325AD1" w:rsidRDefault="008C5E81">
      <w:pPr>
        <w:numPr>
          <w:ilvl w:val="0"/>
          <w:numId w:val="18"/>
        </w:numPr>
        <w:spacing w:after="65"/>
        <w:ind w:right="479" w:hanging="566"/>
      </w:pPr>
      <w:r>
        <w:t>Jorgensen ME, Torp-Pedersen C, Gislason GH, et al. Time elapsed after ischemic stroke and risk of adverse cardiovascular events and mortality fo</w:t>
      </w:r>
      <w:r>
        <w:t xml:space="preserve">llowing elective noncardiac surgery. JAMA. 2014; 312: 269–277. </w:t>
      </w:r>
    </w:p>
    <w:p w:rsidR="00325AD1" w:rsidRDefault="008C5E81">
      <w:pPr>
        <w:numPr>
          <w:ilvl w:val="0"/>
          <w:numId w:val="18"/>
        </w:numPr>
        <w:spacing w:after="62"/>
        <w:ind w:right="479" w:hanging="566"/>
      </w:pPr>
      <w:r>
        <w:t xml:space="preserve">LeFevre ML, Force USPST. Screening for asymptomatic carotid artery stenosis: U.S. Preventive Services Task Force recommendation statement. Ann Intern Med. 2014; 161: 356– 362. </w:t>
      </w:r>
    </w:p>
    <w:p w:rsidR="00325AD1" w:rsidRDefault="008C5E81">
      <w:pPr>
        <w:numPr>
          <w:ilvl w:val="0"/>
          <w:numId w:val="18"/>
        </w:numPr>
        <w:spacing w:after="104"/>
        <w:ind w:right="479" w:hanging="566"/>
      </w:pPr>
      <w:r>
        <w:t>Kidney Disease:</w:t>
      </w:r>
      <w:r>
        <w:t xml:space="preserve"> Improving Global Outcomes (KDIGO). Transplant Candidate Guidelines. In: KDIGO Clinical Practice Guideline on the Evaluation and Management of Candidates for Kidney Transplantation. 2020.. </w:t>
      </w:r>
    </w:p>
    <w:p w:rsidR="00325AD1" w:rsidRDefault="008C5E81">
      <w:pPr>
        <w:numPr>
          <w:ilvl w:val="0"/>
          <w:numId w:val="18"/>
        </w:numPr>
        <w:spacing w:after="63"/>
        <w:ind w:right="479" w:hanging="566"/>
      </w:pPr>
      <w:r>
        <w:t>Nordheim E, Lindahl JP, Carlsen RK, Åsberg A, Birkeland KI, Hornel</w:t>
      </w:r>
      <w:r>
        <w:t>and R, Boye B, Scholz H, Jenssen TG. Patient selection for islet or solid organ pancreas transplantation: experiences from a multidisciplinary outpatient-clinic approach. Endocr Connect. 2021 Feb;10(2):230-239. doi: 10.1530/EC-20-0519. PMID: 33544090; PMCI</w:t>
      </w:r>
      <w:r>
        <w:t xml:space="preserve">D: PMC7983483. . </w:t>
      </w:r>
    </w:p>
    <w:p w:rsidR="00325AD1" w:rsidRDefault="008C5E81">
      <w:pPr>
        <w:numPr>
          <w:ilvl w:val="0"/>
          <w:numId w:val="18"/>
        </w:numPr>
        <w:spacing w:after="64"/>
        <w:ind w:right="479" w:hanging="566"/>
      </w:pPr>
      <w:r>
        <w:t xml:space="preserve">Keddis MT, El Ters M, Rodrigo E, et al. Enhanced posttransplant management of patients with diabetes improves patient outcomes. Kidney Int. 2014; 86: 610–618. </w:t>
      </w:r>
    </w:p>
    <w:p w:rsidR="00325AD1" w:rsidRDefault="008C5E81">
      <w:pPr>
        <w:numPr>
          <w:ilvl w:val="0"/>
          <w:numId w:val="18"/>
        </w:numPr>
        <w:spacing w:after="62"/>
        <w:ind w:right="479" w:hanging="566"/>
      </w:pPr>
      <w:r>
        <w:t>Rudolph EN, Dunn TB, Mauer D, et al. HLA-A, -B, -C, -DR, and -DQ Matching in P</w:t>
      </w:r>
      <w:r>
        <w:t xml:space="preserve">ancreas Transplantation: Effect on Graft Rejection and Survival. Am J Transplant. 2016; 16(8): 2401-12. doi: 10.1111/ajt.13734.  </w:t>
      </w:r>
    </w:p>
    <w:p w:rsidR="00325AD1" w:rsidRDefault="008C5E81">
      <w:pPr>
        <w:numPr>
          <w:ilvl w:val="0"/>
          <w:numId w:val="18"/>
        </w:numPr>
        <w:spacing w:after="65"/>
        <w:ind w:right="479" w:hanging="566"/>
      </w:pPr>
      <w:r>
        <w:t>Berney T, Malaise J, Morel P, et al. Impact of HLA matching on the outcome of simultaneous pancreas-kidney transplantation. Eu</w:t>
      </w:r>
      <w:r>
        <w:t xml:space="preserve">ro-SPK Study Group. Nephrol Dial Transplant. 2005; 20 Suppl 2: ii48-53, ii62. doi: 10.1093/ndt/gfh1082. </w:t>
      </w:r>
    </w:p>
    <w:p w:rsidR="00325AD1" w:rsidRDefault="008C5E81">
      <w:pPr>
        <w:numPr>
          <w:ilvl w:val="0"/>
          <w:numId w:val="18"/>
        </w:numPr>
        <w:spacing w:after="62"/>
        <w:ind w:right="479" w:hanging="566"/>
      </w:pPr>
      <w:r>
        <w:t>De Clippel D, Baeten M, Torfs A, et al. Screening for HLA antibodies in plateletpheresis donors with a history of transfusion or pregnancy. Transfusion</w:t>
      </w:r>
      <w:r>
        <w:t xml:space="preserve">. 2014; 54: 3036–3042. </w:t>
      </w:r>
    </w:p>
    <w:p w:rsidR="00325AD1" w:rsidRDefault="008C5E81">
      <w:pPr>
        <w:numPr>
          <w:ilvl w:val="0"/>
          <w:numId w:val="18"/>
        </w:numPr>
        <w:spacing w:after="72" w:line="241" w:lineRule="auto"/>
        <w:ind w:right="479" w:hanging="566"/>
      </w:pPr>
      <w:r>
        <w:t xml:space="preserve">Bachelet T, Martinez C, Del Bello A, et al. Deleterious impact of donor- specific anti-HLA antibodies toward HLA-Cw and HLA-DP in kidney transplantation. Transplantation. 2016; 100: 159–166.  </w:t>
      </w:r>
    </w:p>
    <w:p w:rsidR="00325AD1" w:rsidRDefault="008C5E81">
      <w:pPr>
        <w:numPr>
          <w:ilvl w:val="0"/>
          <w:numId w:val="18"/>
        </w:numPr>
        <w:spacing w:after="65"/>
        <w:ind w:right="479" w:hanging="566"/>
      </w:pPr>
      <w:r>
        <w:t xml:space="preserve">Filippone EJ, Farber JL. Humoral immune response and allograft function in kidney transplantation. Am J Kidney Dis. 2015; 66: 337–347.  </w:t>
      </w:r>
    </w:p>
    <w:p w:rsidR="00325AD1" w:rsidRDefault="008C5E81">
      <w:pPr>
        <w:numPr>
          <w:ilvl w:val="0"/>
          <w:numId w:val="18"/>
        </w:numPr>
        <w:ind w:right="479" w:hanging="566"/>
      </w:pPr>
      <w:r>
        <w:t xml:space="preserve">Tait BD, Süsal C, Gebel HM, et al. Consensus guidelines on the testing and clinical management issues associated with </w:t>
      </w:r>
      <w:r>
        <w:t xml:space="preserve">HLA and non-HLA antibodies in transplantation. Transplantation. 2013; 95: 19–47.  </w:t>
      </w:r>
    </w:p>
    <w:p w:rsidR="00325AD1" w:rsidRDefault="008C5E81">
      <w:pPr>
        <w:numPr>
          <w:ilvl w:val="0"/>
          <w:numId w:val="18"/>
        </w:numPr>
        <w:spacing w:after="64"/>
        <w:ind w:right="479" w:hanging="566"/>
      </w:pPr>
      <w:r>
        <w:t>Knoll GA, Nichol G. Dialysis, kidney transplantation, or pancreas transplantation for patients with diabetes mellitus and renal failure: a decision analysis of treatment opt</w:t>
      </w:r>
      <w:r>
        <w:t xml:space="preserve">ions. J Am Soc Nephrol. 2003;14(2):500-515. </w:t>
      </w:r>
    </w:p>
    <w:p w:rsidR="00325AD1" w:rsidRDefault="008C5E81">
      <w:pPr>
        <w:numPr>
          <w:ilvl w:val="0"/>
          <w:numId w:val="18"/>
        </w:numPr>
        <w:spacing w:after="61"/>
        <w:ind w:right="479" w:hanging="566"/>
      </w:pPr>
      <w:r>
        <w:t>Allen U, Alfieri C, Preiksaitis J, Humar A, Moore D, Tapiero B, Tellier R, Green M, Davies D, Hébert D, Weitzman S, Petric M, Jacobson K; Canadian PTLD Workshop Group - 1999. Epstein-</w:t>
      </w:r>
      <w:r>
        <w:t xml:space="preserve">Barr virus infection in transplant recipients: Summary of a workshop on surveillance, prevention and treatment. Can J Infect Dis. 2002 Mar;13(2):89-99. doi: 10.1155/2002/634318..  </w:t>
      </w:r>
    </w:p>
    <w:p w:rsidR="00325AD1" w:rsidRDefault="008C5E81">
      <w:pPr>
        <w:numPr>
          <w:ilvl w:val="0"/>
          <w:numId w:val="18"/>
        </w:numPr>
        <w:spacing w:after="65"/>
        <w:ind w:right="479" w:hanging="566"/>
      </w:pPr>
      <w:r>
        <w:t>Allen UD, Preiksaitis JK, AST Infectious Diseases Community of Practice. Ep</w:t>
      </w:r>
      <w:r>
        <w:t xml:space="preserve">stein-Barr virus and posttransplant lymphoproliferative disorder in solid organ transplantation. Am J Transplant. 2013; 13Suppl 4: 107–120. </w:t>
      </w:r>
    </w:p>
    <w:p w:rsidR="00325AD1" w:rsidRDefault="008C5E81">
      <w:pPr>
        <w:numPr>
          <w:ilvl w:val="0"/>
          <w:numId w:val="18"/>
        </w:numPr>
        <w:spacing w:after="62"/>
        <w:ind w:right="479" w:hanging="566"/>
      </w:pPr>
      <w:r>
        <w:t>Malinis M, Boucher HW. Screening of donor and candidate prior to solid organ transplantation-Guidelines from the Am</w:t>
      </w:r>
      <w:r>
        <w:t xml:space="preserve">erican Society of Transplantation Infectious Diseases Community of Practice. Clin Transplant. 2019. </w:t>
      </w:r>
    </w:p>
    <w:p w:rsidR="00325AD1" w:rsidRDefault="008C5E81">
      <w:pPr>
        <w:numPr>
          <w:ilvl w:val="0"/>
          <w:numId w:val="18"/>
        </w:numPr>
        <w:spacing w:after="65"/>
        <w:ind w:right="479" w:hanging="566"/>
      </w:pPr>
      <w:r>
        <w:t>Levitsky J, Doucette K, AST Infectious Diseases Community of Practice. Viral hepatitis in solid organ transplantation. Am J Transplant. 2013; 13 Suppl 4: 1</w:t>
      </w:r>
      <w:r>
        <w:t xml:space="preserve">47–168. </w:t>
      </w:r>
    </w:p>
    <w:p w:rsidR="00325AD1" w:rsidRDefault="008C5E81">
      <w:pPr>
        <w:numPr>
          <w:ilvl w:val="0"/>
          <w:numId w:val="18"/>
        </w:numPr>
        <w:spacing w:after="72" w:line="241" w:lineRule="auto"/>
        <w:ind w:right="479" w:hanging="566"/>
      </w:pPr>
      <w:r>
        <w:t xml:space="preserve">Burdick RA, Bragg-Gresham JL, Woods JD, et al. Patterns of hepatitis B prevalence and seroconversion in hemodialysis units from three continents: the DOPPS. Kidney Int. 2003; 63: 2222–2229. </w:t>
      </w:r>
    </w:p>
    <w:p w:rsidR="00325AD1" w:rsidRDefault="008C5E81">
      <w:pPr>
        <w:numPr>
          <w:ilvl w:val="0"/>
          <w:numId w:val="18"/>
        </w:numPr>
        <w:spacing w:after="65"/>
        <w:ind w:right="479" w:hanging="566"/>
      </w:pPr>
      <w:r>
        <w:t>Kidney Disease: Improving Global Outcomes (KDIGO) Hepati</w:t>
      </w:r>
      <w:r>
        <w:t xml:space="preserve">tis C Work Group. KDIGO 2018 Clinical Practice Guideline on the Prevention, Diagnosis, Evaluation, and Treatment of Hepatitis C in Chronic Kidney Disease. Kidney Int Suppl. 2018; 8: 91–165. </w:t>
      </w:r>
    </w:p>
    <w:p w:rsidR="00325AD1" w:rsidRDefault="008C5E81">
      <w:pPr>
        <w:numPr>
          <w:ilvl w:val="0"/>
          <w:numId w:val="18"/>
        </w:numPr>
        <w:spacing w:after="62"/>
        <w:ind w:right="479" w:hanging="566"/>
      </w:pPr>
      <w:r>
        <w:t>Kotton CN, Kumar D, Caliendo AM, et al. Updated international con</w:t>
      </w:r>
      <w:r>
        <w:t xml:space="preserve">sensus guidelines on the management of cytomegalovirus in solid organ transplantation. Transplantation. 2013; 96: 333–360. </w:t>
      </w:r>
    </w:p>
    <w:p w:rsidR="00325AD1" w:rsidRDefault="008C5E81">
      <w:pPr>
        <w:numPr>
          <w:ilvl w:val="0"/>
          <w:numId w:val="18"/>
        </w:numPr>
        <w:spacing w:after="46"/>
        <w:ind w:right="479" w:hanging="566"/>
      </w:pPr>
      <w:r>
        <w:t>Humar A, et al. Venous thromboembolic complications after kidney and kidney-pancreas transplantation: a multivariate analysis. Trans</w:t>
      </w:r>
      <w:r>
        <w:t xml:space="preserve">plantation. 1998; 65 (2): 229-234.  </w:t>
      </w:r>
    </w:p>
    <w:p w:rsidR="00325AD1" w:rsidRDefault="008C5E81">
      <w:pPr>
        <w:numPr>
          <w:ilvl w:val="0"/>
          <w:numId w:val="18"/>
        </w:numPr>
        <w:spacing w:after="60"/>
        <w:ind w:right="479" w:hanging="566"/>
      </w:pPr>
      <w:r>
        <w:t>Muthusamy, Anand SR, Giangrande PLF, Friend PJ.</w:t>
      </w:r>
      <w:r>
        <w:rPr>
          <w:vertAlign w:val="superscript"/>
        </w:rPr>
        <w:t xml:space="preserve"> </w:t>
      </w:r>
      <w:r>
        <w:t xml:space="preserve">Pancreas Allograft Thrombosis, Transplantation. 2010; 90 –(7): 705-707. doi: 10.1097/TP.0b013e3181eb2ea0.  </w:t>
      </w:r>
    </w:p>
    <w:p w:rsidR="00325AD1" w:rsidRDefault="008C5E81">
      <w:pPr>
        <w:numPr>
          <w:ilvl w:val="0"/>
          <w:numId w:val="18"/>
        </w:numPr>
        <w:spacing w:after="110"/>
        <w:ind w:right="479" w:hanging="566"/>
      </w:pPr>
      <w:r>
        <w:t>MacCraith E, Davis NF, Browne C, Mohan P, Hickey D. Simultaneou</w:t>
      </w:r>
      <w:r>
        <w:t xml:space="preserve">s pancreas and kidney transplantation: Incidence and risk factors for amputation after 10-year follow-up. Clin Transplant. 2017; 31(6). doi:10.1111/ctr.12976 </w:t>
      </w:r>
    </w:p>
    <w:p w:rsidR="00325AD1" w:rsidRDefault="008C5E81">
      <w:pPr>
        <w:numPr>
          <w:ilvl w:val="0"/>
          <w:numId w:val="18"/>
        </w:numPr>
        <w:spacing w:after="62"/>
        <w:ind w:right="479" w:hanging="566"/>
      </w:pPr>
      <w:r>
        <w:t>Woeste G, Wullstein C, Pridöhl O, et al. Incidence of minor and major amputations after pancreas/</w:t>
      </w:r>
      <w:r>
        <w:t xml:space="preserve">kidney transplantation. Transpl Int. 2003; 16(2): 128-132. </w:t>
      </w:r>
    </w:p>
    <w:p w:rsidR="00325AD1" w:rsidRDefault="008C5E81">
      <w:pPr>
        <w:numPr>
          <w:ilvl w:val="0"/>
          <w:numId w:val="18"/>
        </w:numPr>
        <w:spacing w:after="65"/>
        <w:ind w:right="479" w:hanging="566"/>
      </w:pPr>
      <w:r>
        <w:t xml:space="preserve">Chen J, Mohler ER, 3rd, Garimella PS, et al. Ankle Brachial Index and Subsequent Cardiovascular Disease Risk in Patients With Chronic Kidney Disease. J Am Heart Assoc. 2016; 5: pii: e003339.  </w:t>
      </w:r>
    </w:p>
    <w:p w:rsidR="00325AD1" w:rsidRDefault="008C5E81">
      <w:pPr>
        <w:numPr>
          <w:ilvl w:val="0"/>
          <w:numId w:val="18"/>
        </w:numPr>
        <w:spacing w:after="64"/>
        <w:ind w:right="479" w:hanging="566"/>
      </w:pPr>
      <w:r>
        <w:t xml:space="preserve">Wu </w:t>
      </w:r>
      <w:r>
        <w:t xml:space="preserve">SW, Lin CK, Hung TW, et al. Subclinical peripheral arterial disease in renal transplantation. Am J Med Sci. 2014; 347: 267–270. </w:t>
      </w:r>
    </w:p>
    <w:p w:rsidR="00325AD1" w:rsidRDefault="008C5E81">
      <w:pPr>
        <w:numPr>
          <w:ilvl w:val="0"/>
          <w:numId w:val="18"/>
        </w:numPr>
        <w:spacing w:after="66"/>
        <w:ind w:right="479" w:hanging="566"/>
      </w:pPr>
      <w:r>
        <w:t>Jenssen T, Hartmann A, Birkeland KI. Long-</w:t>
      </w:r>
      <w:r>
        <w:t xml:space="preserve">term diabetes complications after pancreas transplantation. Curr Opin Organ Transplant. 2017; 22(4): 382-388. doi:10.1097/MOT.0000000000000436 </w:t>
      </w:r>
    </w:p>
    <w:p w:rsidR="00325AD1" w:rsidRDefault="008C5E81">
      <w:pPr>
        <w:numPr>
          <w:ilvl w:val="0"/>
          <w:numId w:val="18"/>
        </w:numPr>
        <w:spacing w:after="65"/>
        <w:ind w:right="479" w:hanging="566"/>
      </w:pPr>
      <w:r>
        <w:t>Sollinger HW, Odorico JS, Becker YT, et al. One thousand simultaneous pancreas-kidney transplants at a single ce</w:t>
      </w:r>
      <w:r>
        <w:t xml:space="preserve">nter with 22-year follow-up. Ann Surg. 2009; 250(4): 618-629. doi:10.1097/SLA.0b013e3181b76d2b </w:t>
      </w:r>
    </w:p>
    <w:p w:rsidR="00325AD1" w:rsidRDefault="008C5E81">
      <w:pPr>
        <w:numPr>
          <w:ilvl w:val="0"/>
          <w:numId w:val="18"/>
        </w:numPr>
        <w:spacing w:after="62"/>
        <w:ind w:right="479" w:hanging="566"/>
      </w:pPr>
      <w:r>
        <w:t>Gill JS, Ma I, Landsberg D, et al. Cardiovascular events and investigation in patients who are awaiting cadaveric kidney transplantation. J Am Soc Nephrol. 2005</w:t>
      </w:r>
      <w:r>
        <w:t xml:space="preserve">; 16: 808–816.  </w:t>
      </w:r>
    </w:p>
    <w:p w:rsidR="00325AD1" w:rsidRDefault="008C5E81">
      <w:pPr>
        <w:numPr>
          <w:ilvl w:val="0"/>
          <w:numId w:val="18"/>
        </w:numPr>
        <w:spacing w:after="72"/>
        <w:ind w:right="479" w:hanging="566"/>
      </w:pPr>
      <w:r>
        <w:t>Fleisher LA, Fleischmann KE, Auerbach AD, et al. 2014 ACC/AHA guideline on perioperative cardiovascular evaluation and management of patients undergoing noncardiac surgery: a report of the American College of Cardiology/American Heart Asso</w:t>
      </w:r>
      <w:r>
        <w:t xml:space="preserve">ciation Task Force on practice guidelines. J Am Coll Cardiol. 2014; 64: e77–137. </w:t>
      </w:r>
    </w:p>
    <w:p w:rsidR="00325AD1" w:rsidRDefault="008C5E81">
      <w:pPr>
        <w:numPr>
          <w:ilvl w:val="0"/>
          <w:numId w:val="18"/>
        </w:numPr>
        <w:spacing w:after="65"/>
        <w:ind w:right="479" w:hanging="566"/>
      </w:pPr>
      <w:r>
        <w:t>Yadlapati R, Early D, Iyer PG, Morgan DR, Sengupta N, Sharma P, Shaheen NJ. Quality Indicators for Upper GI Endoscopy. The American Journal of Gastroenterology. 2025;120(2):2</w:t>
      </w:r>
      <w:r>
        <w:t xml:space="preserve">90-312. DOI: 10.14309/ajg.0000000000003252  </w:t>
      </w:r>
    </w:p>
    <w:p w:rsidR="00325AD1" w:rsidRDefault="008C5E81">
      <w:pPr>
        <w:numPr>
          <w:ilvl w:val="0"/>
          <w:numId w:val="18"/>
        </w:numPr>
        <w:spacing w:after="62"/>
        <w:ind w:right="479" w:hanging="566"/>
      </w:pPr>
      <w:r>
        <w:t>McCrea PH, Chang M, Bailley G, Molinari M. Sarcomatoid carcinoma of the bladder after simultaneous kidney-pancreas transplant: a case report and review of the literature. BMJ Case Rep. 2012 Apr 28;2012:bcr012012</w:t>
      </w:r>
      <w:r>
        <w:t xml:space="preserve">5537. doi: 10.1136/bcr.01.2012.5537.  </w:t>
      </w:r>
    </w:p>
    <w:p w:rsidR="00325AD1" w:rsidRDefault="008C5E81">
      <w:pPr>
        <w:numPr>
          <w:ilvl w:val="0"/>
          <w:numId w:val="18"/>
        </w:numPr>
        <w:spacing w:after="72" w:line="241" w:lineRule="auto"/>
        <w:ind w:right="479" w:hanging="566"/>
      </w:pPr>
      <w:r>
        <w:t>Boissier R, Hevia V, Bruins H, et al. The risk of tumour recurrence of patients undergoing renal transplantation for end-stage renal disease after previous treatment for a urological cancer: a systematic review. Eur U</w:t>
      </w:r>
      <w:r>
        <w:t xml:space="preserve">rol, 2018; 73: 94-108. </w:t>
      </w:r>
    </w:p>
    <w:p w:rsidR="00325AD1" w:rsidRDefault="008C5E81">
      <w:pPr>
        <w:numPr>
          <w:ilvl w:val="0"/>
          <w:numId w:val="18"/>
        </w:numPr>
        <w:spacing w:after="62"/>
        <w:ind w:right="479" w:hanging="566"/>
      </w:pPr>
      <w:r>
        <w:t>Highshaw RA, Tunuguntla HS, Perez RV, Gandour-Edwards R, Evans CP. Initial report of bladder carcinoma following combined bladder-drained pancreas and kidney transplantation. Clin Transplant. 2002; 16(5): 383-6. doi: 10.1034/j.1399-</w:t>
      </w:r>
      <w:r>
        <w:t xml:space="preserve">0012.2002.02034.x. PMID: 12225437. </w:t>
      </w:r>
    </w:p>
    <w:p w:rsidR="00325AD1" w:rsidRDefault="008C5E81">
      <w:pPr>
        <w:numPr>
          <w:ilvl w:val="0"/>
          <w:numId w:val="18"/>
        </w:numPr>
        <w:spacing w:after="110"/>
        <w:ind w:right="479" w:hanging="566"/>
      </w:pPr>
      <w:r>
        <w:t>Douketis JD, Spyropoulos AC, Spencer FA, et al. Perioperative management of antithrombotic therapy: antithrombotic therapy and prevention of thrombosis, 9th ed: American College of Chest Physicians Evidence-Based Clinica</w:t>
      </w:r>
      <w:r>
        <w:t xml:space="preserve">l Practice Guidelines. Chest 2012; 141 (2 Suppl): e326-50.  </w:t>
      </w:r>
    </w:p>
    <w:p w:rsidR="00325AD1" w:rsidRDefault="008C5E81">
      <w:pPr>
        <w:numPr>
          <w:ilvl w:val="0"/>
          <w:numId w:val="18"/>
        </w:numPr>
        <w:spacing w:after="62"/>
        <w:ind w:right="479" w:hanging="566"/>
      </w:pPr>
      <w:r>
        <w:t>Kędzierska-Kapuza K, Safranow K, Niewiński K, et al. Indices of Nutrition Status of Kidney and Pancreas Transplant Candidates. Transplantation Proceedings. 2024;56(4):813-821. DOI: 10.1016/j.tran</w:t>
      </w:r>
      <w:r>
        <w:t xml:space="preserve">sproceed.2024.03.012 </w:t>
      </w:r>
    </w:p>
    <w:p w:rsidR="00325AD1" w:rsidRDefault="008C5E81">
      <w:pPr>
        <w:numPr>
          <w:ilvl w:val="0"/>
          <w:numId w:val="18"/>
        </w:numPr>
        <w:spacing w:after="65"/>
        <w:ind w:right="479" w:hanging="566"/>
      </w:pPr>
      <w:r>
        <w:t xml:space="preserve">Benahmed A, et al. Ticlopidine and clopidogrel, sometimes combined with aspirin, only minimally increase the surgical risk in renal transplantation: A case-control study. </w:t>
      </w:r>
      <w:hyperlink r:id="rId7">
        <w:r>
          <w:rPr>
            <w:u w:val="single" w:color="000000"/>
          </w:rPr>
          <w:t>Nephrology</w:t>
        </w:r>
      </w:hyperlink>
      <w:hyperlink r:id="rId8">
        <w:r>
          <w:t xml:space="preserve"> </w:t>
        </w:r>
      </w:hyperlink>
      <w:hyperlink r:id="rId9">
        <w:r>
          <w:rPr>
            <w:u w:val="single" w:color="000000"/>
          </w:rPr>
          <w:t>Di</w:t>
        </w:r>
        <w:r>
          <w:rPr>
            <w:u w:val="single" w:color="000000"/>
          </w:rPr>
          <w:t>alysis Transplantation</w:t>
        </w:r>
      </w:hyperlink>
      <w:hyperlink r:id="rId10">
        <w:r>
          <w:t>.</w:t>
        </w:r>
      </w:hyperlink>
      <w:r>
        <w:t xml:space="preserve"> 2013; 29(2) doi:</w:t>
      </w:r>
      <w:hyperlink r:id="rId11">
        <w:r>
          <w:rPr>
            <w:u w:val="single" w:color="000000"/>
          </w:rPr>
          <w:t>10.1093/ndt/gft385</w:t>
        </w:r>
      </w:hyperlink>
      <w:hyperlink r:id="rId12">
        <w:r>
          <w:t>.</w:t>
        </w:r>
      </w:hyperlink>
      <w:r>
        <w:t xml:space="preserve"> </w:t>
      </w:r>
    </w:p>
    <w:p w:rsidR="00325AD1" w:rsidRDefault="008C5E81">
      <w:pPr>
        <w:numPr>
          <w:ilvl w:val="0"/>
          <w:numId w:val="18"/>
        </w:numPr>
        <w:ind w:right="479" w:hanging="566"/>
      </w:pPr>
      <w:r>
        <w:t>Saima A, Coleman Rotstein. Candida infections in solid organ transplantation: Guidelines from the American Society of Transplantation Infectious Diseases Community of Practice. AST Infectious Disease Community of Practice. Affiliations e</w:t>
      </w:r>
      <w:r>
        <w:t xml:space="preserve">xpand. PMID: 31155770 DOI: </w:t>
      </w:r>
    </w:p>
    <w:p w:rsidR="00325AD1" w:rsidRDefault="008C5E81">
      <w:pPr>
        <w:spacing w:after="60"/>
        <w:ind w:left="137" w:right="479"/>
      </w:pPr>
      <w:r>
        <w:t xml:space="preserve">10.1111/ctr.13623 </w:t>
      </w:r>
    </w:p>
    <w:p w:rsidR="00325AD1" w:rsidRDefault="008C5E81">
      <w:pPr>
        <w:numPr>
          <w:ilvl w:val="0"/>
          <w:numId w:val="18"/>
        </w:numPr>
        <w:spacing w:after="61"/>
        <w:ind w:right="479" w:hanging="566"/>
      </w:pPr>
      <w:r>
        <w:t>Timsit JF, Sonneville R, Kalil AC, Bassetti M, Ferrer R, Jaber S, Lanternier F, Luyt CE, Machado F, Mikulska M, Papazian L, Pène F, Poulakou G, Viscoli C, Wolff M, Zafrani L, Van Delden C. Diagnostic and thera</w:t>
      </w:r>
      <w:r>
        <w:t xml:space="preserve">peutic approach to infectious diseases in solid organ transplant recipients. Intensive Care Med. 2019 May;45(5):573-591. doi: 10.1007/s00134-019-05597-y  </w:t>
      </w:r>
      <w:r>
        <w:rPr>
          <w:sz w:val="28"/>
        </w:rPr>
        <w:t>79.</w:t>
      </w:r>
      <w:r>
        <w:rPr>
          <w:rFonts w:ascii="Arial" w:eastAsia="Arial" w:hAnsi="Arial" w:cs="Arial"/>
          <w:sz w:val="28"/>
        </w:rPr>
        <w:t xml:space="preserve"> </w:t>
      </w:r>
      <w:r>
        <w:t>Целевая жидкостная терапия при сочетанной трансплантации поджелудочной железы и почки: влияние на послеоперационное восстановление / Ли Сюань, Ван Мин, Чжан Вэй [и др.] // Клинический журнал анестезиологии. — 2021. — Т. 37, № 8. — С. 123128. — DOI 10.12089</w:t>
      </w:r>
      <w:r>
        <w:t xml:space="preserve">/jca.2021.08.007  </w:t>
      </w:r>
    </w:p>
    <w:p w:rsidR="00325AD1" w:rsidRDefault="008C5E81">
      <w:pPr>
        <w:numPr>
          <w:ilvl w:val="0"/>
          <w:numId w:val="19"/>
        </w:numPr>
        <w:ind w:right="479"/>
      </w:pPr>
      <w:r>
        <w:t>Batista ME, Barbosa M, Oliveira P, Isidoro Duarte T, Casimiro J, Cardoso S, Germano N. Effect of Anticoagulation and Individualized Fluid Therapy on Graft Outcomes in Simultaneous Pancreas-</w:t>
      </w:r>
      <w:r>
        <w:t xml:space="preserve">Kidney Transplant Recipients. Cureus. 2025 Nov 12;17(11):e96728. doi: </w:t>
      </w:r>
    </w:p>
    <w:p w:rsidR="00325AD1" w:rsidRDefault="008C5E81">
      <w:pPr>
        <w:spacing w:after="62"/>
        <w:ind w:left="137" w:right="479"/>
      </w:pPr>
      <w:r>
        <w:t xml:space="preserve">10.7759/cureus.96728..  </w:t>
      </w:r>
    </w:p>
    <w:p w:rsidR="00325AD1" w:rsidRDefault="008C5E81">
      <w:pPr>
        <w:numPr>
          <w:ilvl w:val="0"/>
          <w:numId w:val="19"/>
        </w:numPr>
        <w:ind w:right="479"/>
      </w:pPr>
      <w:r>
        <w:t>Piovesan AC, Nahas WC, Antonopoulos IM, et al. Complete Extraperitoneal Approach for Kidney Implant on Simultaneous Pancreas and Kidney Transplantation by Midli</w:t>
      </w:r>
      <w:r>
        <w:t xml:space="preserve">ne Incision. </w:t>
      </w:r>
    </w:p>
    <w:p w:rsidR="00325AD1" w:rsidRDefault="008C5E81">
      <w:pPr>
        <w:spacing w:after="60"/>
        <w:ind w:left="137" w:right="479"/>
      </w:pPr>
      <w:r>
        <w:t xml:space="preserve">Transplantation. 2006;82(11):1552-1554. DOI: 10.1097/01.tp.0000239191.21800.b8   </w:t>
      </w:r>
    </w:p>
    <w:p w:rsidR="00325AD1" w:rsidRDefault="008C5E81">
      <w:pPr>
        <w:numPr>
          <w:ilvl w:val="0"/>
          <w:numId w:val="19"/>
        </w:numPr>
        <w:spacing w:after="64"/>
        <w:ind w:right="479"/>
      </w:pPr>
      <w:r>
        <w:t>Boggi U, Amorese G, Marchetti P. Surgical techniques for pancreas transplantation. Curr Opin Organ Transplant. 2010; 15(1): 102-11. doi: 10.1097/MOT.0b013e32833</w:t>
      </w:r>
      <w:r>
        <w:t xml:space="preserve">553de.  </w:t>
      </w:r>
    </w:p>
    <w:p w:rsidR="00325AD1" w:rsidRDefault="008C5E81">
      <w:pPr>
        <w:numPr>
          <w:ilvl w:val="0"/>
          <w:numId w:val="19"/>
        </w:numPr>
        <w:ind w:right="479"/>
      </w:pPr>
      <w:r>
        <w:t xml:space="preserve">Schulz T, Flecken M, Schenker P. Pankreasorganentnahme durch externe Teams [Pancreas removal by external teams]. Chirurg. 2005; 76(6): 581-6; discussion 586-7. doi: 10.1007/s00104004-0988-4. PMID: 15690215. </w:t>
      </w:r>
    </w:p>
    <w:p w:rsidR="00325AD1" w:rsidRDefault="008C5E81">
      <w:pPr>
        <w:numPr>
          <w:ilvl w:val="0"/>
          <w:numId w:val="19"/>
        </w:numPr>
        <w:spacing w:after="65"/>
        <w:ind w:right="479"/>
      </w:pPr>
      <w:r>
        <w:t>Baranski AG, Lam HD, Braat AE, Schaaphe</w:t>
      </w:r>
      <w:r>
        <w:t xml:space="preserve">rder AF. The dorsal pancreatic artery in pancreas procurement and transplantation: anatomical considerations and potential implications. Clin Transplant. 2016; 30(10): 1360-1364. doi: 10.1111/ctr.12814. </w:t>
      </w:r>
    </w:p>
    <w:p w:rsidR="00325AD1" w:rsidRDefault="008C5E81">
      <w:pPr>
        <w:numPr>
          <w:ilvl w:val="0"/>
          <w:numId w:val="19"/>
        </w:numPr>
        <w:spacing w:after="62"/>
        <w:ind w:right="479"/>
      </w:pPr>
      <w:r>
        <w:t>Bertelli E, Di Gregorio F, Bertelli L, Civeli L, Mos</w:t>
      </w:r>
      <w:r>
        <w:t xml:space="preserve">ca S. The arterial blood supply of the pancreas: a review. III. The inferior pancreaticoduodenal artery. An anatomical review and a radiological study. Surg Radiol Anat. 1996; 18(2): 67-74. doi: 10.1007/BF01795221. </w:t>
      </w:r>
    </w:p>
    <w:p w:rsidR="00325AD1" w:rsidRDefault="008C5E81">
      <w:pPr>
        <w:numPr>
          <w:ilvl w:val="0"/>
          <w:numId w:val="19"/>
        </w:numPr>
        <w:spacing w:after="110"/>
        <w:ind w:right="479"/>
      </w:pPr>
      <w:r>
        <w:t>Boggi U, Amorese G, Marchetti P, Mosca F</w:t>
      </w:r>
      <w:r>
        <w:t xml:space="preserve">. Segmental live donor pancreas transplantation: review and critique of rationale, outcomes, and current recommendations. Clin Transplant. 2011; 25(1): 4-12. doi: 10.1111/j.1399-0012.2010.01381.x.  </w:t>
      </w:r>
    </w:p>
    <w:p w:rsidR="00325AD1" w:rsidRDefault="008C5E81">
      <w:pPr>
        <w:numPr>
          <w:ilvl w:val="0"/>
          <w:numId w:val="19"/>
        </w:numPr>
        <w:spacing w:after="62"/>
        <w:ind w:right="479"/>
      </w:pPr>
      <w:r>
        <w:t>Lück R, Klempnauer J, Ehlerding G, Kühn K. Significance</w:t>
      </w:r>
      <w:r>
        <w:t xml:space="preserve"> of portal venous drainage after whole-organ pancreas transplantation for endocrine graft function and prevention of diabetic nephropathy. Transplantation. 1990; 50(3): 394-8. doi: 10.1097/00007890-199009000-00008.  </w:t>
      </w:r>
    </w:p>
    <w:p w:rsidR="00325AD1" w:rsidRDefault="008C5E81">
      <w:pPr>
        <w:numPr>
          <w:ilvl w:val="0"/>
          <w:numId w:val="19"/>
        </w:numPr>
        <w:spacing w:after="65"/>
        <w:ind w:right="479"/>
      </w:pPr>
      <w:r>
        <w:t>Bazerbachi F, Selzner M, Marquez MA, et</w:t>
      </w:r>
      <w:r>
        <w:t xml:space="preserve"> al. Portal venous versus systemic venous drainage of pancreas grafts: impact on long-term results. Am J Transplant. 2012; 12(1): 226-32. doi: 10.1111/j.1600-6143.2011.03756.x. </w:t>
      </w:r>
    </w:p>
    <w:p w:rsidR="00325AD1" w:rsidRDefault="008C5E81">
      <w:pPr>
        <w:numPr>
          <w:ilvl w:val="0"/>
          <w:numId w:val="19"/>
        </w:numPr>
        <w:spacing w:after="62"/>
        <w:ind w:right="479"/>
      </w:pPr>
      <w:r>
        <w:t>Shokouh-Amiri MH, Gaber AO, Gaber LW, et al. Pancreas transplantation with por</w:t>
      </w:r>
      <w:r>
        <w:t xml:space="preserve">tal venous drainage and enteric exocrine diversion: a new technique. Transplant Proc. 1992; 24(3): 776-7. </w:t>
      </w:r>
    </w:p>
    <w:p w:rsidR="00325AD1" w:rsidRDefault="008C5E81">
      <w:pPr>
        <w:numPr>
          <w:ilvl w:val="0"/>
          <w:numId w:val="19"/>
        </w:numPr>
        <w:spacing w:after="65"/>
        <w:ind w:right="479"/>
      </w:pPr>
      <w:r>
        <w:t>Ziaja J, Wullstein C, Woeste G, Bechstein WO. High duodeno-jejunal anastomosis as a safe method of enteric drainage in simultaneous pancreas and kidn</w:t>
      </w:r>
      <w:r>
        <w:t xml:space="preserve">ey transplantation. Ann Transplant. 2002; 7(3): 46-9. </w:t>
      </w:r>
    </w:p>
    <w:p w:rsidR="00325AD1" w:rsidRDefault="008C5E81">
      <w:pPr>
        <w:numPr>
          <w:ilvl w:val="0"/>
          <w:numId w:val="19"/>
        </w:numPr>
        <w:spacing w:after="62"/>
        <w:ind w:right="479"/>
      </w:pPr>
      <w:r>
        <w:t xml:space="preserve">Walter M, Jazra M, Kykalos S, et al. 125 Cases of duodenoduodenostomy in pancreas transplantation: a single-centre experience of an alternative enteric drainage. Transpl Int. 2014; 27(8): 805-15. doi: </w:t>
      </w:r>
      <w:r>
        <w:t xml:space="preserve">10.1111/tri.12337.  </w:t>
      </w:r>
    </w:p>
    <w:p w:rsidR="00325AD1" w:rsidRDefault="008C5E81">
      <w:pPr>
        <w:numPr>
          <w:ilvl w:val="0"/>
          <w:numId w:val="19"/>
        </w:numPr>
        <w:spacing w:after="65"/>
        <w:ind w:right="479"/>
      </w:pPr>
      <w:r>
        <w:t>Ai Li E, Farrokhi K, Zhang MY, et al. Heparin Thromboprophylaxis in Simultaneous Pancreas-Kidney Transplantation: A Systematic Review and Meta-Analysis of Observational Studies. Transplant International. 2023;36:10442. DOI: 10.3389/ti.</w:t>
      </w:r>
      <w:r>
        <w:t xml:space="preserve">2023.10442  </w:t>
      </w:r>
    </w:p>
    <w:p w:rsidR="00325AD1" w:rsidRDefault="008C5E81">
      <w:pPr>
        <w:numPr>
          <w:ilvl w:val="0"/>
          <w:numId w:val="19"/>
        </w:numPr>
        <w:ind w:right="479"/>
      </w:pPr>
      <w:r>
        <w:t xml:space="preserve">Barbosa M, Batista M, Espirito SC, et al. Anticoagulation Protocol with Unfractionated Heparin Infusion in Simultaneous Pancreas-Kidney Transplantation. Intensive Care Medicine </w:t>
      </w:r>
    </w:p>
    <w:p w:rsidR="00325AD1" w:rsidRDefault="008C5E81">
      <w:pPr>
        <w:spacing w:after="60"/>
        <w:ind w:left="137" w:right="479"/>
      </w:pPr>
      <w:r>
        <w:t xml:space="preserve">Experimental. 2023;11(Suppl 1):0001224  </w:t>
      </w:r>
    </w:p>
    <w:p w:rsidR="00325AD1" w:rsidRDefault="008C5E81">
      <w:pPr>
        <w:numPr>
          <w:ilvl w:val="0"/>
          <w:numId w:val="19"/>
        </w:numPr>
        <w:spacing w:after="65"/>
        <w:ind w:right="479"/>
      </w:pPr>
      <w:r>
        <w:t>Harbell JW, Morgan T, Fe</w:t>
      </w:r>
      <w:r>
        <w:t>ldstein VA, Roll GR, Posselt A, Kang SM, Feng S, Hirose R, Freise CE, Stock P. Splenic Vein Thrombosis Following Pancreas Transplantation: Identification of Factors That Support Conservative Management. Am J Transplant. 2017 Nov;17(11):29552962. doi: 10.11</w:t>
      </w:r>
      <w:r>
        <w:t xml:space="preserve">11/ajt.14428.  </w:t>
      </w:r>
    </w:p>
    <w:p w:rsidR="00325AD1" w:rsidRDefault="008C5E81">
      <w:pPr>
        <w:numPr>
          <w:ilvl w:val="0"/>
          <w:numId w:val="19"/>
        </w:numPr>
        <w:spacing w:after="62"/>
        <w:ind w:right="479"/>
      </w:pPr>
      <w:r>
        <w:t xml:space="preserve">Ciancio G, Julian JF, Fernandez L, et al. Successful surgical salvage of pancreas allografts after complete venous thrombosis. Transplantation. 2000; 70(1): 126–131. </w:t>
      </w:r>
    </w:p>
    <w:p w:rsidR="00325AD1" w:rsidRDefault="008C5E81">
      <w:pPr>
        <w:numPr>
          <w:ilvl w:val="0"/>
          <w:numId w:val="19"/>
        </w:numPr>
        <w:spacing w:after="110"/>
        <w:ind w:right="479"/>
      </w:pPr>
      <w:r>
        <w:t>Fernandez MF, Pattin FF, Rubio JS, et al. Salvage Endovascular Thrombecto</w:t>
      </w:r>
      <w:r>
        <w:t xml:space="preserve">my for Splenic Vein Thrombosis After Pancreas Transplantation: A Single-Center Experience and Systematic Literature Review. Experimental and Clinical Transplantation. 2024;22(7):487-496. DOI: 10.6002/ect.2024.0109  </w:t>
      </w:r>
    </w:p>
    <w:p w:rsidR="00325AD1" w:rsidRDefault="008C5E81">
      <w:pPr>
        <w:numPr>
          <w:ilvl w:val="0"/>
          <w:numId w:val="19"/>
        </w:numPr>
        <w:spacing w:after="63"/>
        <w:ind w:right="479"/>
      </w:pPr>
      <w:r>
        <w:t>Chapochnick, Javier; Derosas, Carlos; Iñiguez, Rodrigo; Gonzalez, Juan; Corvalan, Felipe; Pefaur, Jacqueline; Enciso, Giovanni: Salvage of a thrombosed pancreas graft by endovascular thrombectomy. Transplantation 107(10S2):p 121-122, October 2023. | DOI: 1</w:t>
      </w:r>
      <w:r>
        <w:t xml:space="preserve">0.1097/01.tp.0000994440.60033.b3  </w:t>
      </w:r>
    </w:p>
    <w:p w:rsidR="00325AD1" w:rsidRDefault="008C5E81">
      <w:pPr>
        <w:numPr>
          <w:ilvl w:val="0"/>
          <w:numId w:val="19"/>
        </w:numPr>
        <w:ind w:right="479"/>
      </w:pPr>
      <w:r>
        <w:t>Benedetti E., Dunn T., Massad M. G., et al. A prospective randomized clinical trial of perioperative treatment with octreotide in pancreas transplantation // American Journal of Surgery. — 1998. — Vol. 175, No. 1. — P. 14</w:t>
      </w:r>
      <w:r>
        <w:t xml:space="preserve">-17. — DOI 10.1016/s0002-9610(97)00236-5  </w:t>
      </w:r>
      <w:r>
        <w:rPr>
          <w:sz w:val="28"/>
        </w:rPr>
        <w:t>99.</w:t>
      </w:r>
      <w:r>
        <w:rPr>
          <w:rFonts w:ascii="Arial" w:eastAsia="Arial" w:hAnsi="Arial" w:cs="Arial"/>
          <w:sz w:val="28"/>
        </w:rPr>
        <w:t xml:space="preserve"> </w:t>
      </w:r>
      <w:r>
        <w:t xml:space="preserve">Nghiem D.D. Effects of Octreotide on Pancreas Allograft Endocrine Function // Transplantation. — 2004. — Vol. 78, No. 2. — P. 341.  </w:t>
      </w:r>
    </w:p>
    <w:p w:rsidR="00325AD1" w:rsidRDefault="008C5E81">
      <w:pPr>
        <w:numPr>
          <w:ilvl w:val="0"/>
          <w:numId w:val="20"/>
        </w:numPr>
        <w:spacing w:after="64"/>
        <w:ind w:right="479"/>
      </w:pPr>
      <w:r>
        <w:t>Li L. L., Li Y. S., Pang L. L., et al. Efficacy and safety of octreotide in p</w:t>
      </w:r>
      <w:r>
        <w:t xml:space="preserve">reventing complications after pancreas transplantation: a meta-analysis of randomized trials // Chinese Journal of Evidence-Based Medicine. — 2008. — Vol. 8, No. 4. — P. 267-272. — DOI 10.7507/1672-2531.20080057  </w:t>
      </w:r>
    </w:p>
    <w:p w:rsidR="00325AD1" w:rsidRDefault="008C5E81">
      <w:pPr>
        <w:numPr>
          <w:ilvl w:val="0"/>
          <w:numId w:val="20"/>
        </w:numPr>
        <w:spacing w:after="106"/>
        <w:ind w:right="479"/>
      </w:pPr>
      <w:r>
        <w:t xml:space="preserve">Hesse UJ, Meester D, Troisi R, et al. The </w:t>
      </w:r>
      <w:r>
        <w:t xml:space="preserve">use of low dose octreotide prophylaxis in pancreatic transplants with enteric drainage. Results of a prospective randomized single center trial. Clin Transplant. 2005; 19(3): 299-303. doi: 10.1111/j.1399-0012.2005.00208.x. </w:t>
      </w:r>
    </w:p>
    <w:p w:rsidR="00325AD1" w:rsidRDefault="008C5E81">
      <w:pPr>
        <w:numPr>
          <w:ilvl w:val="0"/>
          <w:numId w:val="20"/>
        </w:numPr>
        <w:spacing w:after="64"/>
        <w:ind w:right="479"/>
      </w:pPr>
      <w:r>
        <w:t>Nadalin S, Girotti P, Königsrain</w:t>
      </w:r>
      <w:r>
        <w:t xml:space="preserve">er A. Risk factors for and management of graft pancreatitis. Curr. Opin. Organ Transplant. 2013; 18(1): 89–96. </w:t>
      </w:r>
    </w:p>
    <w:p w:rsidR="00325AD1" w:rsidRDefault="008C5E81">
      <w:pPr>
        <w:numPr>
          <w:ilvl w:val="0"/>
          <w:numId w:val="20"/>
        </w:numPr>
        <w:spacing w:after="61"/>
        <w:ind w:right="479"/>
      </w:pPr>
      <w:r>
        <w:t>Marang-van de Mheen PJ, Hilling DE, Dirkes MC, et al. Surgical injuries of pancreatic allografts during procurement. Clin. Transplant. 2011; 25(</w:t>
      </w:r>
      <w:r>
        <w:t xml:space="preserve">5): 737–743. </w:t>
      </w:r>
    </w:p>
    <w:p w:rsidR="00325AD1" w:rsidRDefault="008C5E81">
      <w:pPr>
        <w:numPr>
          <w:ilvl w:val="0"/>
          <w:numId w:val="20"/>
        </w:numPr>
        <w:spacing w:after="64"/>
        <w:ind w:right="479"/>
      </w:pPr>
      <w:r>
        <w:t xml:space="preserve">Al-Adra D, McGilvray I, Goldaracena N, et al. Preserving the Pancreas Graft: Outcomes of Surgical Repair of Duodenal Leaks in Enterically Drained Pancreas Allografts. Transplant Direct. 2017; 3(7): e179. doi: 10.1097/TXD.0000000000000698.  </w:t>
      </w:r>
    </w:p>
    <w:p w:rsidR="00325AD1" w:rsidRDefault="008C5E81">
      <w:pPr>
        <w:numPr>
          <w:ilvl w:val="0"/>
          <w:numId w:val="20"/>
        </w:numPr>
        <w:spacing w:after="64"/>
        <w:ind w:right="479"/>
      </w:pPr>
      <w:r>
        <w:t>P</w:t>
      </w:r>
      <w:r>
        <w:t>ena Polanco N, Keihanian T, Barkin JA, et al. 2808 Gastrointestinal Bleeding After Pancreatic Transplant, Beyond the Usual Suspects: A Systematic Review. American Journal of Gastroenterology. 2019;114(1):S1550-S1550. DOI: 10.14309/01.ajg.0000600764.61441.9</w:t>
      </w:r>
      <w:r>
        <w:t xml:space="preserve">4  </w:t>
      </w:r>
      <w:r>
        <w:rPr>
          <w:sz w:val="28"/>
        </w:rPr>
        <w:t>106.</w:t>
      </w:r>
      <w:r>
        <w:rPr>
          <w:rFonts w:ascii="Arial" w:eastAsia="Arial" w:hAnsi="Arial" w:cs="Arial"/>
          <w:sz w:val="28"/>
        </w:rPr>
        <w:t xml:space="preserve"> </w:t>
      </w:r>
      <w:r>
        <w:t xml:space="preserve">Orsenigo E, Fiorina P, Dell'Antonio G, et al. Gastrointestinal bleeding from enterically drained transplanted pancreas. Transpl Int. 2005; 18(3): 296-302. doi: 10.1111/j.14322277.2004.00023.x.  </w:t>
      </w:r>
    </w:p>
    <w:p w:rsidR="00325AD1" w:rsidRDefault="008C5E81">
      <w:pPr>
        <w:numPr>
          <w:ilvl w:val="0"/>
          <w:numId w:val="21"/>
        </w:numPr>
        <w:spacing w:after="62"/>
        <w:ind w:right="479"/>
      </w:pPr>
      <w:r>
        <w:t>Pieroni E, Napoli N, Lombardo C, et al. Duodenal graf</w:t>
      </w:r>
      <w:r>
        <w:t xml:space="preserve">t complications requiring duodenectomy after pancreas and pancreas-kidney transplantation. Am J Transplant. 2018; 18(6): 1388-1396. doi: 10.1111/ajt.14613.  </w:t>
      </w:r>
    </w:p>
    <w:p w:rsidR="00325AD1" w:rsidRDefault="008C5E81">
      <w:pPr>
        <w:numPr>
          <w:ilvl w:val="0"/>
          <w:numId w:val="21"/>
        </w:numPr>
        <w:spacing w:after="64"/>
        <w:ind w:right="479"/>
      </w:pPr>
      <w:r>
        <w:t>Kandaswamy R, Skeans MA, Gustafson SK, et al. K.B. OPTN/SRTR 2013 Annual data Report: pancreas. Am</w:t>
      </w:r>
      <w:r>
        <w:t xml:space="preserve"> J Transpl. 2015; 15: 1–20. </w:t>
      </w:r>
    </w:p>
    <w:p w:rsidR="00325AD1" w:rsidRDefault="008C5E81">
      <w:pPr>
        <w:numPr>
          <w:ilvl w:val="0"/>
          <w:numId w:val="21"/>
        </w:numPr>
        <w:spacing w:after="61"/>
        <w:ind w:right="479"/>
      </w:pPr>
      <w:r>
        <w:t xml:space="preserve">Kandaswamy R., Stock PG., Gustafson SK. OPTN/SRTR 2015 Annual Data Report: Pancreas. Am. J. Transplant. 2017; 17: 117–173. </w:t>
      </w:r>
    </w:p>
    <w:p w:rsidR="00325AD1" w:rsidRDefault="008C5E81">
      <w:pPr>
        <w:numPr>
          <w:ilvl w:val="0"/>
          <w:numId w:val="21"/>
        </w:numPr>
        <w:spacing w:after="64"/>
        <w:ind w:right="479"/>
      </w:pPr>
      <w:r>
        <w:t>Caillard, S, et al. Advagraf ((R)), a once-daily prolonged release tacrolimus formulation, in kidney tr</w:t>
      </w:r>
      <w:r>
        <w:t xml:space="preserve">ansplantation: literature review and guidelines from a panel of experts. Transpl Int. 2016; 29: 860.  </w:t>
      </w:r>
    </w:p>
    <w:p w:rsidR="00325AD1" w:rsidRDefault="008C5E81">
      <w:pPr>
        <w:numPr>
          <w:ilvl w:val="0"/>
          <w:numId w:val="21"/>
        </w:numPr>
        <w:spacing w:after="61"/>
        <w:ind w:right="479"/>
      </w:pPr>
      <w:r>
        <w:t xml:space="preserve">McCormack PL. Extended-release tacrolimus: a review of its use in de novo kidney transplantation. Drugs. 2014; 74: 2053.  </w:t>
      </w:r>
    </w:p>
    <w:p w:rsidR="00325AD1" w:rsidRDefault="008C5E81">
      <w:pPr>
        <w:numPr>
          <w:ilvl w:val="0"/>
          <w:numId w:val="21"/>
        </w:numPr>
        <w:spacing w:after="64"/>
        <w:ind w:right="479"/>
      </w:pPr>
      <w:r>
        <w:t>Molnar AO, et al. Generic immu</w:t>
      </w:r>
      <w:r>
        <w:t xml:space="preserve">nosuppression in solid organ transplantation: systematic review and meta-analysis. BMJ. 2015; 350: h3163. </w:t>
      </w:r>
    </w:p>
    <w:p w:rsidR="00325AD1" w:rsidRDefault="008C5E81">
      <w:pPr>
        <w:numPr>
          <w:ilvl w:val="0"/>
          <w:numId w:val="21"/>
        </w:numPr>
        <w:spacing w:after="64"/>
        <w:ind w:right="479"/>
      </w:pPr>
      <w:r>
        <w:t>Amorese G, Lombardo C, Tudisco A, et al. Induction and immunosuppressive management of pancreas transplant recipients. Curr Pharm Des. 2020;26(28):34</w:t>
      </w:r>
      <w:r>
        <w:t xml:space="preserve">25-3439 </w:t>
      </w:r>
    </w:p>
    <w:p w:rsidR="00325AD1" w:rsidRDefault="008C5E81">
      <w:pPr>
        <w:numPr>
          <w:ilvl w:val="0"/>
          <w:numId w:val="21"/>
        </w:numPr>
        <w:spacing w:after="61"/>
        <w:ind w:right="479"/>
      </w:pPr>
      <w:r>
        <w:t xml:space="preserve">Heilman RL, Mazur MJ, Reddy KS. Immunosuppression in simultaneous pancreas-kidney transplantation. Drugs. 2010; 70 (7): 793-804. </w:t>
      </w:r>
    </w:p>
    <w:p w:rsidR="00325AD1" w:rsidRDefault="008C5E81">
      <w:pPr>
        <w:numPr>
          <w:ilvl w:val="0"/>
          <w:numId w:val="21"/>
        </w:numPr>
        <w:spacing w:after="64"/>
        <w:ind w:right="479"/>
      </w:pPr>
      <w:r>
        <w:t>Jones-Hughes T, et al. Immunosuppressive therapy for kidney transplantation in adults: a systematic review and econom</w:t>
      </w:r>
      <w:r>
        <w:t xml:space="preserve">ic model. Health Technol Assess. 2016; 20: 1.  </w:t>
      </w:r>
    </w:p>
    <w:p w:rsidR="00325AD1" w:rsidRDefault="008C5E81">
      <w:pPr>
        <w:numPr>
          <w:ilvl w:val="0"/>
          <w:numId w:val="21"/>
        </w:numPr>
        <w:spacing w:after="61"/>
        <w:ind w:right="479"/>
      </w:pPr>
      <w:r>
        <w:t xml:space="preserve">Snanoudj R, et al. Immunological risks of minimization strategies. Transpl Int. 2015; 28: 901.  </w:t>
      </w:r>
    </w:p>
    <w:p w:rsidR="00325AD1" w:rsidRDefault="008C5E81">
      <w:pPr>
        <w:numPr>
          <w:ilvl w:val="0"/>
          <w:numId w:val="21"/>
        </w:numPr>
        <w:ind w:right="479"/>
      </w:pPr>
      <w:r>
        <w:t xml:space="preserve">Budde K, et al. Enteric-coated mycophenolate sodium. Expert Opin Drug Saf. 2010; 9: 981 </w:t>
      </w:r>
      <w:r>
        <w:rPr>
          <w:sz w:val="28"/>
        </w:rPr>
        <w:t>118.</w:t>
      </w:r>
      <w:r>
        <w:rPr>
          <w:rFonts w:ascii="Arial" w:eastAsia="Arial" w:hAnsi="Arial" w:cs="Arial"/>
          <w:sz w:val="28"/>
        </w:rPr>
        <w:t xml:space="preserve"> </w:t>
      </w:r>
      <w:r>
        <w:t xml:space="preserve">van Gelder T, et al. Mycophenolate revisited. Transpl Int. 2015; 28: 508.  </w:t>
      </w:r>
    </w:p>
    <w:p w:rsidR="00325AD1" w:rsidRDefault="008C5E81">
      <w:pPr>
        <w:numPr>
          <w:ilvl w:val="0"/>
          <w:numId w:val="22"/>
        </w:numPr>
        <w:spacing w:after="64"/>
        <w:ind w:right="479"/>
      </w:pPr>
      <w:r>
        <w:t xml:space="preserve">Wagner M, et al. Mycophenolic acid versus azathioprine as primary immunosuppression for kidney transplant recipients. Cochrane Database Syst Rev. 2015; CD007746. </w:t>
      </w:r>
    </w:p>
    <w:p w:rsidR="00325AD1" w:rsidRDefault="008C5E81">
      <w:pPr>
        <w:numPr>
          <w:ilvl w:val="0"/>
          <w:numId w:val="22"/>
        </w:numPr>
        <w:ind w:right="479"/>
      </w:pPr>
      <w:r>
        <w:t>Hirsch HH, et al.</w:t>
      </w:r>
      <w:r>
        <w:t xml:space="preserve"> European perspective on human polyomavirus infection, replication and disease in solid organ transplantation. Clin Microbiol Infect. 2014; 20 (Suppl 7): 74. </w:t>
      </w:r>
    </w:p>
    <w:p w:rsidR="00325AD1" w:rsidRDefault="008C5E81">
      <w:pPr>
        <w:numPr>
          <w:ilvl w:val="0"/>
          <w:numId w:val="22"/>
        </w:numPr>
        <w:spacing w:after="63"/>
        <w:ind w:right="479"/>
      </w:pPr>
      <w:r>
        <w:t>Cooper M, et al. Enteric-coated mycophenolate sodium immunosuppression in renal transplant patien</w:t>
      </w:r>
      <w:r>
        <w:t xml:space="preserve">ts: efficacy and dosing. Transplant Rev (Orlando). 2012; 26: 233. </w:t>
      </w:r>
    </w:p>
    <w:p w:rsidR="00325AD1" w:rsidRDefault="008C5E81">
      <w:pPr>
        <w:numPr>
          <w:ilvl w:val="0"/>
          <w:numId w:val="22"/>
        </w:numPr>
        <w:spacing w:after="61"/>
        <w:ind w:right="479"/>
      </w:pPr>
      <w:r>
        <w:t xml:space="preserve">Staatz CE, et al. Pharmacology and toxicology of mycophenolate in organ transplant recipients: an update. Arch Toxicol. 2014; 88: 1351.  </w:t>
      </w:r>
    </w:p>
    <w:p w:rsidR="00325AD1" w:rsidRDefault="008C5E81">
      <w:pPr>
        <w:numPr>
          <w:ilvl w:val="0"/>
          <w:numId w:val="22"/>
        </w:numPr>
        <w:spacing w:after="64"/>
        <w:ind w:right="479"/>
      </w:pPr>
      <w:r>
        <w:t xml:space="preserve">Haller MC, et al. Steroid avoidance or withdrawal for kidney transplant recipients. Cochrane Database Syst Rev. 2016: CD005632. </w:t>
      </w:r>
    </w:p>
    <w:p w:rsidR="00325AD1" w:rsidRDefault="008C5E81">
      <w:pPr>
        <w:numPr>
          <w:ilvl w:val="0"/>
          <w:numId w:val="22"/>
        </w:numPr>
        <w:spacing w:after="61"/>
        <w:ind w:right="479"/>
      </w:pPr>
      <w:r>
        <w:t>Katayama A., Patel P., Pianelli A., et al. Abdominal Organ Transplantation: Noteworthy Literature in 2024 // Seminars in Cardio</w:t>
      </w:r>
      <w:r>
        <w:t xml:space="preserve">thoracic and Vascular Anesthesia. — 2025. — Vol. 29, № 2. — P. 147-158. — DOI 10.1177/10892532251326428  </w:t>
      </w:r>
    </w:p>
    <w:p w:rsidR="00325AD1" w:rsidRDefault="008C5E81">
      <w:pPr>
        <w:numPr>
          <w:ilvl w:val="0"/>
          <w:numId w:val="22"/>
        </w:numPr>
        <w:spacing w:after="64"/>
        <w:ind w:right="479"/>
      </w:pPr>
      <w:r>
        <w:t xml:space="preserve">Ventura-Aguiar P, et al. Safety of mTOR inhibitors in adult solid organ transplantation. Expert Opin Drug Saf. 2016; 15: 303.  </w:t>
      </w:r>
    </w:p>
    <w:p w:rsidR="00325AD1" w:rsidRDefault="008C5E81">
      <w:pPr>
        <w:numPr>
          <w:ilvl w:val="0"/>
          <w:numId w:val="22"/>
        </w:numPr>
        <w:spacing w:after="61"/>
        <w:ind w:right="479"/>
      </w:pPr>
      <w:r>
        <w:t>Berney Th, Andres A; T</w:t>
      </w:r>
      <w:r>
        <w:t xml:space="preserve">oso Ch, et al. mTOR Inhibition and Clinical Transplantation, Transplantation. 2018; 102 (2S): S30-S31. doi: 10.1097/TP.0000000000001700. </w:t>
      </w:r>
    </w:p>
    <w:p w:rsidR="00325AD1" w:rsidRDefault="008C5E81">
      <w:pPr>
        <w:numPr>
          <w:ilvl w:val="0"/>
          <w:numId w:val="22"/>
        </w:numPr>
        <w:spacing w:after="64"/>
        <w:ind w:right="479"/>
      </w:pPr>
      <w:r>
        <w:t xml:space="preserve">Liu Y, et al. Basiliximab or antithymocyte globulin for induction therapy in kidney transplantation: a meta-analysis. </w:t>
      </w:r>
      <w:r>
        <w:t xml:space="preserve">Transplant Proc. 2010; 42: 1667.  </w:t>
      </w:r>
    </w:p>
    <w:p w:rsidR="00325AD1" w:rsidRDefault="008C5E81">
      <w:pPr>
        <w:numPr>
          <w:ilvl w:val="0"/>
          <w:numId w:val="22"/>
        </w:numPr>
        <w:spacing w:after="61"/>
        <w:ind w:right="479"/>
      </w:pPr>
      <w:r>
        <w:t xml:space="preserve">Sun ZJ, et al. Efficacy and Safety of Basiliximab Versus Daclizumab in Kidney Transplantation: A Meta-Analysis. Transplant Proc. 2015; 47: 2439.  </w:t>
      </w:r>
    </w:p>
    <w:p w:rsidR="00325AD1" w:rsidRDefault="008C5E81">
      <w:pPr>
        <w:numPr>
          <w:ilvl w:val="0"/>
          <w:numId w:val="22"/>
        </w:numPr>
        <w:spacing w:after="64"/>
        <w:ind w:right="479"/>
      </w:pPr>
      <w:r>
        <w:t>Webster AC, et al. Interleukin 2 receptor antagonists for kidney transplan</w:t>
      </w:r>
      <w:r>
        <w:t xml:space="preserve">t recipients. Cochrane Database Syst Rev. 2010; CD003897.  </w:t>
      </w:r>
    </w:p>
    <w:p w:rsidR="00325AD1" w:rsidRDefault="008C5E81">
      <w:pPr>
        <w:numPr>
          <w:ilvl w:val="0"/>
          <w:numId w:val="22"/>
        </w:numPr>
        <w:spacing w:after="63"/>
        <w:ind w:right="479"/>
      </w:pPr>
      <w:r>
        <w:t xml:space="preserve">Bamoulid J, et al. Anti-thymocyte globulins in kidney transplantation: focus on current indications and long-term immunological side effects. Nephrol Dial Transplant. 2016.  </w:t>
      </w:r>
      <w:r>
        <w:rPr>
          <w:sz w:val="28"/>
        </w:rPr>
        <w:t>131.</w:t>
      </w:r>
      <w:r>
        <w:rPr>
          <w:rFonts w:ascii="Arial" w:eastAsia="Arial" w:hAnsi="Arial" w:cs="Arial"/>
          <w:sz w:val="28"/>
        </w:rPr>
        <w:t xml:space="preserve"> </w:t>
      </w:r>
      <w:r>
        <w:t xml:space="preserve">Fernández-Burgos </w:t>
      </w:r>
      <w:r>
        <w:t xml:space="preserve">I, Montiel Casado MC, Pérez-Daga JA, et al. Induction therapy in simultaneous pancreas-kidney transplantation: thymoglobulin versus basiliximab. Transplant Proc. 2015; 47(1): 120-2. doi: 10.1016/j.transproceed.2014.12.003.  </w:t>
      </w:r>
    </w:p>
    <w:p w:rsidR="00325AD1" w:rsidRDefault="008C5E81">
      <w:pPr>
        <w:numPr>
          <w:ilvl w:val="0"/>
          <w:numId w:val="23"/>
        </w:numPr>
        <w:spacing w:after="64"/>
        <w:ind w:right="479" w:hanging="578"/>
      </w:pPr>
      <w:r>
        <w:t>Malvezzi P, et al. Induction by</w:t>
      </w:r>
      <w:r>
        <w:t xml:space="preserve"> anti-thymocyte globulins in kidney transplantation: a review of the literature and current usage. J Nephropathol. 2015; 4: 110. </w:t>
      </w:r>
    </w:p>
    <w:p w:rsidR="00325AD1" w:rsidRDefault="008C5E81">
      <w:pPr>
        <w:numPr>
          <w:ilvl w:val="0"/>
          <w:numId w:val="23"/>
        </w:numPr>
        <w:spacing w:after="64"/>
        <w:ind w:right="479" w:hanging="578"/>
      </w:pPr>
      <w:r>
        <w:t>Gruessner AC, Gruessner RWG. Pancreas transplantation of US and Non-US cases from 2005 to 2014 as reported to the United Netwo</w:t>
      </w:r>
      <w:r>
        <w:t xml:space="preserve">rk for Organ Sharing (UNOS) and the International Pancreas Transplant Registry (IPTR). Rev. Diabet. Stud. 2016; 13(1): 35–58. </w:t>
      </w:r>
    </w:p>
    <w:p w:rsidR="00325AD1" w:rsidRDefault="008C5E81">
      <w:pPr>
        <w:numPr>
          <w:ilvl w:val="0"/>
          <w:numId w:val="23"/>
        </w:numPr>
        <w:spacing w:after="72" w:line="241" w:lineRule="auto"/>
        <w:ind w:right="479" w:hanging="578"/>
      </w:pPr>
      <w:r>
        <w:t>Gruessner A, Sutherland DE. Pancreas transplant results in the United Network for Organ Sharing (UNOS) United States of America (</w:t>
      </w:r>
      <w:r>
        <w:t xml:space="preserve">USA) Registry compared with non-USA data in the International Registry. Clin. Transpl. 1993; 47–68. </w:t>
      </w:r>
    </w:p>
    <w:p w:rsidR="00325AD1" w:rsidRDefault="008C5E81">
      <w:pPr>
        <w:numPr>
          <w:ilvl w:val="0"/>
          <w:numId w:val="23"/>
        </w:numPr>
        <w:spacing w:after="62"/>
        <w:ind w:right="479" w:hanging="578"/>
      </w:pPr>
      <w:r>
        <w:t>Gruessner AC, Sutherland DER. Pancreas transplant outcomes for United States (US) and non-US cases as reported to the United Network for Organ Sharing (UNO</w:t>
      </w:r>
      <w:r>
        <w:t xml:space="preserve">S) and the International Pancreas Transplant Registry (IPTR) as of June 2004. Clin. Transplant. 2005; 19(4): 433–455. </w:t>
      </w:r>
    </w:p>
    <w:p w:rsidR="00325AD1" w:rsidRDefault="008C5E81">
      <w:pPr>
        <w:numPr>
          <w:ilvl w:val="0"/>
          <w:numId w:val="23"/>
        </w:numPr>
        <w:spacing w:after="64"/>
        <w:ind w:right="479" w:hanging="578"/>
      </w:pPr>
      <w:r>
        <w:t xml:space="preserve">Gruessner RWG, Gruessner AC. The current state of pancreas transplantation. Nat. Rev. Endocrinol. 2013; 9(9): 555–562. </w:t>
      </w:r>
    </w:p>
    <w:p w:rsidR="00325AD1" w:rsidRDefault="008C5E81">
      <w:pPr>
        <w:numPr>
          <w:ilvl w:val="0"/>
          <w:numId w:val="23"/>
        </w:numPr>
        <w:spacing w:after="61"/>
        <w:ind w:right="479" w:hanging="578"/>
      </w:pPr>
      <w:r>
        <w:t xml:space="preserve">Gruessner RWG, Gruessner AC. Pancreas transplant alone: A procedure coming of age. Diabetes Care. 2013; 36(8): 2440–2447. </w:t>
      </w:r>
    </w:p>
    <w:p w:rsidR="00325AD1" w:rsidRDefault="008C5E81">
      <w:pPr>
        <w:numPr>
          <w:ilvl w:val="0"/>
          <w:numId w:val="23"/>
        </w:numPr>
        <w:spacing w:after="64"/>
        <w:ind w:right="479" w:hanging="578"/>
      </w:pPr>
      <w:r>
        <w:t xml:space="preserve">Gruessner RWG. Sutherland DER. Transplantation of the Pancreas Springer Science &amp; Business Media. 2004. </w:t>
      </w:r>
    </w:p>
    <w:p w:rsidR="00325AD1" w:rsidRDefault="008C5E81">
      <w:pPr>
        <w:numPr>
          <w:ilvl w:val="0"/>
          <w:numId w:val="23"/>
        </w:numPr>
        <w:ind w:right="479" w:hanging="578"/>
      </w:pPr>
      <w:r>
        <w:t>Bazerbachi F, Selzner M, Boe</w:t>
      </w:r>
      <w:r>
        <w:t xml:space="preserve">hnert MU, et al. Thymoglobulin versus basiliximab induction therapy for simultaneous kidney-pancreas transplantation: impact on rejection, graft function, and long-term outcome. Transplantation. 2011; 92(9): 1039-43. doi: </w:t>
      </w:r>
    </w:p>
    <w:p w:rsidR="00325AD1" w:rsidRDefault="008C5E81">
      <w:pPr>
        <w:spacing w:after="59"/>
        <w:ind w:left="137" w:right="479"/>
      </w:pPr>
      <w:r>
        <w:t xml:space="preserve">10.1097/TP.0b013e3182313e4f.  </w:t>
      </w:r>
    </w:p>
    <w:p w:rsidR="00325AD1" w:rsidRDefault="008C5E81">
      <w:pPr>
        <w:numPr>
          <w:ilvl w:val="0"/>
          <w:numId w:val="23"/>
        </w:numPr>
        <w:ind w:right="479" w:hanging="578"/>
      </w:pPr>
      <w:r>
        <w:t>Ch</w:t>
      </w:r>
      <w:r>
        <w:t xml:space="preserve">ow FY, Polkinghorne K, Saunder A, et al. Historical controlled trial of OKT3 versus basiliximab induction therapy in simultaneous pancreas-renal transplantation. Nephrology (Carlton). 2003; 8(4): 212-6. doi: 10.1046/j.1440-1797.2003.00158.x.  </w:t>
      </w:r>
    </w:p>
    <w:p w:rsidR="00325AD1" w:rsidRDefault="008C5E81">
      <w:pPr>
        <w:numPr>
          <w:ilvl w:val="0"/>
          <w:numId w:val="23"/>
        </w:numPr>
        <w:spacing w:after="105"/>
        <w:ind w:right="479" w:hanging="578"/>
      </w:pPr>
      <w:r>
        <w:t>Zhang R, Flo</w:t>
      </w:r>
      <w:r>
        <w:t xml:space="preserve">rman S, Devidoss S, et al. The long-term survival of simultaneous pancreas and kidney transplant with basiliximab induction therapy. Clin Transplant. 2007; 21(5): 583-9. doi: 10.1111/j.1399-0012.2007.00692.x.  </w:t>
      </w:r>
    </w:p>
    <w:p w:rsidR="00325AD1" w:rsidRDefault="008C5E81">
      <w:pPr>
        <w:numPr>
          <w:ilvl w:val="0"/>
          <w:numId w:val="23"/>
        </w:numPr>
        <w:spacing w:after="55"/>
        <w:ind w:right="479" w:hanging="578"/>
      </w:pPr>
      <w:r>
        <w:t>Федеральный закон от 21.11.2011 N 323-ФЗ (ред</w:t>
      </w:r>
      <w:r>
        <w:t xml:space="preserve">. от 31.07.2020) "Об основах охраны здоровья граждан в Российской Федерации". </w:t>
      </w:r>
    </w:p>
    <w:p w:rsidR="00325AD1" w:rsidRDefault="008C5E81">
      <w:pPr>
        <w:numPr>
          <w:ilvl w:val="0"/>
          <w:numId w:val="23"/>
        </w:numPr>
        <w:spacing w:after="64"/>
        <w:ind w:right="479" w:hanging="578"/>
      </w:pPr>
      <w:r>
        <w:t>Nicoletto BB, Fonseca NK, Manfro RC, Goncalves LF, Leitao CB, Souza GC. Effects of obesity on kidney transplantation outcomes: a systematic review and meta-analysis. Transplanta</w:t>
      </w:r>
      <w:r>
        <w:t xml:space="preserve">tion. 2014; 98: 167-76. </w:t>
      </w:r>
    </w:p>
    <w:p w:rsidR="00325AD1" w:rsidRDefault="008C5E81">
      <w:pPr>
        <w:numPr>
          <w:ilvl w:val="0"/>
          <w:numId w:val="23"/>
        </w:numPr>
        <w:ind w:right="479" w:hanging="578"/>
      </w:pPr>
      <w:r>
        <w:t xml:space="preserve">Bhaskaran K, Douglas I, Forbes H, et al. Body-mass index and risk of 22 specific cancers: </w:t>
      </w:r>
    </w:p>
    <w:p w:rsidR="00325AD1" w:rsidRDefault="008C5E81">
      <w:pPr>
        <w:spacing w:after="59"/>
        <w:ind w:left="137" w:right="479"/>
      </w:pPr>
      <w:r>
        <w:t xml:space="preserve">a population-based cohort study of 5.24 million UK adults. Lancet. 2014; 384: 755-65. </w:t>
      </w:r>
    </w:p>
    <w:p w:rsidR="00325AD1" w:rsidRDefault="008C5E81">
      <w:pPr>
        <w:numPr>
          <w:ilvl w:val="0"/>
          <w:numId w:val="24"/>
        </w:numPr>
        <w:spacing w:after="64"/>
        <w:ind w:right="479"/>
      </w:pPr>
      <w:r>
        <w:t xml:space="preserve">Evans S, Michael R, Wells H, et al. Drug interaction </w:t>
      </w:r>
      <w:r>
        <w:t xml:space="preserve">in a renal transplant patient: cyclosporin-Neoral and orlistat. American journal of kidney diseases: the official journal of the National Kidney Foundation 2003; 41: 493-6. </w:t>
      </w:r>
    </w:p>
    <w:p w:rsidR="00325AD1" w:rsidRDefault="008C5E81">
      <w:pPr>
        <w:numPr>
          <w:ilvl w:val="0"/>
          <w:numId w:val="24"/>
        </w:numPr>
        <w:spacing w:after="62"/>
        <w:ind w:right="479"/>
      </w:pPr>
      <w:r>
        <w:t>Heiwe S, Jacobson SH. Exercise Training in Adults With CKD: A Systematic Review an</w:t>
      </w:r>
      <w:r>
        <w:t xml:space="preserve">d Meta-analysis. American journal of kidney diseases: the official journal of the National Kidney Foundation. 2014;64:383-93. </w:t>
      </w:r>
    </w:p>
    <w:p w:rsidR="00325AD1" w:rsidRDefault="008C5E81">
      <w:pPr>
        <w:numPr>
          <w:ilvl w:val="0"/>
          <w:numId w:val="24"/>
        </w:numPr>
        <w:spacing w:after="65"/>
        <w:ind w:right="479"/>
      </w:pPr>
      <w:r>
        <w:t>Machnicki G, Pinsky B, Takemoto S, et al. Predictive ability of pretransplant comorbidities to predict long-term graft loss and d</w:t>
      </w:r>
      <w:r>
        <w:t xml:space="preserve">eath. American journal of transplantation: official journal of the American Society of Transplantation and the American Society of Transplant Surgeons. 2009; 9: 494-505. </w:t>
      </w:r>
    </w:p>
    <w:p w:rsidR="00325AD1" w:rsidRDefault="008C5E81">
      <w:pPr>
        <w:numPr>
          <w:ilvl w:val="0"/>
          <w:numId w:val="24"/>
        </w:numPr>
        <w:spacing w:after="61"/>
        <w:ind w:right="479"/>
      </w:pPr>
      <w:r>
        <w:t xml:space="preserve">Parker R, Armstrong MJ, Corbett C, Day EJ, Neuberger JM. Alcohol and substance abuse </w:t>
      </w:r>
      <w:r>
        <w:t xml:space="preserve">in solid-organ transplant recipients. Transplantation. 2013; 96: 1015-24. </w:t>
      </w:r>
    </w:p>
    <w:p w:rsidR="00325AD1" w:rsidRDefault="008C5E81">
      <w:pPr>
        <w:numPr>
          <w:ilvl w:val="0"/>
          <w:numId w:val="24"/>
        </w:numPr>
        <w:spacing w:after="64"/>
        <w:ind w:right="479"/>
      </w:pPr>
      <w:r>
        <w:t xml:space="preserve">Pezeshki M, Taherian AA, Gharavy M, Ledger WL. Menstrual characteristics and pregnancy in women after renal transplantation. Int J Gynaecol Obstet. 2004; 85(2): 119–25.  </w:t>
      </w:r>
    </w:p>
    <w:p w:rsidR="00325AD1" w:rsidRDefault="008C5E81">
      <w:pPr>
        <w:numPr>
          <w:ilvl w:val="0"/>
          <w:numId w:val="24"/>
        </w:numPr>
        <w:spacing w:after="62"/>
        <w:ind w:right="479"/>
      </w:pPr>
      <w:r>
        <w:t xml:space="preserve">Normand G, Brunner F, Badet L, et al. Pregnancy outcomes in simultaneous pancreas and kidney transplant recipients: a national French survey study. Transpl Int. 2017; 30(9): 893-902. doi: 10.1111/tri.12983.  </w:t>
      </w:r>
    </w:p>
    <w:p w:rsidR="00325AD1" w:rsidRDefault="008C5E81">
      <w:pPr>
        <w:numPr>
          <w:ilvl w:val="0"/>
          <w:numId w:val="24"/>
        </w:numPr>
        <w:spacing w:after="64"/>
        <w:ind w:right="479"/>
      </w:pPr>
      <w:r>
        <w:t>Fang YE, Nayyar R, Diplock H. An audit of pregn</w:t>
      </w:r>
      <w:r>
        <w:t xml:space="preserve">ancy outcomes in solid organ transplant recipients at a metropolitan hospital. Aust N Z J Obstet Gynaecol. 2019; 59(1): 102-104. doi: 10.1111/ajo.12815.  </w:t>
      </w:r>
    </w:p>
    <w:p w:rsidR="00325AD1" w:rsidRDefault="008C5E81">
      <w:pPr>
        <w:numPr>
          <w:ilvl w:val="0"/>
          <w:numId w:val="24"/>
        </w:numPr>
        <w:spacing w:after="61"/>
        <w:ind w:right="479"/>
      </w:pPr>
      <w:r>
        <w:t>Stratta P, Canavese C, Giacchino F, et al. Pregnancy in kidney transplantation: satisfactory outcomes</w:t>
      </w:r>
      <w:r>
        <w:t xml:space="preserve"> and harsh realities. J Nephrol. 2003; 16(6): 792-–806.  </w:t>
      </w:r>
    </w:p>
    <w:p w:rsidR="00325AD1" w:rsidRDefault="008C5E81">
      <w:pPr>
        <w:numPr>
          <w:ilvl w:val="0"/>
          <w:numId w:val="24"/>
        </w:numPr>
        <w:spacing w:after="64"/>
        <w:ind w:right="479"/>
      </w:pPr>
      <w:r>
        <w:t xml:space="preserve">Bar J, Ben-Rafael Z, Pados A, et al. Prediction of pregnancy outcome in subgroups of women with renal disease. Clin Nephrol. 2000; 53(6): 437–44.  </w:t>
      </w:r>
    </w:p>
    <w:p w:rsidR="00325AD1" w:rsidRDefault="008C5E81">
      <w:pPr>
        <w:numPr>
          <w:ilvl w:val="0"/>
          <w:numId w:val="24"/>
        </w:numPr>
        <w:spacing w:after="63"/>
        <w:ind w:right="479"/>
      </w:pPr>
      <w:r>
        <w:t>Hagay ZJ, Biran G, Ornoy A, Reece EA. Congenital c</w:t>
      </w:r>
      <w:r>
        <w:t xml:space="preserve">ytomegalovirus infection: alongstanding problem still seeking a solution. Am J Obstet Gynecol. 1996; 174(1 Pt 1): 241–5.  </w:t>
      </w:r>
      <w:r>
        <w:rPr>
          <w:sz w:val="28"/>
        </w:rPr>
        <w:t>155.</w:t>
      </w:r>
      <w:r>
        <w:rPr>
          <w:rFonts w:ascii="Arial" w:eastAsia="Arial" w:hAnsi="Arial" w:cs="Arial"/>
          <w:sz w:val="28"/>
        </w:rPr>
        <w:t xml:space="preserve"> </w:t>
      </w:r>
      <w:r>
        <w:t>Kainz A, Harabacz I, Cowlrick IS, et al. Review of the course and outcome of 100 pregnancies in 84 women treated with tacrolimus.</w:t>
      </w:r>
      <w:r>
        <w:t xml:space="preserve"> Transplantation. 2000; 70(12): 1718–21.  </w:t>
      </w:r>
      <w:r>
        <w:rPr>
          <w:sz w:val="28"/>
        </w:rPr>
        <w:t>156.</w:t>
      </w:r>
      <w:r>
        <w:rPr>
          <w:rFonts w:ascii="Arial" w:eastAsia="Arial" w:hAnsi="Arial" w:cs="Arial"/>
          <w:sz w:val="28"/>
        </w:rPr>
        <w:t xml:space="preserve"> </w:t>
      </w:r>
      <w:r>
        <w:t xml:space="preserve">Jain A, Venkataramanan R, Fung JJ, et al. Pregnancy after liver transplantation under tacrolimus. Transplantation. 1997; 64(4): 559–65.  </w:t>
      </w:r>
    </w:p>
    <w:p w:rsidR="00325AD1" w:rsidRDefault="008C5E81">
      <w:pPr>
        <w:numPr>
          <w:ilvl w:val="0"/>
          <w:numId w:val="25"/>
        </w:numPr>
        <w:spacing w:after="62"/>
        <w:ind w:right="477" w:hanging="566"/>
      </w:pPr>
      <w:r>
        <w:t>Sifontis NM, Coscia LA, Costantinescu S, et al. Pregnancy outcomes in s</w:t>
      </w:r>
      <w:r>
        <w:t xml:space="preserve">olid organ transplant recipients with exposure to micophenolate mofetil or sirolimus. Transplantation 2006; 82(12): 1698–702.  </w:t>
      </w:r>
    </w:p>
    <w:p w:rsidR="00325AD1" w:rsidRDefault="008C5E81">
      <w:pPr>
        <w:numPr>
          <w:ilvl w:val="0"/>
          <w:numId w:val="25"/>
        </w:numPr>
        <w:spacing w:after="63"/>
        <w:ind w:right="477" w:hanging="566"/>
      </w:pPr>
      <w:r>
        <w:t xml:space="preserve">Davison JM, Milne JEC. Pregnancy and renal transplantation. Br J Urol. 1997; 80(Suppl 1): 29–32.  </w:t>
      </w:r>
    </w:p>
    <w:p w:rsidR="00325AD1" w:rsidRDefault="008C5E81">
      <w:pPr>
        <w:numPr>
          <w:ilvl w:val="0"/>
          <w:numId w:val="25"/>
        </w:numPr>
        <w:spacing w:after="61"/>
        <w:ind w:right="477" w:hanging="566"/>
      </w:pPr>
      <w:r>
        <w:t>Sgro MD, Barozzino T, Mirghan</w:t>
      </w:r>
      <w:r>
        <w:t xml:space="preserve">i HM, et al. Pregnancy outcome postrenal transplantation. Teratology. 2002; 65(1): 5–9.  </w:t>
      </w:r>
    </w:p>
    <w:p w:rsidR="00325AD1" w:rsidRDefault="008C5E81">
      <w:pPr>
        <w:numPr>
          <w:ilvl w:val="0"/>
          <w:numId w:val="25"/>
        </w:numPr>
        <w:ind w:right="477" w:hanging="566"/>
      </w:pPr>
      <w:r>
        <w:t>Campbell S, Pilmore H, Gracey D, et al. KHA-CARI guideline: recipient assessment for transplantation. Nephrology (Carlton). 2013; 18: 455–462.</w:t>
      </w:r>
      <w:r>
        <w:rPr>
          <w:sz w:val="22"/>
        </w:rPr>
        <w:t xml:space="preserve"> </w:t>
      </w:r>
    </w:p>
    <w:p w:rsidR="00325AD1" w:rsidRDefault="008C5E81">
      <w:pPr>
        <w:numPr>
          <w:ilvl w:val="0"/>
          <w:numId w:val="25"/>
        </w:numPr>
        <w:spacing w:after="61" w:line="253" w:lineRule="auto"/>
        <w:ind w:right="477" w:hanging="566"/>
      </w:pPr>
      <w:r>
        <w:rPr>
          <w:sz w:val="22"/>
        </w:rPr>
        <w:t>Fridell JA, Agarwal A,</w:t>
      </w:r>
      <w:r>
        <w:rPr>
          <w:sz w:val="22"/>
        </w:rPr>
        <w:t xml:space="preserve"> Powelson JA, Goggins WC, Milgrom M, Pescovitz MD, et al. Steroid withdrawal for pancreas after kidney transplantation in recipients on maintenance prednisone immunosuppression. Transplantation. 2006;82:389–92</w:t>
      </w:r>
      <w:r>
        <w:t xml:space="preserve">. </w:t>
      </w:r>
    </w:p>
    <w:p w:rsidR="00325AD1" w:rsidRDefault="008C5E81">
      <w:pPr>
        <w:numPr>
          <w:ilvl w:val="0"/>
          <w:numId w:val="25"/>
        </w:numPr>
        <w:spacing w:after="115"/>
        <w:ind w:right="477" w:hanging="566"/>
      </w:pPr>
      <w:r>
        <w:t>Boggi U, Vistoli F, Andres A at al. First Wo</w:t>
      </w:r>
      <w:r>
        <w:t>rld Consensus Conference on pancreas transplantation: Part II - recommendations. Am J Transplant. 2021 Sep;21 Suppl 3(Suppl 3):1759. doi: 10.1111/ajt.16750. Epub 2021 Jul 29. PMID: 34245223; PMCID: PMC8518376.</w:t>
      </w:r>
      <w:r>
        <w:rPr>
          <w:sz w:val="22"/>
        </w:rPr>
        <w:t xml:space="preserve"> </w:t>
      </w:r>
    </w:p>
    <w:p w:rsidR="00325AD1" w:rsidRDefault="008C5E81">
      <w:pPr>
        <w:numPr>
          <w:ilvl w:val="0"/>
          <w:numId w:val="25"/>
        </w:numPr>
        <w:spacing w:after="0" w:line="253" w:lineRule="auto"/>
        <w:ind w:right="477" w:hanging="566"/>
      </w:pPr>
      <w:r>
        <w:rPr>
          <w:sz w:val="22"/>
        </w:rPr>
        <w:t xml:space="preserve">Сonstantinescu S, Pai A, Coscia LA, Davison JM, Moritz MJ, Armenti VT. Breast-feeding after transplantation. Best Pract Res Clin Obstet Gynaecol. 2014 Nov;28(8):1163-73. doi: </w:t>
      </w:r>
    </w:p>
    <w:p w:rsidR="00325AD1" w:rsidRDefault="008C5E81">
      <w:pPr>
        <w:spacing w:after="95" w:line="253" w:lineRule="auto"/>
        <w:ind w:left="137" w:right="477"/>
      </w:pPr>
      <w:r>
        <w:rPr>
          <w:sz w:val="22"/>
        </w:rPr>
        <w:t xml:space="preserve">10.1016/j.bpobgyn.2014.09.001. Epub 2014 Sep 16. PMID: 25271063. </w:t>
      </w:r>
    </w:p>
    <w:p w:rsidR="00325AD1" w:rsidRDefault="008C5E81">
      <w:pPr>
        <w:numPr>
          <w:ilvl w:val="0"/>
          <w:numId w:val="25"/>
        </w:numPr>
        <w:spacing w:after="0" w:line="253" w:lineRule="auto"/>
        <w:ind w:right="477" w:hanging="566"/>
      </w:pPr>
      <w:r>
        <w:rPr>
          <w:sz w:val="22"/>
        </w:rPr>
        <w:t>Farney AC, Rog</w:t>
      </w:r>
      <w:r>
        <w:rPr>
          <w:sz w:val="22"/>
        </w:rPr>
        <w:t xml:space="preserve">ers J, Stratta RJ. Pancreas graft thrombosis: causes, prevention, diagnosis, and intervention. Curr Opin Organ Transplant. 2012 Feb;17(1):87-92. doi: </w:t>
      </w:r>
    </w:p>
    <w:p w:rsidR="00325AD1" w:rsidRDefault="008C5E81">
      <w:pPr>
        <w:spacing w:after="95" w:line="253" w:lineRule="auto"/>
        <w:ind w:left="137" w:right="477"/>
      </w:pPr>
      <w:r>
        <w:rPr>
          <w:sz w:val="22"/>
        </w:rPr>
        <w:t xml:space="preserve">10.1097/MOT.0b013e32834ee717. PMID: 22186095. </w:t>
      </w:r>
    </w:p>
    <w:p w:rsidR="00325AD1" w:rsidRDefault="008C5E81">
      <w:pPr>
        <w:numPr>
          <w:ilvl w:val="0"/>
          <w:numId w:val="25"/>
        </w:numPr>
        <w:spacing w:after="136" w:line="253" w:lineRule="auto"/>
        <w:ind w:right="477" w:hanging="566"/>
      </w:pPr>
      <w:r>
        <w:rPr>
          <w:sz w:val="22"/>
        </w:rPr>
        <w:t>Morales-Alvarez MC. Nephrotoxicity of Antimicrobials and A</w:t>
      </w:r>
      <w:r>
        <w:rPr>
          <w:sz w:val="22"/>
        </w:rPr>
        <w:t xml:space="preserve">ntibiotics. Adv Chronic Kidney Dis. 2020 Jan;27(1):31-37. doi: 10.1053/j.ackd.2019.08.001. PMID: 32146999. </w:t>
      </w:r>
    </w:p>
    <w:p w:rsidR="00325AD1" w:rsidRDefault="008C5E81">
      <w:pPr>
        <w:numPr>
          <w:ilvl w:val="0"/>
          <w:numId w:val="25"/>
        </w:numPr>
        <w:spacing w:after="95" w:line="253" w:lineRule="auto"/>
        <w:ind w:right="477" w:hanging="566"/>
      </w:pPr>
      <w:r>
        <w:rPr>
          <w:sz w:val="22"/>
        </w:rPr>
        <w:t>Caretto A.,·Caldara R., Castiglioni M.T., Scavini M.,·Secchi A. Pregnancy after pancreas kidney transplantation // Journal of Nephrology (2020) 33:1</w:t>
      </w:r>
      <w:r>
        <w:rPr>
          <w:sz w:val="22"/>
        </w:rPr>
        <w:t xml:space="preserve">009–1018https://doi.org/10.1007/s40620-02000860-8. </w:t>
      </w:r>
    </w:p>
    <w:p w:rsidR="00325AD1" w:rsidRDefault="008C5E81">
      <w:pPr>
        <w:numPr>
          <w:ilvl w:val="0"/>
          <w:numId w:val="25"/>
        </w:numPr>
        <w:spacing w:after="6" w:line="253" w:lineRule="auto"/>
        <w:ind w:right="477" w:hanging="566"/>
      </w:pPr>
      <w:r>
        <w:rPr>
          <w:sz w:val="22"/>
        </w:rPr>
        <w:t xml:space="preserve">Royal Infirmary of Edinburgh. Simultaneous Pancreas Transplantation In-Patient Protocol </w:t>
      </w:r>
    </w:p>
    <w:p w:rsidR="00325AD1" w:rsidRDefault="008C5E81">
      <w:pPr>
        <w:spacing w:after="106" w:line="242" w:lineRule="auto"/>
        <w:ind w:left="142" w:firstLine="0"/>
        <w:jc w:val="left"/>
      </w:pPr>
      <w:r>
        <w:rPr>
          <w:sz w:val="22"/>
        </w:rPr>
        <w:t xml:space="preserve">(Version </w:t>
      </w:r>
      <w:r>
        <w:rPr>
          <w:sz w:val="22"/>
        </w:rPr>
        <w:tab/>
        <w:t xml:space="preserve">1.1). </w:t>
      </w:r>
      <w:r>
        <w:rPr>
          <w:sz w:val="22"/>
        </w:rPr>
        <w:tab/>
        <w:t xml:space="preserve">Edinburgh: </w:t>
      </w:r>
      <w:r>
        <w:rPr>
          <w:sz w:val="22"/>
        </w:rPr>
        <w:tab/>
        <w:t xml:space="preserve">NHS </w:t>
      </w:r>
      <w:r>
        <w:rPr>
          <w:sz w:val="22"/>
        </w:rPr>
        <w:tab/>
        <w:t xml:space="preserve">Lothian; </w:t>
      </w:r>
      <w:r>
        <w:rPr>
          <w:sz w:val="22"/>
        </w:rPr>
        <w:tab/>
        <w:t xml:space="preserve">2024. </w:t>
      </w:r>
      <w:r>
        <w:rPr>
          <w:sz w:val="22"/>
        </w:rPr>
        <w:tab/>
        <w:t xml:space="preserve">Доступно: </w:t>
      </w:r>
      <w:r>
        <w:rPr>
          <w:sz w:val="22"/>
        </w:rPr>
        <w:tab/>
      </w:r>
      <w:hyperlink r:id="rId13">
        <w:r>
          <w:rPr>
            <w:sz w:val="22"/>
            <w:u w:val="single" w:color="000000"/>
          </w:rPr>
          <w:t>http</w:t>
        </w:r>
      </w:hyperlink>
      <w:hyperlink r:id="rId14">
        <w:r>
          <w:rPr>
            <w:sz w:val="22"/>
            <w:u w:val="single" w:color="000000"/>
          </w:rPr>
          <w:t>://</w:t>
        </w:r>
      </w:hyperlink>
      <w:hyperlink r:id="rId15">
        <w:r>
          <w:rPr>
            <w:sz w:val="22"/>
            <w:u w:val="single" w:color="000000"/>
          </w:rPr>
          <w:t>edren</w:t>
        </w:r>
      </w:hyperlink>
      <w:hyperlink r:id="rId16">
        <w:r>
          <w:rPr>
            <w:sz w:val="22"/>
            <w:u w:val="single" w:color="000000"/>
          </w:rPr>
          <w:t>.</w:t>
        </w:r>
      </w:hyperlink>
      <w:hyperlink r:id="rId17">
        <w:r>
          <w:rPr>
            <w:sz w:val="22"/>
            <w:u w:val="single" w:color="000000"/>
          </w:rPr>
          <w:t>org</w:t>
        </w:r>
      </w:hyperlink>
      <w:hyperlink r:id="rId18">
        <w:r>
          <w:rPr>
            <w:sz w:val="22"/>
            <w:u w:val="single" w:color="000000"/>
          </w:rPr>
          <w:t>/</w:t>
        </w:r>
      </w:hyperlink>
      <w:hyperlink r:id="rId19">
        <w:r>
          <w:rPr>
            <w:sz w:val="22"/>
            <w:u w:val="single" w:color="000000"/>
          </w:rPr>
          <w:t>ren</w:t>
        </w:r>
      </w:hyperlink>
      <w:hyperlink r:id="rId20">
        <w:r>
          <w:rPr>
            <w:sz w:val="22"/>
            <w:u w:val="single" w:color="000000"/>
          </w:rPr>
          <w:t>/</w:t>
        </w:r>
      </w:hyperlink>
      <w:hyperlink r:id="rId21">
        <w:r>
          <w:rPr>
            <w:sz w:val="22"/>
            <w:u w:val="single" w:color="000000"/>
          </w:rPr>
          <w:t>wp</w:t>
        </w:r>
      </w:hyperlink>
      <w:hyperlink r:id="rId22"/>
      <w:hyperlink r:id="rId23">
        <w:r>
          <w:rPr>
            <w:sz w:val="22"/>
            <w:u w:val="single" w:color="000000"/>
          </w:rPr>
          <w:t>content</w:t>
        </w:r>
      </w:hyperlink>
      <w:hyperlink r:id="rId24">
        <w:r>
          <w:rPr>
            <w:sz w:val="22"/>
            <w:u w:val="single" w:color="000000"/>
          </w:rPr>
          <w:t>/</w:t>
        </w:r>
      </w:hyperlink>
      <w:hyperlink r:id="rId25">
        <w:r>
          <w:rPr>
            <w:sz w:val="22"/>
            <w:u w:val="single" w:color="000000"/>
          </w:rPr>
          <w:t>uploads</w:t>
        </w:r>
      </w:hyperlink>
      <w:hyperlink r:id="rId26">
        <w:r>
          <w:rPr>
            <w:sz w:val="22"/>
            <w:u w:val="single" w:color="000000"/>
          </w:rPr>
          <w:t>/2024/09/</w:t>
        </w:r>
      </w:hyperlink>
      <w:hyperlink r:id="rId27">
        <w:r>
          <w:rPr>
            <w:sz w:val="22"/>
            <w:u w:val="single" w:color="000000"/>
          </w:rPr>
          <w:t>SPK</w:t>
        </w:r>
      </w:hyperlink>
      <w:hyperlink r:id="rId28">
        <w:r>
          <w:rPr>
            <w:sz w:val="22"/>
            <w:u w:val="single" w:color="000000"/>
          </w:rPr>
          <w:t>-</w:t>
        </w:r>
      </w:hyperlink>
      <w:hyperlink r:id="rId29">
        <w:r>
          <w:rPr>
            <w:sz w:val="22"/>
            <w:u w:val="single" w:color="000000"/>
          </w:rPr>
          <w:t>protocol</w:t>
        </w:r>
      </w:hyperlink>
      <w:hyperlink r:id="rId30">
        <w:r>
          <w:rPr>
            <w:sz w:val="22"/>
            <w:u w:val="single" w:color="000000"/>
          </w:rPr>
          <w:t>-</w:t>
        </w:r>
      </w:hyperlink>
      <w:hyperlink r:id="rId31">
        <w:r>
          <w:rPr>
            <w:sz w:val="22"/>
            <w:u w:val="single" w:color="000000"/>
          </w:rPr>
          <w:t>2024</w:t>
        </w:r>
      </w:hyperlink>
      <w:hyperlink r:id="rId32">
        <w:r>
          <w:rPr>
            <w:sz w:val="22"/>
            <w:u w:val="single" w:color="000000"/>
          </w:rPr>
          <w:t>-</w:t>
        </w:r>
      </w:hyperlink>
      <w:hyperlink r:id="rId33">
        <w:r>
          <w:rPr>
            <w:sz w:val="22"/>
            <w:u w:val="single" w:color="000000"/>
          </w:rPr>
          <w:t>1.1.</w:t>
        </w:r>
      </w:hyperlink>
      <w:hyperlink r:id="rId34">
        <w:r>
          <w:rPr>
            <w:sz w:val="22"/>
            <w:u w:val="single" w:color="000000"/>
          </w:rPr>
          <w:t>pdf</w:t>
        </w:r>
      </w:hyperlink>
      <w:hyperlink r:id="rId35">
        <w:r>
          <w:rPr>
            <w:sz w:val="22"/>
          </w:rPr>
          <w:t xml:space="preserve"> </w:t>
        </w:r>
      </w:hyperlink>
      <w:r>
        <w:rPr>
          <w:sz w:val="22"/>
        </w:rPr>
        <w:t xml:space="preserve"> </w:t>
      </w:r>
    </w:p>
    <w:p w:rsidR="00325AD1" w:rsidRDefault="008C5E81">
      <w:pPr>
        <w:numPr>
          <w:ilvl w:val="0"/>
          <w:numId w:val="25"/>
        </w:numPr>
        <w:spacing w:after="95" w:line="253" w:lineRule="auto"/>
        <w:ind w:right="477" w:hanging="566"/>
      </w:pPr>
      <w:r>
        <w:rPr>
          <w:sz w:val="22"/>
        </w:rPr>
        <w:t>Gopal JP, Dor FJ, Crane JS, Herbert PE, Papalois VE, Muthusamy AS.</w:t>
      </w:r>
      <w:r>
        <w:rPr>
          <w:sz w:val="22"/>
        </w:rPr>
        <w:t xml:space="preserve"> Anticoagulation in simultaneous pancreas kidney transplantation - On what basis? World J Transplant. 2020 Jul 29;10(7):206-214. doi: 10.5500/wjt.v10.i7.206. PMID: 32844096; PMCID: PMC7416362.  </w:t>
      </w:r>
    </w:p>
    <w:p w:rsidR="00325AD1" w:rsidRDefault="008C5E81">
      <w:pPr>
        <w:numPr>
          <w:ilvl w:val="0"/>
          <w:numId w:val="25"/>
        </w:numPr>
        <w:spacing w:after="95" w:line="253" w:lineRule="auto"/>
        <w:ind w:right="477" w:hanging="566"/>
      </w:pPr>
      <w:r>
        <w:rPr>
          <w:sz w:val="22"/>
        </w:rPr>
        <w:t>The burden of coronary heart disease in simultaneous pancreas</w:t>
      </w:r>
      <w:r>
        <w:rPr>
          <w:sz w:val="22"/>
        </w:rPr>
        <w:t>-kidney transplantation: coronary angiography as a diagnostic method for all? - a retrospective study</w:t>
      </w:r>
      <w:hyperlink r:id="rId36">
        <w:r>
          <w:rPr>
            <w:sz w:val="22"/>
            <w:u w:val="single" w:color="000000"/>
          </w:rPr>
          <w:t>Joana Marques</w:t>
        </w:r>
      </w:hyperlink>
      <w:hyperlink r:id="rId37">
        <w:r>
          <w:rPr>
            <w:sz w:val="22"/>
          </w:rPr>
          <w:t>,</w:t>
        </w:r>
      </w:hyperlink>
      <w:hyperlink r:id="rId38">
        <w:r>
          <w:rPr>
            <w:sz w:val="22"/>
          </w:rPr>
          <w:t xml:space="preserve"> </w:t>
        </w:r>
      </w:hyperlink>
      <w:hyperlink r:id="rId39">
        <w:r>
          <w:rPr>
            <w:sz w:val="22"/>
            <w:u w:val="single" w:color="000000"/>
          </w:rPr>
          <w:t>Luísa Pe</w:t>
        </w:r>
        <w:r>
          <w:rPr>
            <w:sz w:val="22"/>
            <w:u w:val="single" w:color="000000"/>
          </w:rPr>
          <w:t>reira</w:t>
        </w:r>
      </w:hyperlink>
      <w:hyperlink r:id="rId40">
        <w:r>
          <w:rPr>
            <w:sz w:val="22"/>
          </w:rPr>
          <w:t>,</w:t>
        </w:r>
      </w:hyperlink>
      <w:hyperlink r:id="rId41">
        <w:r>
          <w:rPr>
            <w:sz w:val="22"/>
          </w:rPr>
          <w:t xml:space="preserve"> </w:t>
        </w:r>
      </w:hyperlink>
      <w:hyperlink r:id="rId42">
        <w:r>
          <w:rPr>
            <w:sz w:val="22"/>
            <w:u w:val="single" w:color="000000"/>
          </w:rPr>
          <w:t>Ana</w:t>
        </w:r>
      </w:hyperlink>
      <w:hyperlink r:id="rId43">
        <w:r>
          <w:rPr>
            <w:sz w:val="22"/>
          </w:rPr>
          <w:t xml:space="preserve"> </w:t>
        </w:r>
      </w:hyperlink>
      <w:hyperlink r:id="rId44">
        <w:r>
          <w:rPr>
            <w:sz w:val="22"/>
            <w:u w:val="single" w:color="000000"/>
          </w:rPr>
          <w:t>Messias</w:t>
        </w:r>
      </w:hyperlink>
      <w:hyperlink r:id="rId45">
        <w:r>
          <w:rPr>
            <w:sz w:val="22"/>
          </w:rPr>
          <w:t>,</w:t>
        </w:r>
      </w:hyperlink>
      <w:hyperlink r:id="rId46">
        <w:r>
          <w:rPr>
            <w:sz w:val="22"/>
          </w:rPr>
          <w:t xml:space="preserve"> </w:t>
        </w:r>
      </w:hyperlink>
      <w:hyperlink r:id="rId47">
        <w:r>
          <w:rPr>
            <w:sz w:val="22"/>
            <w:u w:val="single" w:color="000000"/>
          </w:rPr>
          <w:t>Nuno Fonseca</w:t>
        </w:r>
      </w:hyperlink>
      <w:hyperlink r:id="rId48">
        <w:r>
          <w:rPr>
            <w:sz w:val="22"/>
          </w:rPr>
          <w:t xml:space="preserve"> </w:t>
        </w:r>
      </w:hyperlink>
      <w:r>
        <w:rPr>
          <w:sz w:val="22"/>
        </w:rPr>
        <w:t>,</w:t>
      </w:r>
      <w:hyperlink r:id="rId49">
        <w:r>
          <w:rPr>
            <w:sz w:val="22"/>
          </w:rPr>
          <w:t xml:space="preserve"> </w:t>
        </w:r>
      </w:hyperlink>
      <w:hyperlink r:id="rId50">
        <w:r>
          <w:rPr>
            <w:sz w:val="22"/>
            <w:u w:val="single" w:color="000000"/>
          </w:rPr>
          <w:t>Patrícia Cotovio</w:t>
        </w:r>
      </w:hyperlink>
      <w:hyperlink r:id="rId51" w:anchor="affiliation-1">
        <w:r>
          <w:rPr>
            <w:sz w:val="22"/>
            <w:u w:val="single" w:color="000000"/>
          </w:rPr>
          <w:t xml:space="preserve"> </w:t>
        </w:r>
      </w:hyperlink>
      <w:hyperlink r:id="rId52" w:anchor="affiliation-1">
        <w:r>
          <w:rPr>
            <w:sz w:val="22"/>
            <w:u w:val="single" w:color="000000"/>
          </w:rPr>
          <w:t>1</w:t>
        </w:r>
      </w:hyperlink>
      <w:hyperlink r:id="rId53" w:anchor="affiliation-1">
        <w:r>
          <w:rPr>
            <w:sz w:val="22"/>
          </w:rPr>
          <w:t>,</w:t>
        </w:r>
      </w:hyperlink>
      <w:hyperlink r:id="rId54">
        <w:r>
          <w:rPr>
            <w:sz w:val="22"/>
          </w:rPr>
          <w:t xml:space="preserve"> </w:t>
        </w:r>
      </w:hyperlink>
      <w:hyperlink r:id="rId55">
        <w:r>
          <w:rPr>
            <w:sz w:val="22"/>
            <w:u w:val="single" w:color="000000"/>
          </w:rPr>
          <w:t>Aníbal Ferreira</w:t>
        </w:r>
      </w:hyperlink>
      <w:hyperlink r:id="rId56" w:anchor="affiliation-1">
        <w:r>
          <w:rPr>
            <w:sz w:val="22"/>
            <w:u w:val="single" w:color="000000"/>
          </w:rPr>
          <w:t xml:space="preserve"> </w:t>
        </w:r>
      </w:hyperlink>
      <w:hyperlink r:id="rId57" w:anchor="affiliation-1">
        <w:r>
          <w:rPr>
            <w:sz w:val="22"/>
            <w:u w:val="single" w:color="000000"/>
          </w:rPr>
          <w:t>1</w:t>
        </w:r>
      </w:hyperlink>
      <w:hyperlink r:id="rId58" w:anchor="affiliation-4">
        <w:r>
          <w:rPr>
            <w:sz w:val="22"/>
            <w:u w:val="single" w:color="000000"/>
          </w:rPr>
          <w:t xml:space="preserve"> </w:t>
        </w:r>
      </w:hyperlink>
      <w:hyperlink r:id="rId59" w:anchor="affiliation-4">
        <w:r>
          <w:rPr>
            <w:sz w:val="22"/>
            <w:u w:val="single" w:color="000000"/>
          </w:rPr>
          <w:t>4</w:t>
        </w:r>
      </w:hyperlink>
      <w:hyperlink r:id="rId60" w:anchor="affiliation-4">
        <w:r>
          <w:rPr>
            <w:sz w:val="22"/>
          </w:rPr>
          <w:t>,</w:t>
        </w:r>
      </w:hyperlink>
      <w:hyperlink r:id="rId61">
        <w:r>
          <w:rPr>
            <w:sz w:val="22"/>
          </w:rPr>
          <w:t xml:space="preserve"> </w:t>
        </w:r>
      </w:hyperlink>
      <w:hyperlink r:id="rId62">
        <w:r>
          <w:rPr>
            <w:sz w:val="22"/>
            <w:u w:val="single" w:color="000000"/>
          </w:rPr>
          <w:t>Fernando Nolasco</w:t>
        </w:r>
      </w:hyperlink>
      <w:hyperlink r:id="rId63" w:anchor="affiliation-1">
        <w:r>
          <w:rPr>
            <w:sz w:val="22"/>
            <w:u w:val="single" w:color="000000"/>
          </w:rPr>
          <w:t xml:space="preserve"> </w:t>
        </w:r>
      </w:hyperlink>
      <w:hyperlink r:id="rId64" w:anchor="affiliation-1">
        <w:r>
          <w:rPr>
            <w:sz w:val="22"/>
            <w:u w:val="single" w:color="000000"/>
          </w:rPr>
          <w:t>1</w:t>
        </w:r>
      </w:hyperlink>
      <w:hyperlink r:id="rId65" w:anchor="affiliation-4">
        <w:r>
          <w:rPr>
            <w:sz w:val="22"/>
            <w:u w:val="single" w:color="000000"/>
          </w:rPr>
          <w:t xml:space="preserve"> </w:t>
        </w:r>
      </w:hyperlink>
      <w:hyperlink r:id="rId66" w:anchor="affiliation-4">
        <w:r>
          <w:rPr>
            <w:sz w:val="22"/>
            <w:u w:val="single" w:color="000000"/>
          </w:rPr>
          <w:t>4</w:t>
        </w:r>
      </w:hyperlink>
      <w:hyperlink r:id="rId67" w:anchor="affiliation-4">
        <w:r>
          <w:rPr>
            <w:sz w:val="22"/>
          </w:rPr>
          <w:t>J</w:t>
        </w:r>
      </w:hyperlink>
      <w:r>
        <w:rPr>
          <w:sz w:val="22"/>
        </w:rPr>
        <w:t xml:space="preserve"> Bras Nefrol 2022 Feb 28;S0101-28002022005019401.  doi: 10.1590/2175-8239-JBN-2021-0156. </w:t>
      </w:r>
    </w:p>
    <w:p w:rsidR="00325AD1" w:rsidRDefault="008C5E81">
      <w:pPr>
        <w:numPr>
          <w:ilvl w:val="0"/>
          <w:numId w:val="25"/>
        </w:numPr>
        <w:spacing w:after="95" w:line="253" w:lineRule="auto"/>
        <w:ind w:right="477" w:hanging="566"/>
      </w:pPr>
      <w:r>
        <w:rPr>
          <w:sz w:val="22"/>
        </w:rPr>
        <w:t>Silva, H.T., et al. Long-term follow-up of a phase III clinical trial compari</w:t>
      </w:r>
      <w:r>
        <w:rPr>
          <w:sz w:val="22"/>
        </w:rPr>
        <w:t xml:space="preserve">ng tacrolimus extendedrelease/MMF, tacrolimus/MMF, and cyclosporine/MMF in de novo kidney transplant recipients. Transplantation, 2014. 97: 636. </w:t>
      </w:r>
      <w:hyperlink r:id="rId68">
        <w:r>
          <w:rPr>
            <w:sz w:val="22"/>
            <w:u w:val="single" w:color="000000"/>
          </w:rPr>
          <w:t>https://pubmed.ncbi.nlm.nih.gov/24521771</w:t>
        </w:r>
      </w:hyperlink>
      <w:hyperlink r:id="rId69">
        <w:r>
          <w:rPr>
            <w:sz w:val="22"/>
          </w:rPr>
          <w:t xml:space="preserve"> </w:t>
        </w:r>
      </w:hyperlink>
      <w:r>
        <w:rPr>
          <w:sz w:val="22"/>
        </w:rPr>
        <w:t xml:space="preserve"> </w:t>
      </w:r>
    </w:p>
    <w:p w:rsidR="00325AD1" w:rsidRDefault="008C5E81">
      <w:pPr>
        <w:numPr>
          <w:ilvl w:val="0"/>
          <w:numId w:val="25"/>
        </w:numPr>
        <w:spacing w:after="95" w:line="253" w:lineRule="auto"/>
        <w:ind w:right="477" w:hanging="566"/>
      </w:pPr>
      <w:r>
        <w:rPr>
          <w:sz w:val="22"/>
        </w:rPr>
        <w:t xml:space="preserve">Singh RP, Stratta RJ. Advances in immunosuppression for pancreas transplantation. Curr Opin Organ Transplant. 2008;13:79–84.   </w:t>
      </w:r>
    </w:p>
    <w:p w:rsidR="00325AD1" w:rsidRDefault="008C5E81">
      <w:pPr>
        <w:numPr>
          <w:ilvl w:val="0"/>
          <w:numId w:val="25"/>
        </w:numPr>
        <w:spacing w:after="95" w:line="253" w:lineRule="auto"/>
        <w:ind w:right="477" w:hanging="566"/>
      </w:pPr>
      <w:r>
        <w:rPr>
          <w:sz w:val="22"/>
        </w:rPr>
        <w:t>Matias P, Araujo MR, Romao JE, Abensur H, Noronha IL. Conversion to sirolimu</w:t>
      </w:r>
      <w:r>
        <w:rPr>
          <w:sz w:val="22"/>
        </w:rPr>
        <w:t xml:space="preserve">s in kidneypancreas and pancreas transplantation. Transplant Proc. 2008;40:3601–5.   </w:t>
      </w:r>
    </w:p>
    <w:p w:rsidR="00325AD1" w:rsidRDefault="008C5E81">
      <w:pPr>
        <w:numPr>
          <w:ilvl w:val="0"/>
          <w:numId w:val="25"/>
        </w:numPr>
        <w:spacing w:after="95" w:line="253" w:lineRule="auto"/>
        <w:ind w:right="477" w:hanging="566"/>
      </w:pPr>
      <w:r>
        <w:rPr>
          <w:sz w:val="22"/>
        </w:rPr>
        <w:t xml:space="preserve">Cantarovich D, Vistoli F. Minimization protocols in pancreas transplantation. Transpl Int. 2009;22:61–8.  </w:t>
      </w:r>
    </w:p>
    <w:p w:rsidR="00325AD1" w:rsidRDefault="008C5E81">
      <w:pPr>
        <w:numPr>
          <w:ilvl w:val="0"/>
          <w:numId w:val="25"/>
        </w:numPr>
        <w:spacing w:after="95" w:line="253" w:lineRule="auto"/>
        <w:ind w:right="477" w:hanging="566"/>
      </w:pPr>
      <w:r>
        <w:rPr>
          <w:sz w:val="22"/>
        </w:rPr>
        <w:t>Boggi U. et al. Long-term (5 years) efficacy and safety of panc</w:t>
      </w:r>
      <w:r>
        <w:rPr>
          <w:sz w:val="22"/>
        </w:rPr>
        <w:t xml:space="preserve">reas transplantation alone in type 1 diabetic patients //Transplantation. – 2012. – Т. 93. – №. 8. – С. 842-846.  </w:t>
      </w:r>
    </w:p>
    <w:p w:rsidR="00325AD1" w:rsidRDefault="008C5E81">
      <w:pPr>
        <w:numPr>
          <w:ilvl w:val="0"/>
          <w:numId w:val="25"/>
        </w:numPr>
        <w:spacing w:after="95" w:line="253" w:lineRule="auto"/>
        <w:ind w:right="477" w:hanging="566"/>
      </w:pPr>
      <w:r>
        <w:rPr>
          <w:sz w:val="22"/>
        </w:rPr>
        <w:t>Tena B., Vendrell M. Perioperative considerations for kidney and pancreas-kidney transplantation //Best Practice &amp; Research Clinical Anaesthe</w:t>
      </w:r>
      <w:r>
        <w:rPr>
          <w:sz w:val="22"/>
        </w:rPr>
        <w:t xml:space="preserve">siology. – 2020. – Т. 34. – №. 1. – С. 3-14. </w:t>
      </w:r>
    </w:p>
    <w:p w:rsidR="00325AD1" w:rsidRDefault="008C5E81">
      <w:pPr>
        <w:numPr>
          <w:ilvl w:val="0"/>
          <w:numId w:val="25"/>
        </w:numPr>
        <w:spacing w:after="6" w:line="253" w:lineRule="auto"/>
        <w:ind w:right="477" w:hanging="566"/>
      </w:pPr>
      <w:r>
        <w:rPr>
          <w:sz w:val="22"/>
        </w:rPr>
        <w:t xml:space="preserve">Hickey D. P. et al. Urological complications of pancreatic transplantation //The Journal of urology. </w:t>
      </w:r>
    </w:p>
    <w:p w:rsidR="00325AD1" w:rsidRDefault="008C5E81">
      <w:pPr>
        <w:spacing w:after="95" w:line="253" w:lineRule="auto"/>
        <w:ind w:left="137" w:right="477"/>
      </w:pPr>
      <w:r>
        <w:rPr>
          <w:sz w:val="22"/>
        </w:rPr>
        <w:t xml:space="preserve">– 1997. – Т. 157. – №. 6. – С. 2042-2048 </w:t>
      </w:r>
    </w:p>
    <w:p w:rsidR="00325AD1" w:rsidRDefault="008C5E81">
      <w:pPr>
        <w:numPr>
          <w:ilvl w:val="0"/>
          <w:numId w:val="26"/>
        </w:numPr>
        <w:spacing w:after="95" w:line="253" w:lineRule="auto"/>
        <w:ind w:right="478" w:hanging="1411"/>
      </w:pPr>
      <w:r>
        <w:rPr>
          <w:sz w:val="22"/>
        </w:rPr>
        <w:t xml:space="preserve">Ahmed S, Silverberg MJ, Engels EA. Pretransplant screening and lower incidence of breast and prostate cancers among organ transplant recipients in the United States. JNCI Cancer Spectr. 2025 Sep 1;9(5):pkaf080. doi: 10.1093/jncics/pkaf080.  </w:t>
      </w:r>
    </w:p>
    <w:p w:rsidR="00325AD1" w:rsidRDefault="008C5E81">
      <w:pPr>
        <w:numPr>
          <w:ilvl w:val="0"/>
          <w:numId w:val="26"/>
        </w:numPr>
        <w:spacing w:after="95" w:line="253" w:lineRule="auto"/>
        <w:ind w:right="478" w:hanging="1411"/>
      </w:pPr>
      <w:r>
        <w:rPr>
          <w:sz w:val="22"/>
        </w:rPr>
        <w:t xml:space="preserve">St. Michel D. </w:t>
      </w:r>
      <w:r>
        <w:rPr>
          <w:sz w:val="22"/>
        </w:rPr>
        <w:t xml:space="preserve">et al. Assessing pancreas transplant candidate cardiac disease: preoperative protocol development at a rapidly growing transplant program //Methods and Protocols. – 2019. – Т. 2. – №. 4. – С. 82.  </w:t>
      </w:r>
    </w:p>
    <w:p w:rsidR="00325AD1" w:rsidRDefault="008C5E81">
      <w:pPr>
        <w:numPr>
          <w:ilvl w:val="0"/>
          <w:numId w:val="26"/>
        </w:numPr>
        <w:spacing w:after="95" w:line="253" w:lineRule="auto"/>
        <w:ind w:right="478" w:hanging="1411"/>
      </w:pPr>
      <w:r>
        <w:rPr>
          <w:sz w:val="22"/>
        </w:rPr>
        <w:t>Guy's and St Thomas' NHS Foundation Trust. Pancreas transp</w:t>
      </w:r>
      <w:r>
        <w:rPr>
          <w:sz w:val="22"/>
        </w:rPr>
        <w:t xml:space="preserve">lant - referrals URL: https://www.guysandstthomas.nhs.uk/referral-guide/pancreas-transplant . </w:t>
      </w:r>
    </w:p>
    <w:p w:rsidR="00325AD1" w:rsidRDefault="008C5E81">
      <w:pPr>
        <w:numPr>
          <w:ilvl w:val="0"/>
          <w:numId w:val="26"/>
        </w:numPr>
        <w:spacing w:after="123" w:line="253" w:lineRule="auto"/>
        <w:ind w:right="478" w:hanging="1411"/>
      </w:pPr>
      <w:r>
        <w:rPr>
          <w:sz w:val="22"/>
        </w:rPr>
        <w:t xml:space="preserve">Hartgrink H. H. et al. Effect of blood group and HLA matching on pancreas graft survival with the use of UW solution //Transplant international. – 1995. – Т. 8. </w:t>
      </w:r>
      <w:r>
        <w:rPr>
          <w:sz w:val="22"/>
        </w:rPr>
        <w:t xml:space="preserve">– №. 5. – С. 366-373 </w:t>
      </w:r>
    </w:p>
    <w:p w:rsidR="00325AD1" w:rsidRDefault="008C5E81">
      <w:pPr>
        <w:numPr>
          <w:ilvl w:val="0"/>
          <w:numId w:val="26"/>
        </w:numPr>
        <w:spacing w:after="95" w:line="253" w:lineRule="auto"/>
        <w:ind w:right="478" w:hanging="1411"/>
      </w:pPr>
      <w:r>
        <w:rPr>
          <w:sz w:val="22"/>
        </w:rPr>
        <w:t xml:space="preserve">Jiménez C. et al. Influence of dialysis modality on complications and patient and graft survival after pancreas-kidney transplantation //Transplantation proceedings. – Elsevier, 2008. – Т. 40. – №. 9. – С. 2999-3000.  </w:t>
      </w:r>
    </w:p>
    <w:p w:rsidR="00325AD1" w:rsidRDefault="008C5E81">
      <w:pPr>
        <w:numPr>
          <w:ilvl w:val="0"/>
          <w:numId w:val="26"/>
        </w:numPr>
        <w:spacing w:after="95" w:line="253" w:lineRule="auto"/>
        <w:ind w:right="478" w:hanging="1411"/>
      </w:pPr>
      <w:r>
        <w:rPr>
          <w:sz w:val="22"/>
        </w:rPr>
        <w:t xml:space="preserve">Papalois B. E. </w:t>
      </w:r>
      <w:r>
        <w:rPr>
          <w:sz w:val="22"/>
        </w:rPr>
        <w:t xml:space="preserve">et al. Long-term peritoneal dialysis before transplantation and intra-abdominal infection after simultaneous pancreas-kidney transplantations //Archives of Surgery. – 1996. – Т. 131. – №. 7. – С. 761-766.  </w:t>
      </w:r>
    </w:p>
    <w:p w:rsidR="00325AD1" w:rsidRDefault="008C5E81">
      <w:pPr>
        <w:numPr>
          <w:ilvl w:val="0"/>
          <w:numId w:val="26"/>
        </w:numPr>
        <w:spacing w:after="95" w:line="253" w:lineRule="auto"/>
        <w:ind w:right="478" w:hanging="1411"/>
      </w:pPr>
      <w:r>
        <w:rPr>
          <w:sz w:val="22"/>
        </w:rPr>
        <w:t>Spiro M. D., Eilers H. Intraoperative care of the</w:t>
      </w:r>
      <w:r>
        <w:rPr>
          <w:sz w:val="22"/>
        </w:rPr>
        <w:t xml:space="preserve"> transplant patient //Anesthesiology Clinics. – 2013. – Т. 31. – №. 4. – С. 705-721. </w:t>
      </w:r>
    </w:p>
    <w:p w:rsidR="00325AD1" w:rsidRDefault="008C5E81">
      <w:pPr>
        <w:numPr>
          <w:ilvl w:val="0"/>
          <w:numId w:val="26"/>
        </w:numPr>
        <w:spacing w:after="95" w:line="253" w:lineRule="auto"/>
        <w:ind w:right="478" w:hanging="1411"/>
      </w:pPr>
      <w:r>
        <w:rPr>
          <w:sz w:val="22"/>
        </w:rPr>
        <w:t xml:space="preserve">. Patel SR, Hakim N. Prevention and management of graft thrombosis in pancreatic transplant. Exp Clin Transplant. 2012 Jun;10(3):282-9. doi: 10.6002/ect.2012.0003. </w:t>
      </w:r>
    </w:p>
    <w:p w:rsidR="00325AD1" w:rsidRDefault="008C5E81">
      <w:pPr>
        <w:numPr>
          <w:ilvl w:val="0"/>
          <w:numId w:val="26"/>
        </w:numPr>
        <w:spacing w:after="59" w:line="253" w:lineRule="auto"/>
        <w:ind w:right="478" w:hanging="1411"/>
      </w:pPr>
      <w:r>
        <w:rPr>
          <w:sz w:val="22"/>
        </w:rPr>
        <w:t>Harbe</w:t>
      </w:r>
      <w:r>
        <w:rPr>
          <w:sz w:val="22"/>
        </w:rPr>
        <w:t xml:space="preserve">ll J. W. et al. Splenic vein thrombosis following pancreas transplantation: identification of factors that support conservative management //American Journal of Transplantation. – 2017. – Т. 17. – №. 11. – С. 2955-2962. </w:t>
      </w:r>
      <w:r>
        <w:t xml:space="preserve"> </w:t>
      </w:r>
    </w:p>
    <w:p w:rsidR="00325AD1" w:rsidRDefault="008C5E81">
      <w:pPr>
        <w:numPr>
          <w:ilvl w:val="0"/>
          <w:numId w:val="26"/>
        </w:numPr>
        <w:spacing w:after="64"/>
        <w:ind w:right="478" w:hanging="1411"/>
      </w:pPr>
      <w:r>
        <w:t xml:space="preserve">Saudek F. et al. Efficacy and safety of tacrolimus compared with cyclosporin microemulsion in primary SPK transplantation: 3-year results of the Euro-SPK 001 trial //Nephrology Dialysis Transplantation. – 2005. – Т. 20. – №. suppl_2. – С. ii3-ii10. </w:t>
      </w:r>
    </w:p>
    <w:p w:rsidR="00325AD1" w:rsidRDefault="008C5E81">
      <w:pPr>
        <w:numPr>
          <w:ilvl w:val="0"/>
          <w:numId w:val="26"/>
        </w:numPr>
        <w:spacing w:after="62"/>
        <w:ind w:right="478" w:hanging="1411"/>
      </w:pPr>
      <w:r>
        <w:t>Torabi</w:t>
      </w:r>
      <w:r>
        <w:t>, J.; Konicki, A.; Rocca, J.P.; Ajaimy, M.; Campbell, A.; Azzi, Y.; Pynadath, C.; Liriano-Ward, L.; Akalin, E.; Kinkhabwala, M.; et al. The use of LCP-Tacrolimus (Envarsus XR) in simultaneous pancreas and kidney (SPK) transplant recipients. Am. J. Surg. 20</w:t>
      </w:r>
      <w:r>
        <w:t xml:space="preserve">20, 219, 583–586.  </w:t>
      </w:r>
    </w:p>
    <w:p w:rsidR="00325AD1" w:rsidRDefault="008C5E81">
      <w:pPr>
        <w:numPr>
          <w:ilvl w:val="0"/>
          <w:numId w:val="26"/>
        </w:numPr>
        <w:ind w:right="478" w:hanging="1411"/>
      </w:pPr>
      <w:r>
        <w:t xml:space="preserve">Davis, S.; Gralla, J.; Klem, P.; Stites, E.; Wiseman, A.; Cooper, J.E. Tacrolimus </w:t>
      </w:r>
    </w:p>
    <w:p w:rsidR="00325AD1" w:rsidRDefault="008C5E81">
      <w:pPr>
        <w:spacing w:after="65"/>
        <w:ind w:left="137" w:right="479"/>
      </w:pPr>
      <w:r>
        <w:t xml:space="preserve">Intrapatient Variability, Time in Therapeutic Range, and Risk of De Novo Donor–Specific Antibodies. Transplantation 2020, 104, 881–887  </w:t>
      </w:r>
    </w:p>
    <w:p w:rsidR="00325AD1" w:rsidRDefault="008C5E81">
      <w:pPr>
        <w:numPr>
          <w:ilvl w:val="0"/>
          <w:numId w:val="26"/>
        </w:numPr>
        <w:ind w:right="478" w:hanging="1411"/>
      </w:pPr>
      <w:r>
        <w:t>Coste G., Lemait</w:t>
      </w:r>
      <w:r>
        <w:t xml:space="preserve">re F. The Role of Intra-Patient Variability of Tacrolimus Drug </w:t>
      </w:r>
    </w:p>
    <w:p w:rsidR="00325AD1" w:rsidRDefault="008C5E81">
      <w:pPr>
        <w:spacing w:after="59"/>
        <w:ind w:left="137" w:right="479"/>
      </w:pPr>
      <w:r>
        <w:t xml:space="preserve">Concentrations in Solid Organ Transplantation: A Focus on Liver, Heart, Lung and Pancreas //Pharmaceutics. – 2022. – Т. 14. – №. 2. – С. 379. </w:t>
      </w:r>
    </w:p>
    <w:p w:rsidR="00325AD1" w:rsidRDefault="008C5E81">
      <w:pPr>
        <w:numPr>
          <w:ilvl w:val="0"/>
          <w:numId w:val="26"/>
        </w:numPr>
        <w:spacing w:after="64"/>
        <w:ind w:right="478" w:hanging="1411"/>
      </w:pPr>
      <w:r>
        <w:t>Di Francesco F. et al. One year follow-</w:t>
      </w:r>
      <w:r>
        <w:t xml:space="preserve">up of steroid-free immunosuppression plus everolimus in isolated pancreas transplantation //Transplantation. – 2008. – Т. 86. – №. 8. – С. 1146-1147. </w:t>
      </w:r>
    </w:p>
    <w:p w:rsidR="00325AD1" w:rsidRDefault="008C5E81">
      <w:pPr>
        <w:numPr>
          <w:ilvl w:val="0"/>
          <w:numId w:val="26"/>
        </w:numPr>
        <w:spacing w:after="61"/>
        <w:ind w:right="478" w:hanging="1411"/>
      </w:pPr>
      <w:r>
        <w:t>Oh J. M. et al. Comparison of azathioprine and mycophenolate mofetil for the prevention of acute rejectio</w:t>
      </w:r>
      <w:r>
        <w:t xml:space="preserve">n in recipients of pancreas transplantation //The Journal of Clinical Pharmacology. – 2001. – Т. 41. – №. 8. – С. 861-869. </w:t>
      </w:r>
    </w:p>
    <w:p w:rsidR="00325AD1" w:rsidRDefault="008C5E81">
      <w:pPr>
        <w:numPr>
          <w:ilvl w:val="0"/>
          <w:numId w:val="26"/>
        </w:numPr>
        <w:spacing w:after="61"/>
        <w:ind w:right="478" w:hanging="1411"/>
      </w:pPr>
      <w:r>
        <w:t>Descourouez J. L. et al. Impact of intensive dosing of mycophenolate on pancreas allograft survival //Clinical Transplantation. – 20</w:t>
      </w:r>
      <w:r>
        <w:t xml:space="preserve">18. – Т. 32. – №. 7. – С. e13293. </w:t>
      </w:r>
    </w:p>
    <w:p w:rsidR="00325AD1" w:rsidRDefault="008C5E81">
      <w:pPr>
        <w:numPr>
          <w:ilvl w:val="0"/>
          <w:numId w:val="26"/>
        </w:numPr>
        <w:spacing w:after="59"/>
        <w:ind w:right="478" w:hanging="1411"/>
      </w:pPr>
      <w:r>
        <w:t xml:space="preserve">Ojo A. O. et al. Mycophenolate mofetil reduces late renal allograft loss independent of acute rejection //Transplantation. – 2000. – Т. 69. – №. 11. – С. 2405-2409.  </w:t>
      </w:r>
    </w:p>
    <w:p w:rsidR="00325AD1" w:rsidRDefault="008C5E81">
      <w:pPr>
        <w:numPr>
          <w:ilvl w:val="0"/>
          <w:numId w:val="26"/>
        </w:numPr>
        <w:spacing w:after="107"/>
        <w:ind w:right="478" w:hanging="1411"/>
      </w:pPr>
      <w:r>
        <w:t>Benedetti E. et al. Correlation between cystoscopic bi</w:t>
      </w:r>
      <w:r>
        <w:t xml:space="preserve">opsy results and hypoamylasuria in bladder-drained pancreas transplants //Surgery. – 1995. – Т. 118. – №. 5. – С. 864-872. </w:t>
      </w:r>
      <w:r>
        <w:rPr>
          <w:sz w:val="28"/>
        </w:rPr>
        <w:t>195.</w:t>
      </w:r>
      <w:r>
        <w:rPr>
          <w:rFonts w:ascii="Arial" w:eastAsia="Arial" w:hAnsi="Arial" w:cs="Arial"/>
          <w:sz w:val="28"/>
        </w:rPr>
        <w:t xml:space="preserve"> </w:t>
      </w:r>
      <w:r>
        <w:t>Sollinger H. W. et al. Urological complications in 210 consecutive simultaneous pancreaskidney transplants with bladder drainage</w:t>
      </w:r>
      <w:r>
        <w:t xml:space="preserve"> //Annals of surgery. – 1993. – Т. 218. – №. 4. – С. 561. </w:t>
      </w:r>
    </w:p>
    <w:p w:rsidR="00325AD1" w:rsidRDefault="008C5E81">
      <w:pPr>
        <w:numPr>
          <w:ilvl w:val="0"/>
          <w:numId w:val="27"/>
        </w:numPr>
        <w:spacing w:after="59"/>
        <w:ind w:right="479"/>
      </w:pPr>
      <w:r>
        <w:t xml:space="preserve">Schenker P. et al. Long‐term results of pancreas transplantation in patients older than 50 years //Transplant international. – 2011. – Т. 24. – №. 2. – С. 136-142. </w:t>
      </w:r>
    </w:p>
    <w:p w:rsidR="00325AD1" w:rsidRDefault="008C5E81">
      <w:pPr>
        <w:numPr>
          <w:ilvl w:val="0"/>
          <w:numId w:val="27"/>
        </w:numPr>
        <w:spacing w:after="91"/>
        <w:ind w:right="479"/>
      </w:pPr>
      <w:r>
        <w:t>Burke G. W., Ciancio G., Solling</w:t>
      </w:r>
      <w:r>
        <w:t xml:space="preserve">er H. W. Advances in pancreas transplantation //Transplantation. – 2004. – Т. 77. – №. 9. – С. S62-S67. </w:t>
      </w:r>
    </w:p>
    <w:p w:rsidR="00325AD1" w:rsidRDefault="008C5E81">
      <w:pPr>
        <w:numPr>
          <w:ilvl w:val="0"/>
          <w:numId w:val="27"/>
        </w:numPr>
        <w:ind w:right="479"/>
      </w:pPr>
      <w:r>
        <w:t>Demartines N., Schiesser M., Clavien P. A. An evidence‐based analysis of simultaneous pancreas‐kidney and pancreas transplantation alone //American Jou</w:t>
      </w:r>
      <w:r>
        <w:t xml:space="preserve">rnal of Transplantation. – 2005. – Т. 5. – №. 11. – С. 2688-2697. </w:t>
      </w:r>
    </w:p>
    <w:p w:rsidR="00325AD1" w:rsidRDefault="008C5E81">
      <w:pPr>
        <w:numPr>
          <w:ilvl w:val="0"/>
          <w:numId w:val="27"/>
        </w:numPr>
        <w:ind w:right="479"/>
      </w:pPr>
      <w:r>
        <w:t>Xue W, Huang Z, Zhang Y, Hu X. Patient, kidney, and pancreas survival in pancreas after kidney transplantation versus simultaneous pancreas and kidney transplantation: meta-analysis. BJS Op</w:t>
      </w:r>
      <w:r>
        <w:t xml:space="preserve">en. 2022;6(5):zrac108. doi: 10.1093/bjsopen/zrac108 </w:t>
      </w:r>
    </w:p>
    <w:p w:rsidR="00325AD1" w:rsidRDefault="008C5E81">
      <w:pPr>
        <w:numPr>
          <w:ilvl w:val="0"/>
          <w:numId w:val="27"/>
        </w:numPr>
        <w:ind w:right="479"/>
      </w:pPr>
      <w:r>
        <w:t>Cao Y, Liu X, Lan X, Ni K, Li L, Fu Y. Simultaneous pancreas and kidney transplantation for end-stage kidney disease patients with type 2 diabetes mellitus: a systematic review and metaanalysis. Langenbe</w:t>
      </w:r>
      <w:r>
        <w:t xml:space="preserve">cks Arch Surg. 2022 May;407(3):909-925. doi: 10.1007/s00423-021-02249y. </w:t>
      </w:r>
    </w:p>
    <w:p w:rsidR="00325AD1" w:rsidRDefault="008C5E81">
      <w:pPr>
        <w:numPr>
          <w:ilvl w:val="0"/>
          <w:numId w:val="27"/>
        </w:numPr>
        <w:ind w:right="479"/>
      </w:pPr>
      <w:r>
        <w:t>Ai Li E, Farrokhi K, Zhang MY, Offerni J, Luke PP, Sener A. Heparin Thromboprophylaxis in Simultaneous Pancreas-Kidney Transplantation: A Systematic Review and Meta-Analysis of Observ</w:t>
      </w:r>
      <w:r>
        <w:t>ational Studies. Transpl Int. 2023 Feb 1;36:10442. doi: 10.3389/ti.2023.10442.  202. Budhiraja P, Lopez R, Arrigain S, Schold JD. Reassessing Simultaneous Pancreas-Kidney Vs. Kidney Transplant Alone: A Propensity-Weighted Analysis of Survival and Morbidity</w:t>
      </w:r>
      <w:r>
        <w:t xml:space="preserve">. </w:t>
      </w:r>
    </w:p>
    <w:p w:rsidR="00325AD1" w:rsidRDefault="008C5E81">
      <w:pPr>
        <w:ind w:left="137" w:right="479"/>
      </w:pPr>
      <w:r>
        <w:t xml:space="preserve">Transpl Int. 2025 Dec 30;38:14934. doi: 10.3389/ti.2025.14934.  </w:t>
      </w:r>
    </w:p>
    <w:p w:rsidR="00325AD1" w:rsidRDefault="008C5E81">
      <w:pPr>
        <w:numPr>
          <w:ilvl w:val="0"/>
          <w:numId w:val="28"/>
        </w:numPr>
        <w:ind w:right="479"/>
      </w:pPr>
      <w:r>
        <w:t>Catarinella D, Williford S, Rusconi F, Caldara R, Piemonti L. Simultaneous PancreasKidney Versus Kidney Transplant Alone: Real-World Outcomes in a Propensity-Matched Global Cohort. Transpl</w:t>
      </w:r>
      <w:r>
        <w:t xml:space="preserve"> Int. 2025 Dec 30;38:15709. doi: 10.3389/ti.2025.15709.   </w:t>
      </w:r>
    </w:p>
    <w:p w:rsidR="00325AD1" w:rsidRDefault="008C5E81">
      <w:pPr>
        <w:numPr>
          <w:ilvl w:val="0"/>
          <w:numId w:val="28"/>
        </w:numPr>
        <w:ind w:right="479"/>
      </w:pPr>
      <w:r>
        <w:t>Montagud-Marrahi E, Cuadrado-Payán E, Hermida E, et al. Preemptive simultaneous pancreas kidney transplantation has survival benefit to patients. Kidney Int. 2022 Aug;102(2):421-430. doi: 10.1016/j</w:t>
      </w:r>
      <w:r>
        <w:t xml:space="preserve">.kint.2022.04.032.  </w:t>
      </w:r>
    </w:p>
    <w:p w:rsidR="00325AD1" w:rsidRDefault="008C5E81">
      <w:pPr>
        <w:numPr>
          <w:ilvl w:val="0"/>
          <w:numId w:val="28"/>
        </w:numPr>
        <w:ind w:right="479"/>
      </w:pPr>
      <w:r>
        <w:t xml:space="preserve">Yang KH, et al. The Pancreas After Kidney Transplant is a Competitive Option, Comparable to the Simultaneous Pancreas and Kidney Transplant. Transplant Proc. 2024 JulAug;56(6):1347-1352. doi: 10.1016/j.transproceed.2024.03.038.  </w:t>
      </w:r>
    </w:p>
    <w:p w:rsidR="00325AD1" w:rsidRDefault="008C5E81">
      <w:pPr>
        <w:numPr>
          <w:ilvl w:val="0"/>
          <w:numId w:val="28"/>
        </w:numPr>
        <w:ind w:right="479"/>
      </w:pPr>
      <w:r>
        <w:t xml:space="preserve">Huber S, Fridell JA. Simultaneous pancreas and kidney transplant vs. pancreas after kidney transplantation: is one better? Curr Opin Organ Transplant. 2025;30(4):273-278. doi: 10.1097/MOT.0000000000001229.  </w:t>
      </w:r>
    </w:p>
    <w:p w:rsidR="00325AD1" w:rsidRDefault="008C5E81">
      <w:pPr>
        <w:numPr>
          <w:ilvl w:val="0"/>
          <w:numId w:val="28"/>
        </w:numPr>
        <w:ind w:right="479"/>
      </w:pPr>
      <w:r>
        <w:t xml:space="preserve">Kaur RJ, Mujtahedi SS, Fridell JA, Benavides X, </w:t>
      </w:r>
      <w:r>
        <w:t xml:space="preserve">Smith B, Larson TS, Rizvi SR, Kukla A, Dean P, Kudva YC, Odorico J, Stegall M. Impact of pancreas transplantation alone on kidney function: A multicenter clinical cohort study. Clin Transplant. 2024;38(1):e15212. doi: 10.1111/ctr.15212. </w:t>
      </w:r>
    </w:p>
    <w:p w:rsidR="00325AD1" w:rsidRDefault="008C5E81">
      <w:pPr>
        <w:numPr>
          <w:ilvl w:val="0"/>
          <w:numId w:val="28"/>
        </w:numPr>
        <w:ind w:right="479"/>
      </w:pPr>
      <w:r>
        <w:t>Montagud-Marrahi E</w:t>
      </w:r>
      <w:r>
        <w:t xml:space="preserve">, Cuadrado-Payán E, Hermida E, et al. Preemptive simultaneous pancreas kidney transplantation has survival benefit to patients. </w:t>
      </w:r>
      <w:r>
        <w:rPr>
          <w:i/>
        </w:rPr>
        <w:t>Kidney International</w:t>
      </w:r>
      <w:r>
        <w:t xml:space="preserve">. 2022;102(2):421-430. doi: 10.1016/j.kint.2022.04.032 </w:t>
      </w:r>
    </w:p>
    <w:p w:rsidR="00325AD1" w:rsidRDefault="008C5E81">
      <w:pPr>
        <w:spacing w:after="0" w:line="259" w:lineRule="auto"/>
        <w:ind w:left="142" w:firstLine="0"/>
        <w:jc w:val="left"/>
      </w:pPr>
      <w:r>
        <w:t xml:space="preserve"> </w:t>
      </w:r>
    </w:p>
    <w:p w:rsidR="00325AD1" w:rsidRDefault="008C5E81">
      <w:pPr>
        <w:numPr>
          <w:ilvl w:val="0"/>
          <w:numId w:val="28"/>
        </w:numPr>
        <w:ind w:right="479"/>
      </w:pPr>
      <w:r>
        <w:t>Budhiraja P, Lopez R, Arrigain S, Schold JD. Reass</w:t>
      </w:r>
      <w:r>
        <w:t xml:space="preserve">essing Simultaneous Pancreas-Kidney Vs. Kidney Transplant Alone: A Propensity-Weighted Analysis of Survival and Morbidity. Transplant International. 2025;38:14934. doi: 10.3389/ti.2025.14934 </w:t>
      </w:r>
    </w:p>
    <w:p w:rsidR="00325AD1" w:rsidRDefault="008C5E81">
      <w:pPr>
        <w:numPr>
          <w:ilvl w:val="0"/>
          <w:numId w:val="28"/>
        </w:numPr>
        <w:ind w:right="479"/>
      </w:pPr>
      <w:r>
        <w:t>Parajuli S, Swanson KJ, Patel R, et al. Outcomes of simultaneous</w:t>
      </w:r>
      <w:r>
        <w:t xml:space="preserve"> pancreas and kidney transplants based on preemptive transplant compared to those who were on dialysis before transplant—a retrospective study. Transplant International. 2020;33:1106-1115. doi: 10.1111/tri.13665 </w:t>
      </w:r>
    </w:p>
    <w:p w:rsidR="00325AD1" w:rsidRDefault="008C5E81">
      <w:pPr>
        <w:numPr>
          <w:ilvl w:val="0"/>
          <w:numId w:val="28"/>
        </w:numPr>
        <w:ind w:right="479"/>
      </w:pPr>
      <w:r>
        <w:t>Wiseman AC, Huang E, Kamgar M, Bunnapradist</w:t>
      </w:r>
      <w:r>
        <w:t xml:space="preserve"> S. The impact of pre-transplant dialysis on simultaneous pancreas-kidney versus living donor kidney transplant outcomes. Nephrology Dialysis Transplantation. 2013;28:1047-1058. doi: 10.1093/ndt/gfs582 </w:t>
      </w:r>
    </w:p>
    <w:p w:rsidR="00325AD1" w:rsidRDefault="008C5E81">
      <w:pPr>
        <w:numPr>
          <w:ilvl w:val="0"/>
          <w:numId w:val="28"/>
        </w:numPr>
        <w:ind w:right="479"/>
      </w:pPr>
      <w:r>
        <w:t>Zachary J, Chen JM, Sharfuddin A, et al. Epidemiology</w:t>
      </w:r>
      <w:r>
        <w:t xml:space="preserve"> and Risk Factors for Invasive Fungal Infections in Pancreas Transplant in the Absence of Postoperative Antifungal Prophylaxis. </w:t>
      </w:r>
      <w:r>
        <w:rPr>
          <w:i/>
        </w:rPr>
        <w:t>Open Forum Infect Dis</w:t>
      </w:r>
      <w:r>
        <w:t>. 2023;10(11):ofad478. doi: 10.1093/ofid/ofad478 213. Shaikh SA, Zimmerman A, Noble M, et al. The incidence</w:t>
      </w:r>
      <w:r>
        <w:t xml:space="preserve"> of fungal infections in pancreas transplant recipients in the absence of systemic antifungal prophylaxis. Clin Transplant. </w:t>
      </w:r>
    </w:p>
    <w:p w:rsidR="00325AD1" w:rsidRDefault="008C5E81">
      <w:pPr>
        <w:ind w:left="137" w:right="479"/>
      </w:pPr>
      <w:r>
        <w:t xml:space="preserve">2019;33(10):e13691. doi: 10.1111/ctr.13691 </w:t>
      </w:r>
    </w:p>
    <w:p w:rsidR="00325AD1" w:rsidRDefault="008C5E81">
      <w:pPr>
        <w:numPr>
          <w:ilvl w:val="0"/>
          <w:numId w:val="29"/>
        </w:numPr>
        <w:ind w:right="479"/>
      </w:pPr>
      <w:r>
        <w:t>Weinberg L, Ianno D, Churilov L, et al. Restrictive intraoperative fluid optimisation a</w:t>
      </w:r>
      <w:r>
        <w:t xml:space="preserve">lgorithm improves outcomes in patients undergoing pancreaticoduodenectomy: A prospective multicentre randomized controlled trial. PLoS ONE. 2017;12(9):e0183313 </w:t>
      </w:r>
    </w:p>
    <w:p w:rsidR="00325AD1" w:rsidRDefault="008C5E81">
      <w:pPr>
        <w:numPr>
          <w:ilvl w:val="0"/>
          <w:numId w:val="29"/>
        </w:numPr>
        <w:ind w:right="479"/>
      </w:pPr>
      <w:r>
        <w:t>Kamarajah SK, Bundred JR, Manas D, White SA. A Network Meta-Analysis of Induction Immunosuppres</w:t>
      </w:r>
      <w:r>
        <w:t xml:space="preserve">sion for Simultaneous Pancreas-Kidney Transplant From Randomized Clinical Trials. Exp Clin Transplant. 2021;19(5):397-404. doi:10.6002/ect.2020.0231  </w:t>
      </w:r>
    </w:p>
    <w:p w:rsidR="00325AD1" w:rsidRDefault="008C5E81">
      <w:pPr>
        <w:numPr>
          <w:ilvl w:val="0"/>
          <w:numId w:val="29"/>
        </w:numPr>
        <w:ind w:right="479"/>
      </w:pPr>
      <w:r>
        <w:t>Barclay PG, Kable K, Webster AC, Chapman JR, Craig JC. Monoclonal and polyclonal antibody induction thera</w:t>
      </w:r>
      <w:r>
        <w:t xml:space="preserve">py for pancreas and kidney/pancreas transplantation: a meta-analysis of randomised trials. Transplantation. 2004;78(Suppl):P413.  </w:t>
      </w:r>
    </w:p>
    <w:p w:rsidR="00325AD1" w:rsidRDefault="008C5E81">
      <w:pPr>
        <w:numPr>
          <w:ilvl w:val="0"/>
          <w:numId w:val="29"/>
        </w:numPr>
        <w:ind w:right="479"/>
      </w:pPr>
      <w:r>
        <w:t>Cantarovich D, Kervella D, Karam G, et al. Tacrolimus- versus sirolimus-based immunosuppression after simultaneous pancreas a</w:t>
      </w:r>
      <w:r>
        <w:t xml:space="preserve">nd kidney transplantation: 5-year results of a randomized trial. Am J Transplant. 2020;20(6):1679-1690. doi:10.1111/ajt.15809  </w:t>
      </w:r>
    </w:p>
    <w:p w:rsidR="00325AD1" w:rsidRDefault="008C5E81">
      <w:pPr>
        <w:numPr>
          <w:ilvl w:val="0"/>
          <w:numId w:val="29"/>
        </w:numPr>
        <w:ind w:right="479"/>
      </w:pPr>
      <w:r>
        <w:t>Lo A, Stratta RJ, Alloway RR, Egidi MF, et al. Initial clinical experience with interleukin2 receptor antagonist induction in co</w:t>
      </w:r>
      <w:r>
        <w:t xml:space="preserve">mbination with tacrolimus, mycophenolate mofetil and steroids in simultaneous kidney-pancreas transplantation. Transpl Int. 2001;14(6):396-404. doi:10.1007/s001470100005  </w:t>
      </w:r>
    </w:p>
    <w:p w:rsidR="00325AD1" w:rsidRDefault="008C5E81">
      <w:pPr>
        <w:numPr>
          <w:ilvl w:val="0"/>
          <w:numId w:val="29"/>
        </w:numPr>
        <w:ind w:right="479"/>
      </w:pPr>
      <w:r>
        <w:t>Sawinski D, Goral S. Immunosuppression in simultaneous pancreas and kidney transplan</w:t>
      </w:r>
      <w:r>
        <w:t xml:space="preserve">tation: A network meta-analysis of randomized controlled trials. </w:t>
      </w:r>
      <w:r>
        <w:rPr>
          <w:i/>
        </w:rPr>
        <w:t>Am J Transplant.</w:t>
      </w:r>
      <w:r>
        <w:t xml:space="preserve"> 2022;22(Suppl 2):450-460.  </w:t>
      </w:r>
    </w:p>
    <w:p w:rsidR="00325AD1" w:rsidRDefault="008C5E81">
      <w:pPr>
        <w:numPr>
          <w:ilvl w:val="0"/>
          <w:numId w:val="29"/>
        </w:numPr>
        <w:ind w:right="479"/>
      </w:pPr>
      <w:r>
        <w:t xml:space="preserve">Gruessner RWG, Burke GW, Stratta R, et al. A multicenter analysis of the first experience with FK506 (tacrolimus) and MMF (mycophenolate mofetil) </w:t>
      </w:r>
      <w:r>
        <w:t xml:space="preserve">in simultaneous pancreas-kidney transplantation. </w:t>
      </w:r>
      <w:r>
        <w:rPr>
          <w:i/>
        </w:rPr>
        <w:t>Transplant Proc.</w:t>
      </w:r>
      <w:r>
        <w:t xml:space="preserve"> 1997;29(1-2):643-644. doi:10.1016/s0041-1345(96)00378-4 221.</w:t>
      </w:r>
      <w:r>
        <w:rPr>
          <w:rFonts w:ascii="Calibri" w:eastAsia="Calibri" w:hAnsi="Calibri" w:cs="Calibri"/>
          <w:sz w:val="22"/>
        </w:rPr>
        <w:t xml:space="preserve"> </w:t>
      </w:r>
      <w:r>
        <w:t xml:space="preserve">Bechstein WO, Malaise J, Saudek F, et al. Efficacy and safety of tacrolimus compared with cyclosporine microemulsion in </w:t>
      </w:r>
      <w:r>
        <w:t xml:space="preserve">primary simultaneous pancreas-kidney transplantation: 1-year results of a large international trial. Transplantation. 2004;78(10):1457-1463. doi:10.1097/01.tp.0000141095.04020.19 </w:t>
      </w:r>
    </w:p>
    <w:p w:rsidR="00325AD1" w:rsidRDefault="008C5E81">
      <w:pPr>
        <w:numPr>
          <w:ilvl w:val="0"/>
          <w:numId w:val="30"/>
        </w:numPr>
        <w:ind w:right="479" w:hanging="559"/>
      </w:pPr>
      <w:r>
        <w:t xml:space="preserve">Hodson EM, Jones CA, Strippoli GFM, et al. Antiviral medications to prevent </w:t>
      </w:r>
      <w:r>
        <w:t xml:space="preserve">cytomegalovirus disease and death in solid organ transplant recipients. Cochrane Database of </w:t>
      </w:r>
    </w:p>
    <w:p w:rsidR="00325AD1" w:rsidRDefault="008C5E81">
      <w:pPr>
        <w:tabs>
          <w:tab w:val="center" w:pos="2090"/>
          <w:tab w:val="center" w:pos="3265"/>
          <w:tab w:val="center" w:pos="4240"/>
          <w:tab w:val="center" w:pos="5032"/>
          <w:tab w:val="center" w:pos="5767"/>
          <w:tab w:val="center" w:pos="6623"/>
          <w:tab w:val="center" w:pos="7845"/>
          <w:tab w:val="center" w:pos="9103"/>
        </w:tabs>
        <w:ind w:left="0" w:firstLine="0"/>
        <w:jc w:val="left"/>
      </w:pPr>
      <w:r>
        <w:t xml:space="preserve">Systematic </w:t>
      </w:r>
      <w:r>
        <w:tab/>
        <w:t xml:space="preserve">Reviews. </w:t>
      </w:r>
      <w:r>
        <w:tab/>
        <w:t xml:space="preserve">2024; </w:t>
      </w:r>
      <w:r>
        <w:tab/>
        <w:t xml:space="preserve">Issue </w:t>
      </w:r>
      <w:r>
        <w:tab/>
        <w:t xml:space="preserve">5. </w:t>
      </w:r>
      <w:r>
        <w:tab/>
        <w:t xml:space="preserve">Art. </w:t>
      </w:r>
      <w:r>
        <w:tab/>
        <w:t xml:space="preserve">No.: </w:t>
      </w:r>
      <w:r>
        <w:tab/>
        <w:t xml:space="preserve">CD003774. </w:t>
      </w:r>
      <w:r>
        <w:tab/>
        <w:t xml:space="preserve">DOI: </w:t>
      </w:r>
    </w:p>
    <w:p w:rsidR="00325AD1" w:rsidRDefault="008C5E81">
      <w:pPr>
        <w:ind w:left="137" w:right="479"/>
      </w:pPr>
      <w:r>
        <w:t xml:space="preserve">10.1002/14651858.CD003774.pub5.  </w:t>
      </w:r>
    </w:p>
    <w:p w:rsidR="00325AD1" w:rsidRDefault="008C5E81">
      <w:pPr>
        <w:numPr>
          <w:ilvl w:val="0"/>
          <w:numId w:val="30"/>
        </w:numPr>
        <w:ind w:right="479" w:hanging="559"/>
      </w:pPr>
      <w:r>
        <w:t>Yelin D, Margalit I, Yahav D, et al. Prophylactic vs preemptive strategy for the prevention of CMV disease in solid organ transplant recipients: systematic review and meta-analysis of randomized controlled trials. Infection. 2025; 53:1091–1099. DOI: 10.100</w:t>
      </w:r>
      <w:r>
        <w:t xml:space="preserve">7/s15010-024-024414 </w:t>
      </w:r>
    </w:p>
    <w:p w:rsidR="00325AD1" w:rsidRDefault="008C5E81">
      <w:pPr>
        <w:numPr>
          <w:ilvl w:val="0"/>
          <w:numId w:val="30"/>
        </w:numPr>
        <w:ind w:right="479" w:hanging="559"/>
      </w:pPr>
      <w:r>
        <w:t xml:space="preserve">Villavicencio J. Valganciclovir Prophylaxis Versus Preemptive Therapy in Kidney Transplant Patients: A Systematic Review and Meta-Analysis. Korean Journal of Nephrology. 2024; 2024(1).  </w:t>
      </w:r>
    </w:p>
    <w:p w:rsidR="00325AD1" w:rsidRDefault="008C5E81">
      <w:pPr>
        <w:numPr>
          <w:ilvl w:val="0"/>
          <w:numId w:val="30"/>
        </w:numPr>
        <w:ind w:right="479" w:hanging="559"/>
      </w:pPr>
      <w:r>
        <w:t>NCCN Clinical Practice Guidelines in Oncology: L</w:t>
      </w:r>
      <w:r>
        <w:t xml:space="preserve">ung Cancer Screening. Version 1.2026 . Plymouth Meeting (PA): National Comprehensive Cancer Network; 2025. Доступно: </w:t>
      </w:r>
      <w:hyperlink r:id="rId70">
        <w:r>
          <w:rPr>
            <w:u w:val="single" w:color="000000"/>
          </w:rPr>
          <w:t>https</w:t>
        </w:r>
      </w:hyperlink>
      <w:hyperlink r:id="rId71">
        <w:r>
          <w:rPr>
            <w:rFonts w:ascii="Calibri" w:eastAsia="Calibri" w:hAnsi="Calibri" w:cs="Calibri"/>
            <w:sz w:val="22"/>
            <w:u w:val="single" w:color="000000"/>
          </w:rPr>
          <w:t>://</w:t>
        </w:r>
      </w:hyperlink>
      <w:hyperlink r:id="rId72">
        <w:r>
          <w:rPr>
            <w:u w:val="single" w:color="000000"/>
          </w:rPr>
          <w:t>www</w:t>
        </w:r>
      </w:hyperlink>
      <w:hyperlink r:id="rId73">
        <w:r>
          <w:rPr>
            <w:rFonts w:ascii="Calibri" w:eastAsia="Calibri" w:hAnsi="Calibri" w:cs="Calibri"/>
            <w:sz w:val="22"/>
            <w:u w:val="single" w:color="000000"/>
          </w:rPr>
          <w:t>.</w:t>
        </w:r>
      </w:hyperlink>
      <w:hyperlink r:id="rId74">
        <w:r>
          <w:rPr>
            <w:u w:val="single" w:color="000000"/>
          </w:rPr>
          <w:t>nccn</w:t>
        </w:r>
      </w:hyperlink>
      <w:hyperlink r:id="rId75">
        <w:r>
          <w:rPr>
            <w:rFonts w:ascii="Calibri" w:eastAsia="Calibri" w:hAnsi="Calibri" w:cs="Calibri"/>
            <w:sz w:val="22"/>
            <w:u w:val="single" w:color="000000"/>
          </w:rPr>
          <w:t>.</w:t>
        </w:r>
      </w:hyperlink>
      <w:hyperlink r:id="rId76">
        <w:r>
          <w:rPr>
            <w:u w:val="single" w:color="000000"/>
          </w:rPr>
          <w:t>org</w:t>
        </w:r>
      </w:hyperlink>
      <w:hyperlink r:id="rId77">
        <w:r>
          <w:rPr>
            <w:rFonts w:ascii="Calibri" w:eastAsia="Calibri" w:hAnsi="Calibri" w:cs="Calibri"/>
            <w:sz w:val="22"/>
            <w:u w:val="single" w:color="000000"/>
          </w:rPr>
          <w:t>/</w:t>
        </w:r>
      </w:hyperlink>
      <w:hyperlink r:id="rId78">
        <w:r>
          <w:rPr>
            <w:u w:val="single" w:color="000000"/>
          </w:rPr>
          <w:t>guidelines</w:t>
        </w:r>
      </w:hyperlink>
      <w:hyperlink r:id="rId79">
        <w:r>
          <w:rPr>
            <w:rFonts w:ascii="Calibri" w:eastAsia="Calibri" w:hAnsi="Calibri" w:cs="Calibri"/>
            <w:sz w:val="22"/>
            <w:u w:val="single" w:color="000000"/>
          </w:rPr>
          <w:t>/</w:t>
        </w:r>
      </w:hyperlink>
      <w:hyperlink r:id="rId80">
        <w:r>
          <w:rPr>
            <w:u w:val="single" w:color="000000"/>
          </w:rPr>
          <w:t>guidelines</w:t>
        </w:r>
      </w:hyperlink>
      <w:hyperlink r:id="rId81">
        <w:r>
          <w:rPr>
            <w:rFonts w:ascii="Calibri" w:eastAsia="Calibri" w:hAnsi="Calibri" w:cs="Calibri"/>
            <w:sz w:val="22"/>
            <w:u w:val="single" w:color="000000"/>
          </w:rPr>
          <w:t>-</w:t>
        </w:r>
      </w:hyperlink>
      <w:hyperlink r:id="rId82">
        <w:r>
          <w:rPr>
            <w:u w:val="single" w:color="000000"/>
          </w:rPr>
          <w:t>detail</w:t>
        </w:r>
      </w:hyperlink>
      <w:hyperlink r:id="rId83">
        <w:r>
          <w:rPr>
            <w:rFonts w:ascii="Calibri" w:eastAsia="Calibri" w:hAnsi="Calibri" w:cs="Calibri"/>
            <w:sz w:val="22"/>
            <w:u w:val="single" w:color="000000"/>
          </w:rPr>
          <w:t>?</w:t>
        </w:r>
      </w:hyperlink>
      <w:hyperlink r:id="rId84">
        <w:r>
          <w:rPr>
            <w:u w:val="single" w:color="000000"/>
          </w:rPr>
          <w:t>category</w:t>
        </w:r>
      </w:hyperlink>
      <w:hyperlink r:id="rId85">
        <w:r>
          <w:rPr>
            <w:rFonts w:ascii="Calibri" w:eastAsia="Calibri" w:hAnsi="Calibri" w:cs="Calibri"/>
            <w:sz w:val="22"/>
            <w:u w:val="single" w:color="000000"/>
          </w:rPr>
          <w:t>=2&amp;</w:t>
        </w:r>
      </w:hyperlink>
      <w:hyperlink r:id="rId86">
        <w:r>
          <w:rPr>
            <w:u w:val="single" w:color="000000"/>
          </w:rPr>
          <w:t>id</w:t>
        </w:r>
      </w:hyperlink>
      <w:hyperlink r:id="rId87">
        <w:r>
          <w:rPr>
            <w:rFonts w:ascii="Calibri" w:eastAsia="Calibri" w:hAnsi="Calibri" w:cs="Calibri"/>
            <w:sz w:val="22"/>
            <w:u w:val="single" w:color="000000"/>
          </w:rPr>
          <w:t>=1441</w:t>
        </w:r>
      </w:hyperlink>
      <w:hyperlink r:id="rId88">
        <w:r>
          <w:t xml:space="preserve"> </w:t>
        </w:r>
      </w:hyperlink>
    </w:p>
    <w:p w:rsidR="00325AD1" w:rsidRDefault="008C5E81">
      <w:pPr>
        <w:numPr>
          <w:ilvl w:val="0"/>
          <w:numId w:val="30"/>
        </w:numPr>
        <w:ind w:right="479" w:hanging="559"/>
      </w:pPr>
      <w:r>
        <w:t>Knighton BJ, Ngaage LM, Calvert C, Niederhaus SV, Scalea JR, Rasko YM. PostAbdominal Transplant Hernia: Can We Predict Size and Onset? Transplant Proc. 2021 Mar;53(2):7</w:t>
      </w:r>
      <w:r>
        <w:t xml:space="preserve">30-736. doi: 10.1016/j.transproceed.2020.10.028.  </w:t>
      </w:r>
    </w:p>
    <w:p w:rsidR="00325AD1" w:rsidRDefault="008C5E81">
      <w:pPr>
        <w:numPr>
          <w:ilvl w:val="0"/>
          <w:numId w:val="30"/>
        </w:numPr>
        <w:ind w:right="479" w:hanging="559"/>
      </w:pPr>
      <w:r>
        <w:t xml:space="preserve">Brigham and Women's Hospital. Pancreas Transplant Patient Evaluation. Boston: Brigham and Women's Hospital; Доступно: </w:t>
      </w:r>
    </w:p>
    <w:p w:rsidR="00325AD1" w:rsidRDefault="008C5E81">
      <w:pPr>
        <w:ind w:left="137" w:right="479"/>
      </w:pPr>
      <w:r>
        <w:t>https://www.brighamandwomens.org/surgery/transplantation/pancreas-transplant/evaluatio</w:t>
      </w:r>
      <w:r>
        <w:t xml:space="preserve">n </w:t>
      </w:r>
    </w:p>
    <w:p w:rsidR="00325AD1" w:rsidRDefault="008C5E81">
      <w:pPr>
        <w:numPr>
          <w:ilvl w:val="0"/>
          <w:numId w:val="30"/>
        </w:numPr>
        <w:ind w:right="479" w:hanging="559"/>
      </w:pPr>
      <w:r>
        <w:t xml:space="preserve">University of Washington Medical Center. Dental Clearance for Pre-Kidney/Pancreas Transplant Evaluation. Seattle (WA): UW Medicine; 2025 [cited 2026 May 23]. Доступно: </w:t>
      </w:r>
    </w:p>
    <w:p w:rsidR="00325AD1" w:rsidRDefault="008C5E81">
      <w:pPr>
        <w:spacing w:after="1" w:line="257" w:lineRule="auto"/>
        <w:ind w:left="137"/>
        <w:jc w:val="left"/>
      </w:pPr>
      <w:hyperlink r:id="rId89">
        <w:r>
          <w:rPr>
            <w:u w:val="single" w:color="000000"/>
          </w:rPr>
          <w:t>https</w:t>
        </w:r>
      </w:hyperlink>
      <w:hyperlink r:id="rId90">
        <w:r>
          <w:rPr>
            <w:u w:val="single" w:color="000000"/>
          </w:rPr>
          <w:t>://</w:t>
        </w:r>
      </w:hyperlink>
      <w:hyperlink r:id="rId91">
        <w:r>
          <w:rPr>
            <w:u w:val="single" w:color="000000"/>
          </w:rPr>
          <w:t>www</w:t>
        </w:r>
      </w:hyperlink>
      <w:hyperlink r:id="rId92">
        <w:r>
          <w:rPr>
            <w:u w:val="single" w:color="000000"/>
          </w:rPr>
          <w:t>.</w:t>
        </w:r>
      </w:hyperlink>
      <w:hyperlink r:id="rId93">
        <w:r>
          <w:rPr>
            <w:u w:val="single" w:color="000000"/>
          </w:rPr>
          <w:t>uwmedicine</w:t>
        </w:r>
      </w:hyperlink>
      <w:hyperlink r:id="rId94">
        <w:r>
          <w:rPr>
            <w:u w:val="single" w:color="000000"/>
          </w:rPr>
          <w:t>.</w:t>
        </w:r>
      </w:hyperlink>
      <w:hyperlink r:id="rId95">
        <w:r>
          <w:rPr>
            <w:u w:val="single" w:color="000000"/>
          </w:rPr>
          <w:t>org</w:t>
        </w:r>
      </w:hyperlink>
      <w:hyperlink r:id="rId96">
        <w:r>
          <w:rPr>
            <w:u w:val="single" w:color="000000"/>
          </w:rPr>
          <w:t>/</w:t>
        </w:r>
      </w:hyperlink>
      <w:hyperlink r:id="rId97">
        <w:r>
          <w:rPr>
            <w:u w:val="single" w:color="000000"/>
          </w:rPr>
          <w:t>sites</w:t>
        </w:r>
      </w:hyperlink>
      <w:hyperlink r:id="rId98">
        <w:r>
          <w:rPr>
            <w:u w:val="single" w:color="000000"/>
          </w:rPr>
          <w:t>/</w:t>
        </w:r>
      </w:hyperlink>
      <w:hyperlink r:id="rId99">
        <w:r>
          <w:rPr>
            <w:u w:val="single" w:color="000000"/>
          </w:rPr>
          <w:t>stevie</w:t>
        </w:r>
      </w:hyperlink>
      <w:hyperlink r:id="rId100">
        <w:r>
          <w:rPr>
            <w:u w:val="single" w:color="000000"/>
          </w:rPr>
          <w:t>/</w:t>
        </w:r>
      </w:hyperlink>
      <w:hyperlink r:id="rId101">
        <w:r>
          <w:rPr>
            <w:u w:val="single" w:color="000000"/>
          </w:rPr>
          <w:t>files</w:t>
        </w:r>
      </w:hyperlink>
      <w:hyperlink r:id="rId102">
        <w:r>
          <w:rPr>
            <w:u w:val="single" w:color="000000"/>
          </w:rPr>
          <w:t>/2025</w:t>
        </w:r>
      </w:hyperlink>
      <w:hyperlink r:id="rId103">
        <w:r>
          <w:rPr>
            <w:u w:val="single" w:color="000000"/>
          </w:rPr>
          <w:t>-</w:t>
        </w:r>
      </w:hyperlink>
    </w:p>
    <w:p w:rsidR="00325AD1" w:rsidRDefault="008C5E81">
      <w:pPr>
        <w:spacing w:after="1" w:line="257" w:lineRule="auto"/>
        <w:ind w:left="137"/>
        <w:jc w:val="left"/>
      </w:pPr>
      <w:hyperlink r:id="rId104">
        <w:r>
          <w:rPr>
            <w:u w:val="single" w:color="000000"/>
          </w:rPr>
          <w:t>06/</w:t>
        </w:r>
      </w:hyperlink>
      <w:hyperlink r:id="rId105">
        <w:r>
          <w:rPr>
            <w:u w:val="single" w:color="000000"/>
          </w:rPr>
          <w:t>UW</w:t>
        </w:r>
      </w:hyperlink>
      <w:hyperlink r:id="rId106">
        <w:r>
          <w:rPr>
            <w:u w:val="single" w:color="000000"/>
          </w:rPr>
          <w:t>%20</w:t>
        </w:r>
      </w:hyperlink>
      <w:hyperlink r:id="rId107">
        <w:r>
          <w:rPr>
            <w:u w:val="single" w:color="000000"/>
          </w:rPr>
          <w:t>Medicine</w:t>
        </w:r>
      </w:hyperlink>
      <w:hyperlink r:id="rId108">
        <w:r>
          <w:rPr>
            <w:u w:val="single" w:color="000000"/>
          </w:rPr>
          <w:t>_</w:t>
        </w:r>
      </w:hyperlink>
      <w:hyperlink r:id="rId109">
        <w:r>
          <w:rPr>
            <w:u w:val="single" w:color="000000"/>
          </w:rPr>
          <w:t>Dental</w:t>
        </w:r>
      </w:hyperlink>
      <w:hyperlink r:id="rId110">
        <w:r>
          <w:rPr>
            <w:u w:val="single" w:color="000000"/>
          </w:rPr>
          <w:t>%20</w:t>
        </w:r>
      </w:hyperlink>
      <w:hyperlink r:id="rId111">
        <w:r>
          <w:rPr>
            <w:u w:val="single" w:color="000000"/>
          </w:rPr>
          <w:t>Clearance</w:t>
        </w:r>
      </w:hyperlink>
      <w:hyperlink r:id="rId112">
        <w:r>
          <w:rPr>
            <w:u w:val="single" w:color="000000"/>
          </w:rPr>
          <w:t>%20</w:t>
        </w:r>
      </w:hyperlink>
      <w:hyperlink r:id="rId113">
        <w:r>
          <w:rPr>
            <w:u w:val="single" w:color="000000"/>
          </w:rPr>
          <w:t>Form</w:t>
        </w:r>
      </w:hyperlink>
      <w:hyperlink r:id="rId114">
        <w:r>
          <w:rPr>
            <w:u w:val="single" w:color="000000"/>
          </w:rPr>
          <w:t>.</w:t>
        </w:r>
      </w:hyperlink>
      <w:hyperlink r:id="rId115">
        <w:r>
          <w:rPr>
            <w:u w:val="single" w:color="000000"/>
          </w:rPr>
          <w:t>pdf</w:t>
        </w:r>
      </w:hyperlink>
      <w:hyperlink r:id="rId116">
        <w:r>
          <w:t xml:space="preserve"> </w:t>
        </w:r>
      </w:hyperlink>
      <w:r>
        <w:t xml:space="preserve"> </w:t>
      </w:r>
    </w:p>
    <w:p w:rsidR="00325AD1" w:rsidRDefault="008C5E81">
      <w:pPr>
        <w:numPr>
          <w:ilvl w:val="0"/>
          <w:numId w:val="30"/>
        </w:numPr>
        <w:ind w:right="479" w:hanging="559"/>
      </w:pPr>
      <w:r>
        <w:t xml:space="preserve">VCU Health. Candidate Evaluation for Pancreas Transplant. Richmond (VA): VCU Health; </w:t>
      </w:r>
    </w:p>
    <w:p w:rsidR="00325AD1" w:rsidRDefault="008C5E81">
      <w:pPr>
        <w:spacing w:after="1" w:line="257" w:lineRule="auto"/>
        <w:ind w:left="137"/>
        <w:jc w:val="left"/>
      </w:pPr>
      <w:r>
        <w:t xml:space="preserve">[cited </w:t>
      </w:r>
      <w:r>
        <w:tab/>
        <w:t xml:space="preserve">2026 </w:t>
      </w:r>
      <w:r>
        <w:tab/>
        <w:t xml:space="preserve">May </w:t>
      </w:r>
      <w:r>
        <w:tab/>
        <w:t xml:space="preserve">23]. </w:t>
      </w:r>
      <w:r>
        <w:tab/>
        <w:t xml:space="preserve">Доступно: </w:t>
      </w:r>
      <w:r>
        <w:tab/>
      </w:r>
      <w:hyperlink r:id="rId117">
        <w:r>
          <w:rPr>
            <w:u w:val="single" w:color="000000"/>
          </w:rPr>
          <w:t>https</w:t>
        </w:r>
      </w:hyperlink>
      <w:hyperlink r:id="rId118">
        <w:r>
          <w:rPr>
            <w:rFonts w:ascii="Calibri" w:eastAsia="Calibri" w:hAnsi="Calibri" w:cs="Calibri"/>
            <w:sz w:val="22"/>
            <w:u w:val="single" w:color="000000"/>
          </w:rPr>
          <w:t>://</w:t>
        </w:r>
      </w:hyperlink>
      <w:hyperlink r:id="rId119">
        <w:r>
          <w:rPr>
            <w:u w:val="single" w:color="000000"/>
          </w:rPr>
          <w:t>www</w:t>
        </w:r>
      </w:hyperlink>
      <w:hyperlink r:id="rId120">
        <w:r>
          <w:rPr>
            <w:rFonts w:ascii="Calibri" w:eastAsia="Calibri" w:hAnsi="Calibri" w:cs="Calibri"/>
            <w:sz w:val="22"/>
            <w:u w:val="single" w:color="000000"/>
          </w:rPr>
          <w:t>.</w:t>
        </w:r>
      </w:hyperlink>
      <w:hyperlink r:id="rId121">
        <w:r>
          <w:rPr>
            <w:u w:val="single" w:color="000000"/>
          </w:rPr>
          <w:t>vcuhealth</w:t>
        </w:r>
      </w:hyperlink>
      <w:hyperlink r:id="rId122">
        <w:r>
          <w:rPr>
            <w:rFonts w:ascii="Calibri" w:eastAsia="Calibri" w:hAnsi="Calibri" w:cs="Calibri"/>
            <w:sz w:val="22"/>
            <w:u w:val="single" w:color="000000"/>
          </w:rPr>
          <w:t>.</w:t>
        </w:r>
      </w:hyperlink>
      <w:hyperlink r:id="rId123">
        <w:r>
          <w:rPr>
            <w:u w:val="single" w:color="000000"/>
          </w:rPr>
          <w:t>org</w:t>
        </w:r>
      </w:hyperlink>
      <w:hyperlink r:id="rId124">
        <w:r>
          <w:rPr>
            <w:rFonts w:ascii="Calibri" w:eastAsia="Calibri" w:hAnsi="Calibri" w:cs="Calibri"/>
            <w:sz w:val="22"/>
            <w:u w:val="single" w:color="000000"/>
          </w:rPr>
          <w:t>/</w:t>
        </w:r>
      </w:hyperlink>
      <w:hyperlink r:id="rId125">
        <w:r>
          <w:rPr>
            <w:u w:val="single" w:color="000000"/>
          </w:rPr>
          <w:t>hume</w:t>
        </w:r>
      </w:hyperlink>
      <w:hyperlink r:id="rId126">
        <w:r>
          <w:rPr>
            <w:rFonts w:ascii="Calibri" w:eastAsia="Calibri" w:hAnsi="Calibri" w:cs="Calibri"/>
            <w:sz w:val="22"/>
            <w:u w:val="single" w:color="000000"/>
          </w:rPr>
          <w:t>-</w:t>
        </w:r>
      </w:hyperlink>
      <w:hyperlink r:id="rId127">
        <w:r>
          <w:rPr>
            <w:u w:val="single" w:color="000000"/>
          </w:rPr>
          <w:t>lee</w:t>
        </w:r>
      </w:hyperlink>
      <w:hyperlink r:id="rId128">
        <w:r>
          <w:rPr>
            <w:rFonts w:ascii="Calibri" w:eastAsia="Calibri" w:hAnsi="Calibri" w:cs="Calibri"/>
            <w:sz w:val="22"/>
            <w:u w:val="single" w:color="000000"/>
          </w:rPr>
          <w:t>-</w:t>
        </w:r>
      </w:hyperlink>
      <w:hyperlink r:id="rId129">
        <w:r>
          <w:rPr>
            <w:u w:val="single" w:color="000000"/>
          </w:rPr>
          <w:t>transplant</w:t>
        </w:r>
      </w:hyperlink>
      <w:hyperlink r:id="rId130"/>
      <w:hyperlink r:id="rId131">
        <w:r>
          <w:rPr>
            <w:u w:val="single" w:color="000000"/>
          </w:rPr>
          <w:t>center</w:t>
        </w:r>
      </w:hyperlink>
      <w:hyperlink r:id="rId132">
        <w:r>
          <w:rPr>
            <w:rFonts w:ascii="Calibri" w:eastAsia="Calibri" w:hAnsi="Calibri" w:cs="Calibri"/>
            <w:sz w:val="22"/>
            <w:u w:val="single" w:color="000000"/>
          </w:rPr>
          <w:t>/</w:t>
        </w:r>
      </w:hyperlink>
      <w:hyperlink r:id="rId133">
        <w:r>
          <w:rPr>
            <w:u w:val="single" w:color="000000"/>
          </w:rPr>
          <w:t>programs</w:t>
        </w:r>
      </w:hyperlink>
      <w:hyperlink r:id="rId134">
        <w:r>
          <w:rPr>
            <w:rFonts w:ascii="Calibri" w:eastAsia="Calibri" w:hAnsi="Calibri" w:cs="Calibri"/>
            <w:sz w:val="22"/>
            <w:u w:val="single" w:color="000000"/>
          </w:rPr>
          <w:t>-</w:t>
        </w:r>
      </w:hyperlink>
      <w:hyperlink r:id="rId135">
        <w:r>
          <w:rPr>
            <w:u w:val="single" w:color="000000"/>
          </w:rPr>
          <w:t>and</w:t>
        </w:r>
      </w:hyperlink>
      <w:hyperlink r:id="rId136">
        <w:r>
          <w:rPr>
            <w:rFonts w:ascii="Calibri" w:eastAsia="Calibri" w:hAnsi="Calibri" w:cs="Calibri"/>
            <w:sz w:val="22"/>
            <w:u w:val="single" w:color="000000"/>
          </w:rPr>
          <w:t>-</w:t>
        </w:r>
      </w:hyperlink>
      <w:hyperlink r:id="rId137">
        <w:r>
          <w:rPr>
            <w:u w:val="single" w:color="000000"/>
          </w:rPr>
          <w:t>expertise</w:t>
        </w:r>
      </w:hyperlink>
      <w:hyperlink r:id="rId138">
        <w:r>
          <w:rPr>
            <w:rFonts w:ascii="Calibri" w:eastAsia="Calibri" w:hAnsi="Calibri" w:cs="Calibri"/>
            <w:sz w:val="22"/>
            <w:u w:val="single" w:color="000000"/>
          </w:rPr>
          <w:t>/</w:t>
        </w:r>
      </w:hyperlink>
      <w:hyperlink r:id="rId139">
        <w:r>
          <w:rPr>
            <w:u w:val="single" w:color="000000"/>
          </w:rPr>
          <w:t>pancreas</w:t>
        </w:r>
      </w:hyperlink>
      <w:hyperlink r:id="rId140">
        <w:r>
          <w:rPr>
            <w:rFonts w:ascii="Calibri" w:eastAsia="Calibri" w:hAnsi="Calibri" w:cs="Calibri"/>
            <w:sz w:val="22"/>
            <w:u w:val="single" w:color="000000"/>
          </w:rPr>
          <w:t>-</w:t>
        </w:r>
      </w:hyperlink>
      <w:hyperlink r:id="rId141">
        <w:r>
          <w:rPr>
            <w:u w:val="single" w:color="000000"/>
          </w:rPr>
          <w:t>transplant</w:t>
        </w:r>
      </w:hyperlink>
      <w:hyperlink r:id="rId142">
        <w:r>
          <w:rPr>
            <w:rFonts w:ascii="Calibri" w:eastAsia="Calibri" w:hAnsi="Calibri" w:cs="Calibri"/>
            <w:sz w:val="22"/>
            <w:u w:val="single" w:color="000000"/>
          </w:rPr>
          <w:t>/</w:t>
        </w:r>
      </w:hyperlink>
      <w:hyperlink r:id="rId143">
        <w:r>
          <w:rPr>
            <w:u w:val="single" w:color="000000"/>
          </w:rPr>
          <w:t>candidate</w:t>
        </w:r>
      </w:hyperlink>
      <w:hyperlink r:id="rId144">
        <w:r>
          <w:rPr>
            <w:rFonts w:ascii="Calibri" w:eastAsia="Calibri" w:hAnsi="Calibri" w:cs="Calibri"/>
            <w:sz w:val="22"/>
            <w:u w:val="single" w:color="000000"/>
          </w:rPr>
          <w:t>-</w:t>
        </w:r>
      </w:hyperlink>
      <w:hyperlink r:id="rId145">
        <w:r>
          <w:rPr>
            <w:u w:val="single" w:color="000000"/>
          </w:rPr>
          <w:t>evaluation</w:t>
        </w:r>
      </w:hyperlink>
      <w:hyperlink r:id="rId146">
        <w:r>
          <w:rPr>
            <w:rFonts w:ascii="Calibri" w:eastAsia="Calibri" w:hAnsi="Calibri" w:cs="Calibri"/>
            <w:sz w:val="22"/>
            <w:u w:val="single" w:color="000000"/>
          </w:rPr>
          <w:t>/</w:t>
        </w:r>
      </w:hyperlink>
      <w:hyperlink r:id="rId147">
        <w:r>
          <w:t xml:space="preserve"> </w:t>
        </w:r>
      </w:hyperlink>
    </w:p>
    <w:p w:rsidR="00325AD1" w:rsidRDefault="008C5E81">
      <w:pPr>
        <w:numPr>
          <w:ilvl w:val="0"/>
          <w:numId w:val="30"/>
        </w:numPr>
        <w:ind w:right="479" w:hanging="559"/>
      </w:pPr>
      <w:r>
        <w:t xml:space="preserve">Macech M, Grochowiecki </w:t>
      </w:r>
      <w:r>
        <w:t>T, Durlik M, Pączek L, Nazarewski S. Impact of Pretransplant C-Reactive Protein, Neutrophiles, Platelets, and Albumin Levels on Recipient Survival After Simultaneous Pancreas and Kidney Transplantation. Transplant Proc. 2024 May;56(4):806-812. doi: 10.1016</w:t>
      </w:r>
      <w:r>
        <w:t xml:space="preserve">/j.transproceed.2024.03.030.  </w:t>
      </w:r>
    </w:p>
    <w:p w:rsidR="00325AD1" w:rsidRDefault="008C5E81">
      <w:pPr>
        <w:numPr>
          <w:ilvl w:val="0"/>
          <w:numId w:val="30"/>
        </w:numPr>
        <w:ind w:right="479" w:hanging="559"/>
      </w:pPr>
      <w:r>
        <w:t xml:space="preserve">KDIGO. Clinical Practice Guideline on the Evaluation and Management of Candidates for Kidney Transplantation. 2020 </w:t>
      </w:r>
    </w:p>
    <w:p w:rsidR="00325AD1" w:rsidRDefault="008C5E81">
      <w:pPr>
        <w:numPr>
          <w:ilvl w:val="0"/>
          <w:numId w:val="30"/>
        </w:numPr>
        <w:ind w:right="479" w:hanging="559"/>
      </w:pPr>
      <w:r>
        <w:t xml:space="preserve">Collins BH, Shapiro R. Kidney Transplantation Periprocedural Care: Preprocedural </w:t>
      </w:r>
    </w:p>
    <w:p w:rsidR="00325AD1" w:rsidRDefault="008C5E81">
      <w:pPr>
        <w:tabs>
          <w:tab w:val="center" w:pos="2283"/>
          <w:tab w:val="center" w:pos="3496"/>
          <w:tab w:val="center" w:pos="4697"/>
          <w:tab w:val="center" w:pos="6243"/>
          <w:tab w:val="center" w:pos="7528"/>
          <w:tab w:val="center" w:pos="8825"/>
        </w:tabs>
        <w:ind w:left="0" w:firstLine="0"/>
        <w:jc w:val="left"/>
      </w:pPr>
      <w:r>
        <w:t xml:space="preserve">Evaluation, </w:t>
      </w:r>
      <w:r>
        <w:tab/>
        <w:t xml:space="preserve">Monitoring </w:t>
      </w:r>
      <w:r>
        <w:tab/>
        <w:t>an</w:t>
      </w:r>
      <w:r>
        <w:t xml:space="preserve">d </w:t>
      </w:r>
      <w:r>
        <w:tab/>
        <w:t xml:space="preserve">Follow-up. </w:t>
      </w:r>
      <w:r>
        <w:tab/>
        <w:t xml:space="preserve">Medscape; </w:t>
      </w:r>
      <w:r>
        <w:tab/>
        <w:t xml:space="preserve">2025. </w:t>
      </w:r>
      <w:r>
        <w:tab/>
        <w:t xml:space="preserve">Доступно: </w:t>
      </w:r>
    </w:p>
    <w:p w:rsidR="00325AD1" w:rsidRDefault="008C5E81">
      <w:pPr>
        <w:spacing w:after="1" w:line="257" w:lineRule="auto"/>
        <w:ind w:left="137"/>
        <w:jc w:val="left"/>
      </w:pPr>
      <w:hyperlink r:id="rId148">
        <w:r>
          <w:rPr>
            <w:u w:val="single" w:color="000000"/>
          </w:rPr>
          <w:t>https://emedicine.medscape.com/article/430128</w:t>
        </w:r>
      </w:hyperlink>
      <w:hyperlink r:id="rId149">
        <w:r>
          <w:rPr>
            <w:u w:val="single" w:color="000000"/>
          </w:rPr>
          <w:t>-</w:t>
        </w:r>
      </w:hyperlink>
      <w:hyperlink r:id="rId150">
        <w:r>
          <w:rPr>
            <w:u w:val="single" w:color="000000"/>
          </w:rPr>
          <w:t>periprocedure</w:t>
        </w:r>
      </w:hyperlink>
      <w:hyperlink r:id="rId151">
        <w:r>
          <w:t xml:space="preserve"> </w:t>
        </w:r>
      </w:hyperlink>
    </w:p>
    <w:p w:rsidR="00325AD1" w:rsidRDefault="008C5E81">
      <w:pPr>
        <w:numPr>
          <w:ilvl w:val="0"/>
          <w:numId w:val="30"/>
        </w:numPr>
        <w:ind w:right="479" w:hanging="559"/>
      </w:pPr>
      <w:r>
        <w:t xml:space="preserve">UPMC. Pre- and Posttransplant Tests: What to Expect. Pittsburgh, 2025. — URL: </w:t>
      </w:r>
      <w:hyperlink r:id="rId152">
        <w:r>
          <w:rPr>
            <w:u w:val="single" w:color="000000"/>
          </w:rPr>
          <w:t>https://dam.upmc.com/services/transplant/services/tests</w:t>
        </w:r>
      </w:hyperlink>
      <w:hyperlink r:id="rId153">
        <w:r>
          <w:t xml:space="preserve"> </w:t>
        </w:r>
      </w:hyperlink>
    </w:p>
    <w:p w:rsidR="00325AD1" w:rsidRDefault="008C5E81">
      <w:pPr>
        <w:numPr>
          <w:ilvl w:val="0"/>
          <w:numId w:val="30"/>
        </w:numPr>
        <w:ind w:right="479" w:hanging="559"/>
      </w:pPr>
      <w:r>
        <w:t>Rao JS, Shapiro R. Pancreas Transplantation Workup: Panc</w:t>
      </w:r>
      <w:r>
        <w:t xml:space="preserve">reas Transplant Candidate Evaluation. Medscape. 2022. </w:t>
      </w:r>
    </w:p>
    <w:p w:rsidR="00325AD1" w:rsidRDefault="008C5E81">
      <w:pPr>
        <w:numPr>
          <w:ilvl w:val="0"/>
          <w:numId w:val="30"/>
        </w:numPr>
        <w:ind w:right="479" w:hanging="559"/>
      </w:pPr>
      <w:r>
        <w:t>Cahalane AM, Mojtahed A, Sahani DV, Elias N, Kambadakone AR. Pre-hepatic and prepancreatic transplant donor evaluation. Cardiovasc Diagn Ther. 2019 Aug;9(Suppl 1):S97-S115. doi: 10.21037/cdt.2018.09.14</w:t>
      </w:r>
      <w:r>
        <w:t xml:space="preserve">.  </w:t>
      </w:r>
    </w:p>
    <w:p w:rsidR="00325AD1" w:rsidRDefault="008C5E81">
      <w:pPr>
        <w:numPr>
          <w:ilvl w:val="0"/>
          <w:numId w:val="30"/>
        </w:numPr>
        <w:ind w:right="479" w:hanging="559"/>
      </w:pPr>
      <w:r>
        <w:t>Caserta MP, Perez RL, Brown DM, Adler CR, Desai MA, LeGout JD, Clingan MJ, Kurup AN, Clendenon JN, Mao SA, Dahiya N, Alexander LF. Pancreas Transplantation: Anatomy, Imaging, and Complications. Radiographics. 2025 Sep;45(9):e240180. doi: 10.1148/rg.240</w:t>
      </w:r>
      <w:r>
        <w:t xml:space="preserve">180. </w:t>
      </w:r>
    </w:p>
    <w:p w:rsidR="00325AD1" w:rsidRDefault="008C5E81">
      <w:pPr>
        <w:numPr>
          <w:ilvl w:val="0"/>
          <w:numId w:val="30"/>
        </w:numPr>
        <w:ind w:right="479" w:hanging="559"/>
      </w:pPr>
      <w:r>
        <w:t>Kidney Disease: Improving Global Outcomes (KDIGO) Kidney Transplant Candidate Work Group. KDIGO Clinical Practice Guideline on the Evaluation and Management of Candidates for Kidney Transplantation. Transplantation. 2020;104(4S1):S1-S103. doi:10.1097</w:t>
      </w:r>
      <w:r>
        <w:t xml:space="preserve">/TP.0000000000003136 </w:t>
      </w:r>
    </w:p>
    <w:p w:rsidR="00325AD1" w:rsidRDefault="008C5E81">
      <w:pPr>
        <w:numPr>
          <w:ilvl w:val="0"/>
          <w:numId w:val="30"/>
        </w:numPr>
        <w:ind w:right="479" w:hanging="559"/>
      </w:pPr>
      <w:r>
        <w:t xml:space="preserve">Puttarajappa CM, Hariharan S, Formica RN, et al. KDOQI US Commentary on the 2020 </w:t>
      </w:r>
    </w:p>
    <w:p w:rsidR="00325AD1" w:rsidRDefault="008C5E81">
      <w:pPr>
        <w:spacing w:after="0" w:line="241" w:lineRule="auto"/>
        <w:ind w:left="137" w:right="407"/>
        <w:jc w:val="left"/>
      </w:pPr>
      <w:r>
        <w:t xml:space="preserve">KDIGO Clinical Practice Guideline on the Evaluation and Management of Candidates for Kidney </w:t>
      </w:r>
      <w:r>
        <w:tab/>
        <w:t xml:space="preserve">Transplantation. </w:t>
      </w:r>
      <w:r>
        <w:tab/>
        <w:t xml:space="preserve">Am </w:t>
      </w:r>
      <w:r>
        <w:tab/>
        <w:t xml:space="preserve">J </w:t>
      </w:r>
      <w:r>
        <w:tab/>
        <w:t xml:space="preserve">Kidney </w:t>
      </w:r>
      <w:r>
        <w:tab/>
        <w:t xml:space="preserve">Dis. </w:t>
      </w:r>
      <w:r>
        <w:tab/>
        <w:t xml:space="preserve">2021;77(6):833-856. </w:t>
      </w:r>
      <w:r>
        <w:t xml:space="preserve">doi:10.1053/j.ajkd.2020.11.018. </w:t>
      </w:r>
    </w:p>
    <w:p w:rsidR="00325AD1" w:rsidRDefault="008C5E81">
      <w:pPr>
        <w:numPr>
          <w:ilvl w:val="0"/>
          <w:numId w:val="30"/>
        </w:numPr>
        <w:ind w:right="479" w:hanging="559"/>
      </w:pPr>
      <w:r>
        <w:t xml:space="preserve">British Transplantation Society. UK Guidelines on Pancreas and Islet Transplantation. September 2019. Available from: </w:t>
      </w:r>
      <w:hyperlink r:id="rId154">
        <w:r>
          <w:rPr>
            <w:u w:val="single" w:color="000000"/>
          </w:rPr>
          <w:t>https://bts.org.uk/guidelines</w:t>
        </w:r>
      </w:hyperlink>
      <w:hyperlink r:id="rId155">
        <w:r>
          <w:rPr>
            <w:u w:val="single" w:color="000000"/>
          </w:rPr>
          <w:t>-</w:t>
        </w:r>
      </w:hyperlink>
      <w:hyperlink r:id="rId156">
        <w:r>
          <w:rPr>
            <w:u w:val="single" w:color="000000"/>
          </w:rPr>
          <w:t>standards/</w:t>
        </w:r>
      </w:hyperlink>
      <w:hyperlink r:id="rId157">
        <w:r>
          <w:t>.</w:t>
        </w:r>
      </w:hyperlink>
      <w:r>
        <w:t xml:space="preserve"> </w:t>
      </w:r>
    </w:p>
    <w:p w:rsidR="00325AD1" w:rsidRDefault="008C5E81">
      <w:pPr>
        <w:numPr>
          <w:ilvl w:val="0"/>
          <w:numId w:val="30"/>
        </w:numPr>
        <w:ind w:right="479" w:hanging="559"/>
      </w:pPr>
      <w:r>
        <w:t>NHS Blood and Transplant. POL185/7 - Pancreas Transplantation: Patient Selecti</w:t>
      </w:r>
      <w:r>
        <w:t xml:space="preserve">on. September 2025. Available from: </w:t>
      </w:r>
      <w:hyperlink r:id="rId158">
        <w:r>
          <w:rPr>
            <w:u w:val="single" w:color="000000"/>
          </w:rPr>
          <w:t>https://www.odt.nhs.uk/transplantation/pancreas</w:t>
        </w:r>
      </w:hyperlink>
      <w:hyperlink r:id="rId159">
        <w:r>
          <w:t>.</w:t>
        </w:r>
      </w:hyperlink>
      <w:r>
        <w:t xml:space="preserve"> </w:t>
      </w:r>
    </w:p>
    <w:p w:rsidR="00325AD1" w:rsidRDefault="008C5E81">
      <w:pPr>
        <w:numPr>
          <w:ilvl w:val="0"/>
          <w:numId w:val="30"/>
        </w:numPr>
        <w:ind w:right="479" w:hanging="559"/>
      </w:pPr>
      <w:r>
        <w:t>Malinis M, Boucher HW; AST Infectiou</w:t>
      </w:r>
      <w:r>
        <w:t xml:space="preserve">s Diseases Community of Practice. Screening of donor and candidate prior to solid organ transplantation - Guidelines from the American Society of Transplantation Infectious Diseases Community of Practice. Clin Transplant. </w:t>
      </w:r>
    </w:p>
    <w:p w:rsidR="00325AD1" w:rsidRDefault="008C5E81">
      <w:pPr>
        <w:ind w:left="137" w:right="479"/>
      </w:pPr>
      <w:r>
        <w:t>2019;33(9):e13548. doi:10.1111/ct</w:t>
      </w:r>
      <w:r>
        <w:t xml:space="preserve">r.13548 </w:t>
      </w:r>
    </w:p>
    <w:p w:rsidR="00325AD1" w:rsidRDefault="008C5E81">
      <w:pPr>
        <w:numPr>
          <w:ilvl w:val="0"/>
          <w:numId w:val="30"/>
        </w:numPr>
        <w:ind w:right="479" w:hanging="559"/>
      </w:pPr>
      <w:r>
        <w:t xml:space="preserve">Kotton CN, Kumar D, Caliendo AM, et al. The Fourth International Consensus Guidelines on the Management of Cytomegalovirus in Solid Organ Transplantation. Transplantation. 2025;109(7):1340-1400. doi:10.1097/TP.0000000000005357 </w:t>
      </w:r>
    </w:p>
    <w:p w:rsidR="00325AD1" w:rsidRDefault="008C5E81">
      <w:pPr>
        <w:numPr>
          <w:ilvl w:val="0"/>
          <w:numId w:val="30"/>
        </w:numPr>
        <w:ind w:right="479" w:hanging="559"/>
      </w:pPr>
      <w:r>
        <w:t>Aslam S, Rotstein C</w:t>
      </w:r>
      <w:r>
        <w:t>; AST Infectious Diseases Community of Practice. Candida infections in solid organ transplantation: Guidelines from the American Society of Transplantation Infectious Diseases Community of Practice. Clin Transplant. 2019;33(9):e13623. doi:10.1111/ctr.13623</w:t>
      </w:r>
      <w:r>
        <w:t xml:space="preserve">. </w:t>
      </w:r>
    </w:p>
    <w:p w:rsidR="00325AD1" w:rsidRDefault="008C5E81">
      <w:pPr>
        <w:numPr>
          <w:ilvl w:val="0"/>
          <w:numId w:val="30"/>
        </w:numPr>
        <w:ind w:right="479" w:hanging="559"/>
      </w:pPr>
      <w:r>
        <w:t xml:space="preserve">Stylemans D., De Smet S., Calders P., Van Craenenbroeck A.H. Physical Exercise After Solid Organ Transplantation: A Cautionary Tale. Transplant International. 2024;37:12448. doi:10.3389/ti.2024.12448.  </w:t>
      </w:r>
    </w:p>
    <w:p w:rsidR="00325AD1" w:rsidRDefault="008C5E81">
      <w:pPr>
        <w:numPr>
          <w:ilvl w:val="0"/>
          <w:numId w:val="30"/>
        </w:numPr>
        <w:ind w:right="479" w:hanging="559"/>
      </w:pPr>
      <w:r>
        <w:t>De Smet S., Van Craenenbroeck A.H. Exercise traini</w:t>
      </w:r>
      <w:r>
        <w:t xml:space="preserve">ng in patients after kidney transplantation. Clinical Kidney Journal. 2021;14(Suppl 2):ii15–ii24. doi:10.1093/ckj/sfab022.  246. Billany R.E., Bishop N.C., Eves N.D., et al. Physical activity interventions in adult kidney transplant recipients: an updated </w:t>
      </w:r>
      <w:r>
        <w:t xml:space="preserve">systematic review and meta-analysis of randomized controlled trials. Renal Failure. 2025;47(1):2480246. doi:10.1080/0886022X.2025.2480246.  </w:t>
      </w:r>
    </w:p>
    <w:p w:rsidR="00325AD1" w:rsidRDefault="008C5E81">
      <w:pPr>
        <w:numPr>
          <w:ilvl w:val="0"/>
          <w:numId w:val="31"/>
        </w:numPr>
        <w:ind w:right="479" w:hanging="494"/>
      </w:pPr>
      <w:r>
        <w:t xml:space="preserve">Baker L.A., March D.S., Wilkinson T.J., Billany R.E., Bishop N.C., Castle E.M., Chilcot </w:t>
      </w:r>
    </w:p>
    <w:p w:rsidR="00325AD1" w:rsidRDefault="008C5E81">
      <w:pPr>
        <w:ind w:left="137" w:right="479"/>
      </w:pPr>
      <w:r>
        <w:t>J., Davies M.D., Graham-Br</w:t>
      </w:r>
      <w:r>
        <w:t xml:space="preserve">own M.P.M., Greenwood S.A., Jesky M.D., Koufaki P., Lightfoot C.J., Macdonald J.H., Nixon A.C., Roscoe C.M.P., Smith A.C., Burton J.O. Clinical practice guideline exercise and lifestyle in chronic kidney disease. BMC Nephrology. 2022;23:75. </w:t>
      </w:r>
    </w:p>
    <w:p w:rsidR="00325AD1" w:rsidRDefault="008C5E81">
      <w:pPr>
        <w:ind w:left="137" w:right="479"/>
      </w:pPr>
      <w:r>
        <w:t>doi:10.1186/s1</w:t>
      </w:r>
      <w:r>
        <w:t xml:space="preserve">2882-021-02618-1. </w:t>
      </w:r>
    </w:p>
    <w:p w:rsidR="00325AD1" w:rsidRDefault="008C5E81">
      <w:pPr>
        <w:numPr>
          <w:ilvl w:val="0"/>
          <w:numId w:val="31"/>
        </w:numPr>
        <w:ind w:right="479" w:hanging="494"/>
      </w:pPr>
      <w:r>
        <w:t xml:space="preserve">NHS Blood and Transplant. Staying healthy after a pancreas transplant. NHSBT; 2026. Available from: NHS Blood and Transplant website. Accessed 24 May 2026. </w:t>
      </w:r>
    </w:p>
    <w:p w:rsidR="00325AD1" w:rsidRDefault="008C5E81">
      <w:pPr>
        <w:numPr>
          <w:ilvl w:val="0"/>
          <w:numId w:val="31"/>
        </w:numPr>
        <w:ind w:right="479" w:hanging="494"/>
      </w:pPr>
      <w:r>
        <w:t>NHS Blood and Transplant. Pancreas Transplantation: Patient Selection. POL185/7.</w:t>
      </w:r>
      <w:r>
        <w:t xml:space="preserve"> NHSBT; 2025. </w:t>
      </w:r>
    </w:p>
    <w:p w:rsidR="00325AD1" w:rsidRDefault="008C5E81">
      <w:pPr>
        <w:numPr>
          <w:ilvl w:val="0"/>
          <w:numId w:val="31"/>
        </w:numPr>
        <w:ind w:right="479" w:hanging="494"/>
      </w:pPr>
      <w:r>
        <w:t xml:space="preserve">University Health Network. Pancreas Transplant Manual. Toronto General Hospital, Ajmera Transplant Centre; 2019. </w:t>
      </w:r>
    </w:p>
    <w:p w:rsidR="00325AD1" w:rsidRDefault="008C5E81">
      <w:pPr>
        <w:numPr>
          <w:ilvl w:val="0"/>
          <w:numId w:val="31"/>
        </w:numPr>
        <w:ind w:right="479" w:hanging="494"/>
      </w:pPr>
      <w:r>
        <w:t>KDIGO Transplant Work Group. KDIGO clinical practice guideline for the care of kidney transplant recipients. American Journal o</w:t>
      </w:r>
      <w:r>
        <w:t xml:space="preserve">f Transplantation. 2009;9 Suppl 3:S1–S157. </w:t>
      </w:r>
    </w:p>
    <w:p w:rsidR="00325AD1" w:rsidRDefault="008C5E81">
      <w:pPr>
        <w:numPr>
          <w:ilvl w:val="0"/>
          <w:numId w:val="31"/>
        </w:numPr>
        <w:ind w:right="479" w:hanging="494"/>
      </w:pPr>
      <w:r>
        <w:t>Baker R.J., Mark P.B., Patel R.K., Stevens K.K., Palmer N. Renal Association clinical practice guideline in post-operative care in the kidney transplant recipient. BMC Nephrology. 2017;18:174. doi:10.1186/s12882-</w:t>
      </w:r>
      <w:r>
        <w:t xml:space="preserve">017-0553-2. </w:t>
      </w:r>
    </w:p>
    <w:p w:rsidR="00325AD1" w:rsidRDefault="008C5E81">
      <w:pPr>
        <w:numPr>
          <w:ilvl w:val="0"/>
          <w:numId w:val="31"/>
        </w:numPr>
        <w:ind w:right="479" w:hanging="494"/>
      </w:pPr>
      <w:r>
        <w:t xml:space="preserve">National Kidney Foundation. Managing Kidney Transplant Recipients. NKF/KDOQI educational resource based on KDIGO/KDOQI recommendations. </w:t>
      </w:r>
    </w:p>
    <w:p w:rsidR="00325AD1" w:rsidRDefault="008C5E81">
      <w:pPr>
        <w:numPr>
          <w:ilvl w:val="0"/>
          <w:numId w:val="31"/>
        </w:numPr>
        <w:ind w:right="479" w:hanging="494"/>
      </w:pPr>
      <w:r>
        <w:t>Parajuli S., Djamali A. Pancreas Transplantation // StatPearls. Treasure Island (FL): StatPearls Publishin</w:t>
      </w:r>
      <w:r>
        <w:t xml:space="preserve">g, 2025. URL: </w:t>
      </w:r>
      <w:hyperlink r:id="rId160">
        <w:r>
          <w:rPr>
            <w:rFonts w:ascii="Calibri" w:eastAsia="Calibri" w:hAnsi="Calibri" w:cs="Calibri"/>
            <w:sz w:val="22"/>
            <w:u w:val="single" w:color="000000"/>
          </w:rPr>
          <w:t>https://www.ncbi.nlm.nih.gov/books/NBK562338</w:t>
        </w:r>
      </w:hyperlink>
      <w:hyperlink r:id="rId161">
        <w:r>
          <w:t xml:space="preserve"> </w:t>
        </w:r>
      </w:hyperlink>
    </w:p>
    <w:p w:rsidR="00325AD1" w:rsidRDefault="008C5E81">
      <w:pPr>
        <w:numPr>
          <w:ilvl w:val="0"/>
          <w:numId w:val="31"/>
        </w:numPr>
        <w:ind w:right="479" w:hanging="494"/>
      </w:pPr>
      <w:r>
        <w:t>Hau HM, Jahn N, Brunotte M, Wagner T, Rademacher S, Branzan D, Sucher E, Seehofer D, Sucher R. Pre-operative ankle-brachial index for cardiovascular risk assessment in simultaneous pancreas-kidney transplant recipients: a simple and elegant strategy! BMC S</w:t>
      </w:r>
      <w:r>
        <w:t xml:space="preserve">urg. 2021;21(1):156. doi: 10.1186/s12893-021-01159-6. </w:t>
      </w:r>
    </w:p>
    <w:p w:rsidR="00325AD1" w:rsidRDefault="008C5E81">
      <w:pPr>
        <w:numPr>
          <w:ilvl w:val="0"/>
          <w:numId w:val="31"/>
        </w:numPr>
        <w:ind w:right="479" w:hanging="494"/>
      </w:pPr>
      <w:r>
        <w:t>Sucher R, Rademacher S, Jahn N, Brunotte M, Wagner T, Alvanos A, Sucher E, Seehofer D, Scheuermann U, Hau HM. Effects of simultaneous pancreas-kidney transplantation and kidney transplantation alone on</w:t>
      </w:r>
      <w:r>
        <w:t xml:space="preserve"> the outcome of peripheral vascular diseases. BMC Nephrol. 2019;20(1):453. doi: 10.1186/s12882-019-1649-7. </w:t>
      </w:r>
    </w:p>
    <w:p w:rsidR="00325AD1" w:rsidRDefault="008C5E81">
      <w:pPr>
        <w:numPr>
          <w:ilvl w:val="0"/>
          <w:numId w:val="31"/>
        </w:numPr>
        <w:ind w:right="479" w:hanging="494"/>
      </w:pPr>
      <w:r>
        <w:t>Yang WQ, Cui XL, Zhang M, Yuan XD, Ying L, Li FH, Li HL. Preoperative evaluation of iliac blood vessels for first kidney transplant recipients: Comb</w:t>
      </w:r>
      <w:r>
        <w:t xml:space="preserve">ination of conventional and contrast-enhanced ultrasonography. Clin Hemorheol Microcirc. 2021;78(2):139-149. doi: 10.3233/CH-201054 </w:t>
      </w:r>
    </w:p>
    <w:p w:rsidR="00325AD1" w:rsidRDefault="008C5E81">
      <w:pPr>
        <w:numPr>
          <w:ilvl w:val="0"/>
          <w:numId w:val="31"/>
        </w:numPr>
        <w:ind w:right="479" w:hanging="494"/>
      </w:pPr>
      <w:r>
        <w:t xml:space="preserve">Elango, M.; Papalois, V. Working towards an ERAS Protocol for Pancreatic Transplantation: A Narrative Review. J. Clin. Med. 2021, 10, 1418. </w:t>
      </w:r>
      <w:hyperlink r:id="rId162">
        <w:r>
          <w:rPr>
            <w:u w:val="single" w:color="000000"/>
          </w:rPr>
          <w:t>https://doi.org/10.3390/jcm10071418</w:t>
        </w:r>
      </w:hyperlink>
      <w:hyperlink r:id="rId163">
        <w:r>
          <w:t xml:space="preserve"> </w:t>
        </w:r>
      </w:hyperlink>
    </w:p>
    <w:p w:rsidR="00325AD1" w:rsidRDefault="008C5E81">
      <w:pPr>
        <w:numPr>
          <w:ilvl w:val="0"/>
          <w:numId w:val="31"/>
        </w:numPr>
        <w:ind w:right="479" w:hanging="494"/>
      </w:pPr>
      <w:r>
        <w:t xml:space="preserve">Rao J. S., Shapiro R. Pancreas transplantation workup: pancreas transplant candidate evaluation, other tests// Medscape. URL: </w:t>
      </w:r>
      <w:hyperlink r:id="rId164">
        <w:r>
          <w:rPr>
            <w:rFonts w:ascii="Calibri" w:eastAsia="Calibri" w:hAnsi="Calibri" w:cs="Calibri"/>
            <w:sz w:val="22"/>
            <w:u w:val="single" w:color="000000"/>
          </w:rPr>
          <w:t>https://emedicine.medscape.</w:t>
        </w:r>
        <w:r>
          <w:rPr>
            <w:rFonts w:ascii="Calibri" w:eastAsia="Calibri" w:hAnsi="Calibri" w:cs="Calibri"/>
            <w:sz w:val="22"/>
            <w:u w:val="single" w:color="000000"/>
          </w:rPr>
          <w:t>com/article/429408</w:t>
        </w:r>
      </w:hyperlink>
      <w:hyperlink r:id="rId165">
        <w:r>
          <w:rPr>
            <w:rFonts w:ascii="Calibri" w:eastAsia="Calibri" w:hAnsi="Calibri" w:cs="Calibri"/>
            <w:sz w:val="22"/>
            <w:u w:val="single" w:color="000000"/>
          </w:rPr>
          <w:t>-</w:t>
        </w:r>
      </w:hyperlink>
      <w:hyperlink r:id="rId166">
        <w:r>
          <w:rPr>
            <w:rFonts w:ascii="Calibri" w:eastAsia="Calibri" w:hAnsi="Calibri" w:cs="Calibri"/>
            <w:sz w:val="22"/>
            <w:u w:val="single" w:color="000000"/>
          </w:rPr>
          <w:t>workup</w:t>
        </w:r>
      </w:hyperlink>
      <w:hyperlink r:id="rId167">
        <w:r>
          <w:t xml:space="preserve"> </w:t>
        </w:r>
      </w:hyperlink>
    </w:p>
    <w:p w:rsidR="00325AD1" w:rsidRDefault="008C5E81">
      <w:pPr>
        <w:numPr>
          <w:ilvl w:val="0"/>
          <w:numId w:val="31"/>
        </w:numPr>
        <w:ind w:right="479" w:hanging="494"/>
      </w:pPr>
      <w:r>
        <w:t xml:space="preserve">Giri S, Dash </w:t>
      </w:r>
      <w:r>
        <w:t xml:space="preserve">KA, Varghese J, Afzalpurkar S. The Role of Gastroenterologists in Preoperative Assessment and Management of Prospective Renal Transplantation Candidates. Euroasian J Hepatogastroenterol. 2023 Jan-Jun;13(1):18-25. doi: 10.5005/jp-journals-100181390. </w:t>
      </w:r>
    </w:p>
    <w:p w:rsidR="00325AD1" w:rsidRDefault="008C5E81">
      <w:pPr>
        <w:numPr>
          <w:ilvl w:val="0"/>
          <w:numId w:val="31"/>
        </w:numPr>
        <w:ind w:right="479" w:hanging="494"/>
      </w:pPr>
      <w:r>
        <w:t xml:space="preserve">Swaab </w:t>
      </w:r>
      <w:r>
        <w:t xml:space="preserve">TDA, Pol RA, Crop MJ, Sanders JF, Berger SP, Hofker HS, Bakker SJL, Te VeldeKeyzer CA. Short-term outcome after simultaneous pancreas-kidney transplantation with alemtuzumab vs. basiliximab induction: a single-center retrospective study. Sci Rep. 2025 Jul </w:t>
      </w:r>
      <w:r>
        <w:t xml:space="preserve">1;15(1):20732. doi: 10.1038/s41598-025-06750-y </w:t>
      </w:r>
    </w:p>
    <w:p w:rsidR="00325AD1" w:rsidRDefault="008C5E81">
      <w:pPr>
        <w:numPr>
          <w:ilvl w:val="0"/>
          <w:numId w:val="31"/>
        </w:numPr>
        <w:spacing w:after="0" w:line="271" w:lineRule="auto"/>
        <w:ind w:right="479" w:hanging="494"/>
      </w:pPr>
      <w:r>
        <w:t xml:space="preserve">Basiliximab (Simulect) [Электронный ресурс] // Edinburgh Renal Unit Handbook. URL: </w:t>
      </w:r>
      <w:hyperlink r:id="rId168">
        <w:r>
          <w:rPr>
            <w:rFonts w:ascii="Calibri" w:eastAsia="Calibri" w:hAnsi="Calibri" w:cs="Calibri"/>
            <w:sz w:val="22"/>
            <w:u w:val="single" w:color="000000"/>
          </w:rPr>
          <w:t>https://edren.org/</w:t>
        </w:r>
        <w:r>
          <w:rPr>
            <w:rFonts w:ascii="Calibri" w:eastAsia="Calibri" w:hAnsi="Calibri" w:cs="Calibri"/>
            <w:sz w:val="22"/>
            <w:u w:val="single" w:color="000000"/>
          </w:rPr>
          <w:t>ren/handbook/transplant</w:t>
        </w:r>
      </w:hyperlink>
      <w:hyperlink r:id="rId169">
        <w:r>
          <w:rPr>
            <w:rFonts w:ascii="Calibri" w:eastAsia="Calibri" w:hAnsi="Calibri" w:cs="Calibri"/>
            <w:sz w:val="22"/>
            <w:u w:val="single" w:color="000000"/>
          </w:rPr>
          <w:t>-</w:t>
        </w:r>
      </w:hyperlink>
      <w:hyperlink r:id="rId170">
        <w:r>
          <w:rPr>
            <w:rFonts w:ascii="Calibri" w:eastAsia="Calibri" w:hAnsi="Calibri" w:cs="Calibri"/>
            <w:sz w:val="22"/>
            <w:u w:val="single" w:color="000000"/>
          </w:rPr>
          <w:t>handbook/immunosup</w:t>
        </w:r>
        <w:r>
          <w:rPr>
            <w:rFonts w:ascii="Calibri" w:eastAsia="Calibri" w:hAnsi="Calibri" w:cs="Calibri"/>
            <w:sz w:val="22"/>
            <w:u w:val="single" w:color="000000"/>
          </w:rPr>
          <w:t>pressive</w:t>
        </w:r>
      </w:hyperlink>
      <w:hyperlink r:id="rId171">
        <w:r>
          <w:rPr>
            <w:rFonts w:ascii="Calibri" w:eastAsia="Calibri" w:hAnsi="Calibri" w:cs="Calibri"/>
            <w:sz w:val="22"/>
            <w:u w:val="single" w:color="000000"/>
          </w:rPr>
          <w:t>-</w:t>
        </w:r>
      </w:hyperlink>
      <w:hyperlink r:id="rId172">
        <w:r>
          <w:rPr>
            <w:rFonts w:ascii="Calibri" w:eastAsia="Calibri" w:hAnsi="Calibri" w:cs="Calibri"/>
            <w:sz w:val="22"/>
            <w:u w:val="single" w:color="000000"/>
          </w:rPr>
          <w:t>drugs/basiliximab/</w:t>
        </w:r>
      </w:hyperlink>
      <w:hyperlink r:id="rId173">
        <w:r>
          <w:t xml:space="preserve"> </w:t>
        </w:r>
      </w:hyperlink>
    </w:p>
    <w:p w:rsidR="00325AD1" w:rsidRDefault="008C5E81">
      <w:pPr>
        <w:numPr>
          <w:ilvl w:val="0"/>
          <w:numId w:val="31"/>
        </w:numPr>
        <w:ind w:right="479" w:hanging="494"/>
      </w:pPr>
      <w:r>
        <w:t>Barone G.W., Ketel B.L., Abul-Ezz S.R., Lightfoot M.L. Increased early rejection rate after conversion from tacrolimus in kidney and pancreas transplantation // J</w:t>
      </w:r>
      <w:r>
        <w:t xml:space="preserve">OP. – 2002. – Vol. 3, No. 2. – P. 49–53.  </w:t>
      </w:r>
    </w:p>
    <w:p w:rsidR="00325AD1" w:rsidRDefault="008C5E81">
      <w:pPr>
        <w:numPr>
          <w:ilvl w:val="0"/>
          <w:numId w:val="31"/>
        </w:numPr>
        <w:ind w:right="479" w:hanging="494"/>
      </w:pPr>
      <w:r>
        <w:t xml:space="preserve">Gruessner R.W. et al. Tacrolimus in pancreas transplantation: a multicenter analysis // Transplantation Proceedings. – 1997. – Vol. 29, No. 1-2. – P. 654–655. – DOI: 10.1016/s00411345(96)00495-0. </w:t>
      </w:r>
    </w:p>
    <w:p w:rsidR="00325AD1" w:rsidRDefault="008C5E81">
      <w:pPr>
        <w:numPr>
          <w:ilvl w:val="0"/>
          <w:numId w:val="31"/>
        </w:numPr>
        <w:ind w:right="479" w:hanging="494"/>
      </w:pPr>
      <w:r>
        <w:t>Boggi U., Vistol</w:t>
      </w:r>
      <w:r>
        <w:t>i F., Del Chiaro M. et al. Single-center, open, prospective, randomized pilot study comparing cyclosporine versus tacrolimus in simultaneous pancreas-kidney transplantation // Transplantation Proceedings. – 2004. – Vol. 36, No. 4. – P. 1064–1066. – DOI: 10</w:t>
      </w:r>
      <w:r>
        <w:t xml:space="preserve">.1016/j.transproceed.2004.04.035. </w:t>
      </w:r>
    </w:p>
    <w:p w:rsidR="00325AD1" w:rsidRDefault="008C5E81">
      <w:pPr>
        <w:numPr>
          <w:ilvl w:val="0"/>
          <w:numId w:val="31"/>
        </w:numPr>
        <w:ind w:right="479" w:hanging="494"/>
      </w:pPr>
      <w:r>
        <w:t>Sageshima J. et al. De novo use of everolimus in simultaneous pancreas-kidney transplant recipients: a retrospective comparison with mycophenolate sodium // Clinical Transplantation. – 2014. – Vol. 28, No. 9. – P. 1040–10</w:t>
      </w:r>
      <w:r>
        <w:t xml:space="preserve">46. – DOI: 10.1111/ctr.12420. </w:t>
      </w:r>
    </w:p>
    <w:p w:rsidR="00325AD1" w:rsidRDefault="008C5E81">
      <w:pPr>
        <w:numPr>
          <w:ilvl w:val="0"/>
          <w:numId w:val="31"/>
        </w:numPr>
        <w:ind w:right="479" w:hanging="494"/>
      </w:pPr>
      <w:r>
        <w:t>Li J. et al. Dual antibody induction and de novo use of everolimus enable low-dose tacrolimus with early corticosteroid withdrawal in simultaneous pancreas-kidney transplantation // Transplant Immunology. – 2018. – Vol. 50. –</w:t>
      </w:r>
      <w:r>
        <w:t xml:space="preserve"> P. 26–33. – DOI: 10.1016/j.trim.2018.06.001. 268. Li C, Dunkin BJ, Keay SK, et al. The role of esophagogastroduodenoscopy in diagnosing opportunistic upper gastrointestinal infection in the solid organ transplant recipient. Gastrointestinal Endoscopy. Vol</w:t>
      </w:r>
      <w:r>
        <w:t xml:space="preserve">ume 51, Issue 4, Part 2. 2000, p AB222 </w:t>
      </w:r>
    </w:p>
    <w:p w:rsidR="00325AD1" w:rsidRDefault="008C5E81">
      <w:pPr>
        <w:numPr>
          <w:ilvl w:val="0"/>
          <w:numId w:val="32"/>
        </w:numPr>
        <w:ind w:right="479"/>
      </w:pPr>
      <w:r>
        <w:t xml:space="preserve">Knight RJ, Kerman RH, Zela S, Podder H, Van Buren CT, Katz S, Kahan BD. Thymoglobulin, sirolimus, and reduced-dose cyclosporine provides excellent rejection prophylaxis for pancreas transplantation. Transplantation. </w:t>
      </w:r>
      <w:r>
        <w:t xml:space="preserve">2003 Apr 27;75(8):1301-6. doi: </w:t>
      </w:r>
    </w:p>
    <w:p w:rsidR="00325AD1" w:rsidRDefault="008C5E81">
      <w:pPr>
        <w:ind w:left="137" w:right="479"/>
      </w:pPr>
      <w:r>
        <w:t xml:space="preserve">10.1097/01.TP.0000061768.98058.EC. </w:t>
      </w:r>
    </w:p>
    <w:p w:rsidR="00325AD1" w:rsidRDefault="008C5E81">
      <w:pPr>
        <w:numPr>
          <w:ilvl w:val="0"/>
          <w:numId w:val="32"/>
        </w:numPr>
        <w:ind w:right="479"/>
      </w:pPr>
      <w:r>
        <w:t>Malaise J, Kuypers DR, Claes K, Evenepoel P, Maes B, Coosemans W, Pirenne J, Vanrenterghem Y, Van Ophem D, Squifflet JP; EUROSPK Study Group. Immunosuppressive drugs after simultaneous pan</w:t>
      </w:r>
      <w:r>
        <w:t xml:space="preserve">creas-kidney transplantation. Transplant Proc. 2005 JulAug;37(6):2840-2. doi: 10.1016/j.transproceed.2005.05.022.  </w:t>
      </w:r>
    </w:p>
    <w:p w:rsidR="00325AD1" w:rsidRDefault="008C5E81">
      <w:pPr>
        <w:numPr>
          <w:ilvl w:val="0"/>
          <w:numId w:val="32"/>
        </w:numPr>
        <w:spacing w:after="0" w:line="241" w:lineRule="auto"/>
        <w:ind w:right="479"/>
      </w:pPr>
      <w:r>
        <w:t>Kuypers DR, Malaise J, Claes K, Evenepoel P, Maes B, Coosemans W, Pirenne J, Vanrenterghem Y; Euro-SPK Study Group. Secondary effects of imm</w:t>
      </w:r>
      <w:r>
        <w:t xml:space="preserve">unosuppressive drugs after simultaneous pancreas-kidney transplantation. Nephrol Dial Transplant. 2005 May;20 Suppl 2:ii33-9, ii62. doi: 10.1093/ndt/gfh1080.  </w:t>
      </w:r>
    </w:p>
    <w:p w:rsidR="00325AD1" w:rsidRDefault="008C5E81">
      <w:pPr>
        <w:spacing w:after="0" w:line="259" w:lineRule="auto"/>
        <w:ind w:left="142" w:firstLine="0"/>
        <w:jc w:val="left"/>
      </w:pPr>
      <w:r>
        <w:t xml:space="preserve"> </w:t>
      </w:r>
    </w:p>
    <w:p w:rsidR="00325AD1" w:rsidRDefault="008C5E81">
      <w:pPr>
        <w:spacing w:after="0" w:line="259" w:lineRule="auto"/>
        <w:ind w:left="142" w:firstLine="0"/>
        <w:jc w:val="left"/>
      </w:pPr>
      <w:r>
        <w:t xml:space="preserve"> </w:t>
      </w:r>
    </w:p>
    <w:p w:rsidR="00325AD1" w:rsidRDefault="008C5E81">
      <w:pPr>
        <w:spacing w:after="137" w:line="259" w:lineRule="auto"/>
        <w:ind w:left="708" w:firstLine="0"/>
        <w:jc w:val="left"/>
      </w:pPr>
      <w:r>
        <w:t xml:space="preserve"> </w:t>
      </w:r>
    </w:p>
    <w:p w:rsidR="00325AD1" w:rsidRDefault="008C5E81">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t xml:space="preserve"> </w:t>
      </w:r>
    </w:p>
    <w:p w:rsidR="00325AD1" w:rsidRDefault="008C5E81">
      <w:pPr>
        <w:spacing w:after="0" w:line="401" w:lineRule="auto"/>
        <w:ind w:left="-5" w:right="475"/>
      </w:pPr>
      <w:r>
        <w:rPr>
          <w:b/>
          <w:sz w:val="28"/>
        </w:rPr>
        <w:t xml:space="preserve">Приложение А1. Состав рабочей группы по разработке и пересмотру </w:t>
      </w:r>
    </w:p>
    <w:p w:rsidR="00325AD1" w:rsidRDefault="008C5E81">
      <w:pPr>
        <w:pStyle w:val="Heading1"/>
        <w:spacing w:after="0" w:line="401" w:lineRule="auto"/>
        <w:ind w:left="-5" w:right="475"/>
      </w:pPr>
      <w:r>
        <w:t xml:space="preserve">клинических рекомендаций </w:t>
      </w:r>
    </w:p>
    <w:p w:rsidR="00325AD1" w:rsidRDefault="008C5E81">
      <w:pPr>
        <w:spacing w:after="0" w:line="259" w:lineRule="auto"/>
        <w:ind w:left="0" w:firstLine="0"/>
        <w:jc w:val="left"/>
      </w:pPr>
      <w:r>
        <w:rPr>
          <w:sz w:val="22"/>
        </w:rPr>
        <w:t xml:space="preserve"> </w:t>
      </w:r>
    </w:p>
    <w:tbl>
      <w:tblPr>
        <w:tblStyle w:val="TableGrid"/>
        <w:tblW w:w="9201" w:type="dxa"/>
        <w:tblInd w:w="108" w:type="dxa"/>
        <w:tblCellMar>
          <w:top w:w="23" w:type="dxa"/>
          <w:left w:w="0" w:type="dxa"/>
          <w:bottom w:w="0" w:type="dxa"/>
          <w:right w:w="0" w:type="dxa"/>
        </w:tblCellMar>
        <w:tblLook w:val="04A0" w:firstRow="1" w:lastRow="0" w:firstColumn="1" w:lastColumn="0" w:noHBand="0" w:noVBand="1"/>
      </w:tblPr>
      <w:tblGrid>
        <w:gridCol w:w="2461"/>
        <w:gridCol w:w="6740"/>
      </w:tblGrid>
      <w:tr w:rsidR="00325AD1">
        <w:trPr>
          <w:trHeight w:val="1787"/>
        </w:trPr>
        <w:tc>
          <w:tcPr>
            <w:tcW w:w="2461" w:type="dxa"/>
            <w:tcBorders>
              <w:top w:val="nil"/>
              <w:left w:val="nil"/>
              <w:bottom w:val="nil"/>
              <w:right w:val="nil"/>
            </w:tcBorders>
          </w:tcPr>
          <w:p w:rsidR="00325AD1" w:rsidRDefault="008C5E81">
            <w:pPr>
              <w:spacing w:after="51" w:line="259" w:lineRule="auto"/>
              <w:ind w:left="0" w:firstLine="0"/>
              <w:jc w:val="left"/>
            </w:pPr>
            <w:r>
              <w:t xml:space="preserve">Арзуманов  </w:t>
            </w:r>
          </w:p>
          <w:p w:rsidR="00325AD1" w:rsidRDefault="008C5E81">
            <w:pPr>
              <w:spacing w:after="0" w:line="259" w:lineRule="auto"/>
              <w:ind w:left="0" w:firstLine="0"/>
              <w:jc w:val="left"/>
            </w:pPr>
            <w:r>
              <w:t xml:space="preserve">Сергей Викторович </w:t>
            </w:r>
          </w:p>
        </w:tc>
        <w:tc>
          <w:tcPr>
            <w:tcW w:w="6740" w:type="dxa"/>
            <w:tcBorders>
              <w:top w:val="nil"/>
              <w:left w:val="nil"/>
              <w:bottom w:val="nil"/>
              <w:right w:val="nil"/>
            </w:tcBorders>
          </w:tcPr>
          <w:p w:rsidR="00325AD1" w:rsidRDefault="008C5E81">
            <w:pPr>
              <w:spacing w:after="23" w:line="235" w:lineRule="auto"/>
              <w:ind w:left="0" w:right="60" w:firstLine="0"/>
            </w:pPr>
            <w:r>
              <w:t xml:space="preserve">руководитель группы трансплантации и заместительной почечной терапии Научно-исследовательского института урологии и интервенционной радиологии имени Н.А. Лопаткина </w:t>
            </w:r>
          </w:p>
          <w:p w:rsidR="00325AD1" w:rsidRDefault="008C5E81">
            <w:pPr>
              <w:spacing w:after="0" w:line="234" w:lineRule="auto"/>
              <w:ind w:left="0" w:right="63" w:firstLine="0"/>
            </w:pPr>
            <w:r>
              <w:t>- филиала ФГБУ «Национальный мед</w:t>
            </w:r>
            <w:r>
              <w:t xml:space="preserve">ицинский исследовательский радиологический центр» Минздрава России (г. Обнинск), д.м.н. </w:t>
            </w:r>
          </w:p>
          <w:p w:rsidR="00325AD1" w:rsidRDefault="008C5E81">
            <w:pPr>
              <w:spacing w:after="0" w:line="259" w:lineRule="auto"/>
              <w:ind w:left="0" w:firstLine="0"/>
              <w:jc w:val="left"/>
            </w:pPr>
            <w:r>
              <w:t xml:space="preserve"> </w:t>
            </w:r>
          </w:p>
        </w:tc>
      </w:tr>
      <w:tr w:rsidR="00325AD1">
        <w:trPr>
          <w:trHeight w:val="985"/>
        </w:trPr>
        <w:tc>
          <w:tcPr>
            <w:tcW w:w="2461" w:type="dxa"/>
            <w:tcBorders>
              <w:top w:val="nil"/>
              <w:left w:val="nil"/>
              <w:bottom w:val="nil"/>
              <w:right w:val="nil"/>
            </w:tcBorders>
          </w:tcPr>
          <w:p w:rsidR="00325AD1" w:rsidRDefault="008C5E81">
            <w:pPr>
              <w:spacing w:after="0" w:line="259" w:lineRule="auto"/>
              <w:ind w:left="0" w:firstLine="0"/>
              <w:jc w:val="left"/>
            </w:pPr>
            <w:r>
              <w:t xml:space="preserve">Бельских Леонид Владиславович </w:t>
            </w:r>
          </w:p>
        </w:tc>
        <w:tc>
          <w:tcPr>
            <w:tcW w:w="6740" w:type="dxa"/>
            <w:tcBorders>
              <w:top w:val="nil"/>
              <w:left w:val="nil"/>
              <w:bottom w:val="nil"/>
              <w:right w:val="nil"/>
            </w:tcBorders>
          </w:tcPr>
          <w:p w:rsidR="00325AD1" w:rsidRDefault="008C5E81">
            <w:pPr>
              <w:spacing w:after="0" w:line="234" w:lineRule="auto"/>
              <w:ind w:left="0" w:right="64" w:firstLine="0"/>
            </w:pPr>
            <w:r>
              <w:t>заведующий хирургическим центром координации органного донорства и трансплантации ГБУЗ МО МОНИКИ им. М.Ф. Владимирского, врач-</w:t>
            </w:r>
            <w:r>
              <w:t>хирург (Московская область), к.м.н.</w:t>
            </w:r>
            <w:r>
              <w:rPr>
                <w:sz w:val="19"/>
              </w:rPr>
              <w:t xml:space="preserve"> </w:t>
            </w:r>
            <w:r>
              <w:t xml:space="preserve"> </w:t>
            </w:r>
          </w:p>
          <w:p w:rsidR="00325AD1" w:rsidRDefault="008C5E81">
            <w:pPr>
              <w:spacing w:after="0" w:line="259" w:lineRule="auto"/>
              <w:ind w:left="0" w:firstLine="0"/>
              <w:jc w:val="left"/>
            </w:pPr>
            <w:r>
              <w:t xml:space="preserve"> </w:t>
            </w:r>
          </w:p>
        </w:tc>
      </w:tr>
      <w:tr w:rsidR="00325AD1">
        <w:trPr>
          <w:trHeight w:val="1278"/>
        </w:trPr>
        <w:tc>
          <w:tcPr>
            <w:tcW w:w="2461" w:type="dxa"/>
            <w:tcBorders>
              <w:top w:val="nil"/>
              <w:left w:val="nil"/>
              <w:bottom w:val="nil"/>
              <w:right w:val="nil"/>
            </w:tcBorders>
          </w:tcPr>
          <w:p w:rsidR="00325AD1" w:rsidRDefault="008C5E81">
            <w:pPr>
              <w:spacing w:after="48" w:line="259" w:lineRule="auto"/>
              <w:ind w:left="0" w:firstLine="0"/>
              <w:jc w:val="left"/>
            </w:pPr>
            <w:r>
              <w:t xml:space="preserve">Галеев Шамиль </w:t>
            </w:r>
          </w:p>
          <w:p w:rsidR="00325AD1" w:rsidRDefault="008C5E81">
            <w:pPr>
              <w:spacing w:after="4" w:line="259" w:lineRule="auto"/>
              <w:ind w:left="0" w:firstLine="0"/>
              <w:jc w:val="left"/>
            </w:pPr>
            <w:r>
              <w:t xml:space="preserve">Ринатович  </w:t>
            </w:r>
          </w:p>
          <w:p w:rsidR="00325AD1" w:rsidRDefault="008C5E81">
            <w:pPr>
              <w:spacing w:after="0" w:line="259" w:lineRule="auto"/>
              <w:ind w:left="0" w:firstLine="0"/>
              <w:jc w:val="left"/>
            </w:pPr>
            <w:r>
              <w:t xml:space="preserve"> </w:t>
            </w:r>
          </w:p>
        </w:tc>
        <w:tc>
          <w:tcPr>
            <w:tcW w:w="6740" w:type="dxa"/>
            <w:tcBorders>
              <w:top w:val="nil"/>
              <w:left w:val="nil"/>
              <w:bottom w:val="nil"/>
              <w:right w:val="nil"/>
            </w:tcBorders>
          </w:tcPr>
          <w:p w:rsidR="00325AD1" w:rsidRDefault="008C5E81">
            <w:pPr>
              <w:spacing w:after="0" w:line="228" w:lineRule="auto"/>
              <w:ind w:left="0" w:right="62" w:firstLine="0"/>
            </w:pPr>
            <w:r>
              <w:t xml:space="preserve">заместитель директора - </w:t>
            </w:r>
            <w:r>
              <w:t xml:space="preserve">руководитель филиала в г. Волжский ФГБУ «Национальный медицинский исследовательский центр трансплантологии и искусственных органов им. ак. В.И. Шумакова» Минздрава России (г. Москва), д.м.н. </w:t>
            </w:r>
          </w:p>
          <w:p w:rsidR="00325AD1" w:rsidRDefault="008C5E81">
            <w:pPr>
              <w:spacing w:after="0" w:line="259" w:lineRule="auto"/>
              <w:ind w:left="0" w:firstLine="0"/>
              <w:jc w:val="left"/>
            </w:pPr>
            <w:r>
              <w:t xml:space="preserve"> </w:t>
            </w:r>
          </w:p>
        </w:tc>
      </w:tr>
      <w:tr w:rsidR="00325AD1">
        <w:trPr>
          <w:trHeight w:val="1782"/>
        </w:trPr>
        <w:tc>
          <w:tcPr>
            <w:tcW w:w="2461" w:type="dxa"/>
            <w:tcBorders>
              <w:top w:val="nil"/>
              <w:left w:val="nil"/>
              <w:bottom w:val="nil"/>
              <w:right w:val="nil"/>
            </w:tcBorders>
          </w:tcPr>
          <w:p w:rsidR="00325AD1" w:rsidRDefault="008C5E81">
            <w:pPr>
              <w:spacing w:after="0" w:line="259" w:lineRule="auto"/>
              <w:ind w:left="0" w:firstLine="0"/>
              <w:jc w:val="left"/>
            </w:pPr>
            <w:r>
              <w:t xml:space="preserve">Гичкун Ольга Евгеньевна </w:t>
            </w:r>
          </w:p>
        </w:tc>
        <w:tc>
          <w:tcPr>
            <w:tcW w:w="6740" w:type="dxa"/>
            <w:tcBorders>
              <w:top w:val="nil"/>
              <w:left w:val="nil"/>
              <w:bottom w:val="nil"/>
              <w:right w:val="nil"/>
            </w:tcBorders>
          </w:tcPr>
          <w:p w:rsidR="00325AD1" w:rsidRDefault="008C5E81">
            <w:pPr>
              <w:spacing w:after="0" w:line="272" w:lineRule="auto"/>
              <w:ind w:left="0" w:right="60" w:firstLine="0"/>
            </w:pPr>
            <w:r>
              <w:t>ведущий научный сотрудник отдела рег</w:t>
            </w:r>
            <w:r>
              <w:t xml:space="preserve">уляторных механизмов в трансплантологии ФГБУ «Национальный медицинский исследовательский центр трансплантологии и искусственных органов им. ак. В.И. Шумакова» Минздрава России (г. Москва), к.м.н., доцент </w:t>
            </w:r>
          </w:p>
          <w:p w:rsidR="00325AD1" w:rsidRDefault="008C5E81">
            <w:pPr>
              <w:spacing w:after="0" w:line="259" w:lineRule="auto"/>
              <w:ind w:left="0" w:firstLine="0"/>
              <w:jc w:val="left"/>
            </w:pPr>
            <w:r>
              <w:t xml:space="preserve"> </w:t>
            </w:r>
          </w:p>
        </w:tc>
      </w:tr>
      <w:tr w:rsidR="00325AD1">
        <w:trPr>
          <w:trHeight w:val="2429"/>
        </w:trPr>
        <w:tc>
          <w:tcPr>
            <w:tcW w:w="2461" w:type="dxa"/>
            <w:tcBorders>
              <w:top w:val="nil"/>
              <w:left w:val="nil"/>
              <w:bottom w:val="nil"/>
              <w:right w:val="nil"/>
            </w:tcBorders>
          </w:tcPr>
          <w:p w:rsidR="00325AD1" w:rsidRDefault="008C5E81">
            <w:pPr>
              <w:spacing w:after="4" w:line="259" w:lineRule="auto"/>
              <w:ind w:left="0" w:firstLine="0"/>
              <w:jc w:val="left"/>
            </w:pPr>
            <w:r>
              <w:t xml:space="preserve">Готье  </w:t>
            </w:r>
          </w:p>
          <w:p w:rsidR="00325AD1" w:rsidRDefault="008C5E81">
            <w:pPr>
              <w:spacing w:after="48" w:line="259" w:lineRule="auto"/>
              <w:ind w:left="0" w:firstLine="0"/>
              <w:jc w:val="left"/>
            </w:pPr>
            <w:r>
              <w:t xml:space="preserve">Сергей </w:t>
            </w:r>
          </w:p>
          <w:p w:rsidR="00325AD1" w:rsidRDefault="008C5E81">
            <w:pPr>
              <w:spacing w:after="0" w:line="259" w:lineRule="auto"/>
              <w:ind w:left="0" w:firstLine="0"/>
              <w:jc w:val="left"/>
            </w:pPr>
            <w:r>
              <w:t xml:space="preserve">Владимирович </w:t>
            </w:r>
          </w:p>
        </w:tc>
        <w:tc>
          <w:tcPr>
            <w:tcW w:w="6740" w:type="dxa"/>
            <w:tcBorders>
              <w:top w:val="nil"/>
              <w:left w:val="nil"/>
              <w:bottom w:val="nil"/>
              <w:right w:val="nil"/>
            </w:tcBorders>
          </w:tcPr>
          <w:p w:rsidR="00325AD1" w:rsidRDefault="008C5E81">
            <w:pPr>
              <w:spacing w:after="0" w:line="262" w:lineRule="auto"/>
              <w:ind w:left="0" w:right="59" w:firstLine="0"/>
            </w:pPr>
            <w:r>
              <w:t xml:space="preserve">директор ФГБУ «Национальный медицинский исследовательский центр трансплантологии и искусственных органов им. ак. В.И. Шумакова» Минздрава России (г. Москва), академик РАН, главный специалист трансплантолог Минздрава </w:t>
            </w:r>
          </w:p>
          <w:p w:rsidR="00325AD1" w:rsidRDefault="008C5E81">
            <w:pPr>
              <w:spacing w:after="0" w:line="280" w:lineRule="auto"/>
              <w:ind w:left="0" w:right="61" w:firstLine="0"/>
            </w:pPr>
            <w:r>
              <w:t>России, председатель ОООТ «Российское т</w:t>
            </w:r>
            <w:r>
              <w:t xml:space="preserve">рансплантологическое общество», д.м.н., профессор, академик РАН  </w:t>
            </w:r>
          </w:p>
          <w:p w:rsidR="00325AD1" w:rsidRDefault="008C5E81">
            <w:pPr>
              <w:spacing w:after="0" w:line="259" w:lineRule="auto"/>
              <w:ind w:left="0" w:firstLine="0"/>
              <w:jc w:val="left"/>
            </w:pPr>
            <w:r>
              <w:t xml:space="preserve"> </w:t>
            </w:r>
          </w:p>
        </w:tc>
      </w:tr>
      <w:tr w:rsidR="00325AD1">
        <w:trPr>
          <w:trHeight w:val="1822"/>
        </w:trPr>
        <w:tc>
          <w:tcPr>
            <w:tcW w:w="2461" w:type="dxa"/>
            <w:tcBorders>
              <w:top w:val="nil"/>
              <w:left w:val="nil"/>
              <w:bottom w:val="nil"/>
              <w:right w:val="nil"/>
            </w:tcBorders>
          </w:tcPr>
          <w:p w:rsidR="00325AD1" w:rsidRDefault="008C5E81">
            <w:pPr>
              <w:spacing w:after="43" w:line="263" w:lineRule="auto"/>
              <w:ind w:left="0" w:right="383" w:firstLine="0"/>
              <w:jc w:val="left"/>
            </w:pPr>
            <w:r>
              <w:t xml:space="preserve">Загайнов  Владимир </w:t>
            </w:r>
          </w:p>
          <w:p w:rsidR="00325AD1" w:rsidRDefault="008C5E81">
            <w:pPr>
              <w:spacing w:after="0" w:line="259" w:lineRule="auto"/>
              <w:ind w:left="0" w:firstLine="0"/>
              <w:jc w:val="left"/>
            </w:pPr>
            <w:r>
              <w:t xml:space="preserve">Евгеньевич </w:t>
            </w:r>
          </w:p>
        </w:tc>
        <w:tc>
          <w:tcPr>
            <w:tcW w:w="6740" w:type="dxa"/>
            <w:tcBorders>
              <w:top w:val="nil"/>
              <w:left w:val="nil"/>
              <w:bottom w:val="nil"/>
              <w:right w:val="nil"/>
            </w:tcBorders>
          </w:tcPr>
          <w:p w:rsidR="00325AD1" w:rsidRDefault="008C5E81">
            <w:pPr>
              <w:spacing w:after="0" w:line="272" w:lineRule="auto"/>
              <w:ind w:left="0" w:right="59" w:firstLine="0"/>
            </w:pPr>
            <w:r>
              <w:t xml:space="preserve">главный специалист по хирургии ФБУЗ «Приволжский окружной медицинский центр» ФМБА России, заведующий кафедрой хирургии ФОИС ГБОУ ВПО «НижГМА» Минздрава России, главный внештатный трансплантолог Минздрава Нижегородской области (г. Нижний Новгород), д.м.н., </w:t>
            </w:r>
            <w:r>
              <w:t xml:space="preserve">профессор </w:t>
            </w:r>
          </w:p>
          <w:p w:rsidR="00325AD1" w:rsidRDefault="008C5E81">
            <w:pPr>
              <w:spacing w:after="0" w:line="259" w:lineRule="auto"/>
              <w:ind w:left="0" w:firstLine="0"/>
              <w:jc w:val="left"/>
            </w:pPr>
            <w:r>
              <w:t xml:space="preserve"> </w:t>
            </w:r>
          </w:p>
        </w:tc>
      </w:tr>
      <w:tr w:rsidR="00325AD1">
        <w:trPr>
          <w:trHeight w:val="284"/>
        </w:trPr>
        <w:tc>
          <w:tcPr>
            <w:tcW w:w="2461" w:type="dxa"/>
            <w:tcBorders>
              <w:top w:val="nil"/>
              <w:left w:val="nil"/>
              <w:bottom w:val="nil"/>
              <w:right w:val="nil"/>
            </w:tcBorders>
          </w:tcPr>
          <w:p w:rsidR="00325AD1" w:rsidRDefault="008C5E81">
            <w:pPr>
              <w:spacing w:after="0" w:line="259" w:lineRule="auto"/>
              <w:ind w:left="0" w:firstLine="0"/>
              <w:jc w:val="left"/>
            </w:pPr>
            <w:r>
              <w:t xml:space="preserve">Зайнутдинов </w:t>
            </w:r>
          </w:p>
        </w:tc>
        <w:tc>
          <w:tcPr>
            <w:tcW w:w="6740" w:type="dxa"/>
            <w:vMerge w:val="restart"/>
            <w:tcBorders>
              <w:top w:val="nil"/>
              <w:left w:val="nil"/>
              <w:bottom w:val="nil"/>
              <w:right w:val="nil"/>
            </w:tcBorders>
          </w:tcPr>
          <w:p w:rsidR="00325AD1" w:rsidRDefault="008C5E81">
            <w:pPr>
              <w:spacing w:after="0" w:line="259" w:lineRule="auto"/>
              <w:ind w:left="0" w:firstLine="0"/>
            </w:pPr>
            <w:r>
              <w:t xml:space="preserve">главный врач клиники ФГБУН «ФИЦ питания и биотехнологии» (г. Москва), д.м.н. </w:t>
            </w:r>
          </w:p>
        </w:tc>
      </w:tr>
      <w:tr w:rsidR="00325AD1">
        <w:trPr>
          <w:trHeight w:val="626"/>
        </w:trPr>
        <w:tc>
          <w:tcPr>
            <w:tcW w:w="2461" w:type="dxa"/>
            <w:tcBorders>
              <w:top w:val="nil"/>
              <w:left w:val="nil"/>
              <w:bottom w:val="nil"/>
              <w:right w:val="nil"/>
            </w:tcBorders>
          </w:tcPr>
          <w:p w:rsidR="00325AD1" w:rsidRDefault="008C5E81">
            <w:pPr>
              <w:spacing w:after="3" w:line="259" w:lineRule="auto"/>
              <w:ind w:left="0" w:firstLine="0"/>
              <w:jc w:val="left"/>
            </w:pPr>
            <w:r>
              <w:t xml:space="preserve">Зайнудин Мусаевич </w:t>
            </w:r>
          </w:p>
          <w:p w:rsidR="00325AD1" w:rsidRDefault="008C5E81">
            <w:pPr>
              <w:spacing w:after="0" w:line="259" w:lineRule="auto"/>
              <w:ind w:left="0" w:firstLine="0"/>
              <w:jc w:val="left"/>
            </w:pPr>
            <w:r>
              <w:t xml:space="preserve"> </w:t>
            </w:r>
          </w:p>
        </w:tc>
        <w:tc>
          <w:tcPr>
            <w:tcW w:w="0" w:type="auto"/>
            <w:vMerge/>
            <w:tcBorders>
              <w:top w:val="nil"/>
              <w:left w:val="nil"/>
              <w:bottom w:val="nil"/>
              <w:right w:val="nil"/>
            </w:tcBorders>
          </w:tcPr>
          <w:p w:rsidR="00325AD1" w:rsidRDefault="00325AD1">
            <w:pPr>
              <w:spacing w:after="160" w:line="259" w:lineRule="auto"/>
              <w:ind w:left="0" w:firstLine="0"/>
              <w:jc w:val="left"/>
            </w:pPr>
          </w:p>
        </w:tc>
      </w:tr>
      <w:tr w:rsidR="00325AD1">
        <w:trPr>
          <w:trHeight w:val="1196"/>
        </w:trPr>
        <w:tc>
          <w:tcPr>
            <w:tcW w:w="2461" w:type="dxa"/>
            <w:tcBorders>
              <w:top w:val="nil"/>
              <w:left w:val="nil"/>
              <w:bottom w:val="nil"/>
              <w:right w:val="nil"/>
            </w:tcBorders>
          </w:tcPr>
          <w:p w:rsidR="00325AD1" w:rsidRDefault="008C5E81">
            <w:pPr>
              <w:spacing w:after="50" w:line="259" w:lineRule="auto"/>
              <w:ind w:left="0" w:firstLine="0"/>
              <w:jc w:val="left"/>
            </w:pPr>
            <w:r>
              <w:t xml:space="preserve">Курбангулов  </w:t>
            </w:r>
          </w:p>
          <w:p w:rsidR="00325AD1" w:rsidRDefault="008C5E81">
            <w:pPr>
              <w:spacing w:after="0" w:line="259" w:lineRule="auto"/>
              <w:ind w:left="0" w:firstLine="0"/>
              <w:jc w:val="left"/>
            </w:pPr>
            <w:r>
              <w:t xml:space="preserve">Ильдар Раисович </w:t>
            </w:r>
          </w:p>
        </w:tc>
        <w:tc>
          <w:tcPr>
            <w:tcW w:w="6740" w:type="dxa"/>
            <w:tcBorders>
              <w:top w:val="nil"/>
              <w:left w:val="nil"/>
              <w:bottom w:val="nil"/>
              <w:right w:val="nil"/>
            </w:tcBorders>
          </w:tcPr>
          <w:p w:rsidR="00325AD1" w:rsidRDefault="008C5E81">
            <w:pPr>
              <w:spacing w:after="48" w:line="262" w:lineRule="auto"/>
              <w:ind w:left="0" w:right="60" w:firstLine="0"/>
            </w:pPr>
            <w:r>
              <w:t xml:space="preserve">врач-хирург хирургического отделения № 1 </w:t>
            </w:r>
            <w:r>
              <w:t xml:space="preserve">ФГБУ «Национальный медицинский исследовательский центр трансплантологии и искусственных органов им. ак. В.И. </w:t>
            </w:r>
          </w:p>
          <w:p w:rsidR="00325AD1" w:rsidRDefault="008C5E81">
            <w:pPr>
              <w:spacing w:after="0" w:line="259" w:lineRule="auto"/>
              <w:ind w:left="0" w:firstLine="0"/>
              <w:jc w:val="left"/>
            </w:pPr>
            <w:r>
              <w:t xml:space="preserve">Шумакова» Минздрава России (г. Москва), к.м.н. </w:t>
            </w:r>
          </w:p>
        </w:tc>
      </w:tr>
    </w:tbl>
    <w:p w:rsidR="00325AD1" w:rsidRDefault="008C5E81">
      <w:pPr>
        <w:spacing w:after="0" w:line="259" w:lineRule="auto"/>
        <w:ind w:left="2569" w:firstLine="0"/>
        <w:jc w:val="left"/>
      </w:pPr>
      <w:r>
        <w:t xml:space="preserve"> </w:t>
      </w:r>
    </w:p>
    <w:tbl>
      <w:tblPr>
        <w:tblStyle w:val="TableGrid"/>
        <w:tblW w:w="9201" w:type="dxa"/>
        <w:tblInd w:w="108" w:type="dxa"/>
        <w:tblCellMar>
          <w:top w:w="41" w:type="dxa"/>
          <w:left w:w="0" w:type="dxa"/>
          <w:bottom w:w="0" w:type="dxa"/>
          <w:right w:w="0" w:type="dxa"/>
        </w:tblCellMar>
        <w:tblLook w:val="04A0" w:firstRow="1" w:lastRow="0" w:firstColumn="1" w:lastColumn="0" w:noHBand="0" w:noVBand="1"/>
      </w:tblPr>
      <w:tblGrid>
        <w:gridCol w:w="2439"/>
        <w:gridCol w:w="6762"/>
      </w:tblGrid>
      <w:tr w:rsidR="00325AD1">
        <w:trPr>
          <w:trHeight w:val="1500"/>
        </w:trPr>
        <w:tc>
          <w:tcPr>
            <w:tcW w:w="2439" w:type="dxa"/>
            <w:tcBorders>
              <w:top w:val="nil"/>
              <w:left w:val="nil"/>
              <w:bottom w:val="nil"/>
              <w:right w:val="nil"/>
            </w:tcBorders>
          </w:tcPr>
          <w:p w:rsidR="00325AD1" w:rsidRDefault="008C5E81">
            <w:pPr>
              <w:spacing w:after="51" w:line="259" w:lineRule="auto"/>
              <w:ind w:left="0" w:firstLine="0"/>
              <w:jc w:val="left"/>
            </w:pPr>
            <w:r>
              <w:t xml:space="preserve">Малахов  </w:t>
            </w:r>
          </w:p>
          <w:p w:rsidR="00325AD1" w:rsidRDefault="008C5E81">
            <w:pPr>
              <w:spacing w:after="0" w:line="259" w:lineRule="auto"/>
              <w:ind w:left="0" w:firstLine="0"/>
              <w:jc w:val="left"/>
            </w:pPr>
            <w:r>
              <w:t xml:space="preserve">Алексей Геннадьевич </w:t>
            </w:r>
          </w:p>
        </w:tc>
        <w:tc>
          <w:tcPr>
            <w:tcW w:w="6762" w:type="dxa"/>
            <w:tcBorders>
              <w:top w:val="nil"/>
              <w:left w:val="nil"/>
              <w:bottom w:val="nil"/>
              <w:right w:val="nil"/>
            </w:tcBorders>
          </w:tcPr>
          <w:p w:rsidR="00325AD1" w:rsidRDefault="008C5E81">
            <w:pPr>
              <w:spacing w:after="0" w:line="276" w:lineRule="auto"/>
              <w:ind w:left="22" w:right="61" w:firstLine="0"/>
            </w:pPr>
            <w:r>
              <w:t>врач-</w:t>
            </w:r>
            <w:r>
              <w:t xml:space="preserve">хирург хирургического отделения № 1 ФГБУ «Национальный медицинский исследовательский центр трансплантологии и искусственных органов им. ак. В.И. Шумакова» Минздрава России (г. Москва) </w:t>
            </w:r>
          </w:p>
          <w:p w:rsidR="00325AD1" w:rsidRDefault="008C5E81">
            <w:pPr>
              <w:spacing w:after="0" w:line="259" w:lineRule="auto"/>
              <w:ind w:left="22" w:firstLine="0"/>
              <w:jc w:val="left"/>
            </w:pPr>
            <w:r>
              <w:t xml:space="preserve"> </w:t>
            </w:r>
          </w:p>
        </w:tc>
      </w:tr>
      <w:tr w:rsidR="00325AD1">
        <w:trPr>
          <w:trHeight w:val="1848"/>
        </w:trPr>
        <w:tc>
          <w:tcPr>
            <w:tcW w:w="2439" w:type="dxa"/>
            <w:tcBorders>
              <w:top w:val="nil"/>
              <w:left w:val="nil"/>
              <w:bottom w:val="nil"/>
              <w:right w:val="nil"/>
            </w:tcBorders>
          </w:tcPr>
          <w:p w:rsidR="00325AD1" w:rsidRDefault="008C5E81">
            <w:pPr>
              <w:spacing w:after="48" w:line="259" w:lineRule="auto"/>
              <w:ind w:left="0" w:firstLine="0"/>
              <w:jc w:val="left"/>
            </w:pPr>
            <w:r>
              <w:t xml:space="preserve">Минина  </w:t>
            </w:r>
          </w:p>
          <w:p w:rsidR="00325AD1" w:rsidRDefault="008C5E81">
            <w:pPr>
              <w:spacing w:after="0" w:line="259" w:lineRule="auto"/>
              <w:ind w:left="0" w:firstLine="0"/>
              <w:jc w:val="left"/>
            </w:pPr>
            <w:r>
              <w:t xml:space="preserve">Марина Геннадьевна </w:t>
            </w:r>
          </w:p>
        </w:tc>
        <w:tc>
          <w:tcPr>
            <w:tcW w:w="6762" w:type="dxa"/>
            <w:tcBorders>
              <w:top w:val="nil"/>
              <w:left w:val="nil"/>
              <w:bottom w:val="nil"/>
              <w:right w:val="nil"/>
            </w:tcBorders>
          </w:tcPr>
          <w:p w:rsidR="00325AD1" w:rsidRDefault="008C5E81">
            <w:pPr>
              <w:spacing w:after="0" w:line="272" w:lineRule="auto"/>
              <w:ind w:left="22" w:right="61" w:firstLine="0"/>
            </w:pPr>
            <w:r>
              <w:t>заместитель главного врача, руководитель Московским координационным центром органного донорства, ГБУЗ «Городская клиническая больница имени С.П. Боткина» Департамента здравоохранения Москвы (г. Москва), д.м.н., профессор РАН</w:t>
            </w:r>
            <w:r>
              <w:rPr>
                <w:b/>
              </w:rPr>
              <w:t xml:space="preserve"> </w:t>
            </w:r>
          </w:p>
          <w:p w:rsidR="00325AD1" w:rsidRDefault="008C5E81">
            <w:pPr>
              <w:spacing w:after="0" w:line="259" w:lineRule="auto"/>
              <w:ind w:left="22" w:firstLine="0"/>
              <w:jc w:val="left"/>
            </w:pPr>
            <w:r>
              <w:rPr>
                <w:b/>
              </w:rPr>
              <w:t xml:space="preserve"> </w:t>
            </w:r>
          </w:p>
        </w:tc>
      </w:tr>
      <w:tr w:rsidR="00325AD1">
        <w:trPr>
          <w:trHeight w:val="1492"/>
        </w:trPr>
        <w:tc>
          <w:tcPr>
            <w:tcW w:w="2439" w:type="dxa"/>
            <w:tcBorders>
              <w:top w:val="nil"/>
              <w:left w:val="nil"/>
              <w:bottom w:val="nil"/>
              <w:right w:val="nil"/>
            </w:tcBorders>
          </w:tcPr>
          <w:p w:rsidR="00325AD1" w:rsidRDefault="008C5E81">
            <w:pPr>
              <w:spacing w:after="0" w:line="259" w:lineRule="auto"/>
              <w:ind w:left="0" w:firstLine="0"/>
              <w:jc w:val="left"/>
            </w:pPr>
            <w:r>
              <w:t xml:space="preserve">Можейко Наталья Павловна </w:t>
            </w:r>
          </w:p>
        </w:tc>
        <w:tc>
          <w:tcPr>
            <w:tcW w:w="6762" w:type="dxa"/>
            <w:tcBorders>
              <w:top w:val="nil"/>
              <w:left w:val="nil"/>
              <w:bottom w:val="nil"/>
              <w:right w:val="nil"/>
            </w:tcBorders>
          </w:tcPr>
          <w:p w:rsidR="00325AD1" w:rsidRDefault="008C5E81">
            <w:pPr>
              <w:spacing w:after="0" w:line="275" w:lineRule="auto"/>
              <w:ind w:left="22" w:right="64" w:firstLine="0"/>
            </w:pPr>
            <w:r>
              <w:t>з</w:t>
            </w:r>
            <w:r>
              <w:t xml:space="preserve">аведующая патологоанатомическим отделением ФГБУ «Национальный медицинский исследовательский центр трансплантологии и искусственных органов им. ак. В.И. Шумакова» Минздрава России (г. Москва), д.м.н. </w:t>
            </w:r>
          </w:p>
          <w:p w:rsidR="00325AD1" w:rsidRDefault="008C5E81">
            <w:pPr>
              <w:spacing w:after="0" w:line="259" w:lineRule="auto"/>
              <w:ind w:left="22" w:firstLine="0"/>
              <w:jc w:val="left"/>
            </w:pPr>
            <w:r>
              <w:t xml:space="preserve"> </w:t>
            </w:r>
          </w:p>
        </w:tc>
      </w:tr>
      <w:tr w:rsidR="00325AD1">
        <w:trPr>
          <w:trHeight w:val="1518"/>
        </w:trPr>
        <w:tc>
          <w:tcPr>
            <w:tcW w:w="2439" w:type="dxa"/>
            <w:tcBorders>
              <w:top w:val="nil"/>
              <w:left w:val="nil"/>
              <w:bottom w:val="nil"/>
              <w:right w:val="nil"/>
            </w:tcBorders>
          </w:tcPr>
          <w:p w:rsidR="00325AD1" w:rsidRDefault="008C5E81">
            <w:pPr>
              <w:spacing w:after="0" w:line="259" w:lineRule="auto"/>
              <w:ind w:left="0" w:firstLine="0"/>
              <w:jc w:val="left"/>
            </w:pPr>
            <w:r>
              <w:t xml:space="preserve">Сайдулаев Джабраил Азизович </w:t>
            </w:r>
          </w:p>
        </w:tc>
        <w:tc>
          <w:tcPr>
            <w:tcW w:w="6762" w:type="dxa"/>
            <w:tcBorders>
              <w:top w:val="nil"/>
              <w:left w:val="nil"/>
              <w:bottom w:val="nil"/>
              <w:right w:val="nil"/>
            </w:tcBorders>
          </w:tcPr>
          <w:p w:rsidR="00325AD1" w:rsidRDefault="008C5E81">
            <w:pPr>
              <w:spacing w:after="0" w:line="276" w:lineRule="auto"/>
              <w:ind w:left="22" w:right="61" w:firstLine="0"/>
            </w:pPr>
            <w:r>
              <w:t xml:space="preserve">заведующий хирургическим отделением № 1, врач-хирург ФГБУ «Национальный медицинский исследовательский центр трансплантологии и искусственных органов им. ак. В.И. Шумакова» Минздрава России (г. Москва), к.м.н. </w:t>
            </w:r>
          </w:p>
          <w:p w:rsidR="00325AD1" w:rsidRDefault="008C5E81">
            <w:pPr>
              <w:spacing w:after="0" w:line="259" w:lineRule="auto"/>
              <w:ind w:left="22" w:firstLine="0"/>
              <w:jc w:val="left"/>
            </w:pPr>
            <w:r>
              <w:t xml:space="preserve"> </w:t>
            </w:r>
          </w:p>
        </w:tc>
      </w:tr>
      <w:tr w:rsidR="00325AD1">
        <w:trPr>
          <w:trHeight w:val="1518"/>
        </w:trPr>
        <w:tc>
          <w:tcPr>
            <w:tcW w:w="2439" w:type="dxa"/>
            <w:tcBorders>
              <w:top w:val="nil"/>
              <w:left w:val="nil"/>
              <w:bottom w:val="nil"/>
              <w:right w:val="nil"/>
            </w:tcBorders>
          </w:tcPr>
          <w:p w:rsidR="00325AD1" w:rsidRDefault="008C5E81">
            <w:pPr>
              <w:spacing w:after="0" w:line="259" w:lineRule="auto"/>
              <w:ind w:left="0" w:firstLine="0"/>
              <w:jc w:val="left"/>
            </w:pPr>
            <w:r>
              <w:t xml:space="preserve">Сибякина Анна Анатольевна </w:t>
            </w:r>
          </w:p>
        </w:tc>
        <w:tc>
          <w:tcPr>
            <w:tcW w:w="6762" w:type="dxa"/>
            <w:tcBorders>
              <w:top w:val="nil"/>
              <w:left w:val="nil"/>
              <w:bottom w:val="nil"/>
              <w:right w:val="nil"/>
            </w:tcBorders>
          </w:tcPr>
          <w:p w:rsidR="00325AD1" w:rsidRDefault="008C5E81">
            <w:pPr>
              <w:spacing w:after="0" w:line="275" w:lineRule="auto"/>
              <w:ind w:left="22" w:right="62" w:firstLine="0"/>
            </w:pPr>
            <w:r>
              <w:t>врач-</w:t>
            </w:r>
            <w:r>
              <w:t xml:space="preserve">эндокринолог консультативно-диагностического отделения ФГБУ «Национальный медицинский исследовательский центр трансплантологии и искусственных органов им. ак. В.И. Шумакова» Минздрава России (г. Москва) </w:t>
            </w:r>
          </w:p>
          <w:p w:rsidR="00325AD1" w:rsidRDefault="008C5E81">
            <w:pPr>
              <w:spacing w:after="0" w:line="259" w:lineRule="auto"/>
              <w:ind w:left="22" w:firstLine="0"/>
              <w:jc w:val="left"/>
            </w:pPr>
            <w:r>
              <w:t xml:space="preserve"> </w:t>
            </w:r>
          </w:p>
        </w:tc>
      </w:tr>
      <w:tr w:rsidR="00325AD1">
        <w:trPr>
          <w:trHeight w:val="2453"/>
        </w:trPr>
        <w:tc>
          <w:tcPr>
            <w:tcW w:w="2439" w:type="dxa"/>
            <w:tcBorders>
              <w:top w:val="nil"/>
              <w:left w:val="nil"/>
              <w:bottom w:val="nil"/>
              <w:right w:val="nil"/>
            </w:tcBorders>
          </w:tcPr>
          <w:p w:rsidR="00325AD1" w:rsidRDefault="008C5E81">
            <w:pPr>
              <w:spacing w:after="51" w:line="259" w:lineRule="auto"/>
              <w:ind w:left="0" w:firstLine="0"/>
              <w:jc w:val="left"/>
            </w:pPr>
            <w:r>
              <w:t xml:space="preserve">Хомяков  </w:t>
            </w:r>
          </w:p>
          <w:p w:rsidR="00325AD1" w:rsidRDefault="008C5E81">
            <w:pPr>
              <w:spacing w:after="0" w:line="259" w:lineRule="auto"/>
              <w:ind w:left="0" w:firstLine="0"/>
              <w:jc w:val="left"/>
            </w:pPr>
            <w:r>
              <w:t xml:space="preserve">Сергей Михайлович </w:t>
            </w:r>
          </w:p>
        </w:tc>
        <w:tc>
          <w:tcPr>
            <w:tcW w:w="6762" w:type="dxa"/>
            <w:tcBorders>
              <w:top w:val="nil"/>
              <w:left w:val="nil"/>
              <w:bottom w:val="nil"/>
              <w:right w:val="nil"/>
            </w:tcBorders>
          </w:tcPr>
          <w:p w:rsidR="00325AD1" w:rsidRDefault="008C5E81">
            <w:pPr>
              <w:spacing w:after="0" w:line="268" w:lineRule="auto"/>
              <w:ind w:left="22" w:right="57" w:firstLine="0"/>
            </w:pPr>
            <w:r>
              <w:t>заместитель директор</w:t>
            </w:r>
            <w:r>
              <w:t>а – руководитель центра организационнометодического руководства учреждениями, осуществляющими деятельность, связанную с трансплантацией органов и (или) тканей человека, ФГБУ «Национальный медицинский исследовательский центр трансплантологии и искусственных</w:t>
            </w:r>
            <w:r>
              <w:t xml:space="preserve"> органов им. ак. В.И. Шумакова» Минздрава России (г. Москва), к.м.н. </w:t>
            </w:r>
          </w:p>
          <w:p w:rsidR="00325AD1" w:rsidRDefault="008C5E81">
            <w:pPr>
              <w:spacing w:after="0" w:line="259" w:lineRule="auto"/>
              <w:ind w:left="22" w:firstLine="0"/>
              <w:jc w:val="left"/>
            </w:pPr>
            <w:r>
              <w:t xml:space="preserve"> </w:t>
            </w:r>
          </w:p>
        </w:tc>
      </w:tr>
      <w:tr w:rsidR="00325AD1">
        <w:trPr>
          <w:trHeight w:val="1780"/>
        </w:trPr>
        <w:tc>
          <w:tcPr>
            <w:tcW w:w="2439" w:type="dxa"/>
            <w:tcBorders>
              <w:top w:val="nil"/>
              <w:left w:val="nil"/>
              <w:bottom w:val="nil"/>
              <w:right w:val="nil"/>
            </w:tcBorders>
          </w:tcPr>
          <w:p w:rsidR="00325AD1" w:rsidRDefault="008C5E81">
            <w:pPr>
              <w:spacing w:after="0" w:line="259" w:lineRule="auto"/>
              <w:ind w:left="0" w:firstLine="0"/>
              <w:jc w:val="left"/>
            </w:pPr>
            <w:r>
              <w:t xml:space="preserve">Чеботарева Наталья Викторовна </w:t>
            </w:r>
          </w:p>
        </w:tc>
        <w:tc>
          <w:tcPr>
            <w:tcW w:w="6762" w:type="dxa"/>
            <w:tcBorders>
              <w:top w:val="nil"/>
              <w:left w:val="nil"/>
              <w:bottom w:val="nil"/>
              <w:right w:val="nil"/>
            </w:tcBorders>
          </w:tcPr>
          <w:p w:rsidR="00325AD1" w:rsidRDefault="008C5E81">
            <w:pPr>
              <w:spacing w:after="0" w:line="259" w:lineRule="auto"/>
              <w:ind w:left="22" w:right="60" w:firstLine="0"/>
            </w:pPr>
            <w:r>
              <w:t>Руководитель центра совершенствования оказания медицинской помощи по профилю «нефрология», заведующий нефрологическим отделением ФГБУ «Национальный медицинский исследовательский центр трансплантологии и искусственных органов им. ак. В.И. Шумакова» Минздрав</w:t>
            </w:r>
            <w:r>
              <w:t xml:space="preserve">а России (г. Москва), д.м.н., профессор </w:t>
            </w:r>
          </w:p>
        </w:tc>
      </w:tr>
    </w:tbl>
    <w:p w:rsidR="00325AD1" w:rsidRDefault="008C5E81">
      <w:pPr>
        <w:spacing w:after="51" w:line="259" w:lineRule="auto"/>
        <w:ind w:left="2569" w:firstLine="0"/>
        <w:jc w:val="left"/>
      </w:pPr>
      <w:r>
        <w:t xml:space="preserve"> </w:t>
      </w:r>
    </w:p>
    <w:p w:rsidR="00325AD1" w:rsidRDefault="008C5E81">
      <w:pPr>
        <w:spacing w:after="169"/>
        <w:ind w:left="368" w:right="479"/>
      </w:pPr>
      <w:r>
        <w:t xml:space="preserve">Конфликт интересов. </w:t>
      </w:r>
    </w:p>
    <w:p w:rsidR="00325AD1" w:rsidRDefault="008C5E81">
      <w:pPr>
        <w:tabs>
          <w:tab w:val="center" w:pos="3865"/>
          <w:tab w:val="center" w:pos="9909"/>
        </w:tabs>
        <w:spacing w:after="3" w:line="259" w:lineRule="auto"/>
        <w:ind w:left="0" w:firstLine="0"/>
        <w:jc w:val="left"/>
      </w:pPr>
      <w:r>
        <w:rPr>
          <w:rFonts w:ascii="Calibri" w:eastAsia="Calibri" w:hAnsi="Calibri" w:cs="Calibri"/>
          <w:sz w:val="22"/>
        </w:rPr>
        <w:tab/>
      </w:r>
      <w:r>
        <w:t>Рабочая группа заявляет об отсутствии конфликта интересов.</w:t>
      </w:r>
      <w:r>
        <w:rPr>
          <w:rFonts w:ascii="Calibri" w:eastAsia="Calibri" w:hAnsi="Calibri" w:cs="Calibri"/>
          <w:sz w:val="22"/>
        </w:rPr>
        <w:t xml:space="preserve"> </w:t>
      </w:r>
      <w:r>
        <w:rPr>
          <w:rFonts w:ascii="Calibri" w:eastAsia="Calibri" w:hAnsi="Calibri" w:cs="Calibri"/>
          <w:sz w:val="22"/>
        </w:rPr>
        <w:tab/>
      </w:r>
      <w:r>
        <w:t xml:space="preserve"> </w:t>
      </w:r>
    </w:p>
    <w:p w:rsidR="00325AD1" w:rsidRDefault="008C5E81">
      <w:pPr>
        <w:spacing w:after="342" w:line="259" w:lineRule="auto"/>
        <w:ind w:left="708" w:firstLine="0"/>
        <w:jc w:val="left"/>
      </w:pPr>
      <w:r>
        <w:rPr>
          <w:rFonts w:ascii="Calibri" w:eastAsia="Calibri" w:hAnsi="Calibri" w:cs="Calibri"/>
          <w:sz w:val="22"/>
        </w:rPr>
        <w:t xml:space="preserve"> </w:t>
      </w:r>
    </w:p>
    <w:p w:rsidR="00325AD1" w:rsidRDefault="008C5E81">
      <w:pPr>
        <w:pStyle w:val="Heading1"/>
        <w:spacing w:after="260"/>
        <w:ind w:left="-5" w:right="475"/>
      </w:pPr>
      <w:r>
        <w:t>Приложение А2. Методология разработки клинических рекомендаций</w:t>
      </w:r>
      <w:r>
        <w:rPr>
          <w:b w:val="0"/>
        </w:rPr>
        <w:t xml:space="preserve"> </w:t>
      </w:r>
    </w:p>
    <w:p w:rsidR="00325AD1" w:rsidRDefault="008C5E81">
      <w:pPr>
        <w:spacing w:after="179" w:line="257" w:lineRule="auto"/>
        <w:ind w:left="718"/>
        <w:jc w:val="left"/>
      </w:pPr>
      <w:r>
        <w:rPr>
          <w:u w:val="single" w:color="000000"/>
        </w:rPr>
        <w:t>Целевая аудитория данных клинических рекомендаций:</w:t>
      </w:r>
      <w:r>
        <w:t xml:space="preserve"> </w:t>
      </w:r>
    </w:p>
    <w:p w:rsidR="00325AD1" w:rsidRDefault="008C5E81">
      <w:pPr>
        <w:numPr>
          <w:ilvl w:val="0"/>
          <w:numId w:val="33"/>
        </w:numPr>
        <w:spacing w:after="145"/>
        <w:ind w:right="479" w:hanging="360"/>
      </w:pPr>
      <w:r>
        <w:t>врачи-</w:t>
      </w:r>
      <w:r>
        <w:t xml:space="preserve">хирурги; </w:t>
      </w:r>
    </w:p>
    <w:p w:rsidR="00325AD1" w:rsidRDefault="008C5E81">
      <w:pPr>
        <w:numPr>
          <w:ilvl w:val="0"/>
          <w:numId w:val="33"/>
        </w:numPr>
        <w:spacing w:after="143"/>
        <w:ind w:right="479" w:hanging="360"/>
      </w:pPr>
      <w:r>
        <w:t xml:space="preserve">врачи-детские хирурги; </w:t>
      </w:r>
    </w:p>
    <w:p w:rsidR="00325AD1" w:rsidRDefault="008C5E81">
      <w:pPr>
        <w:numPr>
          <w:ilvl w:val="0"/>
          <w:numId w:val="33"/>
        </w:numPr>
        <w:spacing w:after="147"/>
        <w:ind w:right="479" w:hanging="360"/>
      </w:pPr>
      <w:r>
        <w:t xml:space="preserve">врачи-анестезиологи-реаниматологи; </w:t>
      </w:r>
    </w:p>
    <w:p w:rsidR="00325AD1" w:rsidRDefault="008C5E81">
      <w:pPr>
        <w:numPr>
          <w:ilvl w:val="0"/>
          <w:numId w:val="33"/>
        </w:numPr>
        <w:spacing w:after="143"/>
        <w:ind w:right="479" w:hanging="360"/>
      </w:pPr>
      <w:r>
        <w:t xml:space="preserve">врачи общей практики (семейные врачи); </w:t>
      </w:r>
    </w:p>
    <w:p w:rsidR="00325AD1" w:rsidRDefault="008C5E81">
      <w:pPr>
        <w:numPr>
          <w:ilvl w:val="0"/>
          <w:numId w:val="33"/>
        </w:numPr>
        <w:spacing w:after="140"/>
        <w:ind w:right="479" w:hanging="360"/>
      </w:pPr>
      <w:r>
        <w:t xml:space="preserve">врачи-нефрологи; </w:t>
      </w:r>
    </w:p>
    <w:p w:rsidR="00325AD1" w:rsidRDefault="008C5E81">
      <w:pPr>
        <w:numPr>
          <w:ilvl w:val="0"/>
          <w:numId w:val="33"/>
        </w:numPr>
        <w:spacing w:after="144"/>
        <w:ind w:right="479" w:hanging="360"/>
      </w:pPr>
      <w:r>
        <w:t xml:space="preserve">врачи-урологи; </w:t>
      </w:r>
    </w:p>
    <w:p w:rsidR="00325AD1" w:rsidRDefault="008C5E81">
      <w:pPr>
        <w:numPr>
          <w:ilvl w:val="0"/>
          <w:numId w:val="33"/>
        </w:numPr>
        <w:spacing w:after="146"/>
        <w:ind w:right="479" w:hanging="360"/>
      </w:pPr>
      <w:r>
        <w:t xml:space="preserve">врачи-эндокринологи; </w:t>
      </w:r>
    </w:p>
    <w:p w:rsidR="00325AD1" w:rsidRDefault="008C5E81">
      <w:pPr>
        <w:numPr>
          <w:ilvl w:val="0"/>
          <w:numId w:val="33"/>
        </w:numPr>
        <w:spacing w:after="141"/>
        <w:ind w:right="479" w:hanging="360"/>
      </w:pPr>
      <w:r>
        <w:t xml:space="preserve">врачи-детские эндокринологи; </w:t>
      </w:r>
    </w:p>
    <w:p w:rsidR="00325AD1" w:rsidRDefault="008C5E81">
      <w:pPr>
        <w:numPr>
          <w:ilvl w:val="0"/>
          <w:numId w:val="33"/>
        </w:numPr>
        <w:spacing w:after="143"/>
        <w:ind w:right="479" w:hanging="360"/>
      </w:pPr>
      <w:r>
        <w:t xml:space="preserve">врачи-терапевты; </w:t>
      </w:r>
    </w:p>
    <w:p w:rsidR="00325AD1" w:rsidRDefault="008C5E81">
      <w:pPr>
        <w:numPr>
          <w:ilvl w:val="0"/>
          <w:numId w:val="33"/>
        </w:numPr>
        <w:spacing w:after="145"/>
        <w:ind w:right="479" w:hanging="360"/>
      </w:pPr>
      <w:r>
        <w:t xml:space="preserve">врачи-педиатры; </w:t>
      </w:r>
    </w:p>
    <w:p w:rsidR="00325AD1" w:rsidRDefault="008C5E81">
      <w:pPr>
        <w:numPr>
          <w:ilvl w:val="0"/>
          <w:numId w:val="33"/>
        </w:numPr>
        <w:spacing w:after="76"/>
        <w:ind w:right="479" w:hanging="360"/>
      </w:pPr>
      <w:r>
        <w:t xml:space="preserve">врачи-патологоанатомы. </w:t>
      </w:r>
    </w:p>
    <w:p w:rsidR="00325AD1" w:rsidRDefault="008C5E81">
      <w:pPr>
        <w:spacing w:after="115" w:line="259" w:lineRule="auto"/>
        <w:ind w:left="708" w:firstLine="0"/>
        <w:jc w:val="left"/>
      </w:pPr>
      <w:r>
        <w:t xml:space="preserve"> </w:t>
      </w:r>
    </w:p>
    <w:p w:rsidR="00325AD1" w:rsidRDefault="008C5E81">
      <w:pPr>
        <w:spacing w:after="165" w:line="259" w:lineRule="auto"/>
        <w:ind w:left="708" w:firstLine="0"/>
        <w:jc w:val="left"/>
      </w:pPr>
      <w:r>
        <w:t xml:space="preserve"> </w:t>
      </w:r>
    </w:p>
    <w:p w:rsidR="00325AD1" w:rsidRDefault="008C5E81">
      <w:pPr>
        <w:spacing w:after="0" w:line="259" w:lineRule="auto"/>
        <w:ind w:left="-15" w:right="468" w:firstLine="698"/>
      </w:pPr>
      <w:r>
        <w:t>Таблица 1</w:t>
      </w:r>
      <w:r>
        <w:rPr>
          <w:rFonts w:ascii="Calibri" w:eastAsia="Calibri" w:hAnsi="Calibri" w:cs="Calibri"/>
          <w:sz w:val="22"/>
        </w:rPr>
        <w:t>. Шкала оценки уровней достоверности доказательств (УДД) для методов диагностики (диагностических вмешательств)</w:t>
      </w:r>
      <w:r>
        <w:t xml:space="preserve"> </w:t>
      </w:r>
    </w:p>
    <w:tbl>
      <w:tblPr>
        <w:tblStyle w:val="TableGrid"/>
        <w:tblW w:w="9347" w:type="dxa"/>
        <w:tblInd w:w="5" w:type="dxa"/>
        <w:tblCellMar>
          <w:top w:w="9" w:type="dxa"/>
          <w:left w:w="108" w:type="dxa"/>
          <w:bottom w:w="0" w:type="dxa"/>
          <w:right w:w="51" w:type="dxa"/>
        </w:tblCellMar>
        <w:tblLook w:val="04A0" w:firstRow="1" w:lastRow="0" w:firstColumn="1" w:lastColumn="0" w:noHBand="0" w:noVBand="1"/>
      </w:tblPr>
      <w:tblGrid>
        <w:gridCol w:w="794"/>
        <w:gridCol w:w="8553"/>
      </w:tblGrid>
      <w:tr w:rsidR="00325AD1">
        <w:trPr>
          <w:trHeight w:val="286"/>
        </w:trPr>
        <w:tc>
          <w:tcPr>
            <w:tcW w:w="794"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41" w:firstLine="0"/>
              <w:jc w:val="left"/>
            </w:pPr>
            <w:r>
              <w:t xml:space="preserve">УДД </w:t>
            </w:r>
          </w:p>
        </w:tc>
        <w:tc>
          <w:tcPr>
            <w:tcW w:w="8553"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9" w:firstLine="0"/>
              <w:jc w:val="center"/>
            </w:pPr>
            <w:r>
              <w:t xml:space="preserve">Расшифровка </w:t>
            </w:r>
          </w:p>
        </w:tc>
      </w:tr>
      <w:tr w:rsidR="00325AD1">
        <w:trPr>
          <w:trHeight w:val="838"/>
        </w:trPr>
        <w:tc>
          <w:tcPr>
            <w:tcW w:w="794"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9" w:firstLine="0"/>
              <w:jc w:val="center"/>
            </w:pPr>
            <w:r>
              <w:t xml:space="preserve">1 </w:t>
            </w:r>
          </w:p>
        </w:tc>
        <w:tc>
          <w:tcPr>
            <w:tcW w:w="8553"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7" w:firstLine="0"/>
            </w:pPr>
            <w:r>
              <w:t xml:space="preserve">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 </w:t>
            </w:r>
          </w:p>
        </w:tc>
      </w:tr>
      <w:tr w:rsidR="00325AD1">
        <w:trPr>
          <w:trHeight w:val="1114"/>
        </w:trPr>
        <w:tc>
          <w:tcPr>
            <w:tcW w:w="794"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9" w:firstLine="0"/>
              <w:jc w:val="center"/>
            </w:pPr>
            <w:r>
              <w:t xml:space="preserve">2 </w:t>
            </w:r>
          </w:p>
        </w:tc>
        <w:tc>
          <w:tcPr>
            <w:tcW w:w="8553"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62" w:firstLine="0"/>
            </w:pPr>
            <w:r>
              <w:t xml:space="preserve">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 </w:t>
            </w:r>
          </w:p>
        </w:tc>
      </w:tr>
      <w:tr w:rsidR="00325AD1">
        <w:trPr>
          <w:trHeight w:val="1114"/>
        </w:trPr>
        <w:tc>
          <w:tcPr>
            <w:tcW w:w="794"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9" w:firstLine="0"/>
              <w:jc w:val="center"/>
            </w:pPr>
            <w:r>
              <w:t xml:space="preserve">3 </w:t>
            </w:r>
          </w:p>
        </w:tc>
        <w:tc>
          <w:tcPr>
            <w:tcW w:w="8553"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64" w:firstLine="0"/>
            </w:pPr>
            <w:r>
              <w:t xml:space="preserve">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 </w:t>
            </w:r>
          </w:p>
        </w:tc>
      </w:tr>
      <w:tr w:rsidR="00325AD1">
        <w:trPr>
          <w:trHeight w:val="286"/>
        </w:trPr>
        <w:tc>
          <w:tcPr>
            <w:tcW w:w="794"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9" w:firstLine="0"/>
              <w:jc w:val="center"/>
            </w:pPr>
            <w:r>
              <w:t xml:space="preserve">4 </w:t>
            </w:r>
          </w:p>
        </w:tc>
        <w:tc>
          <w:tcPr>
            <w:tcW w:w="8553"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firstLine="0"/>
              <w:jc w:val="left"/>
            </w:pPr>
            <w:r>
              <w:t xml:space="preserve">Несравнительные исследования, описание клинического случая </w:t>
            </w:r>
          </w:p>
        </w:tc>
      </w:tr>
      <w:tr w:rsidR="00325AD1">
        <w:trPr>
          <w:trHeight w:val="288"/>
        </w:trPr>
        <w:tc>
          <w:tcPr>
            <w:tcW w:w="794"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9" w:firstLine="0"/>
              <w:jc w:val="center"/>
            </w:pPr>
            <w:r>
              <w:t xml:space="preserve">5 </w:t>
            </w:r>
          </w:p>
        </w:tc>
        <w:tc>
          <w:tcPr>
            <w:tcW w:w="8553"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firstLine="0"/>
              <w:jc w:val="left"/>
            </w:pPr>
            <w:r>
              <w:t xml:space="preserve">Имеется лишь обоснование механизма действия или мнение экспертов </w:t>
            </w:r>
          </w:p>
        </w:tc>
      </w:tr>
    </w:tbl>
    <w:p w:rsidR="00325AD1" w:rsidRDefault="008C5E81">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t xml:space="preserve"> </w:t>
      </w:r>
    </w:p>
    <w:p w:rsidR="00325AD1" w:rsidRDefault="008C5E81">
      <w:pPr>
        <w:spacing w:after="0" w:line="259" w:lineRule="auto"/>
        <w:ind w:left="0" w:firstLine="0"/>
        <w:jc w:val="left"/>
      </w:pPr>
      <w:r>
        <w:t xml:space="preserve"> </w:t>
      </w:r>
    </w:p>
    <w:p w:rsidR="00325AD1" w:rsidRDefault="008C5E81">
      <w:pPr>
        <w:spacing w:after="167" w:line="259" w:lineRule="auto"/>
        <w:ind w:left="708" w:firstLine="0"/>
        <w:jc w:val="left"/>
      </w:pPr>
      <w:r>
        <w:t xml:space="preserve"> </w:t>
      </w:r>
    </w:p>
    <w:p w:rsidR="00325AD1" w:rsidRDefault="008C5E81">
      <w:pPr>
        <w:spacing w:after="0" w:line="259" w:lineRule="auto"/>
        <w:ind w:left="-15" w:right="468" w:firstLine="698"/>
      </w:pPr>
      <w:r>
        <w:t xml:space="preserve">Таблица 2. </w:t>
      </w:r>
      <w:r>
        <w:rPr>
          <w:rFonts w:ascii="Calibri" w:eastAsia="Calibri" w:hAnsi="Calibri" w:cs="Calibri"/>
          <w:sz w:val="22"/>
        </w:rPr>
        <w:t>Шкала оценки уровней достоверности доказательств (УДД) для методов профилактики, лечения, медицинской реабилитации,</w:t>
      </w:r>
      <w:r>
        <w:rPr>
          <w:color w:val="22272F"/>
          <w:sz w:val="32"/>
        </w:rPr>
        <w:t xml:space="preserve"> </w:t>
      </w:r>
      <w:r>
        <w:rPr>
          <w:rFonts w:ascii="Calibri" w:eastAsia="Calibri" w:hAnsi="Calibri" w:cs="Calibri"/>
          <w:sz w:val="22"/>
        </w:rPr>
        <w:t>в том числе основанных на использовании природных лечебных факторов (профилактических, лечебных, реабилитационных вмешательств)</w:t>
      </w:r>
      <w:r>
        <w:t xml:space="preserve"> </w:t>
      </w:r>
    </w:p>
    <w:tbl>
      <w:tblPr>
        <w:tblStyle w:val="TableGrid"/>
        <w:tblW w:w="9347" w:type="dxa"/>
        <w:tblInd w:w="5" w:type="dxa"/>
        <w:tblCellMar>
          <w:top w:w="9" w:type="dxa"/>
          <w:left w:w="108" w:type="dxa"/>
          <w:bottom w:w="0" w:type="dxa"/>
          <w:right w:w="54" w:type="dxa"/>
        </w:tblCellMar>
        <w:tblLook w:val="04A0" w:firstRow="1" w:lastRow="0" w:firstColumn="1" w:lastColumn="0" w:noHBand="0" w:noVBand="1"/>
      </w:tblPr>
      <w:tblGrid>
        <w:gridCol w:w="710"/>
        <w:gridCol w:w="8637"/>
      </w:tblGrid>
      <w:tr w:rsidR="00325AD1">
        <w:trPr>
          <w:trHeight w:val="562"/>
        </w:trPr>
        <w:tc>
          <w:tcPr>
            <w:tcW w:w="710"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3" w:firstLine="0"/>
              <w:jc w:val="center"/>
            </w:pPr>
            <w:r>
              <w:t xml:space="preserve">УД Д </w:t>
            </w:r>
          </w:p>
        </w:tc>
        <w:tc>
          <w:tcPr>
            <w:tcW w:w="8637"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9" w:firstLine="0"/>
              <w:jc w:val="center"/>
            </w:pPr>
            <w:r>
              <w:t>Расши</w:t>
            </w:r>
            <w:r>
              <w:t xml:space="preserve">фровка </w:t>
            </w:r>
          </w:p>
        </w:tc>
      </w:tr>
      <w:tr w:rsidR="00325AD1">
        <w:trPr>
          <w:trHeight w:val="286"/>
        </w:trPr>
        <w:tc>
          <w:tcPr>
            <w:tcW w:w="710"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4" w:firstLine="0"/>
              <w:jc w:val="center"/>
            </w:pPr>
            <w:r>
              <w:t xml:space="preserve">1 </w:t>
            </w:r>
          </w:p>
        </w:tc>
        <w:tc>
          <w:tcPr>
            <w:tcW w:w="8637"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firstLine="0"/>
              <w:jc w:val="left"/>
            </w:pPr>
            <w:r>
              <w:t xml:space="preserve">Систематический обзор РКИ с применением мета-анализа </w:t>
            </w:r>
          </w:p>
        </w:tc>
      </w:tr>
      <w:tr w:rsidR="00325AD1">
        <w:trPr>
          <w:trHeight w:val="564"/>
        </w:trPr>
        <w:tc>
          <w:tcPr>
            <w:tcW w:w="710"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4" w:firstLine="0"/>
              <w:jc w:val="center"/>
            </w:pPr>
            <w:r>
              <w:t xml:space="preserve">2 </w:t>
            </w:r>
          </w:p>
        </w:tc>
        <w:tc>
          <w:tcPr>
            <w:tcW w:w="8637"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firstLine="0"/>
            </w:pPr>
            <w:r>
              <w:t xml:space="preserve">Отдельные РКИ и систематические обзоры исследований любого дизайна, за исключением РКИ, с применением мета-анализа </w:t>
            </w:r>
          </w:p>
        </w:tc>
      </w:tr>
      <w:tr w:rsidR="00325AD1">
        <w:trPr>
          <w:trHeight w:val="562"/>
        </w:trPr>
        <w:tc>
          <w:tcPr>
            <w:tcW w:w="710"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4" w:firstLine="0"/>
              <w:jc w:val="center"/>
            </w:pPr>
            <w:r>
              <w:t xml:space="preserve">3 </w:t>
            </w:r>
          </w:p>
        </w:tc>
        <w:tc>
          <w:tcPr>
            <w:tcW w:w="8637"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firstLine="0"/>
              <w:jc w:val="left"/>
            </w:pPr>
            <w:r>
              <w:t xml:space="preserve">Нерандомизированные </w:t>
            </w:r>
            <w:r>
              <w:tab/>
              <w:t xml:space="preserve">сравнительные </w:t>
            </w:r>
            <w:r>
              <w:tab/>
              <w:t xml:space="preserve">исследования, </w:t>
            </w:r>
            <w:r>
              <w:tab/>
              <w:t xml:space="preserve">в </w:t>
            </w:r>
            <w:r>
              <w:tab/>
              <w:t xml:space="preserve">т.ч. </w:t>
            </w:r>
            <w:r>
              <w:tab/>
              <w:t xml:space="preserve">когортные исследования </w:t>
            </w:r>
          </w:p>
        </w:tc>
      </w:tr>
      <w:tr w:rsidR="00325AD1">
        <w:trPr>
          <w:trHeight w:val="562"/>
        </w:trPr>
        <w:tc>
          <w:tcPr>
            <w:tcW w:w="710"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4" w:firstLine="0"/>
              <w:jc w:val="center"/>
            </w:pPr>
            <w:r>
              <w:t xml:space="preserve">4 </w:t>
            </w:r>
          </w:p>
        </w:tc>
        <w:tc>
          <w:tcPr>
            <w:tcW w:w="8637"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firstLine="0"/>
            </w:pPr>
            <w:r>
              <w:t xml:space="preserve">Несравнительные исследования, описание клинического случая или серии случаев, исследования «случай-контроль» </w:t>
            </w:r>
          </w:p>
        </w:tc>
      </w:tr>
      <w:tr w:rsidR="00325AD1">
        <w:trPr>
          <w:trHeight w:val="562"/>
        </w:trPr>
        <w:tc>
          <w:tcPr>
            <w:tcW w:w="710"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4" w:firstLine="0"/>
              <w:jc w:val="center"/>
            </w:pPr>
            <w:r>
              <w:t xml:space="preserve">5 </w:t>
            </w:r>
          </w:p>
        </w:tc>
        <w:tc>
          <w:tcPr>
            <w:tcW w:w="8637"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firstLine="0"/>
            </w:pPr>
            <w:r>
              <w:t xml:space="preserve">Имеется лишь обоснование механизма действия вмешательства (доклинические исследования) или мнение экспертов </w:t>
            </w:r>
          </w:p>
        </w:tc>
      </w:tr>
    </w:tbl>
    <w:p w:rsidR="00325AD1" w:rsidRDefault="008C5E81">
      <w:pPr>
        <w:spacing w:after="120" w:line="259" w:lineRule="auto"/>
        <w:ind w:left="708" w:firstLine="0"/>
        <w:jc w:val="left"/>
      </w:pPr>
      <w:r>
        <w:t xml:space="preserve"> </w:t>
      </w:r>
    </w:p>
    <w:p w:rsidR="00325AD1" w:rsidRDefault="008C5E81">
      <w:pPr>
        <w:spacing w:after="0" w:line="259" w:lineRule="auto"/>
        <w:ind w:left="-15" w:right="468" w:firstLine="698"/>
      </w:pPr>
      <w:r>
        <w:t xml:space="preserve">Таблица 3. </w:t>
      </w:r>
      <w:r>
        <w:rPr>
          <w:rFonts w:ascii="Calibri" w:eastAsia="Calibri" w:hAnsi="Calibri" w:cs="Calibri"/>
          <w:sz w:val="22"/>
        </w:rPr>
        <w:t>Шкала оценки уровней убедительности рекомендаций (УУР) для методов профилактики, диагностики, лечения, медицинской реабилитации, в то</w:t>
      </w:r>
      <w:r>
        <w:rPr>
          <w:rFonts w:ascii="Calibri" w:eastAsia="Calibri" w:hAnsi="Calibri" w:cs="Calibri"/>
          <w:sz w:val="22"/>
        </w:rPr>
        <w:t>м числе основанных на использовании природных лечебных факторов (профилактических, диагностических, лечебных, реабилитационных вмешательств)</w:t>
      </w:r>
      <w:r>
        <w:t xml:space="preserve"> </w:t>
      </w:r>
    </w:p>
    <w:tbl>
      <w:tblPr>
        <w:tblStyle w:val="TableGrid"/>
        <w:tblW w:w="9347" w:type="dxa"/>
        <w:tblInd w:w="5" w:type="dxa"/>
        <w:tblCellMar>
          <w:top w:w="9" w:type="dxa"/>
          <w:left w:w="106" w:type="dxa"/>
          <w:bottom w:w="0" w:type="dxa"/>
          <w:right w:w="54" w:type="dxa"/>
        </w:tblCellMar>
        <w:tblLook w:val="04A0" w:firstRow="1" w:lastRow="0" w:firstColumn="1" w:lastColumn="0" w:noHBand="0" w:noVBand="1"/>
      </w:tblPr>
      <w:tblGrid>
        <w:gridCol w:w="1332"/>
        <w:gridCol w:w="8015"/>
      </w:tblGrid>
      <w:tr w:rsidR="00325AD1">
        <w:trPr>
          <w:trHeight w:val="286"/>
        </w:trPr>
        <w:tc>
          <w:tcPr>
            <w:tcW w:w="1332"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0" w:firstLine="0"/>
              <w:jc w:val="center"/>
            </w:pPr>
            <w:r>
              <w:t xml:space="preserve">УУР </w:t>
            </w:r>
          </w:p>
        </w:tc>
        <w:tc>
          <w:tcPr>
            <w:tcW w:w="8015"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8" w:firstLine="0"/>
              <w:jc w:val="center"/>
            </w:pPr>
            <w:r>
              <w:t xml:space="preserve">Расшифровка </w:t>
            </w:r>
          </w:p>
        </w:tc>
      </w:tr>
      <w:tr w:rsidR="00325AD1">
        <w:trPr>
          <w:trHeight w:val="1114"/>
        </w:trPr>
        <w:tc>
          <w:tcPr>
            <w:tcW w:w="1332"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4" w:firstLine="0"/>
              <w:jc w:val="center"/>
            </w:pPr>
            <w:r>
              <w:t xml:space="preserve">A </w:t>
            </w:r>
          </w:p>
        </w:tc>
        <w:tc>
          <w:tcPr>
            <w:tcW w:w="8015"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60" w:firstLine="0"/>
            </w:pPr>
            <w: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  </w:t>
            </w:r>
          </w:p>
        </w:tc>
      </w:tr>
      <w:tr w:rsidR="00325AD1">
        <w:trPr>
          <w:trHeight w:val="1114"/>
        </w:trPr>
        <w:tc>
          <w:tcPr>
            <w:tcW w:w="1332"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3" w:firstLine="0"/>
              <w:jc w:val="center"/>
            </w:pPr>
            <w:r>
              <w:t xml:space="preserve">B </w:t>
            </w:r>
          </w:p>
        </w:tc>
        <w:tc>
          <w:tcPr>
            <w:tcW w:w="8015" w:type="dxa"/>
            <w:tcBorders>
              <w:top w:val="single" w:sz="4" w:space="0" w:color="000000"/>
              <w:left w:val="single" w:sz="4" w:space="0" w:color="000000"/>
              <w:bottom w:val="single" w:sz="4" w:space="0" w:color="000000"/>
              <w:right w:val="single" w:sz="4" w:space="0" w:color="000000"/>
            </w:tcBorders>
          </w:tcPr>
          <w:p w:rsidR="00325AD1" w:rsidRDefault="008C5E81">
            <w:pPr>
              <w:spacing w:after="47" w:line="238" w:lineRule="auto"/>
              <w:ind w:left="0" w:right="63" w:firstLine="0"/>
            </w:pPr>
            <w: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w:t>
            </w:r>
          </w:p>
          <w:p w:rsidR="00325AD1" w:rsidRDefault="008C5E81">
            <w:pPr>
              <w:spacing w:after="0" w:line="259" w:lineRule="auto"/>
              <w:ind w:left="0" w:firstLine="0"/>
              <w:jc w:val="left"/>
            </w:pPr>
            <w:r>
              <w:t xml:space="preserve">интересующим исходам не являются согласованными)  </w:t>
            </w:r>
          </w:p>
        </w:tc>
      </w:tr>
      <w:tr w:rsidR="00325AD1">
        <w:trPr>
          <w:trHeight w:val="1114"/>
        </w:trPr>
        <w:tc>
          <w:tcPr>
            <w:tcW w:w="1332"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3" w:firstLine="0"/>
              <w:jc w:val="center"/>
            </w:pPr>
            <w:r>
              <w:t xml:space="preserve">C </w:t>
            </w:r>
          </w:p>
        </w:tc>
        <w:tc>
          <w:tcPr>
            <w:tcW w:w="8015" w:type="dxa"/>
            <w:tcBorders>
              <w:top w:val="single" w:sz="4" w:space="0" w:color="000000"/>
              <w:left w:val="single" w:sz="4" w:space="0" w:color="000000"/>
              <w:bottom w:val="single" w:sz="4" w:space="0" w:color="000000"/>
              <w:right w:val="single" w:sz="4" w:space="0" w:color="000000"/>
            </w:tcBorders>
          </w:tcPr>
          <w:p w:rsidR="00325AD1" w:rsidRDefault="008C5E81">
            <w:pPr>
              <w:spacing w:after="0" w:line="259" w:lineRule="auto"/>
              <w:ind w:left="0" w:right="59" w:firstLine="0"/>
            </w:pPr>
            <w:r>
              <w:t>Сл</w:t>
            </w:r>
            <w:r>
              <w:t>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r>
              <w:t xml:space="preserve">)  </w:t>
            </w:r>
          </w:p>
        </w:tc>
      </w:tr>
    </w:tbl>
    <w:p w:rsidR="00325AD1" w:rsidRDefault="008C5E81">
      <w:pPr>
        <w:spacing w:after="161" w:line="259" w:lineRule="auto"/>
        <w:ind w:left="708" w:firstLine="0"/>
        <w:jc w:val="left"/>
      </w:pPr>
      <w:r>
        <w:t xml:space="preserve"> </w:t>
      </w:r>
    </w:p>
    <w:p w:rsidR="00325AD1" w:rsidRDefault="008C5E81">
      <w:pPr>
        <w:spacing w:after="122"/>
        <w:ind w:left="718" w:right="479"/>
      </w:pPr>
      <w:r>
        <w:t xml:space="preserve">Порядок обновления клинических рекомендаций. </w:t>
      </w:r>
    </w:p>
    <w:p w:rsidR="00325AD1" w:rsidRDefault="008C5E81">
      <w:pPr>
        <w:spacing w:line="382" w:lineRule="auto"/>
        <w:ind w:left="0" w:right="479" w:firstLine="708"/>
      </w:pPr>
      <w:r>
        <w:t xml:space="preserve">Механизм обновления клинических рекомендаций предусматривает их систематическую актуализацию – </w:t>
      </w:r>
      <w:r>
        <w:t>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утвержденным клинич</w:t>
      </w:r>
      <w:r>
        <w:t xml:space="preserve">еским рекомендациям, но не чаще 1 раза в 6 месяцев. </w:t>
      </w:r>
      <w:r>
        <w:tab/>
        <w:t xml:space="preserve"> </w:t>
      </w:r>
    </w:p>
    <w:p w:rsidR="00325AD1" w:rsidRDefault="008C5E81">
      <w:pPr>
        <w:spacing w:after="283" w:line="259" w:lineRule="auto"/>
        <w:ind w:left="708" w:firstLine="0"/>
        <w:jc w:val="left"/>
      </w:pPr>
      <w:r>
        <w:rPr>
          <w:rFonts w:ascii="Calibri" w:eastAsia="Calibri" w:hAnsi="Calibri" w:cs="Calibri"/>
          <w:sz w:val="22"/>
        </w:rPr>
        <w:t xml:space="preserve"> </w:t>
      </w:r>
    </w:p>
    <w:p w:rsidR="00325AD1" w:rsidRDefault="008C5E81">
      <w:pPr>
        <w:pStyle w:val="Heading1"/>
        <w:spacing w:after="71" w:line="362" w:lineRule="auto"/>
        <w:ind w:left="-5" w:right="475"/>
      </w:pPr>
      <w: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w:t>
      </w:r>
      <w:r>
        <w:t>ата</w:t>
      </w:r>
      <w:r>
        <w:rPr>
          <w:sz w:val="24"/>
        </w:rPr>
        <w:t xml:space="preserve"> </w:t>
      </w:r>
    </w:p>
    <w:p w:rsidR="00325AD1" w:rsidRDefault="008C5E81">
      <w:pPr>
        <w:spacing w:after="0" w:line="259" w:lineRule="auto"/>
        <w:ind w:left="0" w:firstLine="0"/>
        <w:jc w:val="left"/>
      </w:pPr>
      <w:r>
        <w:t xml:space="preserve"> </w:t>
      </w:r>
    </w:p>
    <w:p w:rsidR="00325AD1" w:rsidRDefault="008C5E81">
      <w:pPr>
        <w:spacing w:line="380" w:lineRule="auto"/>
        <w:ind w:left="0" w:right="479" w:firstLine="720"/>
      </w:pPr>
      <w:r>
        <w:t xml:space="preserve">Актуальные инструкции по применению лекарственных препаратов расположены на официальном сайте Минздрава России http://grls.rosminzdrav.ru/Default.aspx. </w:t>
      </w:r>
    </w:p>
    <w:p w:rsidR="00325AD1" w:rsidRDefault="008C5E81">
      <w:pPr>
        <w:spacing w:line="358" w:lineRule="auto"/>
        <w:ind w:left="0" w:right="479" w:firstLine="720"/>
      </w:pPr>
      <w:r>
        <w:t xml:space="preserve">Федеральный закон от 30.03.1999 N 52-ФЗ «О санитарно-эпидемиологическом благополучии населения» </w:t>
      </w:r>
      <w:r>
        <w:t xml:space="preserve">(Собрание законодательства Российской Федерации, N 14, ст. 1650; 2002, N 1 (ч. I), ст. 2; 2003, N 2, ст. 167; N 27 (ч. I), ст. 2700; 2004, N 35, ст. 3607; 2005, </w:t>
      </w:r>
    </w:p>
    <w:p w:rsidR="00325AD1" w:rsidRDefault="008C5E81">
      <w:pPr>
        <w:spacing w:line="396" w:lineRule="auto"/>
        <w:ind w:right="479"/>
      </w:pPr>
      <w:r>
        <w:t>N 19, ст. 1752; 2006, N 1, ст. 10; 2007, N 1 (ч. I), ст. 21, 29; N 27, ст. 3213; N 46, ст. 555</w:t>
      </w:r>
      <w:r>
        <w:t xml:space="preserve">4; N 49, ст. 6070; 2008, N 24, ст. 2801; N 29 (ч. I), ст. 3418). </w:t>
      </w:r>
    </w:p>
    <w:p w:rsidR="00325AD1" w:rsidRDefault="008C5E81">
      <w:pPr>
        <w:spacing w:after="33" w:line="370" w:lineRule="auto"/>
        <w:ind w:left="0" w:right="479" w:firstLine="720"/>
      </w:pPr>
      <w:r>
        <w:t>Федеральный закон от 25.12.2018 № 489-ФЗ «О внесении изменений в статью 40 Федерального закона "Об обязательном медицинском страховании в Российской Федерации" и Федеральный закон "Об основа</w:t>
      </w:r>
      <w:r>
        <w:t xml:space="preserve">х охраны здоровья граждан в Российской Федерации" по вопросам клинических рекомендаций». </w:t>
      </w:r>
    </w:p>
    <w:p w:rsidR="00325AD1" w:rsidRDefault="008C5E81">
      <w:pPr>
        <w:spacing w:line="378" w:lineRule="auto"/>
        <w:ind w:left="0" w:right="479" w:firstLine="720"/>
      </w:pPr>
      <w:r>
        <w:t>Федеральный закон от 21.11.2011 N 323-</w:t>
      </w:r>
      <w:r>
        <w:t xml:space="preserve">ФЗ (ред. от 31.04.2021) «Об основах охраны здоровья граждан в Российской Федерации», Статья 47. Донорство органов и тканей человека и их трансплантация (пересадка). </w:t>
      </w:r>
    </w:p>
    <w:p w:rsidR="00325AD1" w:rsidRDefault="008C5E81">
      <w:pPr>
        <w:spacing w:line="371" w:lineRule="auto"/>
        <w:ind w:left="0" w:right="479" w:firstLine="720"/>
      </w:pPr>
      <w:r>
        <w:t>Постановления Правительства РФ «Об утверждении Правил определения момента смерти человека,</w:t>
      </w:r>
      <w:r>
        <w:t xml:space="preserve"> в том числе критериев и процедуры установления смерти человека, Правил прекращения реанимационных мероприятий и формы протокола установления смерти человека» от 20 сентября 2012 г. № 950. </w:t>
      </w:r>
    </w:p>
    <w:p w:rsidR="00325AD1" w:rsidRDefault="008C5E81">
      <w:pPr>
        <w:spacing w:line="371" w:lineRule="auto"/>
        <w:ind w:left="0" w:right="479" w:firstLine="720"/>
      </w:pPr>
      <w:r>
        <w:t>Постановление Правительства РФ от 01.06.2021 N 852 (ред. от 08.05.</w:t>
      </w:r>
      <w:r>
        <w:t xml:space="preserve">2025)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w:t>
      </w:r>
    </w:p>
    <w:p w:rsidR="00325AD1" w:rsidRDefault="008C5E81">
      <w:pPr>
        <w:spacing w:line="370" w:lineRule="auto"/>
        <w:ind w:left="0" w:right="479" w:firstLine="720"/>
      </w:pPr>
      <w:r>
        <w:t>Постан</w:t>
      </w:r>
      <w:r>
        <w:t xml:space="preserve">овления Правительства РФ «О порядке финансового обеспечения медицинской деятельности, связанной с донорством органов человека в целях трансплантации (пересадки), за счет бюджетных ассигнований федерального бюджета» от 23 января 2016 г. № 33. </w:t>
      </w:r>
    </w:p>
    <w:p w:rsidR="00325AD1" w:rsidRDefault="008C5E81">
      <w:pPr>
        <w:spacing w:line="377" w:lineRule="auto"/>
        <w:ind w:left="0" w:right="479" w:firstLine="720"/>
      </w:pPr>
      <w:r>
        <w:t>Приказ Минздр</w:t>
      </w:r>
      <w:r>
        <w:t xml:space="preserve">ава России от 31.10.2012 №567н «Об утверждении Порядка оказания медицинской помощи по профилю "хирургия (трансплантация органов и (или) тканей человека)"»  </w:t>
      </w:r>
    </w:p>
    <w:p w:rsidR="00325AD1" w:rsidRDefault="008C5E81">
      <w:pPr>
        <w:spacing w:line="377" w:lineRule="auto"/>
        <w:ind w:left="0" w:right="479" w:firstLine="720"/>
      </w:pPr>
      <w:r>
        <w:t>Приказ Минздрава России от 15 ноября 2012 г. № 919н «Об утверждении Порядка оказания медицинской по</w:t>
      </w:r>
      <w:r>
        <w:t xml:space="preserve">мощи взрослому населению по профилю "анестезиология и реаниматология» </w:t>
      </w:r>
    </w:p>
    <w:p w:rsidR="00325AD1" w:rsidRDefault="008C5E81">
      <w:pPr>
        <w:spacing w:line="377" w:lineRule="auto"/>
        <w:ind w:left="0" w:right="479" w:firstLine="720"/>
      </w:pPr>
      <w:r>
        <w:t xml:space="preserve">Приказ Минздрава России от 15 ноября 2012 г. № 928н «Об утверждении Порядка оказания медицинской помощи больным с острыми нарушениями мозгового кровообращения»  </w:t>
      </w:r>
    </w:p>
    <w:p w:rsidR="00325AD1" w:rsidRDefault="008C5E81">
      <w:pPr>
        <w:spacing w:line="397" w:lineRule="auto"/>
        <w:ind w:left="0" w:right="479" w:firstLine="720"/>
      </w:pPr>
      <w:r>
        <w:t>Приказ Минздрава России</w:t>
      </w:r>
      <w:r>
        <w:t xml:space="preserve"> от 25 декабря 2014 г. № 908н «О Порядке установления диагноза смерти мозга человека»  </w:t>
      </w:r>
    </w:p>
    <w:p w:rsidR="00325AD1" w:rsidRDefault="008C5E81">
      <w:pPr>
        <w:spacing w:line="378" w:lineRule="auto"/>
        <w:ind w:left="0" w:right="479" w:firstLine="720"/>
      </w:pPr>
      <w:r>
        <w:t>Приказ Минздрава России N 738н, РАН N 3 от 10.11.2022 (ред. от 20.01.2026) "Об утверждении перечня медицинских организаций, осуществляющих забор, заготовку и трансплант</w:t>
      </w:r>
      <w:r>
        <w:t xml:space="preserve">ацию органов и (или) тканей человека" </w:t>
      </w:r>
    </w:p>
    <w:p w:rsidR="00325AD1" w:rsidRDefault="008C5E81">
      <w:pPr>
        <w:spacing w:line="398" w:lineRule="auto"/>
        <w:ind w:left="0" w:right="479" w:firstLine="720"/>
      </w:pPr>
      <w:r>
        <w:t xml:space="preserve">Приказ Минздрава России N 150н, РАН N 1 от 25.03.2025 "Об утверждении перечня объектов трансплантации" </w:t>
      </w:r>
    </w:p>
    <w:p w:rsidR="00325AD1" w:rsidRDefault="008C5E81">
      <w:pPr>
        <w:spacing w:line="399" w:lineRule="auto"/>
        <w:ind w:left="0" w:right="479" w:firstLine="720"/>
      </w:pPr>
      <w:r>
        <w:t>Приказ Минздрава России от 18 января 2012г. 17н "Об утверждении Порядка оказания медицинской помощи взрослому нас</w:t>
      </w:r>
      <w:r>
        <w:t xml:space="preserve">елению по профилю "нефрология"». </w:t>
      </w:r>
    </w:p>
    <w:p w:rsidR="00325AD1" w:rsidRDefault="008C5E81">
      <w:pPr>
        <w:spacing w:line="399" w:lineRule="auto"/>
        <w:ind w:left="0" w:right="479" w:firstLine="720"/>
      </w:pPr>
      <w:r>
        <w:t xml:space="preserve">Приказ Минздрава России от 13.03.2023 N 104н «Об утверждении Порядка оказания медицинской помощи взрослому населению по профилю "эндокринология"» </w:t>
      </w:r>
    </w:p>
    <w:p w:rsidR="00325AD1" w:rsidRDefault="008C5E81">
      <w:pPr>
        <w:spacing w:line="398" w:lineRule="auto"/>
        <w:ind w:left="0" w:right="479" w:firstLine="720"/>
      </w:pPr>
      <w:r>
        <w:t>Приказ Минздрава России от 13.10.2017 N 804н «Об утверждении номенклатуры м</w:t>
      </w:r>
      <w:r>
        <w:t xml:space="preserve">едицинских услуг». </w:t>
      </w:r>
    </w:p>
    <w:p w:rsidR="00325AD1" w:rsidRDefault="008C5E81">
      <w:pPr>
        <w:spacing w:line="398" w:lineRule="auto"/>
        <w:ind w:left="0" w:right="479" w:firstLine="720"/>
      </w:pPr>
      <w: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 </w:t>
      </w:r>
    </w:p>
    <w:p w:rsidR="00325AD1" w:rsidRDefault="008C5E81">
      <w:pPr>
        <w:spacing w:line="365" w:lineRule="auto"/>
        <w:ind w:left="0" w:right="479" w:firstLine="720"/>
      </w:pPr>
      <w:r>
        <w:t>Приказ Минздрава России от 24.11.2021 N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w:t>
      </w:r>
      <w:r>
        <w:t xml:space="preserve">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 </w:t>
      </w:r>
    </w:p>
    <w:p w:rsidR="00325AD1" w:rsidRDefault="008C5E81">
      <w:pPr>
        <w:spacing w:line="397" w:lineRule="auto"/>
        <w:ind w:left="0" w:right="479" w:firstLine="720"/>
      </w:pPr>
      <w:r>
        <w:t>Приказ Минздрава России от 9 августа 200</w:t>
      </w:r>
      <w:r>
        <w:t xml:space="preserve">5 г. № 494 «О порядке применения лекарственных средств у больных по жизненным показаниям»  </w:t>
      </w:r>
    </w:p>
    <w:p w:rsidR="00325AD1" w:rsidRDefault="008C5E81">
      <w:pPr>
        <w:spacing w:line="399" w:lineRule="auto"/>
        <w:ind w:left="0" w:right="479" w:firstLine="720"/>
      </w:pPr>
      <w:r>
        <w:t xml:space="preserve">Информационное письмо Минздрава России по возможности закупки лекарственного препарата по торговому наименованию </w:t>
      </w:r>
    </w:p>
    <w:p w:rsidR="00325AD1" w:rsidRDefault="008C5E81">
      <w:pPr>
        <w:spacing w:line="358" w:lineRule="auto"/>
        <w:ind w:right="479"/>
      </w:pPr>
      <w:r>
        <w:t>(https://www.rosminzdrav.ru/news/2019/12/18/13043-</w:t>
      </w:r>
      <w:r>
        <w:t xml:space="preserve">minzdrav-podgotovil-informatsionnoepismo-po-vozmozhnosti-zakupki-lekarstvennogo-preparata-po-torgovomu-naimenovaniyu). </w:t>
      </w:r>
    </w:p>
    <w:p w:rsidR="00325AD1" w:rsidRDefault="008C5E81">
      <w:pPr>
        <w:spacing w:line="371" w:lineRule="auto"/>
        <w:ind w:left="0" w:right="479" w:firstLine="720"/>
      </w:pPr>
      <w:r>
        <w:t>Руководящие принципы ВОЗ по трансплантации человеческих клеток, тканей и органов (WHA 63.22). Стамбульская декларация о трансплантационн</w:t>
      </w:r>
      <w:r>
        <w:t xml:space="preserve">ом туризме и торговле органами, 2008 г.   </w:t>
      </w:r>
    </w:p>
    <w:p w:rsidR="00325AD1" w:rsidRDefault="008C5E81">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t xml:space="preserve"> </w:t>
      </w:r>
      <w:r>
        <w:br w:type="page"/>
      </w:r>
    </w:p>
    <w:p w:rsidR="00325AD1" w:rsidRDefault="008C5E81">
      <w:pPr>
        <w:spacing w:after="115" w:line="259" w:lineRule="auto"/>
        <w:ind w:left="0" w:firstLine="0"/>
        <w:jc w:val="left"/>
      </w:pPr>
      <w:r>
        <w:t xml:space="preserve"> </w:t>
      </w:r>
    </w:p>
    <w:p w:rsidR="00325AD1" w:rsidRDefault="008C5E81">
      <w:pPr>
        <w:spacing w:after="333" w:line="259" w:lineRule="auto"/>
        <w:ind w:left="0" w:firstLine="0"/>
        <w:jc w:val="left"/>
      </w:pPr>
      <w:r>
        <w:t xml:space="preserve"> </w:t>
      </w:r>
    </w:p>
    <w:p w:rsidR="00325AD1" w:rsidRDefault="008C5E81">
      <w:pPr>
        <w:pStyle w:val="Heading1"/>
        <w:spacing w:after="213"/>
        <w:ind w:left="-5" w:right="475"/>
      </w:pPr>
      <w:r>
        <w:t>Приложение Б. Алгоритмы действий врача</w:t>
      </w:r>
      <w:r>
        <w:rPr>
          <w:sz w:val="24"/>
        </w:rPr>
        <w:t xml:space="preserve"> </w:t>
      </w:r>
    </w:p>
    <w:p w:rsidR="00325AD1" w:rsidRDefault="008C5E81">
      <w:pPr>
        <w:spacing w:after="112" w:line="259" w:lineRule="auto"/>
        <w:ind w:left="708" w:firstLine="0"/>
        <w:jc w:val="left"/>
      </w:pPr>
      <w:r>
        <w:t xml:space="preserve"> </w:t>
      </w:r>
    </w:p>
    <w:p w:rsidR="00325AD1" w:rsidRDefault="008C5E81">
      <w:pPr>
        <w:spacing w:after="109" w:line="259" w:lineRule="auto"/>
        <w:ind w:left="708" w:firstLine="0"/>
        <w:jc w:val="left"/>
      </w:pPr>
      <w:r>
        <w:t xml:space="preserve"> </w:t>
      </w:r>
    </w:p>
    <w:p w:rsidR="00325AD1" w:rsidRDefault="008C5E81">
      <w:pPr>
        <w:spacing w:after="0" w:line="259" w:lineRule="auto"/>
        <w:ind w:left="-1" w:firstLine="0"/>
        <w:jc w:val="right"/>
      </w:pPr>
      <w:r>
        <w:rPr>
          <w:noProof/>
        </w:rPr>
        <w:drawing>
          <wp:inline distT="0" distB="0" distL="0" distR="0">
            <wp:extent cx="6210300" cy="4518660"/>
            <wp:effectExtent l="0" t="0" r="0" b="0"/>
            <wp:docPr id="10116" name="Picture 10116"/>
            <wp:cNvGraphicFramePr/>
            <a:graphic xmlns:a="http://schemas.openxmlformats.org/drawingml/2006/main">
              <a:graphicData uri="http://schemas.openxmlformats.org/drawingml/2006/picture">
                <pic:pic xmlns:pic="http://schemas.openxmlformats.org/drawingml/2006/picture">
                  <pic:nvPicPr>
                    <pic:cNvPr id="10116" name="Picture 10116"/>
                    <pic:cNvPicPr/>
                  </pic:nvPicPr>
                  <pic:blipFill>
                    <a:blip r:embed="rId174"/>
                    <a:stretch>
                      <a:fillRect/>
                    </a:stretch>
                  </pic:blipFill>
                  <pic:spPr>
                    <a:xfrm>
                      <a:off x="0" y="0"/>
                      <a:ext cx="6210300" cy="4518660"/>
                    </a:xfrm>
                    <a:prstGeom prst="rect">
                      <a:avLst/>
                    </a:prstGeom>
                  </pic:spPr>
                </pic:pic>
              </a:graphicData>
            </a:graphic>
          </wp:inline>
        </w:drawing>
      </w:r>
      <w:r>
        <w:t xml:space="preserve"> </w:t>
      </w:r>
    </w:p>
    <w:p w:rsidR="00325AD1" w:rsidRDefault="008C5E81">
      <w:pPr>
        <w:spacing w:after="29"/>
        <w:ind w:left="523" w:right="479" w:firstLine="233"/>
      </w:pPr>
      <w:r>
        <w:t>Рисунок 1 – Алгоритм лечения пациента с сахарным диабетом трансплантации при сахарном диабете I типа и ХБП методом трансплантации поджелудочной железы</w:t>
      </w:r>
      <w:r>
        <w:rPr>
          <w:rFonts w:ascii="Calibri" w:eastAsia="Calibri" w:hAnsi="Calibri" w:cs="Calibri"/>
          <w:sz w:val="22"/>
        </w:rPr>
        <w:t xml:space="preserve"> </w:t>
      </w:r>
    </w:p>
    <w:p w:rsidR="00325AD1" w:rsidRDefault="008C5E81">
      <w:pPr>
        <w:spacing w:after="0" w:line="259" w:lineRule="auto"/>
        <w:ind w:left="0" w:right="454" w:firstLine="0"/>
        <w:jc w:val="right"/>
      </w:pPr>
      <w:r>
        <w:rPr>
          <w:noProof/>
        </w:rPr>
        <w:drawing>
          <wp:inline distT="0" distB="0" distL="0" distR="0">
            <wp:extent cx="5452999" cy="5986399"/>
            <wp:effectExtent l="0" t="0" r="0" b="0"/>
            <wp:docPr id="10134" name="Picture 10134"/>
            <wp:cNvGraphicFramePr/>
            <a:graphic xmlns:a="http://schemas.openxmlformats.org/drawingml/2006/main">
              <a:graphicData uri="http://schemas.openxmlformats.org/drawingml/2006/picture">
                <pic:pic xmlns:pic="http://schemas.openxmlformats.org/drawingml/2006/picture">
                  <pic:nvPicPr>
                    <pic:cNvPr id="10134" name="Picture 10134"/>
                    <pic:cNvPicPr/>
                  </pic:nvPicPr>
                  <pic:blipFill>
                    <a:blip r:embed="rId175"/>
                    <a:stretch>
                      <a:fillRect/>
                    </a:stretch>
                  </pic:blipFill>
                  <pic:spPr>
                    <a:xfrm>
                      <a:off x="0" y="0"/>
                      <a:ext cx="5452999" cy="5986399"/>
                    </a:xfrm>
                    <a:prstGeom prst="rect">
                      <a:avLst/>
                    </a:prstGeom>
                  </pic:spPr>
                </pic:pic>
              </a:graphicData>
            </a:graphic>
          </wp:inline>
        </w:drawing>
      </w:r>
      <w:r>
        <w:t xml:space="preserve"> </w:t>
      </w:r>
    </w:p>
    <w:p w:rsidR="00325AD1" w:rsidRDefault="008C5E81">
      <w:pPr>
        <w:spacing w:after="160" w:line="259" w:lineRule="auto"/>
        <w:ind w:left="708" w:firstLine="0"/>
        <w:jc w:val="left"/>
      </w:pPr>
      <w:r>
        <w:t xml:space="preserve"> </w:t>
      </w:r>
    </w:p>
    <w:p w:rsidR="00325AD1" w:rsidRDefault="008C5E81">
      <w:pPr>
        <w:ind w:left="756" w:right="479"/>
      </w:pPr>
      <w:r>
        <w:t xml:space="preserve">Рисунок 2 – Алгоритм ведения потенциального реципиента поджелудочной железы </w:t>
      </w:r>
    </w:p>
    <w:p w:rsidR="00325AD1" w:rsidRDefault="008C5E81">
      <w:pPr>
        <w:spacing w:after="0" w:line="259" w:lineRule="auto"/>
        <w:ind w:left="2456" w:firstLine="0"/>
        <w:jc w:val="center"/>
      </w:pPr>
      <w:r>
        <w:rPr>
          <w:rFonts w:ascii="Calibri" w:eastAsia="Calibri" w:hAnsi="Calibri" w:cs="Calibri"/>
          <w:sz w:val="22"/>
        </w:rPr>
        <w:t xml:space="preserve"> </w:t>
      </w:r>
      <w:r>
        <w:rPr>
          <w:rFonts w:ascii="Calibri" w:eastAsia="Calibri" w:hAnsi="Calibri" w:cs="Calibri"/>
          <w:sz w:val="22"/>
        </w:rPr>
        <w:tab/>
      </w:r>
      <w:r>
        <w:t xml:space="preserve"> </w:t>
      </w:r>
    </w:p>
    <w:p w:rsidR="00325AD1" w:rsidRDefault="008C5E81">
      <w:pPr>
        <w:spacing w:after="160" w:line="259" w:lineRule="auto"/>
        <w:ind w:left="0" w:firstLine="0"/>
        <w:jc w:val="left"/>
      </w:pPr>
      <w:r>
        <w:t xml:space="preserve"> </w:t>
      </w:r>
    </w:p>
    <w:p w:rsidR="00325AD1" w:rsidRDefault="008C5E81">
      <w:pPr>
        <w:pStyle w:val="Heading1"/>
        <w:spacing w:after="213"/>
        <w:ind w:left="-5" w:right="475"/>
      </w:pPr>
      <w:r>
        <w:t>Приложение В. Информация для пациента</w:t>
      </w:r>
      <w:r>
        <w:rPr>
          <w:sz w:val="24"/>
        </w:rPr>
        <w:t xml:space="preserve"> </w:t>
      </w:r>
    </w:p>
    <w:p w:rsidR="00325AD1" w:rsidRDefault="008C5E81">
      <w:pPr>
        <w:spacing w:line="360" w:lineRule="auto"/>
        <w:ind w:left="0" w:right="479" w:firstLine="720"/>
      </w:pPr>
      <w:r>
        <w:t xml:space="preserve">Сахарный диабет, ввиду своей распространенности и неизбежности осложнений, до сих пор является одной из важнейших проблем, стоящих перед современной медициной. На сегодняшний день трансплантация поджелудочной железы является признанным радикальным методом </w:t>
      </w:r>
      <w:r>
        <w:t>лечения осложненного сахарного диабета I типа, угрожающего развитием тяжелых осложнений. Сахарный диабет принято называть «образом жизни», подчеркивая, что при высоком самоконтроле и компенсации углеводного обмена с помощью инсулинотерапии у больных диабет</w:t>
      </w:r>
      <w:r>
        <w:t>ом максимально снижается риск поздних диабетических осложнений и сохраняется высокое качество жизни, позволяющее пациентам оставаться социально активными. Но иначе обстоит дело с пациентами, у которых уже развилась хроническая почечная недостаточность. В с</w:t>
      </w:r>
      <w:r>
        <w:t>лучае развития необратимой стадии диабетической нефропатии прогноз значительно ухудшается. В настоящее время существует несколько вариантов заместительной терапии для больных диабетом с терминальной ХБП. Это, в первую очередь, заместительная почечная терап</w:t>
      </w:r>
      <w:r>
        <w:t>ия диализом или трансплантация почки в сочетании с инсулинотерапией, либо комбинированная трансплантация почки и поджелудочной железы, позволяющая в дальнейшем обходиться без инсулинотерапии. Трансплантация островков Лангерганса может использоваться у паци</w:t>
      </w:r>
      <w:r>
        <w:t>ентов во время трансплантации почки или на фоне диализной терапии, однако она не приводит к состоянию инсулинонезависимости; в настоящее время эффективность данного метода продолжает обсуждаться. Согласно современным представлениям, выделяют следующие осно</w:t>
      </w:r>
      <w:r>
        <w:t>вные группы показаний к трансплантации поджелудочной железы. Во-первых, при наличии у пациентов с диабетической нефропатией показаний к трансплантации почки целесообразно выставлять показание к одномоментной трансплантации поджелудочной железы и почки, так</w:t>
      </w:r>
      <w:r>
        <w:t xml:space="preserve"> как последний вариант операции обеспечивает больше отдаленных преимуществ, а риск оперативного вмешательства и осложнений пожизненной иммуносупрессивной терапии существенно не отличается от изолированной пересадки почки. Кроме того, прогрессирование ослож</w:t>
      </w:r>
      <w:r>
        <w:t>нений диабета у больных с пересаженной почкой по поводу диабетической нефропатии является показанием к трансплантации поджелудочной железы после трансплантации почки.</w:t>
      </w:r>
      <w:r>
        <w:rPr>
          <w:rFonts w:ascii="Calibri" w:eastAsia="Calibri" w:hAnsi="Calibri" w:cs="Calibri"/>
          <w:sz w:val="22"/>
        </w:rPr>
        <w:t xml:space="preserve"> </w:t>
      </w:r>
    </w:p>
    <w:p w:rsidR="00325AD1" w:rsidRDefault="008C5E81">
      <w:pPr>
        <w:spacing w:after="334" w:line="259" w:lineRule="auto"/>
        <w:ind w:left="720" w:firstLine="0"/>
        <w:jc w:val="left"/>
      </w:pPr>
      <w:r>
        <w:t xml:space="preserve"> </w:t>
      </w:r>
    </w:p>
    <w:p w:rsidR="00325AD1" w:rsidRDefault="008C5E81">
      <w:pPr>
        <w:pStyle w:val="Heading1"/>
        <w:spacing w:after="70" w:line="364" w:lineRule="auto"/>
        <w:ind w:left="-5" w:right="475"/>
      </w:pPr>
      <w:r>
        <w:t>Приложение Г1-</w:t>
      </w:r>
      <w:r>
        <w:t>ГN. Шкалы оценки, вопросники и другие оценочные инструменты состояния пациента, приведенные в клинических рекомендациях</w:t>
      </w:r>
      <w:r>
        <w:rPr>
          <w:sz w:val="24"/>
        </w:rPr>
        <w:t xml:space="preserve"> </w:t>
      </w:r>
    </w:p>
    <w:p w:rsidR="00325AD1" w:rsidRDefault="008C5E81">
      <w:pPr>
        <w:spacing w:after="22" w:line="259" w:lineRule="auto"/>
        <w:ind w:left="0" w:firstLine="0"/>
        <w:jc w:val="left"/>
      </w:pPr>
      <w:r>
        <w:t xml:space="preserve"> </w:t>
      </w:r>
    </w:p>
    <w:p w:rsidR="00325AD1" w:rsidRDefault="008C5E81">
      <w:pPr>
        <w:ind w:right="479"/>
      </w:pPr>
      <w:r>
        <w:t xml:space="preserve">Информация отсутствует. </w:t>
      </w:r>
    </w:p>
    <w:p w:rsidR="00325AD1" w:rsidRDefault="00325AD1">
      <w:pPr>
        <w:sectPr w:rsidR="00325AD1">
          <w:footerReference w:type="even" r:id="rId176"/>
          <w:footerReference w:type="default" r:id="rId177"/>
          <w:footerReference w:type="first" r:id="rId178"/>
          <w:pgSz w:w="11906" w:h="16838"/>
          <w:pgMar w:top="1136" w:right="362" w:bottom="1425" w:left="1702" w:header="720" w:footer="720" w:gutter="0"/>
          <w:cols w:space="720"/>
          <w:titlePg/>
        </w:sectPr>
      </w:pPr>
    </w:p>
    <w:p w:rsidR="00325AD1" w:rsidRDefault="00325AD1">
      <w:pPr>
        <w:spacing w:after="0" w:line="259" w:lineRule="auto"/>
        <w:ind w:left="-1440" w:right="10460" w:firstLine="0"/>
        <w:jc w:val="left"/>
      </w:pPr>
    </w:p>
    <w:tbl>
      <w:tblPr>
        <w:tblStyle w:val="TableGrid"/>
        <w:tblW w:w="10700" w:type="dxa"/>
        <w:tblInd w:w="-840" w:type="dxa"/>
        <w:tblCellMar>
          <w:top w:w="0" w:type="dxa"/>
          <w:left w:w="100" w:type="dxa"/>
          <w:bottom w:w="0" w:type="dxa"/>
          <w:right w:w="115" w:type="dxa"/>
        </w:tblCellMar>
        <w:tblLook w:val="04A0" w:firstRow="1" w:lastRow="0" w:firstColumn="1" w:lastColumn="0" w:noHBand="0" w:noVBand="1"/>
      </w:tblPr>
      <w:tblGrid>
        <w:gridCol w:w="10700"/>
      </w:tblGrid>
      <w:tr w:rsidR="00325AD1">
        <w:trPr>
          <w:trHeight w:val="4000"/>
        </w:trPr>
        <w:tc>
          <w:tcPr>
            <w:tcW w:w="10700" w:type="dxa"/>
            <w:tcBorders>
              <w:top w:val="single" w:sz="4" w:space="0" w:color="6393CF"/>
              <w:left w:val="single" w:sz="4" w:space="0" w:color="6393CF"/>
              <w:bottom w:val="single" w:sz="4" w:space="0" w:color="6393CF"/>
              <w:right w:val="single" w:sz="4" w:space="0" w:color="6393CF"/>
            </w:tcBorders>
            <w:vAlign w:val="center"/>
          </w:tcPr>
          <w:p w:rsidR="00325AD1" w:rsidRDefault="008C5E81">
            <w:pPr>
              <w:spacing w:after="116" w:line="240" w:lineRule="auto"/>
              <w:ind w:left="0" w:firstLine="0"/>
              <w:jc w:val="center"/>
            </w:pPr>
            <w:r>
              <w:rPr>
                <w:rFonts w:ascii="Verdana" w:eastAsia="Verdana" w:hAnsi="Verdana" w:cs="Verdana"/>
                <w:b/>
                <w:color w:val="6393CF"/>
              </w:rPr>
              <w:t>Документподписанипереданчерезсистемуразработкииведения стандартовмедицинскойпомощи</w:t>
            </w:r>
          </w:p>
          <w:p w:rsidR="00325AD1" w:rsidRDefault="008C5E81">
            <w:pPr>
              <w:tabs>
                <w:tab w:val="center" w:pos="1382"/>
                <w:tab w:val="center" w:pos="5926"/>
                <w:tab w:val="center" w:pos="8498"/>
              </w:tabs>
              <w:spacing w:after="0" w:line="259" w:lineRule="auto"/>
              <w:ind w:left="0" w:firstLine="0"/>
              <w:jc w:val="left"/>
            </w:pPr>
            <w:r>
              <w:rPr>
                <w:rFonts w:ascii="Calibri" w:eastAsia="Calibri" w:hAnsi="Calibri" w:cs="Calibri"/>
                <w:sz w:val="22"/>
              </w:rPr>
              <w:tab/>
            </w:r>
            <w:r>
              <w:rPr>
                <w:rFonts w:ascii="Verdana" w:eastAsia="Verdana" w:hAnsi="Verdana" w:cs="Verdana"/>
                <w:color w:val="6393CF"/>
                <w:sz w:val="14"/>
              </w:rPr>
              <w:t>Владелец сертификата: организация,</w:t>
            </w:r>
            <w:r>
              <w:rPr>
                <w:rFonts w:ascii="Verdana" w:eastAsia="Verdana" w:hAnsi="Verdana" w:cs="Verdana"/>
                <w:color w:val="6393CF"/>
                <w:sz w:val="14"/>
              </w:rPr>
              <w:tab/>
              <w:t>Сертификат: серийный номер, период</w:t>
            </w:r>
            <w:r>
              <w:rPr>
                <w:rFonts w:ascii="Verdana" w:eastAsia="Verdana" w:hAnsi="Verdana" w:cs="Verdana"/>
                <w:color w:val="6393CF"/>
                <w:sz w:val="14"/>
              </w:rPr>
              <w:tab/>
              <w:t>Дата и время подписания</w:t>
            </w:r>
          </w:p>
          <w:p w:rsidR="00325AD1" w:rsidRDefault="008C5E81">
            <w:pPr>
              <w:tabs>
                <w:tab w:val="center" w:pos="374"/>
                <w:tab w:val="center" w:pos="4850"/>
              </w:tabs>
              <w:spacing w:after="450" w:line="259" w:lineRule="auto"/>
              <w:ind w:left="0" w:firstLine="0"/>
              <w:jc w:val="left"/>
            </w:pPr>
            <w:r>
              <w:rPr>
                <w:rFonts w:ascii="Calibri" w:eastAsia="Calibri" w:hAnsi="Calibri" w:cs="Calibri"/>
                <w:sz w:val="22"/>
              </w:rPr>
              <w:tab/>
            </w:r>
            <w:r>
              <w:rPr>
                <w:rFonts w:ascii="Verdana" w:eastAsia="Verdana" w:hAnsi="Verdana" w:cs="Verdana"/>
                <w:color w:val="6393CF"/>
                <w:sz w:val="14"/>
              </w:rPr>
              <w:t>сотрудник</w:t>
            </w:r>
            <w:r>
              <w:rPr>
                <w:rFonts w:ascii="Verdana" w:eastAsia="Verdana" w:hAnsi="Verdana" w:cs="Verdana"/>
                <w:color w:val="6393CF"/>
                <w:sz w:val="14"/>
              </w:rPr>
              <w:tab/>
              <w:t>действия</w:t>
            </w:r>
          </w:p>
          <w:p w:rsidR="00325AD1" w:rsidRDefault="008C5E81">
            <w:pPr>
              <w:tabs>
                <w:tab w:val="center" w:pos="2045"/>
                <w:tab w:val="center" w:pos="5942"/>
                <w:tab w:val="center" w:pos="8322"/>
              </w:tabs>
              <w:spacing w:after="0" w:line="259" w:lineRule="auto"/>
              <w:ind w:left="0" w:firstLine="0"/>
              <w:jc w:val="left"/>
            </w:pPr>
            <w:r>
              <w:rPr>
                <w:rFonts w:ascii="Calibri" w:eastAsia="Calibri" w:hAnsi="Calibri" w:cs="Calibri"/>
                <w:sz w:val="22"/>
              </w:rPr>
              <w:tab/>
            </w:r>
            <w:r>
              <w:rPr>
                <w:rFonts w:ascii="Verdana" w:eastAsia="Verdana" w:hAnsi="Verdana" w:cs="Verdana"/>
                <w:color w:val="6393CF"/>
                <w:sz w:val="14"/>
              </w:rPr>
              <w:t>OID.1.2.643.100.4=7734268325, СНИЛС=00908847868,</w:t>
            </w:r>
            <w:r>
              <w:rPr>
                <w:rFonts w:ascii="Verdana" w:eastAsia="Verdana" w:hAnsi="Verdana" w:cs="Verdana"/>
                <w:color w:val="6393CF"/>
                <w:sz w:val="14"/>
              </w:rPr>
              <w:tab/>
              <w:t>02fc54e10016b459a548fa7f00beb957cb</w:t>
            </w:r>
            <w:r>
              <w:rPr>
                <w:rFonts w:ascii="Verdana" w:eastAsia="Verdana" w:hAnsi="Verdana" w:cs="Verdana"/>
                <w:color w:val="6393CF"/>
                <w:sz w:val="14"/>
              </w:rPr>
              <w:tab/>
              <w:t>2026.07.22 11:16:20</w:t>
            </w:r>
          </w:p>
          <w:p w:rsidR="00325AD1" w:rsidRDefault="008C5E81">
            <w:pPr>
              <w:spacing w:after="249" w:line="246" w:lineRule="auto"/>
              <w:ind w:left="0" w:right="3918" w:firstLine="0"/>
              <w:jc w:val="left"/>
            </w:pPr>
            <w:r>
              <w:rPr>
                <w:rFonts w:ascii="Verdana" w:eastAsia="Verdana" w:hAnsi="Verdana" w:cs="Verdana"/>
                <w:color w:val="6393CF"/>
                <w:sz w:val="14"/>
              </w:rPr>
              <w:t xml:space="preserve">ОГРН=1097799005006, ИНН=771200585070, C=RU, S=77 г. С 2026.03.23 по 2027.06.23 </w:t>
            </w:r>
            <w:r>
              <w:rPr>
                <w:rFonts w:ascii="Verdana" w:eastAsia="Verdana" w:hAnsi="Verdana" w:cs="Verdana"/>
                <w:color w:val="6393CF"/>
                <w:sz w:val="14"/>
              </w:rPr>
              <w:t>Москва, L=МОСКВА, STREET="ДМИТРОВСКОЕ,100,3,29", O="ОООТ ""РТО""", CN="ОООТ ""РТО""", T=Председатель организации, G=Сергей Владимирович, SN=Готье</w:t>
            </w:r>
          </w:p>
          <w:p w:rsidR="00325AD1" w:rsidRDefault="008C5E81">
            <w:pPr>
              <w:tabs>
                <w:tab w:val="center" w:pos="2045"/>
                <w:tab w:val="center" w:pos="5942"/>
                <w:tab w:val="center" w:pos="8322"/>
              </w:tabs>
              <w:spacing w:after="0" w:line="259" w:lineRule="auto"/>
              <w:ind w:left="0" w:firstLine="0"/>
              <w:jc w:val="left"/>
            </w:pPr>
            <w:r>
              <w:rPr>
                <w:rFonts w:ascii="Calibri" w:eastAsia="Calibri" w:hAnsi="Calibri" w:cs="Calibri"/>
                <w:sz w:val="22"/>
              </w:rPr>
              <w:tab/>
            </w:r>
            <w:r>
              <w:rPr>
                <w:rFonts w:ascii="Verdana" w:eastAsia="Verdana" w:hAnsi="Verdana" w:cs="Verdana"/>
                <w:color w:val="6393CF"/>
                <w:sz w:val="14"/>
              </w:rPr>
              <w:t>OID.1.2.643.100.4=7734268325, СНИЛС=00908847868,</w:t>
            </w:r>
            <w:r>
              <w:rPr>
                <w:rFonts w:ascii="Verdana" w:eastAsia="Verdana" w:hAnsi="Verdana" w:cs="Verdana"/>
                <w:color w:val="6393CF"/>
                <w:sz w:val="14"/>
              </w:rPr>
              <w:tab/>
              <w:t>02fc54e10016b459a548fa7f00beb957cb</w:t>
            </w:r>
            <w:r>
              <w:rPr>
                <w:rFonts w:ascii="Verdana" w:eastAsia="Verdana" w:hAnsi="Verdana" w:cs="Verdana"/>
                <w:color w:val="6393CF"/>
                <w:sz w:val="14"/>
              </w:rPr>
              <w:tab/>
              <w:t>2026.07.22 11:16:19</w:t>
            </w:r>
          </w:p>
          <w:p w:rsidR="00325AD1" w:rsidRDefault="008C5E81">
            <w:pPr>
              <w:spacing w:after="0" w:line="259" w:lineRule="auto"/>
              <w:ind w:left="0" w:right="3918" w:firstLine="0"/>
              <w:jc w:val="left"/>
            </w:pPr>
            <w:r>
              <w:rPr>
                <w:rFonts w:ascii="Verdana" w:eastAsia="Verdana" w:hAnsi="Verdana" w:cs="Verdana"/>
                <w:color w:val="6393CF"/>
                <w:sz w:val="14"/>
              </w:rPr>
              <w:t>ОГРН=</w:t>
            </w:r>
            <w:r>
              <w:rPr>
                <w:rFonts w:ascii="Verdana" w:eastAsia="Verdana" w:hAnsi="Verdana" w:cs="Verdana"/>
                <w:color w:val="6393CF"/>
                <w:sz w:val="14"/>
              </w:rPr>
              <w:t>1097799005006, ИНН=771200585070, C=RU, S=77 г. С 2026.03.23 по 2027.06.23 Москва, L=МОСКВА, STREET="ДМИТРОВСКОЕ,100,3,29", O="ОООТ ""РТО""", CN="ОООТ ""РТО""", T=Председатель организации, G=Сергей Владимирович, SN=Готье</w:t>
            </w:r>
          </w:p>
        </w:tc>
      </w:tr>
    </w:tbl>
    <w:p w:rsidR="00000000" w:rsidRDefault="008C5E81"/>
    <w:sectPr w:rsidR="00000000">
      <w:footerReference w:type="even" r:id="rId179"/>
      <w:footerReference w:type="default" r:id="rId180"/>
      <w:footerReference w:type="first" r:id="rId181"/>
      <w:pgSz w:w="11900" w:h="16840"/>
      <w:pgMar w:top="700" w:right="1440" w:bottom="1440" w:left="1440" w:header="720" w:footer="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C5E81">
      <w:pPr>
        <w:spacing w:after="0" w:line="240" w:lineRule="auto"/>
      </w:pPr>
      <w:r>
        <w:separator/>
      </w:r>
    </w:p>
  </w:endnote>
  <w:endnote w:type="continuationSeparator" w:id="0">
    <w:p w:rsidR="00000000" w:rsidRDefault="008C5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D1" w:rsidRDefault="008C5E81">
    <w:pPr>
      <w:spacing w:after="0" w:line="259" w:lineRule="auto"/>
      <w:ind w:left="0" w:right="484"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325AD1" w:rsidRDefault="008C5E81">
    <w:pPr>
      <w:spacing w:after="0" w:line="259" w:lineRule="auto"/>
      <w:ind w:left="0" w:right="435" w:firstLine="0"/>
      <w:jc w:val="center"/>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D1" w:rsidRDefault="008C5E81">
    <w:pPr>
      <w:spacing w:after="0" w:line="259" w:lineRule="auto"/>
      <w:ind w:left="0" w:right="484" w:firstLine="0"/>
      <w:jc w:val="center"/>
    </w:pPr>
    <w:r>
      <w:fldChar w:fldCharType="begin"/>
    </w:r>
    <w:r>
      <w:instrText xml:space="preserve"> PAGE</w:instrText>
    </w:r>
    <w:r>
      <w:instrText xml:space="preserv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325AD1" w:rsidRDefault="008C5E81">
    <w:pPr>
      <w:spacing w:after="0" w:line="259" w:lineRule="auto"/>
      <w:ind w:left="0" w:right="435" w:firstLine="0"/>
      <w:jc w:val="center"/>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D1" w:rsidRDefault="00325AD1">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D1" w:rsidRDefault="00325AD1">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D1" w:rsidRDefault="00325AD1">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D1" w:rsidRDefault="00325AD1">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C5E81">
      <w:pPr>
        <w:spacing w:after="0" w:line="240" w:lineRule="auto"/>
      </w:pPr>
      <w:r>
        <w:separator/>
      </w:r>
    </w:p>
  </w:footnote>
  <w:footnote w:type="continuationSeparator" w:id="0">
    <w:p w:rsidR="00000000" w:rsidRDefault="008C5E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C43E5"/>
    <w:multiLevelType w:val="hybridMultilevel"/>
    <w:tmpl w:val="EEAAB18E"/>
    <w:lvl w:ilvl="0" w:tplc="302A129C">
      <w:start w:val="177"/>
      <w:numFmt w:val="decimal"/>
      <w:lvlText w:val="%1."/>
      <w:lvlJc w:val="left"/>
      <w:pPr>
        <w:ind w:left="1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5A4E32">
      <w:start w:val="1"/>
      <w:numFmt w:val="lowerLetter"/>
      <w:lvlText w:val="%2"/>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DE578C">
      <w:start w:val="1"/>
      <w:numFmt w:val="lowerRoman"/>
      <w:lvlText w:val="%3"/>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CE3AD4">
      <w:start w:val="1"/>
      <w:numFmt w:val="decimal"/>
      <w:lvlText w:val="%4"/>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DA595C">
      <w:start w:val="1"/>
      <w:numFmt w:val="lowerLetter"/>
      <w:lvlText w:val="%5"/>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4C00486">
      <w:start w:val="1"/>
      <w:numFmt w:val="lowerRoman"/>
      <w:lvlText w:val="%6"/>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AE8D6C8">
      <w:start w:val="1"/>
      <w:numFmt w:val="decimal"/>
      <w:lvlText w:val="%7"/>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E01144">
      <w:start w:val="1"/>
      <w:numFmt w:val="lowerLetter"/>
      <w:lvlText w:val="%8"/>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4851CC">
      <w:start w:val="1"/>
      <w:numFmt w:val="lowerRoman"/>
      <w:lvlText w:val="%9"/>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6E82C3F"/>
    <w:multiLevelType w:val="hybridMultilevel"/>
    <w:tmpl w:val="57B8AE56"/>
    <w:lvl w:ilvl="0" w:tplc="8D965F5E">
      <w:start w:val="145"/>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36FDA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44E9F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7D0A9E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BC820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BA0B4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F0E04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E8AAF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4215A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C0843F0"/>
    <w:multiLevelType w:val="hybridMultilevel"/>
    <w:tmpl w:val="3D3A42EC"/>
    <w:lvl w:ilvl="0" w:tplc="AD2C047A">
      <w:start w:val="107"/>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DA37A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FD4976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3F61F5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42555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E6674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841A1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88CA6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00CEA5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D6A4B5F"/>
    <w:multiLevelType w:val="hybridMultilevel"/>
    <w:tmpl w:val="7F323A1E"/>
    <w:lvl w:ilvl="0" w:tplc="F1D4D542">
      <w:start w:val="269"/>
      <w:numFmt w:val="decimal"/>
      <w:lvlText w:val="%1."/>
      <w:lvlJc w:val="left"/>
      <w:pPr>
        <w:ind w:left="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EEC3A8">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DC0B52">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1819CE">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98ECE8">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164198">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8A95B4">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BC1F74">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52E278">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9784360"/>
    <w:multiLevelType w:val="hybridMultilevel"/>
    <w:tmpl w:val="E590892E"/>
    <w:lvl w:ilvl="0" w:tplc="40FA015C">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D088C8">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2A99D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5C49E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70BCE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C03A9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16D3B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444FA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2A0CA0">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C186B86"/>
    <w:multiLevelType w:val="hybridMultilevel"/>
    <w:tmpl w:val="A2C29CE2"/>
    <w:lvl w:ilvl="0" w:tplc="1124E1E8">
      <w:start w:val="157"/>
      <w:numFmt w:val="decimal"/>
      <w:lvlText w:val="%1."/>
      <w:lvlJc w:val="left"/>
      <w:pPr>
        <w:ind w:left="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EC494F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0876E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6A541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FA8CE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FA4B4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A83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3CC80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A61C2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3760FD3"/>
    <w:multiLevelType w:val="hybridMultilevel"/>
    <w:tmpl w:val="720CD8A6"/>
    <w:lvl w:ilvl="0" w:tplc="15CC8E56">
      <w:start w:val="80"/>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1664F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78A8E1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5E3EE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0D844F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B0EA0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FC249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6C450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2E8D1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6CC210F"/>
    <w:multiLevelType w:val="hybridMultilevel"/>
    <w:tmpl w:val="DA847EDE"/>
    <w:lvl w:ilvl="0" w:tplc="74382720">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A8C2EC">
      <w:start w:val="1"/>
      <w:numFmt w:val="bullet"/>
      <w:lvlText w:val="o"/>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204B3C">
      <w:start w:val="1"/>
      <w:numFmt w:val="bullet"/>
      <w:lvlText w:val="▪"/>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38F698">
      <w:start w:val="1"/>
      <w:numFmt w:val="bullet"/>
      <w:lvlText w:val="•"/>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021916">
      <w:start w:val="1"/>
      <w:numFmt w:val="bullet"/>
      <w:lvlText w:val="o"/>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A65484">
      <w:start w:val="1"/>
      <w:numFmt w:val="bullet"/>
      <w:lvlText w:val="▪"/>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9885BA">
      <w:start w:val="1"/>
      <w:numFmt w:val="bullet"/>
      <w:lvlText w:val="•"/>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2CD4D4">
      <w:start w:val="1"/>
      <w:numFmt w:val="bullet"/>
      <w:lvlText w:val="o"/>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A69CE">
      <w:start w:val="1"/>
      <w:numFmt w:val="bullet"/>
      <w:lvlText w:val="▪"/>
      <w:lvlJc w:val="left"/>
      <w:pPr>
        <w:ind w:left="7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552C6A"/>
    <w:multiLevelType w:val="hybridMultilevel"/>
    <w:tmpl w:val="1EA03A06"/>
    <w:lvl w:ilvl="0" w:tplc="709C88C2">
      <w:start w:val="1"/>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8EF046">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068CDEA">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2AB720">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A29606">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3A3E72">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0A91F8">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D6D2AC">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AB258FE">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EF93439"/>
    <w:multiLevelType w:val="hybridMultilevel"/>
    <w:tmpl w:val="55621462"/>
    <w:lvl w:ilvl="0" w:tplc="3CCCB98E">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2CF10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484D86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E3E48D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02B4F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4F8D106">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5BC4FB8">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EA4F6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A8537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96475C6"/>
    <w:multiLevelType w:val="hybridMultilevel"/>
    <w:tmpl w:val="D8C0E53C"/>
    <w:lvl w:ilvl="0" w:tplc="AEDCB6D2">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264CC4">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EEC6892">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A74623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4AC98C">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068EF4">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62A60DC">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E406B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2A21BC">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9B7472"/>
    <w:multiLevelType w:val="hybridMultilevel"/>
    <w:tmpl w:val="3594F710"/>
    <w:lvl w:ilvl="0" w:tplc="C3E0FBAC">
      <w:start w:val="10"/>
      <w:numFmt w:val="decimal"/>
      <w:lvlText w:val="%1."/>
      <w:lvlJc w:val="left"/>
      <w:pPr>
        <w:ind w:left="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00394E">
      <w:start w:val="1"/>
      <w:numFmt w:val="lowerLetter"/>
      <w:lvlText w:val="%2"/>
      <w:lvlJc w:val="left"/>
      <w:pPr>
        <w:ind w:left="1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A8B87E">
      <w:start w:val="1"/>
      <w:numFmt w:val="lowerRoman"/>
      <w:lvlText w:val="%3"/>
      <w:lvlJc w:val="left"/>
      <w:pPr>
        <w:ind w:left="1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5A008AA">
      <w:start w:val="1"/>
      <w:numFmt w:val="decimal"/>
      <w:lvlText w:val="%4"/>
      <w:lvlJc w:val="left"/>
      <w:pPr>
        <w:ind w:left="2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E65E9A">
      <w:start w:val="1"/>
      <w:numFmt w:val="lowerLetter"/>
      <w:lvlText w:val="%5"/>
      <w:lvlJc w:val="left"/>
      <w:pPr>
        <w:ind w:left="3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EAC9326">
      <w:start w:val="1"/>
      <w:numFmt w:val="lowerRoman"/>
      <w:lvlText w:val="%6"/>
      <w:lvlJc w:val="left"/>
      <w:pPr>
        <w:ind w:left="3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4388F9A">
      <w:start w:val="1"/>
      <w:numFmt w:val="decimal"/>
      <w:lvlText w:val="%7"/>
      <w:lvlJc w:val="left"/>
      <w:pPr>
        <w:ind w:left="4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498B376">
      <w:start w:val="1"/>
      <w:numFmt w:val="lowerLetter"/>
      <w:lvlText w:val="%8"/>
      <w:lvlJc w:val="left"/>
      <w:pPr>
        <w:ind w:left="5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5CF53A">
      <w:start w:val="1"/>
      <w:numFmt w:val="lowerRoman"/>
      <w:lvlText w:val="%9"/>
      <w:lvlJc w:val="left"/>
      <w:pPr>
        <w:ind w:left="61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BBE2F66"/>
    <w:multiLevelType w:val="hybridMultilevel"/>
    <w:tmpl w:val="4B9E4A38"/>
    <w:lvl w:ilvl="0" w:tplc="B3A086BA">
      <w:start w:val="100"/>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6001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8EAD9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4A5EB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2A824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0B8CF9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7F0952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46624B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A4027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F8933FA"/>
    <w:multiLevelType w:val="hybridMultilevel"/>
    <w:tmpl w:val="5FDC04A0"/>
    <w:lvl w:ilvl="0" w:tplc="B22CC87E">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A4655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92AAA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FA66954">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D683BE">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5B2803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925DDA">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B0105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0A4735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F9B689B"/>
    <w:multiLevelType w:val="hybridMultilevel"/>
    <w:tmpl w:val="B53068F4"/>
    <w:lvl w:ilvl="0" w:tplc="CEE4773E">
      <w:start w:val="132"/>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5ABFD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9A16F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5A447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BE9FF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746A8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7C93A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C0E0A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4CDB2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00C54CE"/>
    <w:multiLevelType w:val="multilevel"/>
    <w:tmpl w:val="4EBA8E96"/>
    <w:lvl w:ilvl="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05246C1"/>
    <w:multiLevelType w:val="hybridMultilevel"/>
    <w:tmpl w:val="36C6D0B6"/>
    <w:lvl w:ilvl="0" w:tplc="96F8357E">
      <w:start w:val="119"/>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B0956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D03D0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36BBC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22AFB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3819F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FA4A4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22E32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5A2D4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4861662"/>
    <w:multiLevelType w:val="hybridMultilevel"/>
    <w:tmpl w:val="CEEA8FD8"/>
    <w:lvl w:ilvl="0" w:tplc="BDDC444A">
      <w:start w:val="196"/>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4C8E98">
      <w:start w:val="1"/>
      <w:numFmt w:val="lowerLetter"/>
      <w:lvlText w:val="%2"/>
      <w:lvlJc w:val="left"/>
      <w:pPr>
        <w:ind w:left="11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2AE290C">
      <w:start w:val="1"/>
      <w:numFmt w:val="lowerRoman"/>
      <w:lvlText w:val="%3"/>
      <w:lvlJc w:val="left"/>
      <w:pPr>
        <w:ind w:left="1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3071E6">
      <w:start w:val="1"/>
      <w:numFmt w:val="decimal"/>
      <w:lvlText w:val="%4"/>
      <w:lvlJc w:val="left"/>
      <w:pPr>
        <w:ind w:left="25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CACC0">
      <w:start w:val="1"/>
      <w:numFmt w:val="lowerLetter"/>
      <w:lvlText w:val="%5"/>
      <w:lvlJc w:val="left"/>
      <w:pPr>
        <w:ind w:left="33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7D23B50">
      <w:start w:val="1"/>
      <w:numFmt w:val="lowerRoman"/>
      <w:lvlText w:val="%6"/>
      <w:lvlJc w:val="left"/>
      <w:pPr>
        <w:ind w:left="40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1274A4">
      <w:start w:val="1"/>
      <w:numFmt w:val="decimal"/>
      <w:lvlText w:val="%7"/>
      <w:lvlJc w:val="left"/>
      <w:pPr>
        <w:ind w:left="47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44CA62">
      <w:start w:val="1"/>
      <w:numFmt w:val="lowerLetter"/>
      <w:lvlText w:val="%8"/>
      <w:lvlJc w:val="left"/>
      <w:pPr>
        <w:ind w:left="54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CAAEE2">
      <w:start w:val="1"/>
      <w:numFmt w:val="lowerRoman"/>
      <w:lvlText w:val="%9"/>
      <w:lvlJc w:val="left"/>
      <w:pPr>
        <w:ind w:left="6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CAC3545"/>
    <w:multiLevelType w:val="hybridMultilevel"/>
    <w:tmpl w:val="87D8E134"/>
    <w:lvl w:ilvl="0" w:tplc="0CF808E0">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58674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F672F2">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D82E7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BC52B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170308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3CE15C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7C058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B60546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D4A49B5"/>
    <w:multiLevelType w:val="hybridMultilevel"/>
    <w:tmpl w:val="DB9C7E28"/>
    <w:lvl w:ilvl="0" w:tplc="41E2DD5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284238">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DE8B58">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9444B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F803FA">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A617D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D265A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08C02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745C0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F194B28"/>
    <w:multiLevelType w:val="hybridMultilevel"/>
    <w:tmpl w:val="1A3274A0"/>
    <w:lvl w:ilvl="0" w:tplc="930E1D1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881A1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5C74B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57CBC5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7CB6A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350C0D6">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C66CC68">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8E17BE">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7AC0B8">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092310C"/>
    <w:multiLevelType w:val="hybridMultilevel"/>
    <w:tmpl w:val="8806C8E0"/>
    <w:lvl w:ilvl="0" w:tplc="CB1A5C0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0E871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404E34">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FF7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6413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A0D91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62836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DAAF1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C4D8C2">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2EA2E31"/>
    <w:multiLevelType w:val="hybridMultilevel"/>
    <w:tmpl w:val="781C65A0"/>
    <w:lvl w:ilvl="0" w:tplc="0E7CEB4E">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5825C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442E9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968E2C">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DC1A9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B8E110">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84A2F2">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645B2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D6805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6787E5B"/>
    <w:multiLevelType w:val="hybridMultilevel"/>
    <w:tmpl w:val="5A804364"/>
    <w:lvl w:ilvl="0" w:tplc="D9D676D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7442D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CBE825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569EF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4076F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F00975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7C42A5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F628D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450404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431583"/>
    <w:multiLevelType w:val="hybridMultilevel"/>
    <w:tmpl w:val="EEA86568"/>
    <w:lvl w:ilvl="0" w:tplc="E188D91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B247DE">
      <w:start w:val="1"/>
      <w:numFmt w:val="bullet"/>
      <w:lvlText w:val="o"/>
      <w:lvlJc w:val="left"/>
      <w:pPr>
        <w:ind w:left="17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492084C">
      <w:start w:val="1"/>
      <w:numFmt w:val="bullet"/>
      <w:lvlText w:val="▪"/>
      <w:lvlJc w:val="left"/>
      <w:pPr>
        <w:ind w:left="24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A4E6A5A">
      <w:start w:val="1"/>
      <w:numFmt w:val="bullet"/>
      <w:lvlText w:val="•"/>
      <w:lvlJc w:val="left"/>
      <w:pPr>
        <w:ind w:left="31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2AB6BC">
      <w:start w:val="1"/>
      <w:numFmt w:val="bullet"/>
      <w:lvlText w:val="o"/>
      <w:lvlJc w:val="left"/>
      <w:pPr>
        <w:ind w:left="38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BDC0A02">
      <w:start w:val="1"/>
      <w:numFmt w:val="bullet"/>
      <w:lvlText w:val="▪"/>
      <w:lvlJc w:val="left"/>
      <w:pPr>
        <w:ind w:left="46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2A4DCA">
      <w:start w:val="1"/>
      <w:numFmt w:val="bullet"/>
      <w:lvlText w:val="•"/>
      <w:lvlJc w:val="left"/>
      <w:pPr>
        <w:ind w:left="53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7CB422">
      <w:start w:val="1"/>
      <w:numFmt w:val="bullet"/>
      <w:lvlText w:val="o"/>
      <w:lvlJc w:val="left"/>
      <w:pPr>
        <w:ind w:left="60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D6001EA">
      <w:start w:val="1"/>
      <w:numFmt w:val="bullet"/>
      <w:lvlText w:val="▪"/>
      <w:lvlJc w:val="left"/>
      <w:pPr>
        <w:ind w:left="67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E930823"/>
    <w:multiLevelType w:val="hybridMultilevel"/>
    <w:tmpl w:val="A468A0D4"/>
    <w:lvl w:ilvl="0" w:tplc="74600C10">
      <w:start w:val="203"/>
      <w:numFmt w:val="decimal"/>
      <w:lvlText w:val="%1."/>
      <w:lvlJc w:val="left"/>
      <w:pPr>
        <w:ind w:left="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9A09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CCCD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AE832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302E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9A5A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8E77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DE3C4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36B9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52D334C"/>
    <w:multiLevelType w:val="hybridMultilevel"/>
    <w:tmpl w:val="30E8B4E4"/>
    <w:lvl w:ilvl="0" w:tplc="454AAD3A">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229C8C">
      <w:start w:val="1"/>
      <w:numFmt w:val="bullet"/>
      <w:lvlText w:val="o"/>
      <w:lvlJc w:val="left"/>
      <w:pPr>
        <w:ind w:left="1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A8F252">
      <w:start w:val="1"/>
      <w:numFmt w:val="bullet"/>
      <w:lvlText w:val="▪"/>
      <w:lvlJc w:val="left"/>
      <w:pPr>
        <w:ind w:left="2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1B80998">
      <w:start w:val="1"/>
      <w:numFmt w:val="bullet"/>
      <w:lvlText w:val="•"/>
      <w:lvlJc w:val="left"/>
      <w:pPr>
        <w:ind w:left="3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2687326">
      <w:start w:val="1"/>
      <w:numFmt w:val="bullet"/>
      <w:lvlText w:val="o"/>
      <w:lvlJc w:val="left"/>
      <w:pPr>
        <w:ind w:left="3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CE3174">
      <w:start w:val="1"/>
      <w:numFmt w:val="bullet"/>
      <w:lvlText w:val="▪"/>
      <w:lvlJc w:val="left"/>
      <w:pPr>
        <w:ind w:left="4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630499C">
      <w:start w:val="1"/>
      <w:numFmt w:val="bullet"/>
      <w:lvlText w:val="•"/>
      <w:lvlJc w:val="left"/>
      <w:pPr>
        <w:ind w:left="53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4A2B78">
      <w:start w:val="1"/>
      <w:numFmt w:val="bullet"/>
      <w:lvlText w:val="o"/>
      <w:lvlJc w:val="left"/>
      <w:pPr>
        <w:ind w:left="60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C88D360">
      <w:start w:val="1"/>
      <w:numFmt w:val="bullet"/>
      <w:lvlText w:val="▪"/>
      <w:lvlJc w:val="left"/>
      <w:pPr>
        <w:ind w:left="68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60E69AC"/>
    <w:multiLevelType w:val="hybridMultilevel"/>
    <w:tmpl w:val="72EA1C60"/>
    <w:lvl w:ilvl="0" w:tplc="CE8EA894">
      <w:start w:val="214"/>
      <w:numFmt w:val="decimal"/>
      <w:lvlText w:val="%1."/>
      <w:lvlJc w:val="left"/>
      <w:pPr>
        <w:ind w:left="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F46F9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FE67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B214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EED9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68E3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9AD9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C83F8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A2B96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8AC50A3"/>
    <w:multiLevelType w:val="hybridMultilevel"/>
    <w:tmpl w:val="69B4A054"/>
    <w:lvl w:ilvl="0" w:tplc="3EF00B78">
      <w:start w:val="247"/>
      <w:numFmt w:val="decimal"/>
      <w:lvlText w:val="%1."/>
      <w:lvlJc w:val="left"/>
      <w:pPr>
        <w:ind w:left="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28D668">
      <w:start w:val="1"/>
      <w:numFmt w:val="lowerLetter"/>
      <w:lvlText w:val="%2"/>
      <w:lvlJc w:val="left"/>
      <w:pPr>
        <w:ind w:left="1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42CA26">
      <w:start w:val="1"/>
      <w:numFmt w:val="lowerRoman"/>
      <w:lvlText w:val="%3"/>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2E5502">
      <w:start w:val="1"/>
      <w:numFmt w:val="decimal"/>
      <w:lvlText w:val="%4"/>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84CC78">
      <w:start w:val="1"/>
      <w:numFmt w:val="lowerLetter"/>
      <w:lvlText w:val="%5"/>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7C9AAC">
      <w:start w:val="1"/>
      <w:numFmt w:val="lowerRoman"/>
      <w:lvlText w:val="%6"/>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4C245A">
      <w:start w:val="1"/>
      <w:numFmt w:val="decimal"/>
      <w:lvlText w:val="%7"/>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3E0ED4">
      <w:start w:val="1"/>
      <w:numFmt w:val="lowerLetter"/>
      <w:lvlText w:val="%8"/>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AE76F6">
      <w:start w:val="1"/>
      <w:numFmt w:val="lowerRoman"/>
      <w:lvlText w:val="%9"/>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BFE4D0F"/>
    <w:multiLevelType w:val="hybridMultilevel"/>
    <w:tmpl w:val="E9C856B2"/>
    <w:lvl w:ilvl="0" w:tplc="62B0826C">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EA9FAC">
      <w:start w:val="1"/>
      <w:numFmt w:val="bullet"/>
      <w:lvlText w:val="o"/>
      <w:lvlJc w:val="left"/>
      <w:pPr>
        <w:ind w:left="17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7E5FF6">
      <w:start w:val="1"/>
      <w:numFmt w:val="bullet"/>
      <w:lvlText w:val="▪"/>
      <w:lvlJc w:val="left"/>
      <w:pPr>
        <w:ind w:left="25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1D40A24">
      <w:start w:val="1"/>
      <w:numFmt w:val="bullet"/>
      <w:lvlText w:val="•"/>
      <w:lvlJc w:val="left"/>
      <w:pPr>
        <w:ind w:left="3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260FE4">
      <w:start w:val="1"/>
      <w:numFmt w:val="bullet"/>
      <w:lvlText w:val="o"/>
      <w:lvlJc w:val="left"/>
      <w:pPr>
        <w:ind w:left="39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54071A2">
      <w:start w:val="1"/>
      <w:numFmt w:val="bullet"/>
      <w:lvlText w:val="▪"/>
      <w:lvlJc w:val="left"/>
      <w:pPr>
        <w:ind w:left="46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28E6534">
      <w:start w:val="1"/>
      <w:numFmt w:val="bullet"/>
      <w:lvlText w:val="•"/>
      <w:lvlJc w:val="left"/>
      <w:pPr>
        <w:ind w:left="5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BA5E0A">
      <w:start w:val="1"/>
      <w:numFmt w:val="bullet"/>
      <w:lvlText w:val="o"/>
      <w:lvlJc w:val="left"/>
      <w:pPr>
        <w:ind w:left="61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1EAC252">
      <w:start w:val="1"/>
      <w:numFmt w:val="bullet"/>
      <w:lvlText w:val="▪"/>
      <w:lvlJc w:val="left"/>
      <w:pPr>
        <w:ind w:left="68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CE55CF2"/>
    <w:multiLevelType w:val="hybridMultilevel"/>
    <w:tmpl w:val="02247F60"/>
    <w:lvl w:ilvl="0" w:tplc="0136D72E">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625800">
      <w:start w:val="1"/>
      <w:numFmt w:val="bullet"/>
      <w:lvlText w:val="o"/>
      <w:lvlJc w:val="left"/>
      <w:pPr>
        <w:ind w:left="17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9E24AA0">
      <w:start w:val="1"/>
      <w:numFmt w:val="bullet"/>
      <w:lvlText w:val="▪"/>
      <w:lvlJc w:val="left"/>
      <w:pPr>
        <w:ind w:left="25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3E7F4A">
      <w:start w:val="1"/>
      <w:numFmt w:val="bullet"/>
      <w:lvlText w:val="•"/>
      <w:lvlJc w:val="left"/>
      <w:pPr>
        <w:ind w:left="3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88ADCAE">
      <w:start w:val="1"/>
      <w:numFmt w:val="bullet"/>
      <w:lvlText w:val="o"/>
      <w:lvlJc w:val="left"/>
      <w:pPr>
        <w:ind w:left="3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A02B14A">
      <w:start w:val="1"/>
      <w:numFmt w:val="bullet"/>
      <w:lvlText w:val="▪"/>
      <w:lvlJc w:val="left"/>
      <w:pPr>
        <w:ind w:left="46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3AA2D2">
      <w:start w:val="1"/>
      <w:numFmt w:val="bullet"/>
      <w:lvlText w:val="•"/>
      <w:lvlJc w:val="left"/>
      <w:pPr>
        <w:ind w:left="5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03C7106">
      <w:start w:val="1"/>
      <w:numFmt w:val="bullet"/>
      <w:lvlText w:val="o"/>
      <w:lvlJc w:val="left"/>
      <w:pPr>
        <w:ind w:left="6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6E56D6">
      <w:start w:val="1"/>
      <w:numFmt w:val="bullet"/>
      <w:lvlText w:val="▪"/>
      <w:lvlJc w:val="left"/>
      <w:pPr>
        <w:ind w:left="68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D981DA4"/>
    <w:multiLevelType w:val="hybridMultilevel"/>
    <w:tmpl w:val="A852BB64"/>
    <w:lvl w:ilvl="0" w:tplc="83F83180">
      <w:start w:val="222"/>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8298C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7436E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B8F3C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D2D6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6E809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74B0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DE097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A473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61966D4"/>
    <w:multiLevelType w:val="hybridMultilevel"/>
    <w:tmpl w:val="62A000A6"/>
    <w:lvl w:ilvl="0" w:tplc="59DA7E32">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1A0EA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B4C821C">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E8026C">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A2DF2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EB47FF8">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142703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EE96E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26CE6E0">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5"/>
  </w:num>
  <w:num w:numId="2">
    <w:abstractNumId w:val="23"/>
  </w:num>
  <w:num w:numId="3">
    <w:abstractNumId w:val="20"/>
  </w:num>
  <w:num w:numId="4">
    <w:abstractNumId w:val="26"/>
  </w:num>
  <w:num w:numId="5">
    <w:abstractNumId w:val="24"/>
  </w:num>
  <w:num w:numId="6">
    <w:abstractNumId w:val="32"/>
  </w:num>
  <w:num w:numId="7">
    <w:abstractNumId w:val="30"/>
  </w:num>
  <w:num w:numId="8">
    <w:abstractNumId w:val="29"/>
  </w:num>
  <w:num w:numId="9">
    <w:abstractNumId w:val="10"/>
  </w:num>
  <w:num w:numId="10">
    <w:abstractNumId w:val="13"/>
  </w:num>
  <w:num w:numId="11">
    <w:abstractNumId w:val="9"/>
  </w:num>
  <w:num w:numId="12">
    <w:abstractNumId w:val="19"/>
  </w:num>
  <w:num w:numId="13">
    <w:abstractNumId w:val="4"/>
  </w:num>
  <w:num w:numId="14">
    <w:abstractNumId w:val="22"/>
  </w:num>
  <w:num w:numId="15">
    <w:abstractNumId w:val="21"/>
  </w:num>
  <w:num w:numId="16">
    <w:abstractNumId w:val="7"/>
  </w:num>
  <w:num w:numId="17">
    <w:abstractNumId w:val="8"/>
  </w:num>
  <w:num w:numId="18">
    <w:abstractNumId w:val="11"/>
  </w:num>
  <w:num w:numId="19">
    <w:abstractNumId w:val="6"/>
  </w:num>
  <w:num w:numId="20">
    <w:abstractNumId w:val="12"/>
  </w:num>
  <w:num w:numId="21">
    <w:abstractNumId w:val="2"/>
  </w:num>
  <w:num w:numId="22">
    <w:abstractNumId w:val="16"/>
  </w:num>
  <w:num w:numId="23">
    <w:abstractNumId w:val="14"/>
  </w:num>
  <w:num w:numId="24">
    <w:abstractNumId w:val="1"/>
  </w:num>
  <w:num w:numId="25">
    <w:abstractNumId w:val="5"/>
  </w:num>
  <w:num w:numId="26">
    <w:abstractNumId w:val="0"/>
  </w:num>
  <w:num w:numId="27">
    <w:abstractNumId w:val="17"/>
  </w:num>
  <w:num w:numId="28">
    <w:abstractNumId w:val="25"/>
  </w:num>
  <w:num w:numId="29">
    <w:abstractNumId w:val="27"/>
  </w:num>
  <w:num w:numId="30">
    <w:abstractNumId w:val="31"/>
  </w:num>
  <w:num w:numId="31">
    <w:abstractNumId w:val="28"/>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AD1"/>
    <w:rsid w:val="00325AD1"/>
    <w:rsid w:val="008C5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7716C858-18D1-4827-9D44-10F1A1E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125"/>
      <w:ind w:left="10" w:hanging="10"/>
      <w:jc w:val="both"/>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45"/>
      <w:ind w:left="718" w:hanging="10"/>
      <w:outlineLvl w:val="1"/>
    </w:pPr>
    <w:rPr>
      <w:rFonts w:ascii="Times New Roman" w:eastAsia="Times New Roman" w:hAnsi="Times New Roman" w:cs="Times New Roman"/>
      <w:i/>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i/>
      <w:color w:val="000000"/>
      <w:sz w:val="24"/>
      <w:u w:val="single" w:color="000000"/>
    </w:rPr>
  </w:style>
  <w:style w:type="character" w:customStyle="1" w:styleId="Heading1Char">
    <w:name w:val="Heading 1 Char"/>
    <w:link w:val="Heading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www.vcuhealth.org/hume-lee-transplant-center/programs-and-expertise/pancreas-transplant/candidate-evaluation/" TargetMode="External"/><Relationship Id="rId21" Type="http://schemas.openxmlformats.org/officeDocument/2006/relationships/hyperlink" Target="http://edren.org/ren/wp-content/uploads/2024/09/SPK-protocol-2024-1.1.pdf" TargetMode="External"/><Relationship Id="rId42" Type="http://schemas.openxmlformats.org/officeDocument/2006/relationships/hyperlink" Target="https://pubmed.ncbi.nlm.nih.gov/?sort=date&amp;term=Messias+A&amp;cauthor_id=35258070" TargetMode="External"/><Relationship Id="rId63" Type="http://schemas.openxmlformats.org/officeDocument/2006/relationships/hyperlink" Target="https://pubmed.ncbi.nlm.nih.gov/35258070/" TargetMode="External"/><Relationship Id="rId84" Type="http://schemas.openxmlformats.org/officeDocument/2006/relationships/hyperlink" Target="https://www.nccn.org/guidelines/guidelines-detail?category=2&amp;id=1441" TargetMode="External"/><Relationship Id="rId138" Type="http://schemas.openxmlformats.org/officeDocument/2006/relationships/hyperlink" Target="https://www.vcuhealth.org/hume-lee-transplant-center/programs-and-expertise/pancreas-transplant/candidate-evaluation/" TargetMode="External"/><Relationship Id="rId159" Type="http://schemas.openxmlformats.org/officeDocument/2006/relationships/hyperlink" Target="https://www.odt.nhs.uk/transplantation/pancreas" TargetMode="External"/><Relationship Id="rId170" Type="http://schemas.openxmlformats.org/officeDocument/2006/relationships/hyperlink" Target="https://edren.org/ren/handbook/transplant-handbook/immunosuppressive-drugs/basiliximab/" TargetMode="External"/><Relationship Id="rId107" Type="http://schemas.openxmlformats.org/officeDocument/2006/relationships/hyperlink" Target="https://www.uwmedicine.org/sites/stevie/files/2025-06/UW%20Medicine_Dental%20Clearance%20Form.pdf" TargetMode="External"/><Relationship Id="rId11" Type="http://schemas.openxmlformats.org/officeDocument/2006/relationships/hyperlink" Target="http://dx.doi.org/10.1093/ndt/gft385" TargetMode="External"/><Relationship Id="rId32" Type="http://schemas.openxmlformats.org/officeDocument/2006/relationships/hyperlink" Target="http://edren.org/ren/wp-content/uploads/2024/09/SPK-protocol-2024-1.1.pdf" TargetMode="External"/><Relationship Id="rId53" Type="http://schemas.openxmlformats.org/officeDocument/2006/relationships/hyperlink" Target="https://pubmed.ncbi.nlm.nih.gov/35258070/" TargetMode="External"/><Relationship Id="rId74" Type="http://schemas.openxmlformats.org/officeDocument/2006/relationships/hyperlink" Target="https://www.nccn.org/guidelines/guidelines-detail?category=2&amp;id=1441" TargetMode="External"/><Relationship Id="rId128" Type="http://schemas.openxmlformats.org/officeDocument/2006/relationships/hyperlink" Target="https://www.vcuhealth.org/hume-lee-transplant-center/programs-and-expertise/pancreas-transplant/candidate-evaluation/" TargetMode="External"/><Relationship Id="rId149" Type="http://schemas.openxmlformats.org/officeDocument/2006/relationships/hyperlink" Target="https://emedicine.medscape.com/article/430128-periprocedure" TargetMode="External"/><Relationship Id="rId5" Type="http://schemas.openxmlformats.org/officeDocument/2006/relationships/footnotes" Target="footnotes.xml"/><Relationship Id="rId95" Type="http://schemas.openxmlformats.org/officeDocument/2006/relationships/hyperlink" Target="https://www.uwmedicine.org/sites/stevie/files/2025-06/UW%20Medicine_Dental%20Clearance%20Form.pdf" TargetMode="External"/><Relationship Id="rId160" Type="http://schemas.openxmlformats.org/officeDocument/2006/relationships/hyperlink" Target="https://www.ncbi.nlm.nih.gov/books/NBK562338" TargetMode="External"/><Relationship Id="rId181" Type="http://schemas.openxmlformats.org/officeDocument/2006/relationships/footer" Target="footer6.xml"/><Relationship Id="rId22" Type="http://schemas.openxmlformats.org/officeDocument/2006/relationships/hyperlink" Target="http://edren.org/ren/wp-content/uploads/2024/09/SPK-protocol-2024-1.1.pdf" TargetMode="External"/><Relationship Id="rId43" Type="http://schemas.openxmlformats.org/officeDocument/2006/relationships/hyperlink" Target="https://pubmed.ncbi.nlm.nih.gov/?sort=date&amp;term=Messias+A&amp;cauthor_id=35258070" TargetMode="External"/><Relationship Id="rId64" Type="http://schemas.openxmlformats.org/officeDocument/2006/relationships/hyperlink" Target="https://pubmed.ncbi.nlm.nih.gov/35258070/" TargetMode="External"/><Relationship Id="rId118" Type="http://schemas.openxmlformats.org/officeDocument/2006/relationships/hyperlink" Target="https://www.vcuhealth.org/hume-lee-transplant-center/programs-and-expertise/pancreas-transplant/candidate-evaluation/" TargetMode="External"/><Relationship Id="rId139" Type="http://schemas.openxmlformats.org/officeDocument/2006/relationships/hyperlink" Target="https://www.vcuhealth.org/hume-lee-transplant-center/programs-and-expertise/pancreas-transplant/candidate-evaluation/" TargetMode="External"/><Relationship Id="rId85" Type="http://schemas.openxmlformats.org/officeDocument/2006/relationships/hyperlink" Target="https://www.nccn.org/guidelines/guidelines-detail?category=2&amp;id=1441" TargetMode="External"/><Relationship Id="rId150" Type="http://schemas.openxmlformats.org/officeDocument/2006/relationships/hyperlink" Target="https://emedicine.medscape.com/article/430128-periprocedure" TargetMode="External"/><Relationship Id="rId171" Type="http://schemas.openxmlformats.org/officeDocument/2006/relationships/hyperlink" Target="https://edren.org/ren/handbook/transplant-handbook/immunosuppressive-drugs/basiliximab/" TargetMode="External"/><Relationship Id="rId12" Type="http://schemas.openxmlformats.org/officeDocument/2006/relationships/hyperlink" Target="http://dx.doi.org/10.1093/ndt/gft385" TargetMode="External"/><Relationship Id="rId33" Type="http://schemas.openxmlformats.org/officeDocument/2006/relationships/hyperlink" Target="http://edren.org/ren/wp-content/uploads/2024/09/SPK-protocol-2024-1.1.pdf" TargetMode="External"/><Relationship Id="rId108" Type="http://schemas.openxmlformats.org/officeDocument/2006/relationships/hyperlink" Target="https://www.uwmedicine.org/sites/stevie/files/2025-06/UW%20Medicine_Dental%20Clearance%20Form.pdf" TargetMode="External"/><Relationship Id="rId129" Type="http://schemas.openxmlformats.org/officeDocument/2006/relationships/hyperlink" Target="https://www.vcuhealth.org/hume-lee-transplant-center/programs-and-expertise/pancreas-transplant/candidate-evaluation/" TargetMode="External"/><Relationship Id="rId54" Type="http://schemas.openxmlformats.org/officeDocument/2006/relationships/hyperlink" Target="https://pubmed.ncbi.nlm.nih.gov/?sort=date&amp;term=Ferreira+A&amp;cauthor_id=35258070" TargetMode="External"/><Relationship Id="rId75" Type="http://schemas.openxmlformats.org/officeDocument/2006/relationships/hyperlink" Target="https://www.nccn.org/guidelines/guidelines-detail?category=2&amp;id=1441" TargetMode="External"/><Relationship Id="rId96" Type="http://schemas.openxmlformats.org/officeDocument/2006/relationships/hyperlink" Target="https://www.uwmedicine.org/sites/stevie/files/2025-06/UW%20Medicine_Dental%20Clearance%20Form.pdf" TargetMode="External"/><Relationship Id="rId140" Type="http://schemas.openxmlformats.org/officeDocument/2006/relationships/hyperlink" Target="https://www.vcuhealth.org/hume-lee-transplant-center/programs-and-expertise/pancreas-transplant/candidate-evaluation/" TargetMode="External"/><Relationship Id="rId161" Type="http://schemas.openxmlformats.org/officeDocument/2006/relationships/hyperlink" Target="https://www.ncbi.nlm.nih.gov/books/NBK562338" TargetMode="External"/><Relationship Id="rId182" Type="http://schemas.openxmlformats.org/officeDocument/2006/relationships/fontTable" Target="fontTable.xml"/><Relationship Id="rId6" Type="http://schemas.openxmlformats.org/officeDocument/2006/relationships/endnotes" Target="endnotes.xml"/><Relationship Id="rId23" Type="http://schemas.openxmlformats.org/officeDocument/2006/relationships/hyperlink" Target="http://edren.org/ren/wp-content/uploads/2024/09/SPK-protocol-2024-1.1.pdf" TargetMode="External"/><Relationship Id="rId119" Type="http://schemas.openxmlformats.org/officeDocument/2006/relationships/hyperlink" Target="https://www.vcuhealth.org/hume-lee-transplant-center/programs-and-expertise/pancreas-transplant/candidate-evaluation/" TargetMode="External"/><Relationship Id="rId44" Type="http://schemas.openxmlformats.org/officeDocument/2006/relationships/hyperlink" Target="https://pubmed.ncbi.nlm.nih.gov/?sort=date&amp;term=Messias+A&amp;cauthor_id=35258070" TargetMode="External"/><Relationship Id="rId60" Type="http://schemas.openxmlformats.org/officeDocument/2006/relationships/hyperlink" Target="https://pubmed.ncbi.nlm.nih.gov/35258070/" TargetMode="External"/><Relationship Id="rId65" Type="http://schemas.openxmlformats.org/officeDocument/2006/relationships/hyperlink" Target="https://pubmed.ncbi.nlm.nih.gov/35258070/" TargetMode="External"/><Relationship Id="rId81" Type="http://schemas.openxmlformats.org/officeDocument/2006/relationships/hyperlink" Target="https://www.nccn.org/guidelines/guidelines-detail?category=2&amp;id=1441" TargetMode="External"/><Relationship Id="rId86" Type="http://schemas.openxmlformats.org/officeDocument/2006/relationships/hyperlink" Target="https://www.nccn.org/guidelines/guidelines-detail?category=2&amp;id=1441" TargetMode="External"/><Relationship Id="rId130" Type="http://schemas.openxmlformats.org/officeDocument/2006/relationships/hyperlink" Target="https://www.vcuhealth.org/hume-lee-transplant-center/programs-and-expertise/pancreas-transplant/candidate-evaluation/" TargetMode="External"/><Relationship Id="rId135" Type="http://schemas.openxmlformats.org/officeDocument/2006/relationships/hyperlink" Target="https://www.vcuhealth.org/hume-lee-transplant-center/programs-and-expertise/pancreas-transplant/candidate-evaluation/" TargetMode="External"/><Relationship Id="rId151" Type="http://schemas.openxmlformats.org/officeDocument/2006/relationships/hyperlink" Target="https://emedicine.medscape.com/article/430128-periprocedure" TargetMode="External"/><Relationship Id="rId156" Type="http://schemas.openxmlformats.org/officeDocument/2006/relationships/hyperlink" Target="https://bts.org.uk/guidelines-standards/" TargetMode="External"/><Relationship Id="rId177" Type="http://schemas.openxmlformats.org/officeDocument/2006/relationships/footer" Target="footer2.xml"/><Relationship Id="rId172" Type="http://schemas.openxmlformats.org/officeDocument/2006/relationships/hyperlink" Target="https://edren.org/ren/handbook/transplant-handbook/immunosuppressive-drugs/basiliximab/" TargetMode="External"/><Relationship Id="rId13" Type="http://schemas.openxmlformats.org/officeDocument/2006/relationships/hyperlink" Target="http://edren.org/ren/wp-content/uploads/2024/09/SPK-protocol-2024-1.1.pdf" TargetMode="External"/><Relationship Id="rId18" Type="http://schemas.openxmlformats.org/officeDocument/2006/relationships/hyperlink" Target="http://edren.org/ren/wp-content/uploads/2024/09/SPK-protocol-2024-1.1.pdf" TargetMode="External"/><Relationship Id="rId39" Type="http://schemas.openxmlformats.org/officeDocument/2006/relationships/hyperlink" Target="https://pubmed.ncbi.nlm.nih.gov/?sort=date&amp;term=Pereira+L&amp;cauthor_id=35258070" TargetMode="External"/><Relationship Id="rId109" Type="http://schemas.openxmlformats.org/officeDocument/2006/relationships/hyperlink" Target="https://www.uwmedicine.org/sites/stevie/files/2025-06/UW%20Medicine_Dental%20Clearance%20Form.pdf" TargetMode="External"/><Relationship Id="rId34" Type="http://schemas.openxmlformats.org/officeDocument/2006/relationships/hyperlink" Target="http://edren.org/ren/wp-content/uploads/2024/09/SPK-protocol-2024-1.1.pdf" TargetMode="External"/><Relationship Id="rId50" Type="http://schemas.openxmlformats.org/officeDocument/2006/relationships/hyperlink" Target="https://pubmed.ncbi.nlm.nih.gov/?sort=date&amp;term=Cotovio+P&amp;cauthor_id=35258070" TargetMode="External"/><Relationship Id="rId55" Type="http://schemas.openxmlformats.org/officeDocument/2006/relationships/hyperlink" Target="https://pubmed.ncbi.nlm.nih.gov/?sort=date&amp;term=Ferreira+A&amp;cauthor_id=35258070" TargetMode="External"/><Relationship Id="rId76" Type="http://schemas.openxmlformats.org/officeDocument/2006/relationships/hyperlink" Target="https://www.nccn.org/guidelines/guidelines-detail?category=2&amp;id=1441" TargetMode="External"/><Relationship Id="rId97" Type="http://schemas.openxmlformats.org/officeDocument/2006/relationships/hyperlink" Target="https://www.uwmedicine.org/sites/stevie/files/2025-06/UW%20Medicine_Dental%20Clearance%20Form.pdf" TargetMode="External"/><Relationship Id="rId104" Type="http://schemas.openxmlformats.org/officeDocument/2006/relationships/hyperlink" Target="https://www.uwmedicine.org/sites/stevie/files/2025-06/UW%20Medicine_Dental%20Clearance%20Form.pdf" TargetMode="External"/><Relationship Id="rId120" Type="http://schemas.openxmlformats.org/officeDocument/2006/relationships/hyperlink" Target="https://www.vcuhealth.org/hume-lee-transplant-center/programs-and-expertise/pancreas-transplant/candidate-evaluation/" TargetMode="External"/><Relationship Id="rId125" Type="http://schemas.openxmlformats.org/officeDocument/2006/relationships/hyperlink" Target="https://www.vcuhealth.org/hume-lee-transplant-center/programs-and-expertise/pancreas-transplant/candidate-evaluation/" TargetMode="External"/><Relationship Id="rId141" Type="http://schemas.openxmlformats.org/officeDocument/2006/relationships/hyperlink" Target="https://www.vcuhealth.org/hume-lee-transplant-center/programs-and-expertise/pancreas-transplant/candidate-evaluation/" TargetMode="External"/><Relationship Id="rId146" Type="http://schemas.openxmlformats.org/officeDocument/2006/relationships/hyperlink" Target="https://www.vcuhealth.org/hume-lee-transplant-center/programs-and-expertise/pancreas-transplant/candidate-evaluation/" TargetMode="External"/><Relationship Id="rId167" Type="http://schemas.openxmlformats.org/officeDocument/2006/relationships/hyperlink" Target="https://emedicine.medscape.com/article/429408-workup" TargetMode="External"/><Relationship Id="rId7" Type="http://schemas.openxmlformats.org/officeDocument/2006/relationships/hyperlink" Target="https://www.researchgate.net/journal/Nephrology-Dialysis-Transplantation-1460-2385" TargetMode="External"/><Relationship Id="rId71" Type="http://schemas.openxmlformats.org/officeDocument/2006/relationships/hyperlink" Target="https://www.nccn.org/guidelines/guidelines-detail?category=2&amp;id=1441" TargetMode="External"/><Relationship Id="rId92" Type="http://schemas.openxmlformats.org/officeDocument/2006/relationships/hyperlink" Target="https://www.uwmedicine.org/sites/stevie/files/2025-06/UW%20Medicine_Dental%20Clearance%20Form.pdf" TargetMode="External"/><Relationship Id="rId162" Type="http://schemas.openxmlformats.org/officeDocument/2006/relationships/hyperlink" Target="https://doi.org/10.3390/jcm10071418"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edren.org/ren/wp-content/uploads/2024/09/SPK-protocol-2024-1.1.pdf" TargetMode="External"/><Relationship Id="rId24" Type="http://schemas.openxmlformats.org/officeDocument/2006/relationships/hyperlink" Target="http://edren.org/ren/wp-content/uploads/2024/09/SPK-protocol-2024-1.1.pdf" TargetMode="External"/><Relationship Id="rId40" Type="http://schemas.openxmlformats.org/officeDocument/2006/relationships/hyperlink" Target="https://pubmed.ncbi.nlm.nih.gov/?sort=date&amp;term=Pereira+L&amp;cauthor_id=35258070" TargetMode="External"/><Relationship Id="rId45" Type="http://schemas.openxmlformats.org/officeDocument/2006/relationships/hyperlink" Target="https://pubmed.ncbi.nlm.nih.gov/?sort=date&amp;term=Messias+A&amp;cauthor_id=35258070" TargetMode="External"/><Relationship Id="rId66" Type="http://schemas.openxmlformats.org/officeDocument/2006/relationships/hyperlink" Target="https://pubmed.ncbi.nlm.nih.gov/35258070/" TargetMode="External"/><Relationship Id="rId87" Type="http://schemas.openxmlformats.org/officeDocument/2006/relationships/hyperlink" Target="https://www.nccn.org/guidelines/guidelines-detail?category=2&amp;id=1441" TargetMode="External"/><Relationship Id="rId110" Type="http://schemas.openxmlformats.org/officeDocument/2006/relationships/hyperlink" Target="https://www.uwmedicine.org/sites/stevie/files/2025-06/UW%20Medicine_Dental%20Clearance%20Form.pdf" TargetMode="External"/><Relationship Id="rId115" Type="http://schemas.openxmlformats.org/officeDocument/2006/relationships/hyperlink" Target="https://www.uwmedicine.org/sites/stevie/files/2025-06/UW%20Medicine_Dental%20Clearance%20Form.pdf" TargetMode="External"/><Relationship Id="rId131" Type="http://schemas.openxmlformats.org/officeDocument/2006/relationships/hyperlink" Target="https://www.vcuhealth.org/hume-lee-transplant-center/programs-and-expertise/pancreas-transplant/candidate-evaluation/" TargetMode="External"/><Relationship Id="rId136" Type="http://schemas.openxmlformats.org/officeDocument/2006/relationships/hyperlink" Target="https://www.vcuhealth.org/hume-lee-transplant-center/programs-and-expertise/pancreas-transplant/candidate-evaluation/" TargetMode="External"/><Relationship Id="rId157" Type="http://schemas.openxmlformats.org/officeDocument/2006/relationships/hyperlink" Target="https://bts.org.uk/guidelines-standards/" TargetMode="External"/><Relationship Id="rId178" Type="http://schemas.openxmlformats.org/officeDocument/2006/relationships/footer" Target="footer3.xml"/><Relationship Id="rId61" Type="http://schemas.openxmlformats.org/officeDocument/2006/relationships/hyperlink" Target="https://pubmed.ncbi.nlm.nih.gov/?sort=date&amp;term=Nolasco+F&amp;cauthor_id=35258070" TargetMode="External"/><Relationship Id="rId82" Type="http://schemas.openxmlformats.org/officeDocument/2006/relationships/hyperlink" Target="https://www.nccn.org/guidelines/guidelines-detail?category=2&amp;id=1441" TargetMode="External"/><Relationship Id="rId152" Type="http://schemas.openxmlformats.org/officeDocument/2006/relationships/hyperlink" Target="https://dam.upmc.com/services/transplant/services/tests" TargetMode="External"/><Relationship Id="rId173" Type="http://schemas.openxmlformats.org/officeDocument/2006/relationships/hyperlink" Target="https://edren.org/ren/handbook/transplant-handbook/immunosuppressive-drugs/basiliximab/" TargetMode="External"/><Relationship Id="rId19" Type="http://schemas.openxmlformats.org/officeDocument/2006/relationships/hyperlink" Target="http://edren.org/ren/wp-content/uploads/2024/09/SPK-protocol-2024-1.1.pdf" TargetMode="External"/><Relationship Id="rId14" Type="http://schemas.openxmlformats.org/officeDocument/2006/relationships/hyperlink" Target="http://edren.org/ren/wp-content/uploads/2024/09/SPK-protocol-2024-1.1.pdf" TargetMode="External"/><Relationship Id="rId30" Type="http://schemas.openxmlformats.org/officeDocument/2006/relationships/hyperlink" Target="http://edren.org/ren/wp-content/uploads/2024/09/SPK-protocol-2024-1.1.pdf" TargetMode="External"/><Relationship Id="rId35" Type="http://schemas.openxmlformats.org/officeDocument/2006/relationships/hyperlink" Target="http://edren.org/ren/wp-content/uploads/2024/09/SPK-protocol-2024-1.1.pdf" TargetMode="External"/><Relationship Id="rId56" Type="http://schemas.openxmlformats.org/officeDocument/2006/relationships/hyperlink" Target="https://pubmed.ncbi.nlm.nih.gov/35258070/" TargetMode="External"/><Relationship Id="rId77" Type="http://schemas.openxmlformats.org/officeDocument/2006/relationships/hyperlink" Target="https://www.nccn.org/guidelines/guidelines-detail?category=2&amp;id=1441" TargetMode="External"/><Relationship Id="rId100" Type="http://schemas.openxmlformats.org/officeDocument/2006/relationships/hyperlink" Target="https://www.uwmedicine.org/sites/stevie/files/2025-06/UW%20Medicine_Dental%20Clearance%20Form.pdf" TargetMode="External"/><Relationship Id="rId105" Type="http://schemas.openxmlformats.org/officeDocument/2006/relationships/hyperlink" Target="https://www.uwmedicine.org/sites/stevie/files/2025-06/UW%20Medicine_Dental%20Clearance%20Form.pdf" TargetMode="External"/><Relationship Id="rId126" Type="http://schemas.openxmlformats.org/officeDocument/2006/relationships/hyperlink" Target="https://www.vcuhealth.org/hume-lee-transplant-center/programs-and-expertise/pancreas-transplant/candidate-evaluation/" TargetMode="External"/><Relationship Id="rId147" Type="http://schemas.openxmlformats.org/officeDocument/2006/relationships/hyperlink" Target="https://www.vcuhealth.org/hume-lee-transplant-center/programs-and-expertise/pancreas-transplant/candidate-evaluation/" TargetMode="External"/><Relationship Id="rId168" Type="http://schemas.openxmlformats.org/officeDocument/2006/relationships/hyperlink" Target="https://edren.org/ren/handbook/transplant-handbook/immunosuppressive-drugs/basiliximab/" TargetMode="External"/><Relationship Id="rId8" Type="http://schemas.openxmlformats.org/officeDocument/2006/relationships/hyperlink" Target="https://www.researchgate.net/journal/Nephrology-Dialysis-Transplantation-1460-2385" TargetMode="External"/><Relationship Id="rId51" Type="http://schemas.openxmlformats.org/officeDocument/2006/relationships/hyperlink" Target="https://pubmed.ncbi.nlm.nih.gov/35258070/" TargetMode="External"/><Relationship Id="rId72" Type="http://schemas.openxmlformats.org/officeDocument/2006/relationships/hyperlink" Target="https://www.nccn.org/guidelines/guidelines-detail?category=2&amp;id=1441" TargetMode="External"/><Relationship Id="rId93" Type="http://schemas.openxmlformats.org/officeDocument/2006/relationships/hyperlink" Target="https://www.uwmedicine.org/sites/stevie/files/2025-06/UW%20Medicine_Dental%20Clearance%20Form.pdf" TargetMode="External"/><Relationship Id="rId98" Type="http://schemas.openxmlformats.org/officeDocument/2006/relationships/hyperlink" Target="https://www.uwmedicine.org/sites/stevie/files/2025-06/UW%20Medicine_Dental%20Clearance%20Form.pdf" TargetMode="External"/><Relationship Id="rId121" Type="http://schemas.openxmlformats.org/officeDocument/2006/relationships/hyperlink" Target="https://www.vcuhealth.org/hume-lee-transplant-center/programs-and-expertise/pancreas-transplant/candidate-evaluation/" TargetMode="External"/><Relationship Id="rId142" Type="http://schemas.openxmlformats.org/officeDocument/2006/relationships/hyperlink" Target="https://www.vcuhealth.org/hume-lee-transplant-center/programs-and-expertise/pancreas-transplant/candidate-evaluation/" TargetMode="External"/><Relationship Id="rId163" Type="http://schemas.openxmlformats.org/officeDocument/2006/relationships/hyperlink" Target="https://doi.org/10.3390/jcm10071418" TargetMode="External"/><Relationship Id="rId3" Type="http://schemas.openxmlformats.org/officeDocument/2006/relationships/settings" Target="settings.xml"/><Relationship Id="rId25" Type="http://schemas.openxmlformats.org/officeDocument/2006/relationships/hyperlink" Target="http://edren.org/ren/wp-content/uploads/2024/09/SPK-protocol-2024-1.1.pdf" TargetMode="External"/><Relationship Id="rId46" Type="http://schemas.openxmlformats.org/officeDocument/2006/relationships/hyperlink" Target="https://pubmed.ncbi.nlm.nih.gov/?sort=date&amp;term=Fonseca+N&amp;cauthor_id=35258070" TargetMode="External"/><Relationship Id="rId67" Type="http://schemas.openxmlformats.org/officeDocument/2006/relationships/hyperlink" Target="https://pubmed.ncbi.nlm.nih.gov/35258070/" TargetMode="External"/><Relationship Id="rId116" Type="http://schemas.openxmlformats.org/officeDocument/2006/relationships/hyperlink" Target="https://www.uwmedicine.org/sites/stevie/files/2025-06/UW%20Medicine_Dental%20Clearance%20Form.pdf" TargetMode="External"/><Relationship Id="rId137" Type="http://schemas.openxmlformats.org/officeDocument/2006/relationships/hyperlink" Target="https://www.vcuhealth.org/hume-lee-transplant-center/programs-and-expertise/pancreas-transplant/candidate-evaluation/" TargetMode="External"/><Relationship Id="rId158" Type="http://schemas.openxmlformats.org/officeDocument/2006/relationships/hyperlink" Target="https://www.odt.nhs.uk/transplantation/pancreas" TargetMode="External"/><Relationship Id="rId20" Type="http://schemas.openxmlformats.org/officeDocument/2006/relationships/hyperlink" Target="http://edren.org/ren/wp-content/uploads/2024/09/SPK-protocol-2024-1.1.pdf" TargetMode="External"/><Relationship Id="rId41" Type="http://schemas.openxmlformats.org/officeDocument/2006/relationships/hyperlink" Target="https://pubmed.ncbi.nlm.nih.gov/?sort=date&amp;term=Messias+A&amp;cauthor_id=35258070" TargetMode="External"/><Relationship Id="rId62" Type="http://schemas.openxmlformats.org/officeDocument/2006/relationships/hyperlink" Target="https://pubmed.ncbi.nlm.nih.gov/?sort=date&amp;term=Nolasco+F&amp;cauthor_id=35258070" TargetMode="External"/><Relationship Id="rId83" Type="http://schemas.openxmlformats.org/officeDocument/2006/relationships/hyperlink" Target="https://www.nccn.org/guidelines/guidelines-detail?category=2&amp;id=1441" TargetMode="External"/><Relationship Id="rId88" Type="http://schemas.openxmlformats.org/officeDocument/2006/relationships/hyperlink" Target="https://www.nccn.org/guidelines/guidelines-detail?category=2&amp;id=1441" TargetMode="External"/><Relationship Id="rId111" Type="http://schemas.openxmlformats.org/officeDocument/2006/relationships/hyperlink" Target="https://www.uwmedicine.org/sites/stevie/files/2025-06/UW%20Medicine_Dental%20Clearance%20Form.pdf" TargetMode="External"/><Relationship Id="rId132" Type="http://schemas.openxmlformats.org/officeDocument/2006/relationships/hyperlink" Target="https://www.vcuhealth.org/hume-lee-transplant-center/programs-and-expertise/pancreas-transplant/candidate-evaluation/" TargetMode="External"/><Relationship Id="rId153" Type="http://schemas.openxmlformats.org/officeDocument/2006/relationships/hyperlink" Target="https://dam.upmc.com/services/transplant/services/tests" TargetMode="External"/><Relationship Id="rId174" Type="http://schemas.openxmlformats.org/officeDocument/2006/relationships/image" Target="media/image1.jpg"/><Relationship Id="rId179" Type="http://schemas.openxmlformats.org/officeDocument/2006/relationships/footer" Target="footer4.xml"/><Relationship Id="rId15" Type="http://schemas.openxmlformats.org/officeDocument/2006/relationships/hyperlink" Target="http://edren.org/ren/wp-content/uploads/2024/09/SPK-protocol-2024-1.1.pdf" TargetMode="External"/><Relationship Id="rId36" Type="http://schemas.openxmlformats.org/officeDocument/2006/relationships/hyperlink" Target="https://pubmed.ncbi.nlm.nih.gov/?sort=date&amp;term=Marques+J&amp;cauthor_id=35258070" TargetMode="External"/><Relationship Id="rId57" Type="http://schemas.openxmlformats.org/officeDocument/2006/relationships/hyperlink" Target="https://pubmed.ncbi.nlm.nih.gov/35258070/" TargetMode="External"/><Relationship Id="rId106" Type="http://schemas.openxmlformats.org/officeDocument/2006/relationships/hyperlink" Target="https://www.uwmedicine.org/sites/stevie/files/2025-06/UW%20Medicine_Dental%20Clearance%20Form.pdf" TargetMode="External"/><Relationship Id="rId127" Type="http://schemas.openxmlformats.org/officeDocument/2006/relationships/hyperlink" Target="https://www.vcuhealth.org/hume-lee-transplant-center/programs-and-expertise/pancreas-transplant/candidate-evaluation/" TargetMode="External"/><Relationship Id="rId10" Type="http://schemas.openxmlformats.org/officeDocument/2006/relationships/hyperlink" Target="https://www.researchgate.net/journal/Nephrology-Dialysis-Transplantation-1460-2385" TargetMode="External"/><Relationship Id="rId31" Type="http://schemas.openxmlformats.org/officeDocument/2006/relationships/hyperlink" Target="http://edren.org/ren/wp-content/uploads/2024/09/SPK-protocol-2024-1.1.pdf" TargetMode="External"/><Relationship Id="rId52" Type="http://schemas.openxmlformats.org/officeDocument/2006/relationships/hyperlink" Target="https://pubmed.ncbi.nlm.nih.gov/35258070/" TargetMode="External"/><Relationship Id="rId73" Type="http://schemas.openxmlformats.org/officeDocument/2006/relationships/hyperlink" Target="https://www.nccn.org/guidelines/guidelines-detail?category=2&amp;id=1441" TargetMode="External"/><Relationship Id="rId78" Type="http://schemas.openxmlformats.org/officeDocument/2006/relationships/hyperlink" Target="https://www.nccn.org/guidelines/guidelines-detail?category=2&amp;id=1441" TargetMode="External"/><Relationship Id="rId94" Type="http://schemas.openxmlformats.org/officeDocument/2006/relationships/hyperlink" Target="https://www.uwmedicine.org/sites/stevie/files/2025-06/UW%20Medicine_Dental%20Clearance%20Form.pdf" TargetMode="External"/><Relationship Id="rId99" Type="http://schemas.openxmlformats.org/officeDocument/2006/relationships/hyperlink" Target="https://www.uwmedicine.org/sites/stevie/files/2025-06/UW%20Medicine_Dental%20Clearance%20Form.pdf" TargetMode="External"/><Relationship Id="rId101" Type="http://schemas.openxmlformats.org/officeDocument/2006/relationships/hyperlink" Target="https://www.uwmedicine.org/sites/stevie/files/2025-06/UW%20Medicine_Dental%20Clearance%20Form.pdf" TargetMode="External"/><Relationship Id="rId122" Type="http://schemas.openxmlformats.org/officeDocument/2006/relationships/hyperlink" Target="https://www.vcuhealth.org/hume-lee-transplant-center/programs-and-expertise/pancreas-transplant/candidate-evaluation/" TargetMode="External"/><Relationship Id="rId143" Type="http://schemas.openxmlformats.org/officeDocument/2006/relationships/hyperlink" Target="https://www.vcuhealth.org/hume-lee-transplant-center/programs-and-expertise/pancreas-transplant/candidate-evaluation/" TargetMode="External"/><Relationship Id="rId148" Type="http://schemas.openxmlformats.org/officeDocument/2006/relationships/hyperlink" Target="https://emedicine.medscape.com/article/430128-periprocedure" TargetMode="External"/><Relationship Id="rId164" Type="http://schemas.openxmlformats.org/officeDocument/2006/relationships/hyperlink" Target="https://emedicine.medscape.com/article/429408-workup" TargetMode="External"/><Relationship Id="rId169" Type="http://schemas.openxmlformats.org/officeDocument/2006/relationships/hyperlink" Target="https://edren.org/ren/handbook/transplant-handbook/immunosuppressive-drugs/basiliximab/" TargetMode="External"/><Relationship Id="rId4" Type="http://schemas.openxmlformats.org/officeDocument/2006/relationships/webSettings" Target="webSettings.xml"/><Relationship Id="rId9" Type="http://schemas.openxmlformats.org/officeDocument/2006/relationships/hyperlink" Target="https://www.researchgate.net/journal/Nephrology-Dialysis-Transplantation-1460-2385" TargetMode="External"/><Relationship Id="rId180" Type="http://schemas.openxmlformats.org/officeDocument/2006/relationships/footer" Target="footer5.xml"/><Relationship Id="rId26" Type="http://schemas.openxmlformats.org/officeDocument/2006/relationships/hyperlink" Target="http://edren.org/ren/wp-content/uploads/2024/09/SPK-protocol-2024-1.1.pdf" TargetMode="External"/><Relationship Id="rId47" Type="http://schemas.openxmlformats.org/officeDocument/2006/relationships/hyperlink" Target="https://pubmed.ncbi.nlm.nih.gov/?sort=date&amp;term=Fonseca+N&amp;cauthor_id=35258070" TargetMode="External"/><Relationship Id="rId68" Type="http://schemas.openxmlformats.org/officeDocument/2006/relationships/hyperlink" Target="https://pubmed.ncbi.nlm.nih.gov/24521771" TargetMode="External"/><Relationship Id="rId89" Type="http://schemas.openxmlformats.org/officeDocument/2006/relationships/hyperlink" Target="https://www.uwmedicine.org/sites/stevie/files/2025-06/UW%20Medicine_Dental%20Clearance%20Form.pdf" TargetMode="External"/><Relationship Id="rId112" Type="http://schemas.openxmlformats.org/officeDocument/2006/relationships/hyperlink" Target="https://www.uwmedicine.org/sites/stevie/files/2025-06/UW%20Medicine_Dental%20Clearance%20Form.pdf" TargetMode="External"/><Relationship Id="rId133" Type="http://schemas.openxmlformats.org/officeDocument/2006/relationships/hyperlink" Target="https://www.vcuhealth.org/hume-lee-transplant-center/programs-and-expertise/pancreas-transplant/candidate-evaluation/" TargetMode="External"/><Relationship Id="rId154" Type="http://schemas.openxmlformats.org/officeDocument/2006/relationships/hyperlink" Target="https://bts.org.uk/guidelines-standards/" TargetMode="External"/><Relationship Id="rId175" Type="http://schemas.openxmlformats.org/officeDocument/2006/relationships/image" Target="media/image2.jpg"/><Relationship Id="rId16" Type="http://schemas.openxmlformats.org/officeDocument/2006/relationships/hyperlink" Target="http://edren.org/ren/wp-content/uploads/2024/09/SPK-protocol-2024-1.1.pdf" TargetMode="External"/><Relationship Id="rId37" Type="http://schemas.openxmlformats.org/officeDocument/2006/relationships/hyperlink" Target="https://pubmed.ncbi.nlm.nih.gov/?sort=date&amp;term=Marques+J&amp;cauthor_id=35258070" TargetMode="External"/><Relationship Id="rId58" Type="http://schemas.openxmlformats.org/officeDocument/2006/relationships/hyperlink" Target="https://pubmed.ncbi.nlm.nih.gov/35258070/" TargetMode="External"/><Relationship Id="rId79" Type="http://schemas.openxmlformats.org/officeDocument/2006/relationships/hyperlink" Target="https://www.nccn.org/guidelines/guidelines-detail?category=2&amp;id=1441" TargetMode="External"/><Relationship Id="rId102" Type="http://schemas.openxmlformats.org/officeDocument/2006/relationships/hyperlink" Target="https://www.uwmedicine.org/sites/stevie/files/2025-06/UW%20Medicine_Dental%20Clearance%20Form.pdf" TargetMode="External"/><Relationship Id="rId123" Type="http://schemas.openxmlformats.org/officeDocument/2006/relationships/hyperlink" Target="https://www.vcuhealth.org/hume-lee-transplant-center/programs-and-expertise/pancreas-transplant/candidate-evaluation/" TargetMode="External"/><Relationship Id="rId144" Type="http://schemas.openxmlformats.org/officeDocument/2006/relationships/hyperlink" Target="https://www.vcuhealth.org/hume-lee-transplant-center/programs-and-expertise/pancreas-transplant/candidate-evaluation/" TargetMode="External"/><Relationship Id="rId90" Type="http://schemas.openxmlformats.org/officeDocument/2006/relationships/hyperlink" Target="https://www.uwmedicine.org/sites/stevie/files/2025-06/UW%20Medicine_Dental%20Clearance%20Form.pdf" TargetMode="External"/><Relationship Id="rId165" Type="http://schemas.openxmlformats.org/officeDocument/2006/relationships/hyperlink" Target="https://emedicine.medscape.com/article/429408-workup" TargetMode="External"/><Relationship Id="rId27" Type="http://schemas.openxmlformats.org/officeDocument/2006/relationships/hyperlink" Target="http://edren.org/ren/wp-content/uploads/2024/09/SPK-protocol-2024-1.1.pdf" TargetMode="External"/><Relationship Id="rId48" Type="http://schemas.openxmlformats.org/officeDocument/2006/relationships/hyperlink" Target="https://pubmed.ncbi.nlm.nih.gov/?sort=date&amp;term=Fonseca+N&amp;cauthor_id=35258070" TargetMode="External"/><Relationship Id="rId69" Type="http://schemas.openxmlformats.org/officeDocument/2006/relationships/hyperlink" Target="https://pubmed.ncbi.nlm.nih.gov/24521771" TargetMode="External"/><Relationship Id="rId113" Type="http://schemas.openxmlformats.org/officeDocument/2006/relationships/hyperlink" Target="https://www.uwmedicine.org/sites/stevie/files/2025-06/UW%20Medicine_Dental%20Clearance%20Form.pdf" TargetMode="External"/><Relationship Id="rId134" Type="http://schemas.openxmlformats.org/officeDocument/2006/relationships/hyperlink" Target="https://www.vcuhealth.org/hume-lee-transplant-center/programs-and-expertise/pancreas-transplant/candidate-evaluation/" TargetMode="External"/><Relationship Id="rId80" Type="http://schemas.openxmlformats.org/officeDocument/2006/relationships/hyperlink" Target="https://www.nccn.org/guidelines/guidelines-detail?category=2&amp;id=1441" TargetMode="External"/><Relationship Id="rId155" Type="http://schemas.openxmlformats.org/officeDocument/2006/relationships/hyperlink" Target="https://bts.org.uk/guidelines-standards/" TargetMode="External"/><Relationship Id="rId176" Type="http://schemas.openxmlformats.org/officeDocument/2006/relationships/footer" Target="footer1.xml"/><Relationship Id="rId17" Type="http://schemas.openxmlformats.org/officeDocument/2006/relationships/hyperlink" Target="http://edren.org/ren/wp-content/uploads/2024/09/SPK-protocol-2024-1.1.pdf" TargetMode="External"/><Relationship Id="rId38" Type="http://schemas.openxmlformats.org/officeDocument/2006/relationships/hyperlink" Target="https://pubmed.ncbi.nlm.nih.gov/?sort=date&amp;term=Pereira+L&amp;cauthor_id=35258070" TargetMode="External"/><Relationship Id="rId59" Type="http://schemas.openxmlformats.org/officeDocument/2006/relationships/hyperlink" Target="https://pubmed.ncbi.nlm.nih.gov/35258070/" TargetMode="External"/><Relationship Id="rId103" Type="http://schemas.openxmlformats.org/officeDocument/2006/relationships/hyperlink" Target="https://www.uwmedicine.org/sites/stevie/files/2025-06/UW%20Medicine_Dental%20Clearance%20Form.pdf" TargetMode="External"/><Relationship Id="rId124" Type="http://schemas.openxmlformats.org/officeDocument/2006/relationships/hyperlink" Target="https://www.vcuhealth.org/hume-lee-transplant-center/programs-and-expertise/pancreas-transplant/candidate-evaluation/" TargetMode="External"/><Relationship Id="rId70" Type="http://schemas.openxmlformats.org/officeDocument/2006/relationships/hyperlink" Target="https://www.nccn.org/guidelines/guidelines-detail?category=2&amp;id=1441" TargetMode="External"/><Relationship Id="rId91" Type="http://schemas.openxmlformats.org/officeDocument/2006/relationships/hyperlink" Target="https://www.uwmedicine.org/sites/stevie/files/2025-06/UW%20Medicine_Dental%20Clearance%20Form.pdf" TargetMode="External"/><Relationship Id="rId145" Type="http://schemas.openxmlformats.org/officeDocument/2006/relationships/hyperlink" Target="https://www.vcuhealth.org/hume-lee-transplant-center/programs-and-expertise/pancreas-transplant/candidate-evaluation/" TargetMode="External"/><Relationship Id="rId166" Type="http://schemas.openxmlformats.org/officeDocument/2006/relationships/hyperlink" Target="https://emedicine.medscape.com/article/429408-workup" TargetMode="External"/><Relationship Id="rId1" Type="http://schemas.openxmlformats.org/officeDocument/2006/relationships/numbering" Target="numbering.xml"/><Relationship Id="rId28" Type="http://schemas.openxmlformats.org/officeDocument/2006/relationships/hyperlink" Target="http://edren.org/ren/wp-content/uploads/2024/09/SPK-protocol-2024-1.1.pdf" TargetMode="External"/><Relationship Id="rId49" Type="http://schemas.openxmlformats.org/officeDocument/2006/relationships/hyperlink" Target="https://pubmed.ncbi.nlm.nih.gov/?sort=date&amp;term=Cotovio+P&amp;cauthor_id=35258070" TargetMode="External"/><Relationship Id="rId114" Type="http://schemas.openxmlformats.org/officeDocument/2006/relationships/hyperlink" Target="https://www.uwmedicine.org/sites/stevie/files/2025-06/UW%20Medicine_Dental%20Clearance%20For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25303</Words>
  <Characters>144229</Characters>
  <Application>Microsoft Office Word</Application>
  <DocSecurity>4</DocSecurity>
  <Lines>1201</Lines>
  <Paragraphs>338</Paragraphs>
  <ScaleCrop>false</ScaleCrop>
  <Company/>
  <LinksUpToDate>false</LinksUpToDate>
  <CharactersWithSpaces>169194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2026-07-29T09:25:00Z</dcterms:created>
  <dcterms:modified xsi:type="dcterms:W3CDTF">2026-07-29T09:25:00Z</dcterms:modified>
</cp:coreProperties>
</file>