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C5B" w:rsidRDefault="00172B91">
      <w:pPr>
        <w:spacing w:after="0" w:line="259" w:lineRule="auto"/>
        <w:ind w:left="-1440" w:right="10800" w:firstLine="0"/>
        <w:jc w:val="lef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330200</wp:posOffset>
            </wp:positionH>
            <wp:positionV relativeFrom="page">
              <wp:posOffset>0</wp:posOffset>
            </wp:positionV>
            <wp:extent cx="7099300" cy="100584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993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C5B" w:rsidRDefault="00097C5B">
      <w:pPr>
        <w:sectPr w:rsidR="00097C5B">
          <w:pgSz w:w="12240" w:h="15840"/>
          <w:pgMar w:top="1440" w:right="1440" w:bottom="1440" w:left="1440" w:header="720" w:footer="720" w:gutter="0"/>
          <w:cols w:space="720"/>
        </w:sectPr>
      </w:pPr>
    </w:p>
    <w:p w:rsidR="00097C5B" w:rsidRDefault="00172B91">
      <w:pPr>
        <w:pStyle w:val="Heading1"/>
        <w:spacing w:after="115"/>
        <w:ind w:left="10"/>
      </w:pPr>
      <w:bookmarkStart w:id="1" w:name="_Toc25004"/>
      <w:r>
        <w:rPr>
          <w:sz w:val="24"/>
        </w:rPr>
        <w:lastRenderedPageBreak/>
        <w:t xml:space="preserve">Оглавление </w:t>
      </w:r>
      <w:bookmarkEnd w:id="1"/>
    </w:p>
    <w:p w:rsidR="00097C5B" w:rsidRDefault="00172B91">
      <w:pPr>
        <w:spacing w:after="147" w:line="259" w:lineRule="auto"/>
        <w:ind w:left="0" w:firstLine="0"/>
        <w:jc w:val="left"/>
      </w:pPr>
      <w:r>
        <w:rPr>
          <w:b/>
        </w:rPr>
        <w:t xml:space="preserve"> </w:t>
      </w:r>
    </w:p>
    <w:sdt>
      <w:sdtPr>
        <w:id w:val="-1392119453"/>
        <w:docPartObj>
          <w:docPartGallery w:val="Table of Contents"/>
        </w:docPartObj>
      </w:sdtPr>
      <w:sdtEndPr/>
      <w:sdtContent>
        <w:p w:rsidR="00097C5B" w:rsidRDefault="00172B91">
          <w:pPr>
            <w:pStyle w:val="TOC1"/>
            <w:tabs>
              <w:tab w:val="right" w:pos="9438"/>
            </w:tabs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25004">
            <w:r>
              <w:t>Оглавление</w:t>
            </w:r>
            <w:r>
              <w:tab/>
            </w:r>
            <w:r>
              <w:fldChar w:fldCharType="begin"/>
            </w:r>
            <w:r>
              <w:instrText>PAGEREF _Toc25004 \h</w:instrText>
            </w:r>
            <w:r>
              <w:fldChar w:fldCharType="separate"/>
            </w:r>
            <w:r>
              <w:t xml:space="preserve">2 </w:t>
            </w:r>
            <w:r>
              <w:fldChar w:fldCharType="end"/>
            </w:r>
          </w:hyperlink>
        </w:p>
        <w:p w:rsidR="00097C5B" w:rsidRDefault="00172B91">
          <w:pPr>
            <w:pStyle w:val="TOC1"/>
            <w:tabs>
              <w:tab w:val="right" w:pos="9438"/>
            </w:tabs>
          </w:pPr>
          <w:hyperlink w:anchor="_Toc25005">
            <w:r>
              <w:t>Список сокращений</w:t>
            </w:r>
            <w:r>
              <w:tab/>
            </w:r>
            <w:r>
              <w:fldChar w:fldCharType="begin"/>
            </w:r>
            <w:r>
              <w:instrText>PAGEREF _Toc25005 \h</w:instrText>
            </w:r>
            <w:r>
              <w:fldChar w:fldCharType="separate"/>
            </w:r>
            <w:r>
              <w:t xml:space="preserve">4 </w:t>
            </w:r>
            <w:r>
              <w:fldChar w:fldCharType="end"/>
            </w:r>
          </w:hyperlink>
        </w:p>
        <w:p w:rsidR="00097C5B" w:rsidRDefault="00172B91">
          <w:pPr>
            <w:pStyle w:val="TOC2"/>
            <w:tabs>
              <w:tab w:val="right" w:pos="9438"/>
            </w:tabs>
          </w:pPr>
          <w:hyperlink w:anchor="_Toc25006">
            <w:r>
              <w:t>Термины и определения</w:t>
            </w:r>
            <w:r>
              <w:tab/>
            </w:r>
            <w:r>
              <w:fldChar w:fldCharType="begin"/>
            </w:r>
            <w:r>
              <w:instrText>PAGER</w:instrText>
            </w:r>
            <w:r>
              <w:instrText>EF _Toc25006 \h</w:instrText>
            </w:r>
            <w:r>
              <w:fldChar w:fldCharType="separate"/>
            </w:r>
            <w:r>
              <w:t xml:space="preserve">5 </w:t>
            </w:r>
            <w:r>
              <w:fldChar w:fldCharType="end"/>
            </w:r>
          </w:hyperlink>
        </w:p>
        <w:p w:rsidR="00097C5B" w:rsidRDefault="00172B91">
          <w:pPr>
            <w:pStyle w:val="TOC1"/>
            <w:tabs>
              <w:tab w:val="right" w:pos="9438"/>
            </w:tabs>
          </w:pPr>
          <w:hyperlink w:anchor="_Toc25007">
            <w:r>
              <w:t xml:space="preserve">1. Краткая информация по по заболеванию или состоянию (группе заболеваний или </w:t>
            </w:r>
            <w:r>
              <w:tab/>
            </w:r>
            <w:r>
              <w:fldChar w:fldCharType="begin"/>
            </w:r>
            <w:r>
              <w:instrText>PAGEREF _Toc25007 \h</w:instrText>
            </w:r>
            <w:r>
              <w:fldChar w:fldCharType="end"/>
            </w:r>
          </w:hyperlink>
        </w:p>
        <w:p w:rsidR="00097C5B" w:rsidRDefault="00172B91">
          <w:pPr>
            <w:pStyle w:val="TOC1"/>
            <w:tabs>
              <w:tab w:val="right" w:pos="9438"/>
            </w:tabs>
          </w:pPr>
          <w:hyperlink w:anchor="_Toc25008">
            <w:r>
              <w:t>состояний)</w:t>
            </w:r>
            <w:r>
              <w:tab/>
            </w:r>
            <w:r>
              <w:fldChar w:fldCharType="begin"/>
            </w:r>
            <w:r>
              <w:instrText>PAGEREF _Toc25008 \h</w:instrText>
            </w:r>
            <w:r>
              <w:fldChar w:fldCharType="separate"/>
            </w:r>
            <w:r>
              <w:t xml:space="preserve">5 </w:t>
            </w:r>
            <w:r>
              <w:fldChar w:fldCharType="end"/>
            </w:r>
          </w:hyperlink>
        </w:p>
        <w:p w:rsidR="00097C5B" w:rsidRDefault="00172B91">
          <w:r>
            <w:fldChar w:fldCharType="end"/>
          </w:r>
        </w:p>
      </w:sdtContent>
    </w:sdt>
    <w:p w:rsidR="00097C5B" w:rsidRDefault="00172B91">
      <w:pPr>
        <w:tabs>
          <w:tab w:val="center" w:pos="1795"/>
          <w:tab w:val="right" w:pos="9438"/>
        </w:tabs>
        <w:spacing w:after="110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1.1 Определение заболевания </w:t>
      </w:r>
      <w:r>
        <w:tab/>
        <w:t xml:space="preserve">5 </w:t>
      </w:r>
    </w:p>
    <w:p w:rsidR="00097C5B" w:rsidRDefault="00172B91">
      <w:pPr>
        <w:spacing w:line="396" w:lineRule="auto"/>
        <w:ind w:left="221" w:firstLine="62"/>
      </w:pPr>
      <w:r>
        <w:t>1.2 Этиология и патогенез заболевания или состояния (группы заболева</w:t>
      </w:r>
      <w:r>
        <w:t xml:space="preserve">ний или состояний) </w:t>
      </w:r>
      <w:r>
        <w:tab/>
        <w:t xml:space="preserve"> </w:t>
      </w:r>
    </w:p>
    <w:p w:rsidR="00097C5B" w:rsidRDefault="00172B91">
      <w:pPr>
        <w:spacing w:line="384" w:lineRule="auto"/>
        <w:ind w:left="221" w:right="128" w:firstLine="62"/>
      </w:pPr>
      <w:r>
        <w:t>1.3 Эпидемиология заболевания или состояния (группы заболеваний или состояний)  1.4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</w:t>
      </w:r>
      <w:r>
        <w:t xml:space="preserve"> связанных со здоровьем </w:t>
      </w:r>
      <w:r>
        <w:tab/>
        <w:t xml:space="preserve"> </w:t>
      </w:r>
    </w:p>
    <w:p w:rsidR="00097C5B" w:rsidRDefault="00172B91">
      <w:pPr>
        <w:spacing w:line="376" w:lineRule="auto"/>
        <w:ind w:left="221" w:right="126" w:firstLine="62"/>
      </w:pPr>
      <w:r>
        <w:t xml:space="preserve">1.5 Классификация заболевания или состояния (группы заболеваний или состояний)  1.6 Клиническая картина заболевания или состояния (группы заболеваний или состояний) </w:t>
      </w:r>
      <w:r>
        <w:tab/>
        <w:t xml:space="preserve"> </w:t>
      </w:r>
    </w:p>
    <w:p w:rsidR="00097C5B" w:rsidRDefault="00172B91">
      <w:pPr>
        <w:numPr>
          <w:ilvl w:val="0"/>
          <w:numId w:val="1"/>
        </w:numPr>
        <w:spacing w:line="396" w:lineRule="auto"/>
        <w:ind w:hanging="240"/>
      </w:pPr>
      <w:r>
        <w:t xml:space="preserve">Диагностика заболевания или состояния (группы заболеваний или состояний), медицинские показания и противопоказания к применению методов диагностики 7 </w:t>
      </w:r>
    </w:p>
    <w:p w:rsidR="00097C5B" w:rsidRDefault="00172B91">
      <w:pPr>
        <w:numPr>
          <w:ilvl w:val="1"/>
          <w:numId w:val="1"/>
        </w:numPr>
        <w:spacing w:after="154"/>
        <w:ind w:hanging="360"/>
      </w:pPr>
      <w:r>
        <w:t xml:space="preserve">Жалобы и анамнез </w:t>
      </w:r>
      <w:r>
        <w:tab/>
        <w:t xml:space="preserve">7 </w:t>
      </w:r>
    </w:p>
    <w:p w:rsidR="00097C5B" w:rsidRDefault="00172B91">
      <w:pPr>
        <w:numPr>
          <w:ilvl w:val="1"/>
          <w:numId w:val="1"/>
        </w:numPr>
        <w:spacing w:after="158"/>
        <w:ind w:hanging="360"/>
      </w:pPr>
      <w:r>
        <w:t xml:space="preserve">Физикальное обследование </w:t>
      </w:r>
      <w:r>
        <w:tab/>
        <w:t xml:space="preserve">7 </w:t>
      </w:r>
    </w:p>
    <w:p w:rsidR="00097C5B" w:rsidRDefault="00172B91">
      <w:pPr>
        <w:numPr>
          <w:ilvl w:val="1"/>
          <w:numId w:val="1"/>
        </w:numPr>
        <w:spacing w:after="155"/>
        <w:ind w:hanging="360"/>
      </w:pPr>
      <w:r>
        <w:t xml:space="preserve">Лабораторные диагностические исследования </w:t>
      </w:r>
      <w:r>
        <w:tab/>
        <w:t xml:space="preserve">7 </w:t>
      </w:r>
    </w:p>
    <w:p w:rsidR="00097C5B" w:rsidRDefault="00172B91">
      <w:pPr>
        <w:numPr>
          <w:ilvl w:val="1"/>
          <w:numId w:val="1"/>
        </w:numPr>
        <w:spacing w:line="397" w:lineRule="auto"/>
        <w:ind w:hanging="360"/>
      </w:pPr>
      <w:r>
        <w:t xml:space="preserve">Инструментальные диагностические исследования 7 2.5 Иные диагностические исследования </w:t>
      </w:r>
      <w:r>
        <w:tab/>
        <w:t xml:space="preserve">8 </w:t>
      </w:r>
    </w:p>
    <w:p w:rsidR="00097C5B" w:rsidRDefault="00172B91">
      <w:pPr>
        <w:numPr>
          <w:ilvl w:val="0"/>
          <w:numId w:val="1"/>
        </w:numPr>
        <w:ind w:hanging="240"/>
      </w:pPr>
      <w:r>
        <w:t xml:space="preserve">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</w:t>
      </w:r>
    </w:p>
    <w:p w:rsidR="00097C5B" w:rsidRDefault="00172B91">
      <w:pPr>
        <w:tabs>
          <w:tab w:val="right" w:pos="9438"/>
        </w:tabs>
        <w:spacing w:after="160" w:line="259" w:lineRule="auto"/>
        <w:ind w:left="0" w:firstLine="0"/>
        <w:jc w:val="left"/>
      </w:pPr>
      <w:r>
        <w:t xml:space="preserve">лечения </w:t>
      </w:r>
      <w:r>
        <w:tab/>
        <w:t xml:space="preserve">8 </w:t>
      </w:r>
    </w:p>
    <w:p w:rsidR="00097C5B" w:rsidRDefault="00172B91">
      <w:pPr>
        <w:numPr>
          <w:ilvl w:val="1"/>
          <w:numId w:val="1"/>
        </w:numPr>
        <w:spacing w:after="160" w:line="259" w:lineRule="auto"/>
        <w:ind w:hanging="360"/>
      </w:pPr>
      <w:r>
        <w:t xml:space="preserve">Консервативное лечение </w:t>
      </w:r>
      <w:r>
        <w:tab/>
        <w:t xml:space="preserve">8 </w:t>
      </w:r>
    </w:p>
    <w:p w:rsidR="00097C5B" w:rsidRDefault="00172B91">
      <w:pPr>
        <w:numPr>
          <w:ilvl w:val="1"/>
          <w:numId w:val="1"/>
        </w:numPr>
        <w:spacing w:after="160" w:line="259" w:lineRule="auto"/>
        <w:ind w:hanging="360"/>
      </w:pPr>
      <w:r>
        <w:t xml:space="preserve">Хирургическое лечение </w:t>
      </w:r>
      <w:r>
        <w:tab/>
        <w:t xml:space="preserve"> </w:t>
      </w:r>
    </w:p>
    <w:p w:rsidR="00097C5B" w:rsidRDefault="00172B91">
      <w:pPr>
        <w:numPr>
          <w:ilvl w:val="1"/>
          <w:numId w:val="1"/>
        </w:numPr>
        <w:spacing w:after="160" w:line="259" w:lineRule="auto"/>
        <w:ind w:hanging="360"/>
      </w:pPr>
      <w:r>
        <w:t xml:space="preserve">Иное лечение </w:t>
      </w:r>
      <w:r>
        <w:tab/>
        <w:t xml:space="preserve">11 </w:t>
      </w:r>
    </w:p>
    <w:p w:rsidR="00097C5B" w:rsidRDefault="00172B91">
      <w:pPr>
        <w:numPr>
          <w:ilvl w:val="0"/>
          <w:numId w:val="1"/>
        </w:numPr>
        <w:spacing w:line="377" w:lineRule="auto"/>
        <w:ind w:hanging="240"/>
      </w:pPr>
      <w:r>
        <w:t>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основанных на использовании пр</w:t>
      </w:r>
      <w:r>
        <w:t xml:space="preserve">иродных лечебных факторов 11 </w:t>
      </w:r>
    </w:p>
    <w:p w:rsidR="00097C5B" w:rsidRDefault="00172B91">
      <w:pPr>
        <w:numPr>
          <w:ilvl w:val="0"/>
          <w:numId w:val="1"/>
        </w:numPr>
        <w:spacing w:line="394" w:lineRule="auto"/>
        <w:ind w:hanging="240"/>
      </w:pPr>
      <w:r>
        <w:t xml:space="preserve">Профилактика и диспансерное наблюдение, медицинские показания и противопоказания к применению методов профилактики </w:t>
      </w:r>
      <w:r>
        <w:tab/>
        <w:t xml:space="preserve">11 </w:t>
      </w:r>
    </w:p>
    <w:p w:rsidR="00097C5B" w:rsidRDefault="00172B91">
      <w:pPr>
        <w:numPr>
          <w:ilvl w:val="0"/>
          <w:numId w:val="1"/>
        </w:numPr>
        <w:spacing w:after="113"/>
        <w:ind w:hanging="240"/>
      </w:pPr>
      <w:r>
        <w:t xml:space="preserve">Организация медицинской помощи </w:t>
      </w:r>
      <w:r>
        <w:tab/>
        <w:t xml:space="preserve">11 </w:t>
      </w:r>
    </w:p>
    <w:p w:rsidR="00097C5B" w:rsidRDefault="00172B91">
      <w:pPr>
        <w:numPr>
          <w:ilvl w:val="0"/>
          <w:numId w:val="1"/>
        </w:numPr>
        <w:ind w:hanging="240"/>
      </w:pPr>
      <w:r>
        <w:t xml:space="preserve">Дополнительная информация (в том числе факторы, влияющие на исход заболевания или </w:t>
      </w:r>
    </w:p>
    <w:p w:rsidR="00097C5B" w:rsidRDefault="00172B91">
      <w:pPr>
        <w:tabs>
          <w:tab w:val="right" w:pos="9438"/>
        </w:tabs>
        <w:spacing w:after="160" w:line="259" w:lineRule="auto"/>
        <w:ind w:left="0" w:firstLine="0"/>
        <w:jc w:val="left"/>
      </w:pPr>
      <w:r>
        <w:t xml:space="preserve">состояния) </w:t>
      </w:r>
      <w:r>
        <w:tab/>
        <w:t xml:space="preserve">10 </w:t>
      </w:r>
    </w:p>
    <w:p w:rsidR="00097C5B" w:rsidRDefault="00172B91">
      <w:pPr>
        <w:tabs>
          <w:tab w:val="right" w:pos="9438"/>
        </w:tabs>
        <w:spacing w:after="160" w:line="259" w:lineRule="auto"/>
        <w:ind w:left="0" w:firstLine="0"/>
        <w:jc w:val="left"/>
      </w:pPr>
      <w:r>
        <w:t xml:space="preserve">Критерии оценки качества медицинской помощи </w:t>
      </w:r>
      <w:r>
        <w:tab/>
        <w:t xml:space="preserve">12 </w:t>
      </w:r>
    </w:p>
    <w:p w:rsidR="00097C5B" w:rsidRDefault="00172B91">
      <w:pPr>
        <w:tabs>
          <w:tab w:val="right" w:pos="9438"/>
        </w:tabs>
        <w:spacing w:after="160" w:line="259" w:lineRule="auto"/>
        <w:ind w:left="0" w:firstLine="0"/>
        <w:jc w:val="left"/>
      </w:pPr>
      <w:r>
        <w:t xml:space="preserve">Список литературы </w:t>
      </w:r>
      <w:r>
        <w:tab/>
        <w:t xml:space="preserve">13 </w:t>
      </w:r>
    </w:p>
    <w:p w:rsidR="00097C5B" w:rsidRDefault="00172B91">
      <w:pPr>
        <w:spacing w:after="54" w:line="339" w:lineRule="auto"/>
        <w:ind w:left="-5" w:right="115"/>
      </w:pPr>
      <w:r>
        <w:rPr>
          <w:sz w:val="22"/>
        </w:rPr>
        <w:t>Приложение А1. Состав рабочей группы по разработке и пересмотру клинических рекоменда</w:t>
      </w:r>
      <w:r>
        <w:rPr>
          <w:sz w:val="22"/>
        </w:rPr>
        <w:t>ций 13</w:t>
      </w:r>
      <w:r>
        <w:t xml:space="preserve"> </w:t>
      </w:r>
    </w:p>
    <w:p w:rsidR="00097C5B" w:rsidRDefault="00172B91">
      <w:pPr>
        <w:tabs>
          <w:tab w:val="right" w:pos="9438"/>
        </w:tabs>
        <w:spacing w:after="93"/>
        <w:ind w:left="0" w:firstLine="0"/>
        <w:jc w:val="left"/>
      </w:pPr>
      <w:r>
        <w:t xml:space="preserve">Приложение А2. Методология разработки клинических рекомендаций </w:t>
      </w:r>
      <w:r>
        <w:tab/>
        <w:t xml:space="preserve">16 </w:t>
      </w:r>
    </w:p>
    <w:p w:rsidR="00097C5B" w:rsidRDefault="00172B91">
      <w:pPr>
        <w:spacing w:after="0" w:line="259" w:lineRule="auto"/>
        <w:ind w:left="-5" w:right="115"/>
      </w:pPr>
      <w:r>
        <w:rPr>
          <w:sz w:val="22"/>
        </w:rPr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 инструкции по применению лек</w:t>
      </w:r>
      <w:r>
        <w:rPr>
          <w:sz w:val="22"/>
        </w:rPr>
        <w:t>арственного препарата</w:t>
      </w:r>
      <w:r>
        <w:t xml:space="preserve"> </w:t>
      </w:r>
    </w:p>
    <w:p w:rsidR="00097C5B" w:rsidRDefault="00172B91">
      <w:pPr>
        <w:tabs>
          <w:tab w:val="right" w:pos="9438"/>
        </w:tabs>
        <w:spacing w:after="160" w:line="259" w:lineRule="auto"/>
        <w:ind w:left="0" w:firstLine="0"/>
        <w:jc w:val="left"/>
      </w:pPr>
      <w:r>
        <w:t xml:space="preserve">Приложение Б. Алгоритмы действий врача </w:t>
      </w:r>
      <w:r>
        <w:tab/>
        <w:t xml:space="preserve">20 </w:t>
      </w:r>
    </w:p>
    <w:p w:rsidR="00097C5B" w:rsidRDefault="00172B91">
      <w:pPr>
        <w:tabs>
          <w:tab w:val="right" w:pos="9438"/>
        </w:tabs>
        <w:spacing w:after="160" w:line="259" w:lineRule="auto"/>
        <w:ind w:left="0" w:firstLine="0"/>
        <w:jc w:val="left"/>
      </w:pPr>
      <w:r>
        <w:t xml:space="preserve">Приложение В. Информация для пациента </w:t>
      </w:r>
      <w:r>
        <w:tab/>
        <w:t xml:space="preserve">21 </w:t>
      </w:r>
    </w:p>
    <w:p w:rsidR="00097C5B" w:rsidRDefault="00172B91">
      <w:pPr>
        <w:spacing w:line="395" w:lineRule="auto"/>
      </w:pPr>
      <w:r>
        <w:t xml:space="preserve">Приложение Г1-ГN. Шкалы оценки, вопросники и другие оценочные инструменты состояния пациента, приведенные в клинических рекомендациях 21 </w:t>
      </w:r>
    </w:p>
    <w:p w:rsidR="00097C5B" w:rsidRDefault="00172B91">
      <w:pPr>
        <w:spacing w:after="117" w:line="259" w:lineRule="auto"/>
        <w:ind w:left="708" w:firstLine="0"/>
        <w:jc w:val="left"/>
      </w:pPr>
      <w:r>
        <w:t xml:space="preserve"> </w:t>
      </w:r>
    </w:p>
    <w:p w:rsidR="00097C5B" w:rsidRDefault="00172B91">
      <w:pPr>
        <w:spacing w:after="115" w:line="259" w:lineRule="auto"/>
        <w:ind w:left="0" w:firstLine="0"/>
        <w:jc w:val="left"/>
      </w:pPr>
      <w:r>
        <w:rPr>
          <w:b/>
        </w:rPr>
        <w:t xml:space="preserve"> </w:t>
      </w:r>
    </w:p>
    <w:p w:rsidR="00097C5B" w:rsidRDefault="00172B91">
      <w:pPr>
        <w:spacing w:after="113" w:line="259" w:lineRule="auto"/>
        <w:ind w:left="133" w:firstLine="0"/>
        <w:jc w:val="center"/>
      </w:pPr>
      <w:r>
        <w:rPr>
          <w:b/>
        </w:rPr>
        <w:t xml:space="preserve"> </w:t>
      </w:r>
    </w:p>
    <w:p w:rsidR="00097C5B" w:rsidRDefault="00172B91">
      <w:pPr>
        <w:spacing w:after="0" w:line="259" w:lineRule="auto"/>
        <w:ind w:left="77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097C5B" w:rsidRDefault="00172B91">
      <w:pPr>
        <w:pStyle w:val="Heading1"/>
      </w:pPr>
      <w:bookmarkStart w:id="2" w:name="_Toc25005"/>
      <w:r>
        <w:t xml:space="preserve">Список сокращений </w:t>
      </w:r>
      <w:bookmarkEnd w:id="2"/>
    </w:p>
    <w:p w:rsidR="00097C5B" w:rsidRDefault="00172B91">
      <w:pPr>
        <w:spacing w:after="152"/>
        <w:ind w:left="72"/>
      </w:pPr>
      <w:r>
        <w:t xml:space="preserve">МКБ – Международная классификация болезней  </w:t>
      </w:r>
    </w:p>
    <w:p w:rsidR="00097C5B" w:rsidRDefault="00172B91">
      <w:pPr>
        <w:spacing w:after="148"/>
        <w:ind w:left="72"/>
      </w:pPr>
      <w:r>
        <w:t xml:space="preserve">УФО – ультрафиолетовое облучение </w:t>
      </w:r>
    </w:p>
    <w:p w:rsidR="00097C5B" w:rsidRDefault="00172B91">
      <w:pPr>
        <w:spacing w:after="152"/>
        <w:ind w:left="72"/>
      </w:pPr>
      <w:r>
        <w:t xml:space="preserve">УФ – ультрафиолет </w:t>
      </w:r>
    </w:p>
    <w:p w:rsidR="00097C5B" w:rsidRDefault="00172B91">
      <w:pPr>
        <w:spacing w:after="149"/>
        <w:ind w:left="72"/>
      </w:pPr>
      <w:r>
        <w:t xml:space="preserve">ВОЗ – Всемирная Организация Здравоохранения </w:t>
      </w:r>
    </w:p>
    <w:p w:rsidR="00097C5B" w:rsidRDefault="00172B91">
      <w:pPr>
        <w:spacing w:after="149"/>
        <w:ind w:left="72"/>
      </w:pPr>
      <w:r>
        <w:t xml:space="preserve">ВПЧ – вирус папилломы человека </w:t>
      </w:r>
    </w:p>
    <w:p w:rsidR="00097C5B" w:rsidRDefault="00172B91">
      <w:pPr>
        <w:spacing w:after="152"/>
        <w:ind w:left="72"/>
      </w:pPr>
      <w:r>
        <w:t xml:space="preserve">УЗИ – ультразвуковое исследование </w:t>
      </w:r>
    </w:p>
    <w:p w:rsidR="00097C5B" w:rsidRDefault="00172B91">
      <w:pPr>
        <w:spacing w:after="566"/>
        <w:ind w:left="72"/>
      </w:pPr>
      <w:r>
        <w:t>КТ – компьютерная томог</w:t>
      </w:r>
      <w:r>
        <w:t xml:space="preserve">рафия </w:t>
      </w:r>
    </w:p>
    <w:p w:rsidR="00097C5B" w:rsidRDefault="00172B91">
      <w:pPr>
        <w:pStyle w:val="Heading2"/>
      </w:pPr>
      <w:bookmarkStart w:id="3" w:name="_Toc25006"/>
      <w:r>
        <w:t xml:space="preserve">Термины и определения </w:t>
      </w:r>
      <w:bookmarkEnd w:id="3"/>
    </w:p>
    <w:p w:rsidR="00097C5B" w:rsidRDefault="00172B91">
      <w:pPr>
        <w:spacing w:after="0" w:line="382" w:lineRule="auto"/>
        <w:ind w:left="62" w:firstLine="556"/>
        <w:jc w:val="left"/>
      </w:pPr>
      <w:r>
        <w:t>Кожный рог (</w:t>
      </w:r>
      <w:r>
        <w:rPr>
          <w:i/>
        </w:rPr>
        <w:t>cornu cutaneum</w:t>
      </w:r>
      <w:r>
        <w:t>, роговая кератома, фиброкератома Унны) – плотное эпителиальное образование на поверхности кожи или слизистых оболочек, конической или цилиндрической формы, состоящее из плотных роговых масс, происход</w:t>
      </w:r>
      <w:r>
        <w:t xml:space="preserve">ящее из кератиноцитов и являющееся следствием выраженного гиперкератоза. </w:t>
      </w:r>
    </w:p>
    <w:p w:rsidR="00097C5B" w:rsidRDefault="00172B91">
      <w:pPr>
        <w:spacing w:after="171" w:line="259" w:lineRule="auto"/>
        <w:ind w:left="643" w:firstLine="0"/>
        <w:jc w:val="left"/>
      </w:pPr>
      <w:r>
        <w:t xml:space="preserve"> </w:t>
      </w:r>
    </w:p>
    <w:p w:rsidR="00097C5B" w:rsidRDefault="00172B91">
      <w:pPr>
        <w:pStyle w:val="Heading1"/>
        <w:spacing w:after="1" w:line="401" w:lineRule="auto"/>
        <w:ind w:left="797" w:hanging="360"/>
      </w:pPr>
      <w:bookmarkStart w:id="4" w:name="_Toc25007"/>
      <w:r>
        <w:rPr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sz w:val="24"/>
        </w:rPr>
        <w:t xml:space="preserve">Краткая информация по заболеванию или состоянию (группе заболеваний или </w:t>
      </w:r>
      <w:bookmarkEnd w:id="4"/>
    </w:p>
    <w:p w:rsidR="00097C5B" w:rsidRDefault="00172B91">
      <w:pPr>
        <w:pStyle w:val="Heading1"/>
        <w:spacing w:after="1" w:line="401" w:lineRule="auto"/>
        <w:ind w:left="797" w:hanging="360"/>
      </w:pPr>
      <w:bookmarkStart w:id="5" w:name="_Toc25008"/>
      <w:r>
        <w:rPr>
          <w:sz w:val="24"/>
        </w:rPr>
        <w:t xml:space="preserve">состояний) </w:t>
      </w:r>
      <w:bookmarkEnd w:id="5"/>
    </w:p>
    <w:p w:rsidR="00097C5B" w:rsidRDefault="00172B91">
      <w:pPr>
        <w:pStyle w:val="Heading5"/>
        <w:spacing w:after="59" w:line="403" w:lineRule="auto"/>
        <w:ind w:left="780"/>
      </w:pPr>
      <w:r>
        <w:rPr>
          <w:u w:val="none"/>
        </w:rPr>
        <w:t>1.1</w:t>
      </w:r>
      <w:r>
        <w:rPr>
          <w:rFonts w:ascii="Arial" w:eastAsia="Arial" w:hAnsi="Arial" w:cs="Arial"/>
          <w:u w:val="none"/>
        </w:rPr>
        <w:t xml:space="preserve"> </w:t>
      </w:r>
      <w:r>
        <w:t>Определение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097C5B" w:rsidRDefault="00172B91">
      <w:pPr>
        <w:spacing w:after="138" w:line="382" w:lineRule="auto"/>
        <w:ind w:left="62" w:firstLine="556"/>
        <w:jc w:val="left"/>
      </w:pPr>
      <w:r>
        <w:t>Кожный рог (</w:t>
      </w:r>
      <w:r>
        <w:rPr>
          <w:i/>
        </w:rPr>
        <w:t>cornu cutaneum</w:t>
      </w:r>
      <w:r>
        <w:t>, роговая кератома, фиброкератома Унны) – плотное эпителиальное образование на поверхности кожи или слизистых оболочек, конической или цилиндрической формы, состоящее из плотных роговых масс, происходящее из кератиноцитов и являющееся следств</w:t>
      </w:r>
      <w:r>
        <w:t xml:space="preserve">ием выраженного гиперкератоза. </w:t>
      </w:r>
    </w:p>
    <w:p w:rsidR="00097C5B" w:rsidRDefault="00172B91">
      <w:pPr>
        <w:pStyle w:val="Heading5"/>
        <w:spacing w:after="70" w:line="401" w:lineRule="auto"/>
        <w:ind w:left="77" w:firstLine="708"/>
      </w:pPr>
      <w:r>
        <w:t>1.2 Этиология и патогенез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097C5B" w:rsidRDefault="00172B91">
      <w:pPr>
        <w:spacing w:after="180" w:line="259" w:lineRule="auto"/>
        <w:ind w:right="1"/>
        <w:jc w:val="right"/>
      </w:pPr>
      <w:r>
        <w:rPr>
          <w:b/>
        </w:rPr>
        <w:t>Кожный рог</w:t>
      </w:r>
      <w:r>
        <w:t xml:space="preserve"> формируется в результате поражения эпидермиса, которое может быть:  </w:t>
      </w:r>
    </w:p>
    <w:p w:rsidR="00097C5B" w:rsidRDefault="00172B91">
      <w:pPr>
        <w:numPr>
          <w:ilvl w:val="0"/>
          <w:numId w:val="2"/>
        </w:numPr>
        <w:spacing w:after="126"/>
        <w:ind w:hanging="360"/>
      </w:pPr>
      <w:r>
        <w:t xml:space="preserve">доброкачественным;  </w:t>
      </w:r>
    </w:p>
    <w:p w:rsidR="00097C5B" w:rsidRDefault="00172B91">
      <w:pPr>
        <w:numPr>
          <w:ilvl w:val="0"/>
          <w:numId w:val="2"/>
        </w:numPr>
        <w:spacing w:after="125"/>
        <w:ind w:hanging="360"/>
      </w:pPr>
      <w:r>
        <w:t xml:space="preserve">предраковым;  </w:t>
      </w:r>
    </w:p>
    <w:p w:rsidR="00097C5B" w:rsidRDefault="00172B91">
      <w:pPr>
        <w:numPr>
          <w:ilvl w:val="0"/>
          <w:numId w:val="2"/>
        </w:numPr>
        <w:spacing w:after="60"/>
        <w:ind w:hanging="360"/>
      </w:pPr>
      <w:r>
        <w:t xml:space="preserve">злокачественным.  </w:t>
      </w:r>
    </w:p>
    <w:p w:rsidR="00097C5B" w:rsidRDefault="00172B91">
      <w:pPr>
        <w:spacing w:line="399" w:lineRule="auto"/>
        <w:ind w:left="62" w:firstLine="566"/>
      </w:pPr>
      <w:r>
        <w:t>Ф</w:t>
      </w:r>
      <w:r>
        <w:t xml:space="preserve">ормирование характерного вида элемента поражения, его внешнее сходство с рогом животных объясняется высокой склеивающей возможностью рогового вещества.  </w:t>
      </w:r>
    </w:p>
    <w:p w:rsidR="00097C5B" w:rsidRDefault="00172B91">
      <w:pPr>
        <w:spacing w:after="115" w:line="259" w:lineRule="auto"/>
        <w:ind w:right="1"/>
        <w:jc w:val="right"/>
      </w:pPr>
      <w:r>
        <w:t xml:space="preserve">Кожный рог может располагаться на коже: красной кайме губ, слизистой полости рта </w:t>
      </w:r>
    </w:p>
    <w:p w:rsidR="00097C5B" w:rsidRDefault="00172B91">
      <w:pPr>
        <w:ind w:left="72"/>
      </w:pPr>
      <w:r>
        <w:t xml:space="preserve">[1].  </w:t>
      </w:r>
    </w:p>
    <w:p w:rsidR="00097C5B" w:rsidRDefault="00172B91">
      <w:pPr>
        <w:spacing w:after="46" w:line="378" w:lineRule="auto"/>
        <w:ind w:left="62" w:firstLine="566"/>
      </w:pPr>
      <w:r>
        <w:t>Кожный рог мо</w:t>
      </w:r>
      <w:r>
        <w:t xml:space="preserve">жет возникать на неизмененной коже и носить первичный характер (истинный кожный рог), но обычно кожный рог является клиническим проявлением (симптомом) ряда этиологически различных заболеваний, [1, 2] таких как:  </w:t>
      </w:r>
    </w:p>
    <w:p w:rsidR="00097C5B" w:rsidRDefault="00172B91">
      <w:pPr>
        <w:numPr>
          <w:ilvl w:val="0"/>
          <w:numId w:val="2"/>
        </w:numPr>
        <w:spacing w:after="127"/>
        <w:ind w:hanging="360"/>
      </w:pPr>
      <w:r>
        <w:t xml:space="preserve">базальноклеточная папиллома; </w:t>
      </w:r>
    </w:p>
    <w:p w:rsidR="00097C5B" w:rsidRDefault="00172B91">
      <w:pPr>
        <w:numPr>
          <w:ilvl w:val="0"/>
          <w:numId w:val="2"/>
        </w:numPr>
        <w:spacing w:after="125"/>
        <w:ind w:hanging="360"/>
      </w:pPr>
      <w:r>
        <w:t>вирусные бор</w:t>
      </w:r>
      <w:r>
        <w:t xml:space="preserve">одавки;  </w:t>
      </w:r>
    </w:p>
    <w:p w:rsidR="00097C5B" w:rsidRDefault="00172B91">
      <w:pPr>
        <w:numPr>
          <w:ilvl w:val="0"/>
          <w:numId w:val="2"/>
        </w:numPr>
        <w:spacing w:after="128"/>
        <w:ind w:hanging="360"/>
      </w:pPr>
      <w:r>
        <w:t xml:space="preserve">контагиозный моллюск;  </w:t>
      </w:r>
    </w:p>
    <w:p w:rsidR="00097C5B" w:rsidRDefault="00172B91">
      <w:pPr>
        <w:numPr>
          <w:ilvl w:val="0"/>
          <w:numId w:val="2"/>
        </w:numPr>
        <w:spacing w:after="128"/>
        <w:ind w:hanging="360"/>
      </w:pPr>
      <w:r>
        <w:t xml:space="preserve">трихилеммальные кисты;  </w:t>
      </w:r>
    </w:p>
    <w:p w:rsidR="00097C5B" w:rsidRDefault="00172B91">
      <w:pPr>
        <w:numPr>
          <w:ilvl w:val="0"/>
          <w:numId w:val="2"/>
        </w:numPr>
        <w:spacing w:after="125"/>
        <w:ind w:hanging="360"/>
      </w:pPr>
      <w:r>
        <w:t xml:space="preserve">эпидермальные невусы;  </w:t>
      </w:r>
    </w:p>
    <w:p w:rsidR="00097C5B" w:rsidRDefault="00172B91">
      <w:pPr>
        <w:numPr>
          <w:ilvl w:val="0"/>
          <w:numId w:val="2"/>
        </w:numPr>
        <w:spacing w:after="127"/>
        <w:ind w:hanging="360"/>
      </w:pPr>
      <w:r>
        <w:t xml:space="preserve">актинический кератоз;  </w:t>
      </w:r>
    </w:p>
    <w:p w:rsidR="00097C5B" w:rsidRDefault="00172B91">
      <w:pPr>
        <w:numPr>
          <w:ilvl w:val="0"/>
          <w:numId w:val="2"/>
        </w:numPr>
        <w:spacing w:after="127"/>
        <w:ind w:hanging="360"/>
      </w:pPr>
      <w:r>
        <w:t xml:space="preserve">кератоакантома;  </w:t>
      </w:r>
    </w:p>
    <w:p w:rsidR="00097C5B" w:rsidRDefault="00172B91">
      <w:pPr>
        <w:numPr>
          <w:ilvl w:val="0"/>
          <w:numId w:val="2"/>
        </w:numPr>
        <w:spacing w:after="126"/>
        <w:ind w:hanging="360"/>
      </w:pPr>
      <w:r>
        <w:t xml:space="preserve">болезнь Боуэна;  </w:t>
      </w:r>
    </w:p>
    <w:p w:rsidR="00097C5B" w:rsidRDefault="00172B91">
      <w:pPr>
        <w:numPr>
          <w:ilvl w:val="0"/>
          <w:numId w:val="2"/>
        </w:numPr>
        <w:spacing w:after="128"/>
        <w:ind w:hanging="360"/>
      </w:pPr>
      <w:r>
        <w:t xml:space="preserve">другие формы плоскоклеточного рака;  </w:t>
      </w:r>
    </w:p>
    <w:p w:rsidR="00097C5B" w:rsidRDefault="00172B91">
      <w:pPr>
        <w:numPr>
          <w:ilvl w:val="0"/>
          <w:numId w:val="2"/>
        </w:numPr>
        <w:spacing w:after="127"/>
        <w:ind w:hanging="360"/>
      </w:pPr>
      <w:r>
        <w:t xml:space="preserve">базальноклеточный рак; </w:t>
      </w:r>
    </w:p>
    <w:p w:rsidR="00097C5B" w:rsidRDefault="00172B91">
      <w:pPr>
        <w:numPr>
          <w:ilvl w:val="0"/>
          <w:numId w:val="2"/>
        </w:numPr>
        <w:spacing w:after="126"/>
        <w:ind w:hanging="360"/>
      </w:pPr>
      <w:r>
        <w:t xml:space="preserve">рак сальных желез; </w:t>
      </w:r>
    </w:p>
    <w:p w:rsidR="00097C5B" w:rsidRDefault="00172B91">
      <w:pPr>
        <w:numPr>
          <w:ilvl w:val="0"/>
          <w:numId w:val="2"/>
        </w:numPr>
        <w:spacing w:after="127"/>
        <w:ind w:hanging="360"/>
      </w:pPr>
      <w:r>
        <w:t xml:space="preserve">рак из элементов волосяного фолликула;  </w:t>
      </w:r>
    </w:p>
    <w:p w:rsidR="00097C5B" w:rsidRDefault="00172B91">
      <w:pPr>
        <w:numPr>
          <w:ilvl w:val="0"/>
          <w:numId w:val="2"/>
        </w:numPr>
        <w:spacing w:after="119"/>
        <w:ind w:hanging="360"/>
      </w:pPr>
      <w:r>
        <w:t xml:space="preserve">ангиокератома; </w:t>
      </w:r>
    </w:p>
    <w:p w:rsidR="00097C5B" w:rsidRDefault="00172B91">
      <w:pPr>
        <w:numPr>
          <w:ilvl w:val="0"/>
          <w:numId w:val="2"/>
        </w:numPr>
        <w:spacing w:after="128"/>
        <w:ind w:hanging="360"/>
      </w:pPr>
      <w:r>
        <w:t xml:space="preserve">саркома Капоши [3–6]. </w:t>
      </w:r>
    </w:p>
    <w:p w:rsidR="00097C5B" w:rsidRDefault="00172B91">
      <w:pPr>
        <w:numPr>
          <w:ilvl w:val="0"/>
          <w:numId w:val="2"/>
        </w:numPr>
        <w:ind w:hanging="360"/>
      </w:pPr>
      <w:r>
        <w:rPr>
          <w:b/>
          <w:i/>
        </w:rPr>
        <w:t xml:space="preserve">Таблица: </w:t>
      </w:r>
      <w:r>
        <w:t xml:space="preserve">Этиология кожного рога (в зависимости от гистопатологии подлежащего основания) </w:t>
      </w:r>
    </w:p>
    <w:tbl>
      <w:tblPr>
        <w:tblStyle w:val="TableGrid"/>
        <w:tblW w:w="9338" w:type="dxa"/>
        <w:tblInd w:w="86" w:type="dxa"/>
        <w:tblCellMar>
          <w:top w:w="0" w:type="dxa"/>
          <w:left w:w="98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2245"/>
        <w:gridCol w:w="2876"/>
        <w:gridCol w:w="2180"/>
        <w:gridCol w:w="2038"/>
      </w:tblGrid>
      <w:tr w:rsidR="00097C5B">
        <w:trPr>
          <w:trHeight w:val="1325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Доброкачественное основание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Предраковое основание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Злокачественное основание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Реакция на отдаленную злокачественную опухоль </w:t>
            </w:r>
          </w:p>
        </w:tc>
      </w:tr>
      <w:tr w:rsidR="00097C5B">
        <w:trPr>
          <w:trHeight w:val="852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Ангиокератома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Актинические кератозы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Болезнь Боуэна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Почечноклеточный рак </w:t>
            </w:r>
          </w:p>
        </w:tc>
      </w:tr>
      <w:tr w:rsidR="00097C5B">
        <w:trPr>
          <w:trHeight w:val="1047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Хроническое трение (lichen simplex)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Мышьяковый кератоз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Кератоакантома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7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Эпидермальный невус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Слюдяной баланит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Плоскоклеточный рак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1049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>ВПЧ-</w:t>
            </w:r>
          </w:p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ассоцированные образования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Псевдоэпителиоматозные кератозы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Базальноклеточная карцинома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7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Себоорейный кератоз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Саркома Капоши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2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Трихолеммома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097C5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097C5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097C5B">
            <w:pPr>
              <w:spacing w:after="160" w:line="259" w:lineRule="auto"/>
              <w:ind w:left="0" w:firstLine="0"/>
              <w:jc w:val="left"/>
            </w:pPr>
          </w:p>
        </w:tc>
      </w:tr>
      <w:tr w:rsidR="00097C5B">
        <w:trPr>
          <w:trHeight w:val="722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Ксантогранулема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22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Саркоидоз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7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Лихеноидный кератоз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70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контагиозный моллюск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2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Пиломатриксома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7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Пиогенная гранулема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097C5B">
        <w:trPr>
          <w:trHeight w:val="773"/>
        </w:trPr>
        <w:tc>
          <w:tcPr>
            <w:tcW w:w="2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C5B" w:rsidRDefault="00172B91">
            <w:pPr>
              <w:spacing w:after="0" w:line="259" w:lineRule="auto"/>
              <w:ind w:left="2" w:firstLine="0"/>
              <w:jc w:val="left"/>
            </w:pPr>
            <w:r>
              <w:t xml:space="preserve"> Кожный риноспоридиоз </w:t>
            </w:r>
          </w:p>
        </w:tc>
        <w:tc>
          <w:tcPr>
            <w:tcW w:w="2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097C5B" w:rsidRDefault="00172B91">
      <w:pPr>
        <w:spacing w:line="397" w:lineRule="auto"/>
        <w:ind w:left="62" w:firstLine="566"/>
      </w:pPr>
      <w:r>
        <w:t xml:space="preserve">Сам по себе кожный рог, возникающий как симптом, менее важен по сравнению с заболеванием, явившимся причиной его возникновения [7, 8].  </w:t>
      </w:r>
    </w:p>
    <w:p w:rsidR="00097C5B" w:rsidRDefault="00172B91">
      <w:pPr>
        <w:spacing w:line="397" w:lineRule="auto"/>
        <w:ind w:left="62" w:firstLine="566"/>
      </w:pPr>
      <w:r>
        <w:t xml:space="preserve">60% всех регистрирующихся случаев кожного рога изначально носят доброкачественный характер [9].  </w:t>
      </w:r>
    </w:p>
    <w:p w:rsidR="00097C5B" w:rsidRDefault="00172B91">
      <w:pPr>
        <w:spacing w:after="104"/>
        <w:ind w:left="653"/>
      </w:pPr>
      <w:r>
        <w:t xml:space="preserve">Риск малигнизации кожного рога составляет от 12 % до 20 % [10].  </w:t>
      </w:r>
    </w:p>
    <w:p w:rsidR="00097C5B" w:rsidRDefault="00172B91">
      <w:pPr>
        <w:spacing w:line="399" w:lineRule="auto"/>
        <w:ind w:left="62" w:firstLine="566"/>
      </w:pPr>
      <w:r>
        <w:t>Самым частым предраковым поражением кожи, приводящим к формированию кожного рога, является а</w:t>
      </w:r>
      <w:r>
        <w:t xml:space="preserve">ктинический кератоз [2].  </w:t>
      </w:r>
    </w:p>
    <w:p w:rsidR="00097C5B" w:rsidRDefault="00172B91">
      <w:pPr>
        <w:spacing w:line="377" w:lineRule="auto"/>
        <w:ind w:left="62" w:firstLine="708"/>
      </w:pPr>
      <w:r>
        <w:t xml:space="preserve">Кожный рог, связанный со злокачественной опухолью, чаще всего ассоциируется с плоскоклеточным раком; менее часто с базально клеточным раком, раком сальных желез и волосяного фолликула [11, 12].  </w:t>
      </w:r>
    </w:p>
    <w:p w:rsidR="00097C5B" w:rsidRDefault="00172B91">
      <w:pPr>
        <w:spacing w:line="368" w:lineRule="auto"/>
        <w:ind w:left="62" w:firstLine="566"/>
      </w:pPr>
      <w:r>
        <w:t>У пациентов, имеющих в анамнезе злокачественные новообразования либо предраковую патологию возникновение кожного рога обычно связано с новыми очагами злокачественного роста или предрака [13]. Рог слизистой оболочки полости рта в отличие от образований с ло</w:t>
      </w:r>
      <w:r>
        <w:t xml:space="preserve">кализацией на коже, чаще является симптомом злокачественного новообразования, чем носит доброкачественный характер [10, 14].  </w:t>
      </w:r>
    </w:p>
    <w:p w:rsidR="00097C5B" w:rsidRDefault="00172B91">
      <w:pPr>
        <w:spacing w:after="115" w:line="357" w:lineRule="auto"/>
        <w:ind w:left="62" w:firstLine="566"/>
      </w:pPr>
      <w:r>
        <w:t>Патогенез кожного рога неизвестен. Предполагается, что его проявлению способствуют клеточное старение, фотоповреждение и последую</w:t>
      </w:r>
      <w:r>
        <w:t>щая дисфункция эпителиальных клеток [15]. Ведущая роль фотоповреждения кожи и покровного эпителия красной каймы губ в патогенезе кожного рога подтверждается тем, что вне независимости от того, является ли его образование следствием доброкачественного, пред</w:t>
      </w:r>
      <w:r>
        <w:t xml:space="preserve">ракового или злокачественного, поражение локализуются преимущественно в областях, наиболее уязвимых к ультрафиолетовому излучению, таких как голова, шея и верхние конечности [7, </w:t>
      </w:r>
    </w:p>
    <w:p w:rsidR="00097C5B" w:rsidRDefault="00172B91">
      <w:pPr>
        <w:spacing w:after="104"/>
        <w:ind w:left="72"/>
      </w:pPr>
      <w:r>
        <w:t xml:space="preserve">8].  </w:t>
      </w:r>
    </w:p>
    <w:p w:rsidR="00097C5B" w:rsidRDefault="00172B91">
      <w:pPr>
        <w:spacing w:line="378" w:lineRule="auto"/>
        <w:ind w:left="62" w:firstLine="566"/>
      </w:pPr>
      <w:r>
        <w:t>Изменения в кератиноцитах, вызванные вирусами и другими инфекционными а</w:t>
      </w:r>
      <w:r>
        <w:t xml:space="preserve">гентами так же могут приводить к формированию кожного рога. Наиболее часто в этой связи упоминаются вирус папилломы человека и вирус контагиозного моллюска. </w:t>
      </w:r>
    </w:p>
    <w:p w:rsidR="00097C5B" w:rsidRDefault="00172B91">
      <w:pPr>
        <w:spacing w:after="137" w:line="384" w:lineRule="auto"/>
        <w:ind w:left="62" w:firstLine="566"/>
      </w:pPr>
      <w:r>
        <w:t>Этиология рога слизистой оболочки полости рта отличается от этиологии кожного рога. В данном случа</w:t>
      </w:r>
      <w:r>
        <w:t xml:space="preserve">е роль УФО отсутствует, но важное значение имеет неудовлетворительная гигиена полости рта, инфицирование слизистой ВПЧ, курение и др. вредные привычки.  </w:t>
      </w:r>
    </w:p>
    <w:p w:rsidR="00097C5B" w:rsidRDefault="00172B91">
      <w:pPr>
        <w:pStyle w:val="Heading5"/>
        <w:spacing w:after="79"/>
        <w:ind w:left="77" w:firstLine="708"/>
      </w:pPr>
      <w:r>
        <w:t>1.3 Эпидемиология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097C5B" w:rsidRDefault="00172B91">
      <w:pPr>
        <w:spacing w:line="399" w:lineRule="auto"/>
        <w:ind w:left="62" w:firstLine="708"/>
      </w:pPr>
      <w:r>
        <w:t>Точная распространенно</w:t>
      </w:r>
      <w:r>
        <w:t xml:space="preserve">сть кожного рога в настоящее время неизвестна. Считается, что данное образование относится к относительно редкой патологии [16, 17].  </w:t>
      </w:r>
    </w:p>
    <w:p w:rsidR="00097C5B" w:rsidRDefault="00172B91">
      <w:pPr>
        <w:spacing w:line="377" w:lineRule="auto"/>
        <w:ind w:left="62" w:firstLine="708"/>
      </w:pPr>
      <w:r>
        <w:t>Кожный рог встречается у пациентов обоих полов, но кожный рог губы чаще встречается у мужчин, и всех возрастных групп. Во</w:t>
      </w:r>
      <w:r>
        <w:t xml:space="preserve">зможно развитие кожного рога в детском возрасте, но большинство пациентов – это люди в возрасте от 60 до 80 лет [18–20].  </w:t>
      </w:r>
    </w:p>
    <w:p w:rsidR="00097C5B" w:rsidRDefault="00172B91">
      <w:pPr>
        <w:spacing w:line="371" w:lineRule="auto"/>
        <w:ind w:left="62" w:firstLine="708"/>
      </w:pPr>
      <w:r>
        <w:t>Вероятность наличия связи кожного рога со злокачественным новообразованием возрастает с увеличением возраста пациента. Предраковые за</w:t>
      </w:r>
      <w:r>
        <w:t xml:space="preserve">болевания кожи и злокачественные новообразования с симптоматикой в виде кожного рога у мужчин наблюдаются чаще, чем у женщин [7]. </w:t>
      </w:r>
      <w:r>
        <w:rPr>
          <w:color w:val="0044CC"/>
        </w:rPr>
        <w:t xml:space="preserve"> </w:t>
      </w:r>
    </w:p>
    <w:p w:rsidR="00097C5B" w:rsidRDefault="00172B91">
      <w:pPr>
        <w:spacing w:after="152" w:line="370" w:lineRule="auto"/>
        <w:ind w:left="62" w:firstLine="708"/>
      </w:pPr>
      <w:r>
        <w:t>Более подвержены этому заболеванию люди со светлой кожей, особенно с фотозависимыми типами по Фитцпатрику [21] Однако единич</w:t>
      </w:r>
      <w:r>
        <w:t>ные случаи кожного рога были отмечены и у пациентов со смуглой и темной кожей, в том числе и у лиц африканского происхождения [22, 23].</w:t>
      </w:r>
      <w:r>
        <w:rPr>
          <w:color w:val="2A2A2A"/>
        </w:rPr>
        <w:t xml:space="preserve"> </w:t>
      </w:r>
      <w:r>
        <w:t xml:space="preserve"> </w:t>
      </w:r>
    </w:p>
    <w:p w:rsidR="00097C5B" w:rsidRDefault="00172B91">
      <w:pPr>
        <w:pStyle w:val="Heading5"/>
        <w:spacing w:after="92" w:line="379" w:lineRule="auto"/>
        <w:ind w:left="77" w:firstLine="708"/>
      </w:pPr>
      <w:r>
        <w:t>1.4 Особенности кодирования заболевания или состояния (группы заболеваний</w:t>
      </w:r>
      <w:r>
        <w:rPr>
          <w:u w:val="none"/>
        </w:rPr>
        <w:t xml:space="preserve"> </w:t>
      </w:r>
      <w:r>
        <w:t>или состояний) по Международной статистическ</w:t>
      </w:r>
      <w:r>
        <w:t>ой классификации болезней и</w:t>
      </w:r>
      <w:r>
        <w:rPr>
          <w:u w:val="none"/>
        </w:rPr>
        <w:t xml:space="preserve"> </w:t>
      </w:r>
      <w:r>
        <w:t>проблем, связанных со здоровьем</w:t>
      </w:r>
      <w:r>
        <w:rPr>
          <w:u w:val="none"/>
        </w:rPr>
        <w:t xml:space="preserve"> </w:t>
      </w:r>
    </w:p>
    <w:p w:rsidR="00097C5B" w:rsidRDefault="00172B91">
      <w:pPr>
        <w:spacing w:after="135"/>
        <w:ind w:left="653"/>
      </w:pPr>
      <w:r>
        <w:t xml:space="preserve">Шифр по Международной классификации болезней МКБ-10 – </w:t>
      </w:r>
    </w:p>
    <w:p w:rsidR="00097C5B" w:rsidRDefault="00172B91">
      <w:pPr>
        <w:spacing w:after="269"/>
        <w:ind w:left="653"/>
      </w:pPr>
      <w:r>
        <w:t xml:space="preserve">L 85.8  – Кожный рог </w:t>
      </w:r>
    </w:p>
    <w:p w:rsidR="00097C5B" w:rsidRDefault="00172B91">
      <w:pPr>
        <w:spacing w:after="70" w:line="401" w:lineRule="auto"/>
        <w:ind w:left="77" w:firstLine="708"/>
      </w:pPr>
      <w:r>
        <w:rPr>
          <w:b/>
          <w:u w:val="single" w:color="000000"/>
        </w:rPr>
        <w:t>1.5 Классификация заболевания или состояния (группы заболеваний или</w:t>
      </w:r>
      <w:r>
        <w:rPr>
          <w:b/>
        </w:rPr>
        <w:t xml:space="preserve"> </w:t>
      </w:r>
      <w:r>
        <w:rPr>
          <w:b/>
          <w:u w:val="single" w:color="000000"/>
        </w:rPr>
        <w:t>состояний)</w:t>
      </w:r>
      <w:r>
        <w:rPr>
          <w:b/>
        </w:rPr>
        <w:t xml:space="preserve"> </w:t>
      </w:r>
    </w:p>
    <w:p w:rsidR="00097C5B" w:rsidRDefault="00172B91">
      <w:pPr>
        <w:ind w:left="653"/>
      </w:pPr>
      <w:r>
        <w:t xml:space="preserve">Общепринятая классификация кожного рога отсутствует.  </w:t>
      </w:r>
    </w:p>
    <w:p w:rsidR="00097C5B" w:rsidRDefault="00172B91">
      <w:pPr>
        <w:pStyle w:val="Heading5"/>
        <w:spacing w:after="23" w:line="401" w:lineRule="auto"/>
        <w:ind w:left="77" w:firstLine="708"/>
      </w:pPr>
      <w:r>
        <w:t>1.6 Клиническая картина заболевания или состояния (группы заболеваний или</w:t>
      </w:r>
      <w:r>
        <w:rPr>
          <w:u w:val="none"/>
        </w:rPr>
        <w:t xml:space="preserve"> </w:t>
      </w:r>
      <w:r>
        <w:t>состояний)</w:t>
      </w:r>
      <w:r>
        <w:rPr>
          <w:u w:val="none"/>
        </w:rPr>
        <w:t xml:space="preserve"> </w:t>
      </w:r>
    </w:p>
    <w:p w:rsidR="00097C5B" w:rsidRDefault="00172B91">
      <w:pPr>
        <w:spacing w:line="357" w:lineRule="auto"/>
        <w:ind w:left="62" w:firstLine="566"/>
      </w:pPr>
      <w:r>
        <w:t>Клинические проявления кожного рога различны, главным в симптоматике этого образования является наличие на поверхно</w:t>
      </w:r>
      <w:r>
        <w:t>сти кожи состоящего из плотных масс кератина экзофитного выроста белого, серого, желтого или коричневого цвета, внешне напоминающего рог животных: толщина рогового выроста постепенно уменьшается от основания к вершине. Образование по своему протяжению може</w:t>
      </w:r>
      <w:r>
        <w:t xml:space="preserve">т делать изгибы и закручиваться в спираль. Поражение в большинстве случаев носит единичный характер </w:t>
      </w:r>
    </w:p>
    <w:p w:rsidR="00097C5B" w:rsidRDefault="00172B91">
      <w:pPr>
        <w:spacing w:after="104"/>
        <w:ind w:left="72"/>
      </w:pPr>
      <w:r>
        <w:t xml:space="preserve">[24]. </w:t>
      </w:r>
      <w:r>
        <w:rPr>
          <w:color w:val="045ED6"/>
        </w:rPr>
        <w:t xml:space="preserve"> </w:t>
      </w:r>
    </w:p>
    <w:p w:rsidR="00097C5B" w:rsidRDefault="00172B91">
      <w:pPr>
        <w:spacing w:line="399" w:lineRule="auto"/>
        <w:ind w:left="62" w:firstLine="566"/>
      </w:pPr>
      <w:r>
        <w:t xml:space="preserve">Диаметр и размеры самих образований могут колебаться от тонких (нитевидный кожный рог) до крупных как по диаметру, так и по высоте.  </w:t>
      </w:r>
    </w:p>
    <w:p w:rsidR="00097C5B" w:rsidRDefault="00172B91">
      <w:pPr>
        <w:spacing w:line="398" w:lineRule="auto"/>
        <w:ind w:left="62" w:firstLine="566"/>
      </w:pPr>
      <w:r>
        <w:t xml:space="preserve">Образования, </w:t>
      </w:r>
      <w:r>
        <w:t xml:space="preserve">превышающие 1 см в высоту, называют гигантскими и в литературе имеются описания гигантского кожного рога, достигавшего 25 см [8, 25].  </w:t>
      </w:r>
    </w:p>
    <w:p w:rsidR="00097C5B" w:rsidRDefault="00172B91">
      <w:pPr>
        <w:spacing w:line="399" w:lineRule="auto"/>
        <w:ind w:left="62" w:firstLine="566"/>
      </w:pPr>
      <w:r>
        <w:t>Диаметр основания рога в большинстве из описанных клинических наблюдений не превышал 1 см, однако и эта величина может д</w:t>
      </w:r>
      <w:r>
        <w:t xml:space="preserve">остигать гораздо больших значений. </w:t>
      </w:r>
    </w:p>
    <w:p w:rsidR="00097C5B" w:rsidRDefault="00172B91">
      <w:pPr>
        <w:spacing w:line="367" w:lineRule="auto"/>
        <w:ind w:left="62" w:firstLine="566"/>
      </w:pPr>
      <w:r>
        <w:t>Основание рогового выроста как правило плотно фиксировано к коже и может находиться как на внешне неизмененном фоне, так и на фоне эритемы. Возможно наличие у рогового выроста тканевого основания по типу пьедестала. Наря</w:t>
      </w:r>
      <w:r>
        <w:t xml:space="preserve">ду с эритемой на коже в основании роговых масс могут присутствовать не связанные с тканью самого рога роговые чешуйки различных размеров.  </w:t>
      </w:r>
    </w:p>
    <w:p w:rsidR="00097C5B" w:rsidRDefault="00172B91">
      <w:pPr>
        <w:spacing w:line="378" w:lineRule="auto"/>
        <w:ind w:left="62" w:firstLine="566"/>
      </w:pPr>
      <w:r>
        <w:t>В случаях, когда причиной формирования рога является опухолевого поражение, кожный рог может иметь под собой опухоле</w:t>
      </w:r>
      <w:r>
        <w:t xml:space="preserve">вую ткань, типичную для симптоматики опухоли, явившейся источником его роста.  </w:t>
      </w:r>
    </w:p>
    <w:p w:rsidR="00097C5B" w:rsidRDefault="00172B91">
      <w:pPr>
        <w:spacing w:line="396" w:lineRule="auto"/>
        <w:ind w:left="62" w:firstLine="566"/>
      </w:pPr>
      <w:r>
        <w:t xml:space="preserve">Наличие эритемы в основании кожного рога в 77% является критерием злокачественного процесса.  </w:t>
      </w:r>
    </w:p>
    <w:p w:rsidR="00097C5B" w:rsidRDefault="00172B91">
      <w:pPr>
        <w:spacing w:after="34" w:line="367" w:lineRule="auto"/>
        <w:ind w:left="62" w:firstLine="566"/>
      </w:pPr>
      <w:r>
        <w:t>На доброкачественный характер кожного рога указывает наличие «террасной морфологии» элементов поражения, определяющейся по данным дерматоскопии. Признак «террасная морфология» представляет собой упорядоченный структурный дерматоскопический паттерн с гистоп</w:t>
      </w:r>
      <w:r>
        <w:t xml:space="preserve">атологией ортогиперкератоза, состоящей из горизонтальных параллельных пластинок кератина [21].  </w:t>
      </w:r>
    </w:p>
    <w:p w:rsidR="00097C5B" w:rsidRDefault="00172B91">
      <w:pPr>
        <w:spacing w:line="398" w:lineRule="auto"/>
        <w:ind w:left="62" w:firstLine="566"/>
      </w:pPr>
      <w:r>
        <w:t>Роговые выросты, высота которых в один-два раза превышает диаметр основания, имеют более высокий уровень злокачественного потенциала, чем рог с меньшим соотнош</w:t>
      </w:r>
      <w:r>
        <w:t xml:space="preserve">ением высоты к диаметру основания.  </w:t>
      </w:r>
    </w:p>
    <w:p w:rsidR="00097C5B" w:rsidRDefault="00172B91">
      <w:pPr>
        <w:spacing w:line="357" w:lineRule="auto"/>
        <w:ind w:left="62" w:firstLine="566"/>
      </w:pPr>
      <w:r>
        <w:t>Из субъективной симптоматики при наличии кожного рога следует отметить бытовой дискомфорт, связанный с частым механическим раздражением поражения (одеждой, расческой, полотенцем и т.д.). Наличие кожного рога может сопро</w:t>
      </w:r>
      <w:r>
        <w:t xml:space="preserve">вождаться болевыми ощущениями, которые так же, как и эритема в окружающей основание нароста коже, следует отнести к косвенным признакам злокачественности процесса [21].  </w:t>
      </w:r>
    </w:p>
    <w:p w:rsidR="00097C5B" w:rsidRDefault="00172B91">
      <w:pPr>
        <w:spacing w:line="373" w:lineRule="auto"/>
        <w:ind w:left="62" w:firstLine="566"/>
      </w:pPr>
      <w:r>
        <w:t>Возникновение кожного рога на слизистых и в переходных зонах встречается редко. Кожны</w:t>
      </w:r>
      <w:r>
        <w:t>й рог, развивающийся в переходных зонах – это в основном образование, локализующееся на красной кайме губ. Наиболее подвержена такому поражению нижняя губа (60,9% случаев), далее следуют красная кайма верхней губы и комиссуры рта. Клинические проявления ко</w:t>
      </w:r>
      <w:r>
        <w:t xml:space="preserve">жного рога на губах и в углах рта практически идентичны симптоматике кожного рога, образующегося на других участках кожи [14].   </w:t>
      </w:r>
    </w:p>
    <w:p w:rsidR="00097C5B" w:rsidRDefault="00172B91">
      <w:pPr>
        <w:spacing w:after="436" w:line="377" w:lineRule="auto"/>
        <w:ind w:left="62" w:firstLine="566"/>
      </w:pPr>
      <w:r>
        <w:t xml:space="preserve">Рог, возникающий на спинке языка и на его боковых поверхностях, может состоять исключительно из роговых масс, располагающихся </w:t>
      </w:r>
      <w:r>
        <w:t xml:space="preserve">на визуально здоровой слизистой оболочке. Такой рог с опухолевой патологией как правило не связан, имеет небольшие размеры и формируется как следствие доброкачественного изменения нитевидных сосочков [26]. </w:t>
      </w:r>
      <w:r>
        <w:rPr>
          <w:color w:val="006BBC"/>
        </w:rPr>
        <w:t xml:space="preserve"> </w:t>
      </w:r>
    </w:p>
    <w:p w:rsidR="00097C5B" w:rsidRDefault="00172B91">
      <w:pPr>
        <w:pStyle w:val="Heading3"/>
        <w:spacing w:after="51" w:line="380" w:lineRule="auto"/>
        <w:ind w:left="62" w:firstLine="708"/>
      </w:pPr>
      <w:r>
        <w:t>2. Диагностика заболевания или состояния (группы</w:t>
      </w:r>
      <w:r>
        <w:t xml:space="preserve"> заболеваний или состояний), медицинские показания и противопоказания к применению методов диагностики </w:t>
      </w:r>
    </w:p>
    <w:p w:rsidR="00097C5B" w:rsidRDefault="00172B91">
      <w:pPr>
        <w:spacing w:after="16" w:line="388" w:lineRule="auto"/>
        <w:ind w:left="62" w:firstLine="708"/>
      </w:pPr>
      <w:r>
        <w:rPr>
          <w:i/>
        </w:rPr>
        <w:t>Диагностика кожного рога основывается на приеме (осмотре, консультации) врача-</w:t>
      </w:r>
      <w:r>
        <w:rPr>
          <w:i/>
        </w:rPr>
        <w:t>дерматовенеролога, анализе данных анамнеза и клинической картины. В качестве критериев установления диагноза используют данные характерной клинической картины: плотное эпителиальное образование на поверхности кожи или слизистых оболочек, конической или цил</w:t>
      </w:r>
      <w:r>
        <w:rPr>
          <w:i/>
        </w:rPr>
        <w:t xml:space="preserve">индрической формы, состоящее из плотных роговых масс. </w:t>
      </w:r>
    </w:p>
    <w:p w:rsidR="00097C5B" w:rsidRDefault="00172B91">
      <w:pPr>
        <w:spacing w:after="35" w:line="373" w:lineRule="auto"/>
        <w:ind w:left="1111" w:hanging="360"/>
      </w:pP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b/>
        </w:rPr>
        <w:t>Рекомендуется</w:t>
      </w:r>
      <w:r>
        <w:t xml:space="preserve"> всем пациентам прием (осмотр, консультация) врачадерматовенеролога первичный для подтверждения диагноза на основании клинической картины [8, 27, 38]. </w:t>
      </w:r>
    </w:p>
    <w:p w:rsidR="00097C5B" w:rsidRDefault="00172B91">
      <w:pPr>
        <w:spacing w:after="1" w:line="401" w:lineRule="auto"/>
        <w:ind w:left="72"/>
      </w:pPr>
      <w:r>
        <w:rPr>
          <w:b/>
        </w:rPr>
        <w:t>Уровень убедительности рекомендаци</w:t>
      </w:r>
      <w:r>
        <w:rPr>
          <w:b/>
        </w:rPr>
        <w:t xml:space="preserve">й - C (уровень достоверности доказательств –5) для взрослых. </w:t>
      </w:r>
    </w:p>
    <w:p w:rsidR="00097C5B" w:rsidRDefault="00172B91">
      <w:pPr>
        <w:spacing w:after="1" w:line="398" w:lineRule="auto"/>
        <w:ind w:left="72"/>
      </w:pPr>
      <w:r>
        <w:rPr>
          <w:b/>
        </w:rPr>
        <w:t xml:space="preserve">Уровень убедительности рекомендаций - C (уровень достоверности доказательств –4) для детей. </w:t>
      </w:r>
    </w:p>
    <w:p w:rsidR="00097C5B" w:rsidRDefault="00172B91">
      <w:pPr>
        <w:spacing w:after="115" w:line="259" w:lineRule="auto"/>
        <w:ind w:left="77" w:firstLine="0"/>
        <w:jc w:val="left"/>
      </w:pPr>
      <w:r>
        <w:rPr>
          <w:b/>
        </w:rPr>
        <w:t xml:space="preserve"> </w:t>
      </w:r>
    </w:p>
    <w:p w:rsidR="00097C5B" w:rsidRDefault="00172B91">
      <w:pPr>
        <w:spacing w:after="0" w:line="259" w:lineRule="auto"/>
        <w:ind w:left="77" w:firstLine="0"/>
        <w:jc w:val="left"/>
      </w:pPr>
      <w:r>
        <w:rPr>
          <w:b/>
        </w:rPr>
        <w:t xml:space="preserve"> </w:t>
      </w:r>
    </w:p>
    <w:p w:rsidR="00097C5B" w:rsidRDefault="00172B91">
      <w:pPr>
        <w:pStyle w:val="Heading4"/>
        <w:spacing w:after="235"/>
        <w:ind w:left="780"/>
      </w:pPr>
      <w:r>
        <w:rPr>
          <w:u w:val="single" w:color="000000"/>
        </w:rPr>
        <w:t>2.1 Жалобы и анамнез</w:t>
      </w:r>
      <w:r>
        <w:t xml:space="preserve"> </w:t>
      </w:r>
    </w:p>
    <w:p w:rsidR="00097C5B" w:rsidRDefault="00172B91">
      <w:pPr>
        <w:spacing w:line="364" w:lineRule="auto"/>
        <w:ind w:left="62" w:firstLine="708"/>
      </w:pPr>
      <w:r>
        <w:t xml:space="preserve"> </w:t>
      </w:r>
      <w:r>
        <w:t>Пациенты предъявляют жалобы на наличие плотного рогового нароста на коже или на губах, на связанные с этим эстетический недостаток и бытовой дискомфорт: образование мешает ношению одежды, при локализации на коже носа и в параорбитальных областях препятству</w:t>
      </w:r>
      <w:r>
        <w:t>ет ношению очков и т.д. Пациентов с рогом на слизистой оболочке языка может беспокоить как наличие самого образования, так и ощущение инородного тела на языке. Симптоматика рога, возникшего, как проявление рака слизистой оболочки обычно вторична по отношен</w:t>
      </w:r>
      <w:r>
        <w:t xml:space="preserve">ию к проявлениям опухолевой симптоматики.   </w:t>
      </w:r>
    </w:p>
    <w:p w:rsidR="00097C5B" w:rsidRDefault="00172B91">
      <w:pPr>
        <w:spacing w:line="371" w:lineRule="auto"/>
        <w:ind w:left="62" w:firstLine="708"/>
      </w:pPr>
      <w:r>
        <w:t>Кожный рог может не вызывать у больного субъективных ощущений, однако в ряде случаев больные отмечают болезненность кожного рога, особенного при его механическом раздражении. В случае травмирования основания обр</w:t>
      </w:r>
      <w:r>
        <w:t xml:space="preserve">азования могут наблюдаться явления воспаления в подлежащей коже. </w:t>
      </w:r>
    </w:p>
    <w:p w:rsidR="00097C5B" w:rsidRDefault="00172B91">
      <w:pPr>
        <w:spacing w:after="50" w:line="365" w:lineRule="auto"/>
        <w:ind w:left="62" w:firstLine="708"/>
      </w:pPr>
      <w:r>
        <w:t>Если не проводится лечение, то у пожилых пациентов протекающее без субъективной симптоматики кожный рог может существовать длительное время (годами). В тех случаях, когда формирование рогово</w:t>
      </w:r>
      <w:r>
        <w:t>го нароста обусловлено злокачественным поражением, опухолевая симптоматика (инфильтрация, изъязвление, кровоточивость, боль и др.) может превалировать над симптоматикой собственно кожного рога и именно она становится причиной обращения больного за медицинс</w:t>
      </w:r>
      <w:r>
        <w:t xml:space="preserve">кой помощью. </w:t>
      </w:r>
    </w:p>
    <w:p w:rsidR="00097C5B" w:rsidRDefault="00172B91">
      <w:pPr>
        <w:pStyle w:val="Heading4"/>
        <w:spacing w:after="184"/>
        <w:ind w:left="653"/>
      </w:pPr>
      <w:r>
        <w:rPr>
          <w:u w:val="single" w:color="000000"/>
        </w:rPr>
        <w:t>2.2 Физикальное обследование</w:t>
      </w:r>
      <w:r>
        <w:t xml:space="preserve"> </w:t>
      </w:r>
    </w:p>
    <w:p w:rsidR="00097C5B" w:rsidRDefault="00172B91">
      <w:pPr>
        <w:spacing w:after="178" w:line="388" w:lineRule="auto"/>
        <w:ind w:left="62" w:firstLine="556"/>
      </w:pPr>
      <w:r>
        <w:rPr>
          <w:i/>
        </w:rPr>
        <w:t xml:space="preserve">Объективные клинические проявления заболевания, выявляемые при физикальном обследовании, см. в разделе «Клиническая картина». </w:t>
      </w:r>
    </w:p>
    <w:p w:rsidR="00097C5B" w:rsidRDefault="00172B91">
      <w:pPr>
        <w:pStyle w:val="Heading4"/>
        <w:spacing w:after="235"/>
        <w:ind w:left="780"/>
      </w:pPr>
      <w:r>
        <w:t>2.3</w:t>
      </w:r>
      <w:r>
        <w:rPr>
          <w:rFonts w:ascii="Arial" w:eastAsia="Arial" w:hAnsi="Arial" w:cs="Arial"/>
        </w:rPr>
        <w:t xml:space="preserve"> </w:t>
      </w:r>
      <w:r>
        <w:rPr>
          <w:u w:val="single" w:color="000000"/>
        </w:rPr>
        <w:t>Лабораторные диагностические исследования</w:t>
      </w:r>
      <w:r>
        <w:t xml:space="preserve"> </w:t>
      </w:r>
    </w:p>
    <w:p w:rsidR="00097C5B" w:rsidRDefault="00172B91">
      <w:pPr>
        <w:spacing w:line="395" w:lineRule="auto"/>
        <w:ind w:left="62" w:firstLine="708"/>
      </w:pPr>
      <w:r>
        <w:rPr>
          <w:b/>
        </w:rPr>
        <w:t>Рекомендуется</w:t>
      </w:r>
      <w:r>
        <w:t xml:space="preserve"> пациентам с кожным рогом</w:t>
      </w:r>
      <w:r>
        <w:t xml:space="preserve"> при выявлении клинически и дерматоскопически признаков, подозрительных в отношении злокачественной опухоли проведение биопсии кожи и патолого-анатомического исследования биопсийного (операционного) материала кожи с целью диагностики новообразования [18, 2</w:t>
      </w:r>
      <w:r>
        <w:t xml:space="preserve">0, 28–41]. </w:t>
      </w:r>
    </w:p>
    <w:p w:rsidR="00097C5B" w:rsidRDefault="00172B91">
      <w:pPr>
        <w:pStyle w:val="Heading4"/>
        <w:spacing w:after="155"/>
        <w:ind w:left="72"/>
      </w:pPr>
      <w:r>
        <w:t xml:space="preserve">Уровень убедительности рекомендаций - C (уровень достоверности доказательств –4) </w:t>
      </w:r>
    </w:p>
    <w:p w:rsidR="00097C5B" w:rsidRDefault="00172B91">
      <w:pPr>
        <w:spacing w:after="16" w:line="388" w:lineRule="auto"/>
        <w:ind w:left="62" w:firstLine="556"/>
      </w:pPr>
      <w:r>
        <w:rPr>
          <w:b/>
        </w:rPr>
        <w:t>Комментарии:</w:t>
      </w:r>
      <w:r>
        <w:rPr>
          <w:i/>
        </w:rPr>
        <w:t xml:space="preserve"> Предпочтительной является эксцизионная биопсия кожи, которая может быть не только диагностической, но и лечебной манипуляцией, поскольку позволяет ра</w:t>
      </w:r>
      <w:r>
        <w:rPr>
          <w:i/>
        </w:rPr>
        <w:t xml:space="preserve">дикально удалить как сам кожный рог, так и первичную злокачественную опухоль, либо другое поражение, послужившее причиной формирования рогового нароста. </w:t>
      </w:r>
      <w:r>
        <w:rPr>
          <w:color w:val="0000FF"/>
        </w:rPr>
        <w:t xml:space="preserve"> </w:t>
      </w:r>
    </w:p>
    <w:p w:rsidR="00097C5B" w:rsidRDefault="00172B91">
      <w:pPr>
        <w:spacing w:after="16" w:line="388" w:lineRule="auto"/>
        <w:ind w:left="62" w:firstLine="556"/>
      </w:pPr>
      <w:r>
        <w:rPr>
          <w:i/>
        </w:rPr>
        <w:t>При невозможности проведения эксцизионной биопсии кожи возможно проведение инцизионной биопсии кожи (</w:t>
      </w:r>
      <w:r>
        <w:rPr>
          <w:i/>
        </w:rPr>
        <w:t xml:space="preserve">ткани в основании кожного рога).  </w:t>
      </w:r>
    </w:p>
    <w:p w:rsidR="00097C5B" w:rsidRDefault="00172B91">
      <w:pPr>
        <w:pStyle w:val="Heading5"/>
        <w:ind w:left="780"/>
      </w:pPr>
      <w:r>
        <w:t>2.4 Инструментальные диагностические исследования</w:t>
      </w:r>
      <w:r>
        <w:rPr>
          <w:u w:val="none"/>
        </w:rPr>
        <w:t xml:space="preserve"> </w:t>
      </w:r>
    </w:p>
    <w:p w:rsidR="00097C5B" w:rsidRDefault="00172B91">
      <w:pPr>
        <w:spacing w:line="397" w:lineRule="auto"/>
        <w:ind w:left="62" w:firstLine="566"/>
      </w:pPr>
      <w:r>
        <w:rPr>
          <w:b/>
        </w:rPr>
        <w:t xml:space="preserve">Рекомендуется </w:t>
      </w:r>
      <w:r>
        <w:t xml:space="preserve">взрослым пациентам проведение осмотра кожи под увеличением (дерматоскопия) основания кожного рога для уточнения природы кожного рога [27]. </w:t>
      </w:r>
    </w:p>
    <w:p w:rsidR="00097C5B" w:rsidRDefault="00172B91">
      <w:pPr>
        <w:pStyle w:val="Heading4"/>
        <w:spacing w:after="326"/>
        <w:ind w:left="72"/>
      </w:pPr>
      <w:r>
        <w:t xml:space="preserve">Уровень убедительности рекомендаций - C (уровень достоверности доказательств –5) </w:t>
      </w:r>
    </w:p>
    <w:p w:rsidR="00097C5B" w:rsidRDefault="00172B91">
      <w:pPr>
        <w:spacing w:after="283" w:line="460" w:lineRule="auto"/>
        <w:ind w:left="643" w:right="3882" w:firstLine="142"/>
      </w:pPr>
      <w:r>
        <w:rPr>
          <w:b/>
          <w:u w:val="single" w:color="000000"/>
        </w:rPr>
        <w:t>2.5 Иные диагностические исследования</w:t>
      </w:r>
      <w:r>
        <w:rPr>
          <w:b/>
        </w:rPr>
        <w:t xml:space="preserve"> </w:t>
      </w:r>
      <w:r>
        <w:t xml:space="preserve">Не применяется.  </w:t>
      </w:r>
    </w:p>
    <w:p w:rsidR="00097C5B" w:rsidRDefault="00172B91">
      <w:pPr>
        <w:pStyle w:val="Heading3"/>
        <w:spacing w:after="65" w:line="379" w:lineRule="auto"/>
        <w:ind w:left="62" w:firstLine="708"/>
      </w:pPr>
      <w:r>
        <w:t xml:space="preserve">3. Лечение, включая медикаментозную и немедикаментозную терапии, диетотерапию, обезболивание, медицинские показания и </w:t>
      </w:r>
      <w:r>
        <w:t xml:space="preserve">противопоказания к применению методов лечения </w:t>
      </w:r>
    </w:p>
    <w:p w:rsidR="00097C5B" w:rsidRDefault="00172B91">
      <w:pPr>
        <w:spacing w:after="235" w:line="259" w:lineRule="auto"/>
        <w:ind w:left="780"/>
      </w:pPr>
      <w:r>
        <w:rPr>
          <w:b/>
          <w:u w:val="single" w:color="000000"/>
        </w:rPr>
        <w:t>3.1 Консервативное лечение</w:t>
      </w:r>
      <w:r>
        <w:rPr>
          <w:b/>
        </w:rPr>
        <w:t xml:space="preserve"> </w:t>
      </w:r>
    </w:p>
    <w:p w:rsidR="00097C5B" w:rsidRDefault="00172B91">
      <w:pPr>
        <w:spacing w:after="170" w:line="259" w:lineRule="auto"/>
        <w:ind w:left="643" w:firstLine="0"/>
      </w:pPr>
      <w:r>
        <w:rPr>
          <w:i/>
        </w:rPr>
        <w:t xml:space="preserve">Не применяется </w:t>
      </w:r>
    </w:p>
    <w:p w:rsidR="00097C5B" w:rsidRDefault="00172B91">
      <w:pPr>
        <w:pStyle w:val="Heading4"/>
        <w:spacing w:after="235"/>
        <w:ind w:left="653"/>
      </w:pPr>
      <w:r>
        <w:rPr>
          <w:u w:val="single" w:color="000000"/>
        </w:rPr>
        <w:t>3.2 Хирургическое лечение</w:t>
      </w:r>
      <w:r>
        <w:t xml:space="preserve"> </w:t>
      </w:r>
    </w:p>
    <w:p w:rsidR="00097C5B" w:rsidRDefault="00172B91">
      <w:pPr>
        <w:spacing w:line="390" w:lineRule="auto"/>
        <w:ind w:left="62" w:firstLine="283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Рекомендуется</w:t>
      </w:r>
      <w:r>
        <w:t xml:space="preserve"> пациентам с кожным рогом проведение эксцизионной биопсии кожи образования с целью диагностики и лечения образования [</w:t>
      </w:r>
      <w:r>
        <w:t xml:space="preserve">18, 20, 35–37]. </w:t>
      </w:r>
    </w:p>
    <w:p w:rsidR="00097C5B" w:rsidRDefault="00172B91">
      <w:pPr>
        <w:pStyle w:val="Heading4"/>
        <w:spacing w:after="158"/>
        <w:ind w:left="72"/>
      </w:pPr>
      <w:r>
        <w:t xml:space="preserve">Уровень убедительности рекомендаций - C (уровень достоверности доказательств –4) </w:t>
      </w:r>
    </w:p>
    <w:p w:rsidR="00097C5B" w:rsidRDefault="00172B91">
      <w:pPr>
        <w:spacing w:after="16" w:line="388" w:lineRule="auto"/>
        <w:ind w:left="62" w:firstLine="556"/>
      </w:pPr>
      <w:r>
        <w:rPr>
          <w:b/>
        </w:rPr>
        <w:t>Комментарии</w:t>
      </w:r>
      <w:r>
        <w:rPr>
          <w:i/>
        </w:rPr>
        <w:t xml:space="preserve"> Хирургическое вмешательство является важным для определения этиологии образования. Биопсия кожи является не только диагностической, но и лечебной</w:t>
      </w:r>
      <w:r>
        <w:rPr>
          <w:i/>
        </w:rPr>
        <w:t xml:space="preserve"> манипуляцией, поскольку позволяет радикально удалить как сам кожный рог, так и поражение, послужившее причиной формирования рогового нароста. Манипуляция проводится под местной анестезией  </w:t>
      </w:r>
    </w:p>
    <w:p w:rsidR="00097C5B" w:rsidRDefault="00172B91">
      <w:pPr>
        <w:pStyle w:val="Heading5"/>
        <w:spacing w:after="187"/>
        <w:ind w:left="780"/>
      </w:pPr>
      <w:r>
        <w:t>3.3 Иное лечение</w:t>
      </w:r>
      <w:r>
        <w:rPr>
          <w:u w:val="none"/>
        </w:rPr>
        <w:t xml:space="preserve"> </w:t>
      </w:r>
    </w:p>
    <w:p w:rsidR="00097C5B" w:rsidRDefault="00172B91">
      <w:pPr>
        <w:spacing w:after="16" w:line="388" w:lineRule="auto"/>
        <w:ind w:left="62" w:firstLine="556"/>
      </w:pPr>
      <w:r>
        <w:rPr>
          <w:i/>
        </w:rPr>
        <w:t>Проводится по клиническим рекомендациям в завис</w:t>
      </w:r>
      <w:r>
        <w:rPr>
          <w:i/>
        </w:rPr>
        <w:t xml:space="preserve">имости от выявленного процесса, лежащего в основе формирования кожного рога [38–42].  </w:t>
      </w:r>
    </w:p>
    <w:p w:rsidR="00097C5B" w:rsidRDefault="00172B91">
      <w:pPr>
        <w:spacing w:after="0" w:line="259" w:lineRule="auto"/>
        <w:ind w:left="653"/>
        <w:jc w:val="left"/>
      </w:pPr>
      <w:r>
        <w:rPr>
          <w:b/>
          <w:i/>
        </w:rPr>
        <w:t xml:space="preserve">Диетотерапия </w:t>
      </w:r>
    </w:p>
    <w:p w:rsidR="00097C5B" w:rsidRDefault="00172B91">
      <w:pPr>
        <w:spacing w:after="20" w:line="259" w:lineRule="auto"/>
        <w:ind w:left="643" w:firstLine="0"/>
        <w:jc w:val="left"/>
      </w:pPr>
      <w:r>
        <w:rPr>
          <w:i/>
        </w:rPr>
        <w:t xml:space="preserve"> </w:t>
      </w:r>
    </w:p>
    <w:p w:rsidR="00097C5B" w:rsidRDefault="00172B91">
      <w:pPr>
        <w:spacing w:after="16" w:line="259" w:lineRule="auto"/>
        <w:ind w:left="643" w:firstLine="0"/>
      </w:pPr>
      <w:r>
        <w:rPr>
          <w:i/>
        </w:rPr>
        <w:t xml:space="preserve">Не применяется. </w:t>
      </w:r>
    </w:p>
    <w:p w:rsidR="00097C5B" w:rsidRDefault="00172B91">
      <w:pPr>
        <w:spacing w:after="30" w:line="259" w:lineRule="auto"/>
        <w:ind w:left="643" w:firstLine="0"/>
        <w:jc w:val="left"/>
      </w:pPr>
      <w:r>
        <w:rPr>
          <w:i/>
        </w:rPr>
        <w:t xml:space="preserve"> </w:t>
      </w:r>
    </w:p>
    <w:p w:rsidR="00097C5B" w:rsidRDefault="00172B91">
      <w:pPr>
        <w:pStyle w:val="Heading5"/>
        <w:spacing w:after="0"/>
        <w:ind w:left="72"/>
        <w:jc w:val="left"/>
      </w:pPr>
      <w:r>
        <w:rPr>
          <w:i/>
          <w:u w:val="none"/>
        </w:rPr>
        <w:t xml:space="preserve">Обезболивание </w:t>
      </w:r>
    </w:p>
    <w:p w:rsidR="00097C5B" w:rsidRDefault="00172B91">
      <w:pPr>
        <w:spacing w:after="18" w:line="259" w:lineRule="auto"/>
        <w:ind w:left="643" w:firstLine="0"/>
        <w:jc w:val="left"/>
      </w:pPr>
      <w:r>
        <w:rPr>
          <w:b/>
          <w:i/>
        </w:rPr>
        <w:t xml:space="preserve"> </w:t>
      </w:r>
    </w:p>
    <w:p w:rsidR="00097C5B" w:rsidRDefault="00172B91">
      <w:pPr>
        <w:spacing w:after="16" w:line="259" w:lineRule="auto"/>
        <w:ind w:left="643" w:firstLine="0"/>
      </w:pPr>
      <w:r>
        <w:rPr>
          <w:i/>
        </w:rPr>
        <w:t xml:space="preserve">Обезболивание проводится при необходимости </w:t>
      </w:r>
    </w:p>
    <w:p w:rsidR="00097C5B" w:rsidRDefault="00172B91">
      <w:pPr>
        <w:spacing w:after="0" w:line="259" w:lineRule="auto"/>
        <w:ind w:left="643" w:firstLine="0"/>
        <w:jc w:val="left"/>
      </w:pPr>
      <w:r>
        <w:rPr>
          <w:b/>
          <w:i/>
        </w:rPr>
        <w:t xml:space="preserve"> </w:t>
      </w:r>
    </w:p>
    <w:p w:rsidR="00097C5B" w:rsidRDefault="00172B91">
      <w:pPr>
        <w:spacing w:after="126" w:line="259" w:lineRule="auto"/>
        <w:ind w:right="129"/>
        <w:jc w:val="right"/>
      </w:pPr>
      <w:r>
        <w:rPr>
          <w:b/>
        </w:rPr>
        <w:t>4. Медицинская реабилитация и санаторно-</w:t>
      </w:r>
      <w:r>
        <w:rPr>
          <w:b/>
        </w:rPr>
        <w:t xml:space="preserve">курортное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 </w:t>
      </w:r>
    </w:p>
    <w:p w:rsidR="00097C5B" w:rsidRDefault="00172B91">
      <w:pPr>
        <w:spacing w:after="318" w:line="397" w:lineRule="auto"/>
        <w:ind w:left="643" w:right="94" w:hanging="485"/>
        <w:jc w:val="left"/>
      </w:pPr>
      <w:r>
        <w:t xml:space="preserve">Не применяется. </w:t>
      </w:r>
    </w:p>
    <w:p w:rsidR="00097C5B" w:rsidRDefault="00172B91">
      <w:pPr>
        <w:pStyle w:val="Heading6"/>
        <w:spacing w:line="338" w:lineRule="auto"/>
        <w:ind w:left="62" w:firstLine="708"/>
      </w:pPr>
      <w:r>
        <w:t>5. Профилактика и диспансерное наблюдение, медицинские показания и противопоказания к применению методов профилактики, в том числе основанных на использовании природных лечебных факторов</w:t>
      </w:r>
      <w:r>
        <w:rPr>
          <w:rFonts w:ascii="Arial" w:eastAsia="Arial" w:hAnsi="Arial" w:cs="Arial"/>
          <w:sz w:val="40"/>
        </w:rPr>
        <w:t xml:space="preserve"> </w:t>
      </w:r>
    </w:p>
    <w:p w:rsidR="00097C5B" w:rsidRDefault="00172B91">
      <w:pPr>
        <w:spacing w:after="44" w:line="369" w:lineRule="auto"/>
        <w:ind w:left="72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Рекомендовано:</w:t>
      </w:r>
      <w:r>
        <w:t xml:space="preserve"> взрослым защищать кожу от избыточного воздействия с</w:t>
      </w:r>
      <w:r>
        <w:t xml:space="preserve">олнечных лучей как одного из причинных факторов формирования кожного рога с профилактической целью [27]. </w:t>
      </w:r>
    </w:p>
    <w:p w:rsidR="00097C5B" w:rsidRDefault="00172B91">
      <w:pPr>
        <w:spacing w:after="126" w:line="259" w:lineRule="auto"/>
        <w:ind w:right="-8"/>
        <w:jc w:val="right"/>
      </w:pPr>
      <w:r>
        <w:rPr>
          <w:b/>
        </w:rPr>
        <w:t>Уровень убедительности рекомендаций С</w:t>
      </w:r>
      <w:r>
        <w:t xml:space="preserve"> </w:t>
      </w:r>
      <w:r>
        <w:rPr>
          <w:b/>
        </w:rPr>
        <w:t xml:space="preserve">(уровень достоверности доказательств </w:t>
      </w:r>
    </w:p>
    <w:p w:rsidR="00097C5B" w:rsidRDefault="00172B91">
      <w:pPr>
        <w:pStyle w:val="Heading4"/>
        <w:spacing w:after="163"/>
        <w:ind w:left="72"/>
      </w:pPr>
      <w:r>
        <w:t xml:space="preserve">– 5) </w:t>
      </w:r>
    </w:p>
    <w:p w:rsidR="00097C5B" w:rsidRDefault="00172B91">
      <w:pPr>
        <w:spacing w:line="402" w:lineRule="auto"/>
        <w:ind w:left="72"/>
      </w:pPr>
      <w:r>
        <w:rPr>
          <w:rFonts w:ascii="Calibri" w:eastAsia="Calibri" w:hAnsi="Calibri" w:cs="Calibri"/>
        </w:rPr>
        <w:t>●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Рекомендовано</w:t>
      </w:r>
      <w:r>
        <w:t>: регулярный полный осмотр кожных покровов у взрослых</w:t>
      </w:r>
      <w:r>
        <w:t xml:space="preserve"> пациентов с кожным рогом с целью диагностики новых образований [27]. </w:t>
      </w:r>
    </w:p>
    <w:p w:rsidR="00097C5B" w:rsidRDefault="00172B91">
      <w:pPr>
        <w:spacing w:after="126" w:line="259" w:lineRule="auto"/>
        <w:ind w:right="-8"/>
        <w:jc w:val="right"/>
      </w:pPr>
      <w:r>
        <w:rPr>
          <w:b/>
        </w:rPr>
        <w:t>Уровень убедительности рекомендаций С</w:t>
      </w:r>
      <w:r>
        <w:t xml:space="preserve"> </w:t>
      </w:r>
      <w:r>
        <w:rPr>
          <w:b/>
        </w:rPr>
        <w:t xml:space="preserve">(уровень достоверности доказательств </w:t>
      </w:r>
    </w:p>
    <w:p w:rsidR="00097C5B" w:rsidRDefault="00172B91">
      <w:pPr>
        <w:pStyle w:val="Heading4"/>
        <w:spacing w:after="380" w:line="391" w:lineRule="auto"/>
        <w:ind w:left="72"/>
      </w:pPr>
      <w:r>
        <w:t xml:space="preserve">– 5) Диспансерное наблюдение </w:t>
      </w:r>
      <w:r>
        <w:rPr>
          <w:b w:val="0"/>
        </w:rPr>
        <w:t xml:space="preserve">Не требуется </w:t>
      </w:r>
    </w:p>
    <w:p w:rsidR="00097C5B" w:rsidRDefault="00172B91">
      <w:pPr>
        <w:pStyle w:val="Heading5"/>
        <w:spacing w:after="184"/>
      </w:pPr>
      <w:r>
        <w:rPr>
          <w:u w:val="none"/>
        </w:rPr>
        <w:t xml:space="preserve">6. Организация медицинской помощи </w:t>
      </w:r>
    </w:p>
    <w:p w:rsidR="00097C5B" w:rsidRDefault="00172B91">
      <w:pPr>
        <w:spacing w:after="16" w:line="388" w:lineRule="auto"/>
        <w:ind w:left="62" w:firstLine="556"/>
      </w:pPr>
      <w:r>
        <w:rPr>
          <w:i/>
        </w:rPr>
        <w:t>Пациенты с наличием обоснованного подозрения на злокачественный характер поражения, либо с наличием подтвержденного, по данным обследования, злокачественного новообразования имеющего симптоматику кожного рога, должны быть направлены на обследование и лечен</w:t>
      </w:r>
      <w:r>
        <w:rPr>
          <w:i/>
        </w:rPr>
        <w:t>ие к врачу-онкологу</w:t>
      </w:r>
      <w:r>
        <w:t>/</w:t>
      </w:r>
      <w:r>
        <w:rPr>
          <w:i/>
        </w:rPr>
        <w:t>врачу-детскому онкологу/врачудетскому онкологу-гематологу. Направление пациентов должно производиться в соответствии с существующим порядком направления, с оформлением всей необходимой направительной документации и с занесением информац</w:t>
      </w:r>
      <w:r>
        <w:rPr>
          <w:i/>
        </w:rPr>
        <w:t xml:space="preserve">ии об этом в первичную медицинскую документацию пациента.  </w:t>
      </w:r>
    </w:p>
    <w:p w:rsidR="00097C5B" w:rsidRDefault="00172B91">
      <w:pPr>
        <w:spacing w:after="351" w:line="388" w:lineRule="auto"/>
        <w:ind w:left="785" w:firstLine="0"/>
      </w:pPr>
      <w:r>
        <w:rPr>
          <w:i/>
        </w:rPr>
        <w:t xml:space="preserve">В госпитализации в медицинскую организацию не нуждаются. </w:t>
      </w:r>
    </w:p>
    <w:p w:rsidR="00097C5B" w:rsidRDefault="00172B91">
      <w:pPr>
        <w:spacing w:after="68" w:line="402" w:lineRule="auto"/>
        <w:ind w:left="62" w:firstLine="708"/>
      </w:pPr>
      <w:r>
        <w:rPr>
          <w:b/>
        </w:rPr>
        <w:t xml:space="preserve">7. Дополнительная информация (в том числе факторы, влияющие на исход заболевания или состояния) </w:t>
      </w:r>
    </w:p>
    <w:p w:rsidR="00097C5B" w:rsidRDefault="00172B91">
      <w:pPr>
        <w:ind w:left="795"/>
      </w:pPr>
      <w:r>
        <w:t xml:space="preserve">Дополнительная информация отсутствует </w:t>
      </w:r>
    </w:p>
    <w:p w:rsidR="00097C5B" w:rsidRDefault="00172B91">
      <w:pPr>
        <w:pStyle w:val="Heading4"/>
        <w:ind w:left="795"/>
      </w:pPr>
      <w:r>
        <w:t>Кр</w:t>
      </w:r>
      <w:r>
        <w:t>итерии оценки качества медицинской помощи</w:t>
      </w:r>
      <w:r>
        <w:rPr>
          <w:rFonts w:ascii="Arial" w:eastAsia="Arial" w:hAnsi="Arial" w:cs="Arial"/>
          <w:b w:val="0"/>
          <w:sz w:val="40"/>
        </w:rPr>
        <w:t xml:space="preserve">  </w:t>
      </w:r>
    </w:p>
    <w:tbl>
      <w:tblPr>
        <w:tblStyle w:val="TableGrid"/>
        <w:tblW w:w="9348" w:type="dxa"/>
        <w:tblInd w:w="82" w:type="dxa"/>
        <w:tblCellMar>
          <w:top w:w="9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154"/>
        <w:gridCol w:w="5178"/>
        <w:gridCol w:w="3015"/>
      </w:tblGrid>
      <w:tr w:rsidR="00097C5B">
        <w:trPr>
          <w:trHeight w:val="425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№ п/п 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709" w:firstLine="0"/>
              <w:jc w:val="left"/>
            </w:pPr>
            <w:r>
              <w:t xml:space="preserve">Критерии качества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84" w:firstLine="0"/>
              <w:jc w:val="right"/>
            </w:pPr>
            <w:r>
              <w:t xml:space="preserve">Оценка выполнения </w:t>
            </w:r>
          </w:p>
        </w:tc>
      </w:tr>
      <w:tr w:rsidR="00097C5B">
        <w:trPr>
          <w:trHeight w:val="838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168" w:firstLine="0"/>
              <w:jc w:val="right"/>
            </w:pPr>
            <w:r>
              <w:t xml:space="preserve">1 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</w:pPr>
            <w:r>
              <w:t xml:space="preserve">Проведен прием (осмотр, консультация) врачомдерматовенерологом первичный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708" w:firstLine="0"/>
              <w:jc w:val="left"/>
            </w:pPr>
            <w:r>
              <w:t xml:space="preserve">Да/Нет </w:t>
            </w:r>
          </w:p>
        </w:tc>
      </w:tr>
      <w:tr w:rsidR="00097C5B">
        <w:trPr>
          <w:trHeight w:val="838"/>
        </w:trPr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168" w:firstLine="0"/>
              <w:jc w:val="right"/>
            </w:pPr>
            <w:r>
              <w:t xml:space="preserve">2 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tabs>
                <w:tab w:val="center" w:pos="1604"/>
                <w:tab w:val="center" w:pos="2485"/>
                <w:tab w:val="center" w:pos="3192"/>
                <w:tab w:val="right" w:pos="5020"/>
              </w:tabs>
              <w:spacing w:after="167" w:line="259" w:lineRule="auto"/>
              <w:ind w:left="0" w:firstLine="0"/>
              <w:jc w:val="left"/>
            </w:pPr>
            <w:r>
              <w:t xml:space="preserve">Проведен </w:t>
            </w:r>
            <w:r>
              <w:tab/>
              <w:t xml:space="preserve">осмотр </w:t>
            </w:r>
            <w:r>
              <w:tab/>
              <w:t xml:space="preserve">кожи </w:t>
            </w:r>
            <w:r>
              <w:tab/>
              <w:t xml:space="preserve">под </w:t>
            </w:r>
            <w:r>
              <w:tab/>
              <w:t xml:space="preserve">увеличением </w:t>
            </w:r>
          </w:p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(дерматоскопия) 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708" w:firstLine="0"/>
              <w:jc w:val="left"/>
            </w:pPr>
            <w:r>
              <w:t xml:space="preserve">Да/Нет </w:t>
            </w:r>
          </w:p>
        </w:tc>
      </w:tr>
    </w:tbl>
    <w:p w:rsidR="00097C5B" w:rsidRDefault="00172B91">
      <w:pPr>
        <w:spacing w:after="673" w:line="259" w:lineRule="auto"/>
        <w:ind w:left="77" w:firstLine="0"/>
        <w:jc w:val="left"/>
      </w:pPr>
      <w:r>
        <w:t xml:space="preserve"> </w:t>
      </w:r>
    </w:p>
    <w:p w:rsidR="00097C5B" w:rsidRDefault="00172B91">
      <w:pPr>
        <w:pStyle w:val="Heading4"/>
        <w:spacing w:after="69"/>
        <w:ind w:left="795"/>
      </w:pPr>
      <w:r>
        <w:t>Список литературы</w:t>
      </w:r>
      <w:r>
        <w:rPr>
          <w:rFonts w:ascii="Arial" w:eastAsia="Arial" w:hAnsi="Arial" w:cs="Arial"/>
          <w:sz w:val="40"/>
        </w:rPr>
        <w:t xml:space="preserve"> </w:t>
      </w:r>
    </w:p>
    <w:p w:rsidR="00097C5B" w:rsidRDefault="00172B91">
      <w:pPr>
        <w:numPr>
          <w:ilvl w:val="0"/>
          <w:numId w:val="3"/>
        </w:numPr>
        <w:spacing w:after="47" w:line="270" w:lineRule="auto"/>
        <w:ind w:hanging="360"/>
      </w:pPr>
      <w:r>
        <w:rPr>
          <w:color w:val="1C1D1E"/>
        </w:rPr>
        <w:t xml:space="preserve">Дерматоонкология. Галил-Оглы, Г.; Молочков, В.; Сергеев, Ю.; Изд-во: Медицина для всех, 2005 г.; ISBN: 5-93649-019-X.; Онкодерматология : атлас : учебное пособие 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 xml:space="preserve">/ И. А. Ламоткин. — М. : Лаборатория знаний, 2017. — 878 с. </w:t>
      </w:r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 xml:space="preserve">Mantese SA, Diogo PM, Rocha A, Berbert AL, Ferreira AK, Ferreira TC. Cutaneous horn: a retrospective histopathological study of 222 cases. An Bras Dermatol. 2010 MarApr;85(2):157-63. </w:t>
      </w:r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t xml:space="preserve">Kossard, S. and </w:t>
      </w:r>
      <w:r>
        <w:rPr>
          <w:color w:val="1C1D1E"/>
        </w:rPr>
        <w:t>Amiri, A. (2020), Onycholemmal variant of keratoacanthom</w:t>
      </w:r>
      <w:r>
        <w:rPr>
          <w:color w:val="1C1D1E"/>
        </w:rPr>
        <w:t>a centrifugum marginatum as an expression of mutated committed stem cells in a conceptual pathway. Australas J Dermatol, 61: e354-e357.</w:t>
      </w:r>
      <w:hyperlink r:id="rId6">
        <w:r>
          <w:rPr>
            <w:color w:val="1C1D1E"/>
          </w:rPr>
          <w:t xml:space="preserve"> </w:t>
        </w:r>
      </w:hyperlink>
      <w:hyperlink r:id="rId7">
        <w:r>
          <w:rPr>
            <w:color w:val="1C1D1E"/>
          </w:rPr>
          <w:t>https://doi.or</w:t>
        </w:r>
        <w:r>
          <w:rPr>
            <w:color w:val="1C1D1E"/>
          </w:rPr>
          <w:t>g/10.1111/ajd.13271</w:t>
        </w:r>
      </w:hyperlink>
      <w:hyperlink r:id="rId8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34" w:line="270" w:lineRule="auto"/>
        <w:ind w:hanging="360"/>
      </w:pPr>
      <w:r>
        <w:rPr>
          <w:color w:val="1C1D1E"/>
        </w:rPr>
        <w:t xml:space="preserve">Onak </w:t>
      </w:r>
      <w:r>
        <w:rPr>
          <w:color w:val="1C1D1E"/>
        </w:rPr>
        <w:tab/>
        <w:t xml:space="preserve">Kandemir, Nilufer, Gun, Banu </w:t>
      </w:r>
      <w:r>
        <w:rPr>
          <w:color w:val="1C1D1E"/>
        </w:rPr>
        <w:tab/>
        <w:t xml:space="preserve">Dogan, Barut, Figen, Solak 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 xml:space="preserve">Tekin, Nilgun, Ozdamar, Sukru Oguz, Cutaneous Horn-Related Kaposi′s Sarcoma: A 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 xml:space="preserve">Case </w:t>
      </w:r>
      <w:r>
        <w:rPr>
          <w:color w:val="1C1D1E"/>
        </w:rPr>
        <w:tab/>
        <w:t xml:space="preserve">Report, Case </w:t>
      </w:r>
      <w:r>
        <w:rPr>
          <w:color w:val="1C1D1E"/>
        </w:rPr>
        <w:tab/>
        <w:t xml:space="preserve">Reports </w:t>
      </w:r>
      <w:r>
        <w:rPr>
          <w:color w:val="1C1D1E"/>
        </w:rPr>
        <w:tab/>
        <w:t xml:space="preserve">in </w:t>
      </w:r>
      <w:r>
        <w:rPr>
          <w:color w:val="1C1D1E"/>
        </w:rPr>
        <w:tab/>
        <w:t>Medic</w:t>
      </w:r>
      <w:r>
        <w:rPr>
          <w:color w:val="1C1D1E"/>
        </w:rPr>
        <w:t xml:space="preserve">ine, 2010, </w:t>
      </w:r>
      <w:r>
        <w:rPr>
          <w:color w:val="1C1D1E"/>
        </w:rPr>
        <w:tab/>
        <w:t xml:space="preserve">825949, </w:t>
      </w:r>
      <w:r>
        <w:rPr>
          <w:color w:val="1C1D1E"/>
        </w:rPr>
        <w:tab/>
        <w:t>3 pages, 2010.</w:t>
      </w:r>
      <w:hyperlink r:id="rId9">
        <w:r>
          <w:rPr>
            <w:color w:val="1C1D1E"/>
          </w:rPr>
          <w:t xml:space="preserve"> </w:t>
        </w:r>
      </w:hyperlink>
      <w:hyperlink r:id="rId10">
        <w:r>
          <w:rPr>
            <w:color w:val="1C1D1E"/>
          </w:rPr>
          <w:t>https://doi.org/10.1155/2010/825949</w:t>
        </w:r>
      </w:hyperlink>
      <w:hyperlink r:id="rId11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>Endo, C., Tsunemi, Y., Fukuya, Y. and Kawashima, M. (2017), Solitary angiokeratoma presenting as cutaneous horn. J Dermatol, 44: e192-e193.</w:t>
      </w:r>
      <w:hyperlink r:id="rId12">
        <w:r>
          <w:rPr>
            <w:color w:val="1C1D1E"/>
          </w:rPr>
          <w:t xml:space="preserve"> </w:t>
        </w:r>
      </w:hyperlink>
      <w:hyperlink r:id="rId13">
        <w:r>
          <w:rPr>
            <w:color w:val="1C1D1E"/>
          </w:rPr>
          <w:t>https://doi.org/10.1111/1346</w:t>
        </w:r>
      </w:hyperlink>
      <w:hyperlink r:id="rId14"/>
      <w:hyperlink r:id="rId15">
        <w:r>
          <w:rPr>
            <w:color w:val="1C1D1E"/>
          </w:rPr>
          <w:t>8138.13864</w:t>
        </w:r>
      </w:hyperlink>
      <w:hyperlink r:id="rId16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>Ghosh, S.K., Bandyopadhyay, D. and Gh</w:t>
      </w:r>
      <w:r>
        <w:rPr>
          <w:color w:val="1C1D1E"/>
        </w:rPr>
        <w:t>oshal, L. (2012), Solitary angiokeratoma presenting as a cutaneous horn. International Journal of Dermatology, 51: 313-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>315.</w:t>
      </w:r>
      <w:hyperlink r:id="rId17">
        <w:r>
          <w:rPr>
            <w:color w:val="1C1D1E"/>
          </w:rPr>
          <w:t xml:space="preserve"> </w:t>
        </w:r>
      </w:hyperlink>
      <w:hyperlink r:id="rId18">
        <w:r>
          <w:rPr>
            <w:color w:val="1C1D1E"/>
          </w:rPr>
          <w:t>https://doi.org/10.1111/j.1365</w:t>
        </w:r>
      </w:hyperlink>
      <w:hyperlink r:id="rId19">
        <w:r>
          <w:rPr>
            <w:color w:val="1C1D1E"/>
          </w:rPr>
          <w:t>-</w:t>
        </w:r>
      </w:hyperlink>
      <w:hyperlink r:id="rId20">
        <w:r>
          <w:rPr>
            <w:color w:val="1C1D1E"/>
          </w:rPr>
          <w:t>4632.2011.05262.x</w:t>
        </w:r>
      </w:hyperlink>
      <w:hyperlink r:id="rId21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 xml:space="preserve">Yu RC, Pryce DW, Macfarlane AW, Stewart TW. A histopathological study of 643 cutaneous horns. Br J Dermatol. 1991;124:449–452. </w:t>
      </w:r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 xml:space="preserve">Copcu E, Sivrioglu N, Culhaci N. Cutaneous horns: are these lesions as innocent as they seem to be? World J Surg Oncol. 2004 </w:t>
      </w:r>
      <w:r>
        <w:rPr>
          <w:color w:val="1C1D1E"/>
        </w:rPr>
        <w:t xml:space="preserve">Jun 03;2:18. </w:t>
      </w:r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>Cardis, M.A. and Kirkorian, A.Y. (2017), Giant Cutaneous Horn Arising in an Epidermal Nevus. Pediatr Dermatol, 34: e290-e291.</w:t>
      </w:r>
      <w:hyperlink r:id="rId22">
        <w:r>
          <w:rPr>
            <w:color w:val="1C1D1E"/>
          </w:rPr>
          <w:t xml:space="preserve"> </w:t>
        </w:r>
      </w:hyperlink>
      <w:hyperlink r:id="rId23">
        <w:r>
          <w:rPr>
            <w:color w:val="1C1D1E"/>
          </w:rPr>
          <w:t>https</w:t>
        </w:r>
      </w:hyperlink>
      <w:hyperlink r:id="rId24">
        <w:r>
          <w:rPr>
            <w:color w:val="1C1D1E"/>
          </w:rPr>
          <w:t>://</w:t>
        </w:r>
      </w:hyperlink>
      <w:hyperlink r:id="rId25">
        <w:r>
          <w:rPr>
            <w:color w:val="1C1D1E"/>
          </w:rPr>
          <w:t>doi</w:t>
        </w:r>
      </w:hyperlink>
      <w:hyperlink r:id="rId26">
        <w:r>
          <w:rPr>
            <w:color w:val="1C1D1E"/>
          </w:rPr>
          <w:t>.</w:t>
        </w:r>
      </w:hyperlink>
      <w:hyperlink r:id="rId27">
        <w:r>
          <w:rPr>
            <w:color w:val="1C1D1E"/>
          </w:rPr>
          <w:t>org</w:t>
        </w:r>
      </w:hyperlink>
      <w:hyperlink r:id="rId28">
        <w:r>
          <w:rPr>
            <w:color w:val="1C1D1E"/>
          </w:rPr>
          <w:t>/10.1111/</w:t>
        </w:r>
      </w:hyperlink>
      <w:hyperlink r:id="rId29">
        <w:r>
          <w:rPr>
            <w:color w:val="1C1D1E"/>
          </w:rPr>
          <w:t>pde</w:t>
        </w:r>
      </w:hyperlink>
      <w:hyperlink r:id="rId30">
        <w:r>
          <w:rPr>
            <w:color w:val="1C1D1E"/>
          </w:rPr>
          <w:t>.13221</w:t>
        </w:r>
      </w:hyperlink>
      <w:hyperlink r:id="rId31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 xml:space="preserve">Kumar S, Bijalwan P, Saini SK. Carcinoma buccal mucosa underlying a giant cutaneous horn: a case report and review of the literature. Case Rep Oncol Med. 2014;2014:518372. doi: 10.1155/2014/518372. Epub 2014 Jul 15. PMID: 25133002; PMCID: PMC4123614. </w:t>
      </w:r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>Shah</w:t>
      </w:r>
      <w:r>
        <w:rPr>
          <w:color w:val="1C1D1E"/>
        </w:rPr>
        <w:t xml:space="preserve">i, Sudha, Bhandari, Tika Ram, Pantha, Tridip, Verrucous Carcinoma in a Giant Cutaneous Horn: A Case Report and Literature Review, Case Reports in 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>Otolaryngology, 2020, 7134789, 3 pages, 2020.</w:t>
      </w:r>
      <w:hyperlink r:id="rId32">
        <w:r>
          <w:rPr>
            <w:color w:val="1C1D1E"/>
          </w:rPr>
          <w:t xml:space="preserve"> </w:t>
        </w:r>
      </w:hyperlink>
      <w:hyperlink r:id="rId33">
        <w:r>
          <w:rPr>
            <w:color w:val="1C1D1E"/>
          </w:rPr>
          <w:t>https://doi.org/10.1155/2020/7134789</w:t>
        </w:r>
      </w:hyperlink>
      <w:hyperlink r:id="rId34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>Zhang, L.-w. and Chen, T. (2022), Cutaneous horn due to cutaneous squamous cell carcinoma. Med J Aust, 217: 586-5</w:t>
      </w:r>
      <w:r>
        <w:rPr>
          <w:color w:val="1C1D1E"/>
        </w:rPr>
        <w:t>86.</w:t>
      </w:r>
      <w:hyperlink r:id="rId35">
        <w:r>
          <w:rPr>
            <w:color w:val="1C1D1E"/>
          </w:rPr>
          <w:t xml:space="preserve"> </w:t>
        </w:r>
      </w:hyperlink>
      <w:hyperlink r:id="rId36">
        <w:r>
          <w:rPr>
            <w:color w:val="1C1D1E"/>
          </w:rPr>
          <w:t>https://doi.org/10.5694/mja2.51781</w:t>
        </w:r>
      </w:hyperlink>
      <w:hyperlink r:id="rId37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3"/>
        </w:numPr>
        <w:spacing w:after="54" w:line="270" w:lineRule="auto"/>
        <w:ind w:hanging="360"/>
      </w:pPr>
      <w:r>
        <w:rPr>
          <w:color w:val="1C1D1E"/>
        </w:rPr>
        <w:t xml:space="preserve">Spira J, Rabinovitz H. Cutaneous horn present for two </w:t>
      </w:r>
      <w:r>
        <w:rPr>
          <w:color w:val="1C1D1E"/>
        </w:rPr>
        <w:t xml:space="preserve">months. Dermatol Online J. 2000;6:11. </w:t>
      </w:r>
    </w:p>
    <w:p w:rsidR="00097C5B" w:rsidRDefault="00172B91">
      <w:pPr>
        <w:numPr>
          <w:ilvl w:val="0"/>
          <w:numId w:val="3"/>
        </w:numPr>
        <w:spacing w:after="8" w:line="270" w:lineRule="auto"/>
        <w:ind w:hanging="360"/>
      </w:pPr>
      <w:r>
        <w:rPr>
          <w:color w:val="1C1D1E"/>
        </w:rPr>
        <w:t>Fallieri, Lucas &amp; Ferreira, Gabriela &amp; Barbosa, Beatriz &amp; Araújo, Marcelo &amp; Henrique, Paulo &amp; Servato, João Paulo. (2021). Cutaneous horn occurring on the oral tissues: report of a case and review of literature. Jorna</w:t>
      </w:r>
      <w:r>
        <w:rPr>
          <w:color w:val="1C1D1E"/>
        </w:rPr>
        <w:t xml:space="preserve">l Brasileiro de Patologia e Medicina Laboratorial. 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 xml:space="preserve">57. 10.5935/1676-2444.20210032.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Kneitz H, Motschenbacher S, Wobser M, Goebeler M. Photoletter to the editor: Giant cutaneous horn associated with squamous cell carcinoma. J Dermatol Case Rep. 2015 Mar 31</w:t>
      </w:r>
      <w:r>
        <w:rPr>
          <w:color w:val="1C1D1E"/>
        </w:rPr>
        <w:t xml:space="preserve">;9(1):27-8.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 xml:space="preserve">Yang JH, Kim DH, Lee JS, et al. A case of cutaneous horn originating from keratoacanthoma. Ann Dermatol. 2011 Feb. 23(1):89-91.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Sathyanarayana SA, Deutsch GB, Edelman M, Cohen-Kashi KJ. Cutaneous horn: a malignant lesion? A brief review of th</w:t>
      </w:r>
      <w:r>
        <w:rPr>
          <w:color w:val="1C1D1E"/>
        </w:rPr>
        <w:t xml:space="preserve">e literature. Dermatol Surg. 2012 Feb. 38(2):285-7. </w:t>
      </w:r>
    </w:p>
    <w:p w:rsidR="00097C5B" w:rsidRDefault="00172B91">
      <w:pPr>
        <w:numPr>
          <w:ilvl w:val="0"/>
          <w:numId w:val="4"/>
        </w:numPr>
        <w:spacing w:after="45" w:line="270" w:lineRule="auto"/>
        <w:ind w:hanging="360"/>
      </w:pPr>
      <w:r>
        <w:rPr>
          <w:color w:val="1C1D1E"/>
        </w:rPr>
        <w:t>Ashchyan, H., Treat, J. and Rubin, A. (2018), A facial cutaneous horn. Pediatr Dermatol, 35: 515-516.</w:t>
      </w:r>
      <w:hyperlink r:id="rId38">
        <w:r>
          <w:rPr>
            <w:color w:val="1C1D1E"/>
          </w:rPr>
          <w:t xml:space="preserve"> </w:t>
        </w:r>
      </w:hyperlink>
      <w:hyperlink r:id="rId39">
        <w:r>
          <w:rPr>
            <w:color w:val="1C1D1E"/>
          </w:rPr>
          <w:t>https://doi.org/10.1111/pde.13462</w:t>
        </w:r>
      </w:hyperlink>
      <w:hyperlink r:id="rId40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Martínez-Gayosso, A., Dávalos-Tanaka, M., González-González, M., Sáez-de-Ocariz, M. and Orozco-Covarrubias, L. (2022)</w:t>
      </w:r>
      <w:r>
        <w:rPr>
          <w:color w:val="1C1D1E"/>
        </w:rPr>
        <w:t>, Cutaneous horn on the arm of an adolescent male. Pediatr Dermatol, 39: 982-984.</w:t>
      </w:r>
      <w:hyperlink r:id="rId41">
        <w:r>
          <w:rPr>
            <w:color w:val="1C1D1E"/>
          </w:rPr>
          <w:t xml:space="preserve"> </w:t>
        </w:r>
      </w:hyperlink>
      <w:hyperlink r:id="rId42">
        <w:r>
          <w:rPr>
            <w:color w:val="1C1D1E"/>
          </w:rPr>
          <w:t>https://doi.org/10.1111/pde.15119</w:t>
        </w:r>
      </w:hyperlink>
      <w:hyperlink r:id="rId43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 xml:space="preserve">Arribas, M.P., Betlloch, I., Soro, P. and Alfonso, R. (2013), Giant Cutaneous Horn on the </w:t>
      </w:r>
    </w:p>
    <w:p w:rsidR="00097C5B" w:rsidRDefault="00172B91">
      <w:pPr>
        <w:tabs>
          <w:tab w:val="center" w:pos="1202"/>
          <w:tab w:val="center" w:pos="2240"/>
          <w:tab w:val="center" w:pos="2928"/>
          <w:tab w:val="center" w:pos="3943"/>
          <w:tab w:val="center" w:pos="5334"/>
          <w:tab w:val="center" w:pos="6955"/>
          <w:tab w:val="center" w:pos="8305"/>
          <w:tab w:val="right" w:pos="9438"/>
        </w:tabs>
        <w:spacing w:after="2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color w:val="1C1D1E"/>
        </w:rPr>
        <w:t xml:space="preserve">Forearm </w:t>
      </w:r>
      <w:r>
        <w:rPr>
          <w:color w:val="1C1D1E"/>
        </w:rPr>
        <w:tab/>
        <w:t xml:space="preserve">of </w:t>
      </w:r>
      <w:r>
        <w:rPr>
          <w:color w:val="1C1D1E"/>
        </w:rPr>
        <w:tab/>
        <w:t xml:space="preserve">a </w:t>
      </w:r>
      <w:r>
        <w:rPr>
          <w:color w:val="1C1D1E"/>
        </w:rPr>
        <w:tab/>
        <w:t xml:space="preserve">Neonate. </w:t>
      </w:r>
      <w:r>
        <w:rPr>
          <w:color w:val="1C1D1E"/>
        </w:rPr>
        <w:tab/>
        <w:t xml:space="preserve">Pediatric </w:t>
      </w:r>
      <w:r>
        <w:rPr>
          <w:color w:val="1C1D1E"/>
        </w:rPr>
        <w:tab/>
        <w:t xml:space="preserve">Dermatology, </w:t>
      </w:r>
      <w:r>
        <w:rPr>
          <w:color w:val="1C1D1E"/>
        </w:rPr>
        <w:tab/>
        <w:t xml:space="preserve">30: </w:t>
      </w:r>
      <w:r>
        <w:rPr>
          <w:color w:val="1C1D1E"/>
        </w:rPr>
        <w:tab/>
        <w:t>261-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>262.</w:t>
      </w:r>
      <w:hyperlink r:id="rId44">
        <w:r>
          <w:rPr>
            <w:color w:val="1C1D1E"/>
          </w:rPr>
          <w:t xml:space="preserve"> </w:t>
        </w:r>
      </w:hyperlink>
      <w:hyperlink r:id="rId45">
        <w:r>
          <w:rPr>
            <w:color w:val="1C1D1E"/>
          </w:rPr>
          <w:t>https://doi.org/10.1111/j.1525</w:t>
        </w:r>
      </w:hyperlink>
      <w:hyperlink r:id="rId46">
        <w:r>
          <w:rPr>
            <w:color w:val="1C1D1E"/>
          </w:rPr>
          <w:t>-</w:t>
        </w:r>
      </w:hyperlink>
      <w:hyperlink r:id="rId47">
        <w:r>
          <w:rPr>
            <w:color w:val="1C1D1E"/>
          </w:rPr>
          <w:t>1470.2012.01760.x</w:t>
        </w:r>
      </w:hyperlink>
      <w:hyperlink r:id="rId48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 xml:space="preserve">Pyne J, Sapkota D, Wong JC. Cutaneous horns: clues to invasive squamous cell carcinoma being present in the horn base. Dermatol Pract Concept. 2013 Apr;3(2):3-7.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Leppard W, Loungani R, Sa</w:t>
      </w:r>
      <w:r>
        <w:rPr>
          <w:color w:val="1C1D1E"/>
        </w:rPr>
        <w:t xml:space="preserve">ylors B, Delaney K. Mythology to reality: case report on a giant cutaneous horn of the scalp in an African American female. J Plast Reconstr Aesthet Surg. 2014 Jan. 67(1):e22-4.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Nthumba PM. Giant cutaneous horn in an African woman: a case report. J Med Ca</w:t>
      </w:r>
      <w:r>
        <w:rPr>
          <w:color w:val="1C1D1E"/>
        </w:rPr>
        <w:t xml:space="preserve">se Rep. 2007 Dec 5. 1:170.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 xml:space="preserve">Fernandes NF, Sinha S, Lambert WC, Schwartz RA. Cutaneous horn: a potentially malignant entity. Acta Dermatovenerol Alp Pannonica Adriat. 2009 Dec;18(4):189-93. </w:t>
      </w:r>
    </w:p>
    <w:p w:rsidR="00097C5B" w:rsidRDefault="00172B91">
      <w:pPr>
        <w:numPr>
          <w:ilvl w:val="0"/>
          <w:numId w:val="4"/>
        </w:numPr>
        <w:spacing w:after="54" w:line="270" w:lineRule="auto"/>
        <w:ind w:hanging="360"/>
      </w:pPr>
      <w:r>
        <w:rPr>
          <w:color w:val="1C1D1E"/>
        </w:rPr>
        <w:t>[Soriano LF, Piansay-Soriano ME. A rapidly growing giant cutaneous</w:t>
      </w:r>
      <w:r>
        <w:rPr>
          <w:color w:val="1C1D1E"/>
        </w:rPr>
        <w:t xml:space="preserve"> horn on the chest. J Dermatol Case Rep. 2015 Dec 31;9(4):113-5.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Gaultier, F., Ejeil, A., Lepelletier, F., Gogly, B., Chérifi, H., Bayet, K., &amp; Dridi, S.M. (2019). Clinical and histopathological features of a lingual mucosal horn: First time described cli</w:t>
      </w:r>
      <w:r>
        <w:rPr>
          <w:color w:val="1C1D1E"/>
        </w:rPr>
        <w:t xml:space="preserve">nical case series. Dental, Oral and Maxillofacial Research. </w:t>
      </w:r>
    </w:p>
    <w:p w:rsidR="00097C5B" w:rsidRDefault="00172B91">
      <w:pPr>
        <w:numPr>
          <w:ilvl w:val="0"/>
          <w:numId w:val="4"/>
        </w:numPr>
        <w:spacing w:after="44" w:line="270" w:lineRule="auto"/>
        <w:ind w:hanging="360"/>
      </w:pPr>
      <w:r>
        <w:rPr>
          <w:color w:val="1C1D1E"/>
        </w:rPr>
        <w:t xml:space="preserve">Cutaneous Horn Bruce H. Thiers; Nicholas Strat; Alan N. Snyder; Patrick M. Zito StatPearls [Internet], Treasure Island (FL): StatPearls Publishing; 2026 Jan-. </w:t>
      </w:r>
      <w:hyperlink r:id="rId49">
        <w:r>
          <w:rPr>
            <w:color w:val="0000FF"/>
            <w:u w:val="single" w:color="0000FF"/>
          </w:rPr>
          <w:t>https://www.ncbi.nlm.nih.gov/books/NBK563280/</w:t>
        </w:r>
      </w:hyperlink>
      <w:hyperlink r:id="rId50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4"/>
        </w:numPr>
        <w:spacing w:after="0" w:line="321" w:lineRule="auto"/>
        <w:ind w:hanging="360"/>
      </w:pPr>
      <w:r>
        <w:rPr>
          <w:color w:val="1C1D1E"/>
        </w:rPr>
        <w:t xml:space="preserve">Практические рекомендации RUSSCO, </w:t>
      </w:r>
      <w:r>
        <w:rPr>
          <w:color w:val="1C1D1E"/>
        </w:rPr>
        <w:tab/>
        <w:t xml:space="preserve">часть </w:t>
      </w:r>
      <w:r>
        <w:rPr>
          <w:color w:val="1C1D1E"/>
        </w:rPr>
        <w:tab/>
        <w:t xml:space="preserve">1. </w:t>
      </w:r>
      <w:r>
        <w:rPr>
          <w:color w:val="1C1D1E"/>
        </w:rPr>
        <w:tab/>
        <w:t xml:space="preserve">Злокачественные опухоли,. 2023 (том </w:t>
      </w:r>
      <w:r>
        <w:rPr>
          <w:color w:val="1C1D1E"/>
        </w:rPr>
        <w:tab/>
        <w:t xml:space="preserve">13), </w:t>
      </w:r>
      <w:r>
        <w:rPr>
          <w:color w:val="1C1D1E"/>
        </w:rPr>
        <w:tab/>
        <w:t xml:space="preserve">#3s2, </w:t>
      </w:r>
      <w:r>
        <w:rPr>
          <w:color w:val="1C1D1E"/>
        </w:rPr>
        <w:tab/>
        <w:t xml:space="preserve">стр. </w:t>
      </w:r>
      <w:r>
        <w:rPr>
          <w:color w:val="1C1D1E"/>
        </w:rPr>
        <w:tab/>
        <w:t xml:space="preserve">311–334. </w:t>
      </w:r>
      <w:r>
        <w:rPr>
          <w:color w:val="1C1D1E"/>
        </w:rPr>
        <w:tab/>
        <w:t>ЗЛО</w:t>
      </w:r>
      <w:r>
        <w:rPr>
          <w:color w:val="1C1D1E"/>
        </w:rPr>
        <w:t xml:space="preserve">КАЧЕСТВЕННЫЕ. НЕМЕЛАНОЦИТАРНЫЕ ОПУХОЛИ. </w:t>
      </w:r>
    </w:p>
    <w:p w:rsidR="00097C5B" w:rsidRDefault="00172B91">
      <w:pPr>
        <w:numPr>
          <w:ilvl w:val="0"/>
          <w:numId w:val="4"/>
        </w:numPr>
        <w:spacing w:after="8" w:line="270" w:lineRule="auto"/>
        <w:ind w:hanging="360"/>
      </w:pPr>
      <w:r>
        <w:rPr>
          <w:color w:val="1C1D1E"/>
        </w:rPr>
        <w:t>Potenza, Concetta</w:t>
      </w:r>
      <w:r>
        <w:t xml:space="preserve">, </w:t>
      </w:r>
      <w:r>
        <w:rPr>
          <w:color w:val="1C1D1E"/>
        </w:rPr>
        <w:t>Bernardini, Nicoletta</w:t>
      </w:r>
      <w:r>
        <w:t xml:space="preserve">, </w:t>
      </w:r>
      <w:r>
        <w:rPr>
          <w:color w:val="1C1D1E"/>
        </w:rPr>
        <w:t>Balduzzi, Veronica</w:t>
      </w:r>
      <w:r>
        <w:t xml:space="preserve">, </w:t>
      </w:r>
      <w:r>
        <w:rPr>
          <w:color w:val="1C1D1E"/>
        </w:rPr>
        <w:t>Losco, Luigi</w:t>
      </w:r>
      <w:r>
        <w:t xml:space="preserve">, </w:t>
      </w:r>
      <w:r>
        <w:rPr>
          <w:color w:val="1C1D1E"/>
        </w:rPr>
        <w:t>Mambrin, Al essandra</w:t>
      </w:r>
      <w:r>
        <w:t xml:space="preserve">, </w:t>
      </w:r>
      <w:r>
        <w:rPr>
          <w:color w:val="1C1D1E"/>
        </w:rPr>
        <w:t>Marchesiello, Anna</w:t>
      </w:r>
      <w:r>
        <w:t xml:space="preserve">, </w:t>
      </w:r>
      <w:r>
        <w:rPr>
          <w:color w:val="1C1D1E"/>
        </w:rPr>
        <w:t>Tolino, Ersilia</w:t>
      </w:r>
      <w:r>
        <w:t xml:space="preserve">, </w:t>
      </w:r>
      <w:r>
        <w:rPr>
          <w:color w:val="1C1D1E"/>
        </w:rPr>
        <w:t>Zuber, Sara</w:t>
      </w:r>
      <w:r>
        <w:t xml:space="preserve">, </w:t>
      </w:r>
      <w:r>
        <w:rPr>
          <w:color w:val="1C1D1E"/>
        </w:rPr>
        <w:t>Skroza, Nevena</w:t>
      </w:r>
      <w:r>
        <w:t xml:space="preserve">, </w:t>
      </w:r>
      <w:r>
        <w:rPr>
          <w:color w:val="1C1D1E"/>
        </w:rPr>
        <w:t>Proietti, Ilari</w:t>
      </w:r>
    </w:p>
    <w:p w:rsidR="00097C5B" w:rsidRDefault="00172B91">
      <w:pPr>
        <w:spacing w:after="8" w:line="270" w:lineRule="auto"/>
        <w:ind w:left="797" w:firstLine="0"/>
      </w:pPr>
      <w:r>
        <w:rPr>
          <w:color w:val="1C1D1E"/>
        </w:rPr>
        <w:t>a</w:t>
      </w:r>
      <w:r>
        <w:t>, A Review of the Literature of Su</w:t>
      </w:r>
      <w:r>
        <w:t xml:space="preserve">rgical and Nonsurgical Treatments of Invasive </w:t>
      </w:r>
      <w:r>
        <w:rPr>
          <w:color w:val="1C1D1E"/>
        </w:rPr>
        <w:t>Squamous Cells Carcinoma, BioMed Research International, 2018, 9489163, 9 pages, 2018.</w:t>
      </w:r>
      <w:hyperlink r:id="rId51">
        <w:r>
          <w:rPr>
            <w:color w:val="1C1D1E"/>
          </w:rPr>
          <w:t xml:space="preserve"> </w:t>
        </w:r>
      </w:hyperlink>
      <w:hyperlink r:id="rId52">
        <w:r>
          <w:rPr>
            <w:color w:val="1C1D1E"/>
          </w:rPr>
          <w:t>https://doi</w:t>
        </w:r>
        <w:r>
          <w:rPr>
            <w:color w:val="1C1D1E"/>
          </w:rPr>
          <w:t>.org/10.1155/2018/9489163</w:t>
        </w:r>
      </w:hyperlink>
      <w:hyperlink r:id="rId53">
        <w:r>
          <w:rPr>
            <w:color w:val="1C1D1E"/>
          </w:rP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Yavuzekinci, Ü., Özcan, D. and Tülin Güleç, A. (2014), Kaposi’s sarcoma beneath a cutaneous horn. International Journal of Dermatology, 53: e65e67.</w:t>
      </w:r>
      <w:hyperlink r:id="rId54">
        <w:r>
          <w:t xml:space="preserve"> </w:t>
        </w:r>
      </w:hyperlink>
      <w:hyperlink r:id="rId55">
        <w:r>
          <w:rPr>
            <w:u w:val="single" w:color="000000"/>
          </w:rPr>
          <w:t>https://doi.org/10.1111/j.1365</w:t>
        </w:r>
      </w:hyperlink>
      <w:hyperlink r:id="rId56">
        <w:r>
          <w:rPr>
            <w:u w:val="single" w:color="000000"/>
          </w:rPr>
          <w:t>-</w:t>
        </w:r>
      </w:hyperlink>
      <w:hyperlink r:id="rId57">
        <w:r>
          <w:rPr>
            <w:u w:val="single" w:color="000000"/>
          </w:rPr>
          <w:t>4632.2012.05526.x</w:t>
        </w:r>
      </w:hyperlink>
      <w:hyperlink r:id="rId58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Abdelkader, H.A., Hamdan, J., Elbendary, A. and Abdel-</w:t>
      </w:r>
      <w:r>
        <w:t>Halim, M.R.E. (2022), Papillary eccrine adenoma presenting as a cutaneous horn. Int J Dermatol, 61: 874-</w:t>
      </w:r>
    </w:p>
    <w:p w:rsidR="00097C5B" w:rsidRDefault="00172B91">
      <w:pPr>
        <w:spacing w:after="23" w:line="259" w:lineRule="auto"/>
        <w:ind w:left="792"/>
        <w:jc w:val="left"/>
      </w:pPr>
      <w:r>
        <w:t>876.</w:t>
      </w:r>
      <w:hyperlink r:id="rId59">
        <w:r>
          <w:t xml:space="preserve"> </w:t>
        </w:r>
      </w:hyperlink>
      <w:hyperlink r:id="rId60">
        <w:r>
          <w:rPr>
            <w:u w:val="single" w:color="000000"/>
          </w:rPr>
          <w:t>https://doi.org/10.1111/ijd.15962</w:t>
        </w:r>
      </w:hyperlink>
      <w:hyperlink r:id="rId61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Bilenchi, R., Poggiali, S., De Paola, M., Batsikosta, N. and Fimiani, M. (2013), Keratotic Horn on Left Fifth Fingertip: Congenital Ectopic Nail Misdiagnosed as a Common Wart. Pediatric Dermatology, 30: 267-2</w:t>
      </w:r>
      <w:r>
        <w:t>69.</w:t>
      </w:r>
      <w:hyperlink r:id="rId62">
        <w:r>
          <w:t xml:space="preserve"> </w:t>
        </w:r>
      </w:hyperlink>
      <w:hyperlink r:id="rId63">
        <w:r>
          <w:rPr>
            <w:u w:val="single" w:color="000000"/>
          </w:rPr>
          <w:t>https://doi.org/10.1111/j.1525</w:t>
        </w:r>
      </w:hyperlink>
      <w:hyperlink r:id="rId64">
        <w:r>
          <w:rPr>
            <w:u w:val="single" w:color="000000"/>
          </w:rPr>
          <w:t>-</w:t>
        </w:r>
      </w:hyperlink>
      <w:hyperlink r:id="rId65">
        <w:r>
          <w:rPr>
            <w:u w:val="single" w:color="000000"/>
          </w:rPr>
          <w:t>1470.2011.01660.x</w:t>
        </w:r>
      </w:hyperlink>
      <w:hyperlink r:id="rId66">
        <w:r>
          <w:t xml:space="preserve"> </w:t>
        </w:r>
      </w:hyperlink>
      <w:r>
        <w:t xml:space="preserve"> </w:t>
      </w:r>
    </w:p>
    <w:p w:rsidR="00097C5B" w:rsidRDefault="00172B91">
      <w:pPr>
        <w:numPr>
          <w:ilvl w:val="0"/>
          <w:numId w:val="4"/>
        </w:numPr>
        <w:ind w:hanging="360"/>
      </w:pPr>
      <w:r>
        <w:t>Ho, J. and Bhawan, J. (2017), Folliculosebaceous neoplasms: A review of clinical and histological features. J Dermato</w:t>
      </w:r>
      <w:r>
        <w:t>l, 44: 259-278.</w:t>
      </w:r>
      <w:hyperlink r:id="rId67">
        <w:r>
          <w:t xml:space="preserve"> </w:t>
        </w:r>
      </w:hyperlink>
      <w:hyperlink r:id="rId68">
        <w:r>
          <w:rPr>
            <w:u w:val="single" w:color="000000"/>
          </w:rPr>
          <w:t>https://doi.org/10.1111/1346</w:t>
        </w:r>
      </w:hyperlink>
      <w:hyperlink r:id="rId69">
        <w:r>
          <w:rPr>
            <w:u w:val="single" w:color="000000"/>
          </w:rPr>
          <w:t>-</w:t>
        </w:r>
      </w:hyperlink>
      <w:hyperlink r:id="rId70">
        <w:r>
          <w:rPr>
            <w:u w:val="single" w:color="000000"/>
          </w:rPr>
          <w:t>8138.13773</w:t>
        </w:r>
      </w:hyperlink>
      <w:hyperlink r:id="rId71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rPr>
          <w:color w:val="1C1D1E"/>
        </w:rPr>
        <w:t xml:space="preserve">Williams, V.L., Cohen, P.R. and Stewart, </w:t>
      </w:r>
      <w:r>
        <w:t>D.J. (2011), Sorafenib-induced premalignant and malignant skin lesions. International Journal of Dermatology, 50: 396-</w:t>
      </w:r>
    </w:p>
    <w:p w:rsidR="00097C5B" w:rsidRDefault="00172B91">
      <w:pPr>
        <w:spacing w:after="23" w:line="259" w:lineRule="auto"/>
        <w:ind w:left="792"/>
        <w:jc w:val="left"/>
      </w:pPr>
      <w:r>
        <w:t>402.</w:t>
      </w:r>
      <w:hyperlink r:id="rId72">
        <w:r>
          <w:t xml:space="preserve"> </w:t>
        </w:r>
      </w:hyperlink>
      <w:hyperlink r:id="rId73">
        <w:r>
          <w:rPr>
            <w:u w:val="single" w:color="000000"/>
          </w:rPr>
          <w:t>https://doi.org/10.1111/j.1365</w:t>
        </w:r>
      </w:hyperlink>
      <w:hyperlink r:id="rId74">
        <w:r>
          <w:rPr>
            <w:u w:val="single" w:color="000000"/>
          </w:rPr>
          <w:t>-</w:t>
        </w:r>
      </w:hyperlink>
      <w:hyperlink r:id="rId75">
        <w:r>
          <w:rPr>
            <w:u w:val="single" w:color="000000"/>
          </w:rPr>
          <w:t>4632.2010.04822.x</w:t>
        </w:r>
      </w:hyperlink>
      <w:hyperlink r:id="rId76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Ishizuki, S., Nakamura, Y., Okiyama, N., Watanabe, R., Ishitsuka, Y. and Fujisawa, Y. (2020), Squamous cell carcinoma</w:t>
      </w:r>
      <w:r>
        <w:t xml:space="preserve"> of the nose presenting with a giant cutaneous horn: A unique clinical presentation. J Dermatol, 47: e185-e186.</w:t>
      </w:r>
      <w:hyperlink r:id="rId77">
        <w:r>
          <w:t xml:space="preserve"> </w:t>
        </w:r>
      </w:hyperlink>
      <w:hyperlink r:id="rId78">
        <w:r>
          <w:rPr>
            <w:u w:val="single" w:color="000000"/>
          </w:rPr>
          <w:t>https://doi.org/10.1111/13</w:t>
        </w:r>
      </w:hyperlink>
      <w:hyperlink r:id="rId79">
        <w:r>
          <w:rPr>
            <w:u w:val="single" w:color="000000"/>
          </w:rPr>
          <w:t>46</w:t>
        </w:r>
      </w:hyperlink>
      <w:hyperlink r:id="rId80"/>
      <w:hyperlink r:id="rId81">
        <w:r>
          <w:rPr>
            <w:u w:val="single" w:color="000000"/>
          </w:rPr>
          <w:t>8138.15279</w:t>
        </w:r>
      </w:hyperlink>
      <w:hyperlink r:id="rId82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Lebleb</w:t>
      </w:r>
      <w:r>
        <w:t>ici C, Yeni B, Erdem O, Aksu AEK, Bozkurt ER, Demirkesen C. Superficial variant of pilomatricoma, so-called pilomatricomal horn. J Cutan Pathol. 2019; 46: 801– 804.</w:t>
      </w:r>
      <w:hyperlink r:id="rId83">
        <w:r>
          <w:t xml:space="preserve"> </w:t>
        </w:r>
      </w:hyperlink>
      <w:hyperlink r:id="rId84">
        <w:r>
          <w:t>https://doi.org/10.1111/cup.13495</w:t>
        </w:r>
      </w:hyperlink>
      <w:hyperlink r:id="rId85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Matsudate, Y. and Kubo, Y. (2019), Case of angiokeratomas manifesting as cutaneous horns arising in chronic radiation dermatitis on the cheek. J Dermatol</w:t>
      </w:r>
      <w:r>
        <w:t>, 46: e388e390.</w:t>
      </w:r>
      <w:hyperlink r:id="rId86">
        <w:r>
          <w:t xml:space="preserve"> </w:t>
        </w:r>
      </w:hyperlink>
      <w:hyperlink r:id="rId87">
        <w:r>
          <w:t>https://doi.org/10</w:t>
        </w:r>
      </w:hyperlink>
      <w:hyperlink r:id="rId88">
        <w:r>
          <w:t>.1111/1346</w:t>
        </w:r>
      </w:hyperlink>
      <w:hyperlink r:id="rId89">
        <w:r>
          <w:t>-</w:t>
        </w:r>
      </w:hyperlink>
      <w:hyperlink r:id="rId90">
        <w:r>
          <w:t>8138.14917</w:t>
        </w:r>
      </w:hyperlink>
      <w:hyperlink r:id="rId91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spacing w:after="10" w:line="269" w:lineRule="auto"/>
        <w:ind w:hanging="360"/>
      </w:pPr>
      <w:r>
        <w:t>Iraji F, Ganjei Z, Kazemipour S. Cutaneous horn: A rare subtype of juvenile xanthogranuloma. Clin Cas</w:t>
      </w:r>
      <w:r>
        <w:t>e Rep. 2019;8(1):65–67.</w:t>
      </w:r>
      <w:hyperlink r:id="rId92">
        <w:r>
          <w:t xml:space="preserve"> </w:t>
        </w:r>
      </w:hyperlink>
      <w:hyperlink r:id="rId93">
        <w:r>
          <w:t>https://doi.org/10.1002/ccr3.2549</w:t>
        </w:r>
      </w:hyperlink>
      <w:hyperlink r:id="rId94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>Agrawal, A., Elhence, P. and Patra, S.</w:t>
      </w:r>
      <w:r>
        <w:t xml:space="preserve"> (2022), Pseudoepitheliomatous keratotic and micaceous balanitis presenting as cutaneous horn and its response to acitretin. Dermatologic Therapy, 35: e15733.</w:t>
      </w:r>
      <w:hyperlink r:id="rId95">
        <w:r>
          <w:t xml:space="preserve"> </w:t>
        </w:r>
      </w:hyperlink>
      <w:hyperlink r:id="rId96">
        <w:r>
          <w:t>https://doi.org/10.1111/dth.1</w:t>
        </w:r>
      </w:hyperlink>
      <w:hyperlink r:id="rId97">
        <w:r>
          <w:t>5733</w:t>
        </w:r>
      </w:hyperlink>
      <w:hyperlink r:id="rId98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ind w:hanging="360"/>
      </w:pPr>
      <w:r>
        <w:t xml:space="preserve">Castle AMR, Ramien ML, Kanigsberg N, et al. Porokeratotic eccrine ostial and dermal duct nevus associated </w:t>
      </w:r>
      <w:r>
        <w:t xml:space="preserve">with an 11 megabase 3p deletion. Pediatr Dermatol. 2022; 39: 107– 111. doi:10.1111/pde.14850 </w:t>
      </w:r>
    </w:p>
    <w:p w:rsidR="00097C5B" w:rsidRDefault="00172B91">
      <w:pPr>
        <w:numPr>
          <w:ilvl w:val="0"/>
          <w:numId w:val="4"/>
        </w:numPr>
        <w:ind w:hanging="360"/>
      </w:pPr>
      <w:r>
        <w:t xml:space="preserve">Baykal C, Atcı T, Yılmaz Z, Büyükbabani N. Skin tumors in xeroderma pigmentosum: </w:t>
      </w:r>
    </w:p>
    <w:p w:rsidR="00097C5B" w:rsidRDefault="00172B91">
      <w:pPr>
        <w:ind w:left="807"/>
      </w:pPr>
      <w:r>
        <w:t xml:space="preserve">Evaluation of a large series and a literature review. J Cutan Pathol. 2021; </w:t>
      </w:r>
      <w:r>
        <w:t>48(7): 884– 895.</w:t>
      </w:r>
      <w:hyperlink r:id="rId99">
        <w:r>
          <w:t xml:space="preserve"> </w:t>
        </w:r>
      </w:hyperlink>
      <w:hyperlink r:id="rId100">
        <w:r>
          <w:t>https://doi.org/10.1111/cup.13979</w:t>
        </w:r>
      </w:hyperlink>
      <w:hyperlink r:id="rId101">
        <w:r>
          <w:t xml:space="preserve"> </w:t>
        </w:r>
      </w:hyperlink>
    </w:p>
    <w:p w:rsidR="00097C5B" w:rsidRDefault="00172B91">
      <w:pPr>
        <w:numPr>
          <w:ilvl w:val="0"/>
          <w:numId w:val="4"/>
        </w:numPr>
        <w:spacing w:after="374"/>
        <w:ind w:hanging="360"/>
      </w:pPr>
      <w:r>
        <w:t>Nguyen H.P., Tyring S.K. An update on the cli</w:t>
      </w:r>
      <w:r>
        <w:t xml:space="preserve">nical management of cutaneous molluscum contagiosum. Skin Therapy Lett 2014; 17 (2): 5–8. </w:t>
      </w:r>
    </w:p>
    <w:p w:rsidR="00097C5B" w:rsidRDefault="00172B91">
      <w:pPr>
        <w:pStyle w:val="Heading4"/>
        <w:spacing w:after="56"/>
        <w:ind w:left="62" w:firstLine="708"/>
      </w:pPr>
      <w:r>
        <w:t>Приложение А1. Состав рабочей группы по разработке и пересмотру клинических рекомендаций</w:t>
      </w:r>
      <w:r>
        <w:rPr>
          <w:rFonts w:ascii="Arial" w:eastAsia="Arial" w:hAnsi="Arial" w:cs="Arial"/>
          <w:sz w:val="40"/>
        </w:rPr>
        <w:t xml:space="preserve"> </w:t>
      </w:r>
    </w:p>
    <w:p w:rsidR="00097C5B" w:rsidRDefault="00172B91">
      <w:pPr>
        <w:numPr>
          <w:ilvl w:val="0"/>
          <w:numId w:val="5"/>
        </w:numPr>
        <w:spacing w:after="41" w:line="399" w:lineRule="auto"/>
        <w:ind w:hanging="566"/>
      </w:pPr>
      <w:r>
        <w:t>Потекаев Николай Николаевич – доктор медицинских наук, профессор, президент</w:t>
      </w:r>
      <w:r>
        <w:t xml:space="preserve"> ООО «Национальный альянс дерматовенерологов и косметологов», член Европейского союза по борьбе с ИППП (IUSTI/ВОЗ), Почетный президент ЕвроАзиатской ассоциации дерматовенерологов (EAAD), член Совета директоров Европейской академии дерматовенерологии (ЕАDV)</w:t>
      </w:r>
      <w:r>
        <w:t>, член корреспондент Немецкого общества дерматовенерологов (DDG), Заслуженный врач Российской Федерации, главный внештатный специалист по дерматовенерологии и косметологии Минздрава России, главный внештатный специалист по дерматовенерологии и косметологии</w:t>
      </w:r>
      <w:r>
        <w:t xml:space="preserve"> Департамента здравоохранения г. Москвы, директор ГБУЗ «Московский научнопрактический Центр дерматовенерологии и косметологии ДЗМ», заведующий кафедрой кожных болезней и косметологии ФДПО ФГАОУ ВО «Российский национальный исследовательский медицинский унив</w:t>
      </w:r>
      <w:r>
        <w:t xml:space="preserve">ерситет им. Н.И. Пирогова» Минздрава России  </w:t>
      </w:r>
    </w:p>
    <w:p w:rsidR="00097C5B" w:rsidRDefault="00172B91">
      <w:pPr>
        <w:numPr>
          <w:ilvl w:val="0"/>
          <w:numId w:val="5"/>
        </w:numPr>
        <w:spacing w:line="377" w:lineRule="auto"/>
        <w:ind w:hanging="566"/>
      </w:pPr>
      <w:r>
        <w:t xml:space="preserve">Сергеева Ирина Геннадьевна – </w:t>
      </w:r>
      <w:r>
        <w:t>доктор медицинских наук, профессор кафедры фундаментальной медицины Федерального государственного автономного образовательного учреждения высшего образования «Новосибирский национальный исследовательский государственный университет», член ООО «Национальный</w:t>
      </w:r>
      <w:r>
        <w:t xml:space="preserve"> альянс дерматовенерологов и косметологов», врач-дерматовенеролог, врач-онколог </w:t>
      </w:r>
    </w:p>
    <w:p w:rsidR="00097C5B" w:rsidRDefault="00172B91">
      <w:pPr>
        <w:numPr>
          <w:ilvl w:val="0"/>
          <w:numId w:val="5"/>
        </w:numPr>
        <w:spacing w:line="399" w:lineRule="auto"/>
        <w:ind w:hanging="566"/>
      </w:pPr>
      <w:r>
        <w:t xml:space="preserve">Гетьман Алексей Дмитриевич – кандидат медицинских наук, врач-онколог высшей категории, заведующий отделением Онкологии ООО «Нео-Клиник» (г. Тюмень)  </w:t>
      </w:r>
    </w:p>
    <w:p w:rsidR="00097C5B" w:rsidRDefault="00172B91">
      <w:pPr>
        <w:numPr>
          <w:ilvl w:val="0"/>
          <w:numId w:val="5"/>
        </w:numPr>
        <w:spacing w:line="396" w:lineRule="auto"/>
        <w:ind w:hanging="566"/>
      </w:pPr>
      <w:r>
        <w:t>Якушенко Сергей Сергеевич</w:t>
      </w:r>
      <w:r>
        <w:t xml:space="preserve"> – член ООО «Национальный альянс дерматовенерологов и косметологов», врач-дерматовенеролог, врач-онколог, врач-косметолог, врач- патоморфолог ГУЗ ОКВД (г. Липецк) </w:t>
      </w:r>
    </w:p>
    <w:p w:rsidR="00097C5B" w:rsidRDefault="00172B91">
      <w:pPr>
        <w:numPr>
          <w:ilvl w:val="0"/>
          <w:numId w:val="5"/>
        </w:numPr>
        <w:spacing w:line="397" w:lineRule="auto"/>
        <w:ind w:hanging="566"/>
      </w:pPr>
      <w:r>
        <w:t>Кусая Наталья Валерьевна – кандидат медицинских наук, доцент кафедры нормальной и патологиче</w:t>
      </w:r>
      <w:r>
        <w:t xml:space="preserve">ской физиологии ГБОУ ВО ТГМУ Минздрава России, врачдерматовенеролог, врач-онколог, врач-косметолог  </w:t>
      </w:r>
    </w:p>
    <w:p w:rsidR="00097C5B" w:rsidRDefault="00172B91">
      <w:pPr>
        <w:numPr>
          <w:ilvl w:val="0"/>
          <w:numId w:val="5"/>
        </w:numPr>
        <w:spacing w:after="27" w:line="377" w:lineRule="auto"/>
        <w:ind w:hanging="566"/>
      </w:pPr>
      <w:r>
        <w:t>Баранов Александр Александрович – доктор медицинских наук, профессор, академик РАН, главный внештатный специалист по педиатрии Минздрава РФ, член Союза пед</w:t>
      </w:r>
      <w:r>
        <w:t xml:space="preserve">иатров России  </w:t>
      </w:r>
    </w:p>
    <w:p w:rsidR="00097C5B" w:rsidRDefault="00172B91">
      <w:pPr>
        <w:numPr>
          <w:ilvl w:val="0"/>
          <w:numId w:val="5"/>
        </w:numPr>
        <w:spacing w:line="377" w:lineRule="auto"/>
        <w:ind w:hanging="566"/>
      </w:pPr>
      <w:r>
        <w:t>Намазова-Баранова Лейла Сеймуровна – академик РАН, профессор, доктор медицинских наук, президент Союза педиатров России; паст-президент EPA/UNEPSA; руководитель НИИ педиатрии и охраны здоровья детей НКЦ №2 ФГБНУ «РНЦХ им. акад. Б.В .Петровс</w:t>
      </w:r>
      <w:r>
        <w:t xml:space="preserve">кого», заведующий кафедрой факультетской педиатрии педиатрического факультета ФГАОУ ВО «РНИМУ им. Н.И. Пирогова» Минздрава России, главный внештатный детский специалист по профилактической медицине Минздрава России </w:t>
      </w:r>
    </w:p>
    <w:p w:rsidR="00097C5B" w:rsidRDefault="00172B91">
      <w:pPr>
        <w:numPr>
          <w:ilvl w:val="0"/>
          <w:numId w:val="5"/>
        </w:numPr>
        <w:spacing w:after="35" w:line="371" w:lineRule="auto"/>
        <w:ind w:hanging="566"/>
      </w:pPr>
      <w:r>
        <w:t>Мурашкин Николай Николаевич – доктор мед</w:t>
      </w:r>
      <w:r>
        <w:t>ицинских наук, заведующий отделением дерматологии с группой лазерной хирургии ФГАУ «Национальный медицинский исследовательский центр здоровья детей» Минздрава России, доктор медицинских наук, профессор кафедры дерматовенерологии и косметологии ЦГМА Управде</w:t>
      </w:r>
      <w:r>
        <w:t xml:space="preserve">лами Президента РФ, профессор кафедры педиатрии и детской ревматологии ФГАОУ ВО Первый МГМУ им. И.М. Сеченова Минздрава России (Сеченовский университет) </w:t>
      </w:r>
    </w:p>
    <w:p w:rsidR="00097C5B" w:rsidRDefault="00172B91">
      <w:pPr>
        <w:numPr>
          <w:ilvl w:val="0"/>
          <w:numId w:val="5"/>
        </w:numPr>
        <w:spacing w:line="378" w:lineRule="auto"/>
        <w:ind w:hanging="566"/>
      </w:pPr>
      <w:r>
        <w:t>Амбарчян Эдуард Тигранович – кандидат медицинских наук, ведущий научный сотрудник, заведующий отделени</w:t>
      </w:r>
      <w:r>
        <w:t xml:space="preserve">ем дерматологии для детей НИИ педиатрии и охраны здоровья детей НКЦ №2 ФГБНУ «РНЦХ им. акад. Б.В. Петровского» </w:t>
      </w:r>
    </w:p>
    <w:p w:rsidR="00097C5B" w:rsidRDefault="00172B91">
      <w:pPr>
        <w:spacing w:after="153"/>
        <w:ind w:left="653"/>
      </w:pPr>
      <w:r>
        <w:t xml:space="preserve">Минобрнауки России, член Союза педиатров России </w:t>
      </w:r>
    </w:p>
    <w:p w:rsidR="00097C5B" w:rsidRDefault="00172B91">
      <w:pPr>
        <w:spacing w:after="103" w:line="269" w:lineRule="auto"/>
        <w:ind w:right="12"/>
        <w:jc w:val="center"/>
      </w:pPr>
      <w:r>
        <w:t xml:space="preserve">Конфликт интересов: Авторы заявляют об отсутствии конфликта интересов. </w:t>
      </w:r>
    </w:p>
    <w:p w:rsidR="00097C5B" w:rsidRDefault="00172B91">
      <w:pPr>
        <w:spacing w:after="222" w:line="259" w:lineRule="auto"/>
        <w:ind w:left="785" w:firstLine="0"/>
        <w:jc w:val="left"/>
      </w:pPr>
      <w:r>
        <w:t xml:space="preserve"> </w:t>
      </w:r>
      <w:r>
        <w:tab/>
        <w:t xml:space="preserve"> </w:t>
      </w:r>
    </w:p>
    <w:p w:rsidR="00097C5B" w:rsidRDefault="00172B91">
      <w:pPr>
        <w:pStyle w:val="Heading3"/>
        <w:spacing w:after="146"/>
        <w:ind w:left="72"/>
      </w:pPr>
      <w:r>
        <w:t>Приложение А2. Мето</w:t>
      </w:r>
      <w:r>
        <w:t xml:space="preserve">дология разработки клинических рекомендаций </w:t>
      </w:r>
    </w:p>
    <w:p w:rsidR="00097C5B" w:rsidRDefault="00172B91">
      <w:pPr>
        <w:spacing w:after="157" w:line="259" w:lineRule="auto"/>
        <w:ind w:left="780"/>
      </w:pPr>
      <w:r>
        <w:rPr>
          <w:b/>
          <w:u w:val="single" w:color="000000"/>
        </w:rPr>
        <w:t>Целевая аудитория данных клинических рекомендаций:</w:t>
      </w:r>
      <w:r>
        <w:t xml:space="preserve"> </w:t>
      </w:r>
    </w:p>
    <w:p w:rsidR="00097C5B" w:rsidRDefault="00172B91">
      <w:pPr>
        <w:numPr>
          <w:ilvl w:val="0"/>
          <w:numId w:val="6"/>
        </w:numPr>
        <w:spacing w:after="0" w:line="382" w:lineRule="auto"/>
        <w:ind w:hanging="360"/>
        <w:jc w:val="left"/>
      </w:pPr>
      <w:r>
        <w:t xml:space="preserve">Врачи-специалисты: врачи-дерматовенерологи, врачи-косметологи, врачионкологи, врачи-детские онкологи, врачи-детские онкологи-гематологи, врачпедиатр. </w:t>
      </w:r>
    </w:p>
    <w:p w:rsidR="00097C5B" w:rsidRDefault="00172B91">
      <w:pPr>
        <w:numPr>
          <w:ilvl w:val="0"/>
          <w:numId w:val="6"/>
        </w:numPr>
        <w:spacing w:line="396" w:lineRule="auto"/>
        <w:ind w:hanging="360"/>
        <w:jc w:val="left"/>
      </w:pPr>
      <w:r>
        <w:t xml:space="preserve">Ординаторы и слушатели циклов повышения квалификации по указанным специальностям. </w:t>
      </w:r>
    </w:p>
    <w:p w:rsidR="00097C5B" w:rsidRDefault="00172B91">
      <w:pPr>
        <w:ind w:left="62" w:firstLine="708"/>
      </w:pPr>
      <w:r>
        <w:rPr>
          <w:b/>
        </w:rPr>
        <w:t>Таблица 1.</w:t>
      </w:r>
      <w:r>
        <w:t xml:space="preserve"> Шкала оценки уровней достоверности доказательств (УДД) для методов диагностики (диагностических вмешательств) </w:t>
      </w:r>
    </w:p>
    <w:tbl>
      <w:tblPr>
        <w:tblStyle w:val="TableGrid"/>
        <w:tblW w:w="9573" w:type="dxa"/>
        <w:tblInd w:w="-34" w:type="dxa"/>
        <w:tblCellMar>
          <w:top w:w="9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818"/>
        <w:gridCol w:w="8755"/>
      </w:tblGrid>
      <w:tr w:rsidR="00097C5B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48" w:firstLine="0"/>
              <w:jc w:val="left"/>
            </w:pPr>
            <w:r>
              <w:rPr>
                <w:b/>
              </w:rPr>
              <w:t xml:space="preserve">УДД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Расшифровка </w:t>
            </w:r>
          </w:p>
        </w:tc>
      </w:tr>
      <w:tr w:rsidR="00097C5B">
        <w:trPr>
          <w:trHeight w:val="12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7" w:firstLine="0"/>
              <w:jc w:val="center"/>
            </w:pPr>
            <w:r>
              <w:t xml:space="preserve">1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4" w:firstLine="0"/>
            </w:pPr>
            <w:r>
              <w:t xml:space="preserve">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мета-анализа </w:t>
            </w:r>
          </w:p>
        </w:tc>
      </w:tr>
      <w:tr w:rsidR="00097C5B">
        <w:trPr>
          <w:trHeight w:val="166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7" w:firstLine="0"/>
              <w:jc w:val="center"/>
            </w:pPr>
            <w:r>
              <w:t xml:space="preserve">2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9" w:firstLine="0"/>
            </w:pPr>
            <w:r>
              <w:t xml:space="preserve">Отдельные исследования с контролем референсным методом или отдельные рандомизированные </w:t>
            </w:r>
            <w:r>
              <w:t xml:space="preserve">клинические исследования и систематические обзоры исследований любого дизайна, за исключением рандомизированных клинических исследований, с применением мета-анализа </w:t>
            </w:r>
          </w:p>
        </w:tc>
      </w:tr>
      <w:tr w:rsidR="00097C5B">
        <w:trPr>
          <w:trHeight w:val="166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7" w:firstLine="0"/>
              <w:jc w:val="center"/>
            </w:pPr>
            <w:r>
              <w:t xml:space="preserve">3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9" w:firstLine="0"/>
            </w:pPr>
            <w:r>
              <w:t xml:space="preserve">Исследования без последовательного контроля референсным методом или исследования с референсным методом, не являющимся независимым от исследуемого метода или нерандомизированные сравнительные исследования, в том числе когортные исследования </w:t>
            </w:r>
          </w:p>
        </w:tc>
      </w:tr>
      <w:tr w:rsidR="00097C5B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7" w:firstLine="0"/>
              <w:jc w:val="center"/>
            </w:pPr>
            <w:r>
              <w:t xml:space="preserve">4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Несравнительные исследования, описание клинического случая </w:t>
            </w:r>
          </w:p>
        </w:tc>
      </w:tr>
      <w:tr w:rsidR="00097C5B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7" w:firstLine="0"/>
              <w:jc w:val="center"/>
            </w:pPr>
            <w:r>
              <w:t xml:space="preserve">5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Имеется лишь обоснование механизма действия или мнение экспертов </w:t>
            </w:r>
          </w:p>
        </w:tc>
      </w:tr>
    </w:tbl>
    <w:p w:rsidR="00097C5B" w:rsidRDefault="00172B91">
      <w:pPr>
        <w:ind w:left="62" w:firstLine="708"/>
      </w:pPr>
      <w:r>
        <w:rPr>
          <w:b/>
        </w:rPr>
        <w:t>Таблица 2.</w:t>
      </w:r>
      <w:r>
        <w:t xml:space="preserve">  Шкала оценки уровней достоверности доказательств (УДД) для методов профилактики, лечения и реабилитации, в том чи</w:t>
      </w:r>
      <w:r>
        <w:t xml:space="preserve">сле основанных на использовании природных лечебных факторов (профилактических, лечебных, реабилитационных вмешательств) </w:t>
      </w:r>
    </w:p>
    <w:tbl>
      <w:tblPr>
        <w:tblStyle w:val="TableGrid"/>
        <w:tblW w:w="9715" w:type="dxa"/>
        <w:tblInd w:w="-34" w:type="dxa"/>
        <w:tblCellMar>
          <w:top w:w="9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22"/>
        <w:gridCol w:w="8992"/>
      </w:tblGrid>
      <w:tr w:rsidR="00097C5B">
        <w:trPr>
          <w:trHeight w:val="42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УДД </w:t>
            </w:r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 Расшифровка  </w:t>
            </w:r>
          </w:p>
        </w:tc>
      </w:tr>
      <w:tr w:rsidR="00097C5B">
        <w:trPr>
          <w:trHeight w:val="42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Систематический обзор РКИ с применением мета-анализа </w:t>
            </w:r>
          </w:p>
        </w:tc>
      </w:tr>
      <w:tr w:rsidR="00097C5B">
        <w:trPr>
          <w:trHeight w:val="83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</w:pPr>
            <w:r>
              <w:t xml:space="preserve">Отдельные РКИ и систематические обзоры исследований любого дизайна, за исключением РКИ, с применением мета-анализа </w:t>
            </w:r>
          </w:p>
        </w:tc>
      </w:tr>
      <w:tr w:rsidR="00097C5B">
        <w:trPr>
          <w:trHeight w:val="42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Нерандомизированные сравнительные исследования, в т.ч. когортные исследования </w:t>
            </w:r>
          </w:p>
        </w:tc>
      </w:tr>
      <w:tr w:rsidR="00097C5B">
        <w:trPr>
          <w:trHeight w:val="83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2" w:firstLine="0"/>
              <w:jc w:val="center"/>
            </w:pPr>
            <w:r>
              <w:t xml:space="preserve">4 </w:t>
            </w:r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</w:pPr>
            <w:r>
              <w:t xml:space="preserve">Несравнительные исследования, описание клинического случая или серии случаев, исследования «случай-контроль» </w:t>
            </w:r>
          </w:p>
        </w:tc>
      </w:tr>
      <w:tr w:rsidR="00097C5B">
        <w:trPr>
          <w:trHeight w:val="83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2" w:firstLine="0"/>
              <w:jc w:val="center"/>
            </w:pPr>
            <w:r>
              <w:t xml:space="preserve">5 </w:t>
            </w:r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firstLine="0"/>
            </w:pPr>
            <w:r>
              <w:t xml:space="preserve">Имеется лишь обоснование механизма действия вмешательства (доклинические исследования) или мнение экспертов </w:t>
            </w:r>
          </w:p>
        </w:tc>
      </w:tr>
    </w:tbl>
    <w:p w:rsidR="00097C5B" w:rsidRDefault="00172B91">
      <w:pPr>
        <w:ind w:left="62" w:firstLine="708"/>
      </w:pPr>
      <w:r>
        <w:rPr>
          <w:b/>
        </w:rPr>
        <w:t>Таблица 3.</w:t>
      </w:r>
      <w:r>
        <w:t xml:space="preserve"> </w:t>
      </w:r>
      <w:r>
        <w:t>Шкала оценки уровней убедительности рекомендаций (УУР) для методов профилактики, диагностики, лечения и реабилитации, в том числе основанных на использовании природных лечебных факторов (профилактических, диагностических, лечебных, реабилитационных вмешате</w:t>
      </w:r>
      <w:r>
        <w:t xml:space="preserve">льств) </w:t>
      </w:r>
    </w:p>
    <w:tbl>
      <w:tblPr>
        <w:tblStyle w:val="TableGrid"/>
        <w:tblW w:w="9573" w:type="dxa"/>
        <w:tblInd w:w="-34" w:type="dxa"/>
        <w:tblCellMar>
          <w:top w:w="9" w:type="dxa"/>
          <w:left w:w="10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363"/>
        <w:gridCol w:w="8210"/>
      </w:tblGrid>
      <w:tr w:rsidR="00097C5B">
        <w:trPr>
          <w:trHeight w:val="42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УУР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Расшифровка </w:t>
            </w:r>
          </w:p>
        </w:tc>
      </w:tr>
      <w:tr w:rsidR="00097C5B">
        <w:trPr>
          <w:trHeight w:val="1666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5" w:firstLine="0"/>
              <w:jc w:val="center"/>
            </w:pPr>
            <w:r>
              <w:t xml:space="preserve">A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48" w:line="357" w:lineRule="auto"/>
              <w:ind w:left="0" w:right="61" w:firstLine="0"/>
            </w:pPr>
            <w:r>
              <w:t xml:space="preserve"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качество, их выводы по </w:t>
            </w:r>
          </w:p>
          <w:p w:rsidR="00097C5B" w:rsidRDefault="00172B91">
            <w:pPr>
              <w:spacing w:after="0" w:line="259" w:lineRule="auto"/>
              <w:ind w:left="0" w:firstLine="0"/>
              <w:jc w:val="left"/>
            </w:pPr>
            <w:r>
              <w:t xml:space="preserve">интересующим исходам являются согласованными)  </w:t>
            </w:r>
          </w:p>
        </w:tc>
      </w:tr>
      <w:tr w:rsidR="00097C5B">
        <w:trPr>
          <w:trHeight w:val="1666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9" w:firstLine="0"/>
              <w:jc w:val="center"/>
            </w:pPr>
            <w:r>
              <w:t xml:space="preserve">B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0" w:firstLine="0"/>
            </w:pPr>
            <w:r>
              <w:t xml:space="preserve"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интересующим исходам не являются согласованными)  </w:t>
            </w:r>
          </w:p>
        </w:tc>
      </w:tr>
      <w:tr w:rsidR="00097C5B">
        <w:trPr>
          <w:trHeight w:val="1668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59" w:firstLine="0"/>
              <w:jc w:val="center"/>
            </w:pPr>
            <w:r>
              <w:t xml:space="preserve">C </w:t>
            </w:r>
          </w:p>
        </w:tc>
        <w:tc>
          <w:tcPr>
            <w:tcW w:w="8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C5B" w:rsidRDefault="00172B91">
            <w:pPr>
              <w:spacing w:after="0" w:line="259" w:lineRule="auto"/>
              <w:ind w:left="0" w:right="62" w:firstLine="0"/>
            </w:pPr>
            <w:r>
              <w:t>Сла</w:t>
            </w:r>
            <w:r>
              <w:t>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согласованными)</w:t>
            </w:r>
            <w:r>
              <w:t xml:space="preserve">  </w:t>
            </w:r>
          </w:p>
        </w:tc>
      </w:tr>
    </w:tbl>
    <w:p w:rsidR="00097C5B" w:rsidRDefault="00172B91">
      <w:pPr>
        <w:spacing w:after="108" w:line="259" w:lineRule="auto"/>
        <w:ind w:left="795"/>
      </w:pPr>
      <w:r>
        <w:rPr>
          <w:b/>
        </w:rPr>
        <w:t>Порядок обновления клинических рекомендаций.</w:t>
      </w:r>
      <w:r>
        <w:t xml:space="preserve"> </w:t>
      </w:r>
    </w:p>
    <w:p w:rsidR="00097C5B" w:rsidRDefault="00172B91">
      <w:pPr>
        <w:spacing w:after="348" w:line="399" w:lineRule="auto"/>
        <w:ind w:left="62" w:firstLine="708"/>
      </w:pPr>
      <w:r>
        <w:t xml:space="preserve">Механизм обновления клинических рекомендаций предусматривает их систематическую актуализацию – не реже чем один раз в три года, а также при появлении </w:t>
      </w:r>
      <w:r>
        <w:t xml:space="preserve">новых данных с позиции доказательной медицины по вопросам диагностики, лечения, профилактики и реабилитации конкретных заболеваний, наличии обоснованных дополнений/замечаний к ранее утверждённым клиническим рекомендациям, но не чаще 1 раза в 6 месяцев. </w:t>
      </w:r>
    </w:p>
    <w:p w:rsidR="00097C5B" w:rsidRDefault="00172B91">
      <w:pPr>
        <w:pStyle w:val="Heading4"/>
        <w:spacing w:line="339" w:lineRule="auto"/>
        <w:ind w:left="62" w:firstLine="708"/>
      </w:pPr>
      <w:r>
        <w:t>Пр</w:t>
      </w:r>
      <w:r>
        <w:t>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</w:r>
      <w:r>
        <w:rPr>
          <w:rFonts w:ascii="Arial" w:eastAsia="Arial" w:hAnsi="Arial" w:cs="Arial"/>
          <w:sz w:val="40"/>
        </w:rPr>
        <w:t xml:space="preserve"> </w:t>
      </w:r>
    </w:p>
    <w:p w:rsidR="00097C5B" w:rsidRDefault="00172B91">
      <w:pPr>
        <w:spacing w:line="399" w:lineRule="auto"/>
        <w:ind w:left="72"/>
      </w:pPr>
      <w:r>
        <w:t>Данные клинические рекомендации разработаны с учётом с</w:t>
      </w:r>
      <w:r>
        <w:t xml:space="preserve">ледующих нормативноправовых документов: </w:t>
      </w:r>
    </w:p>
    <w:p w:rsidR="00097C5B" w:rsidRDefault="00172B91">
      <w:pPr>
        <w:numPr>
          <w:ilvl w:val="0"/>
          <w:numId w:val="7"/>
        </w:numPr>
        <w:spacing w:after="28" w:line="377" w:lineRule="auto"/>
        <w:ind w:hanging="425"/>
      </w:pPr>
      <w:r>
        <w:t xml:space="preserve">Порядок оказания медицинской помощи по профилю «дерматовенерология», утвержденный Приказом Министерства здравоохранения Российской Федерации № 924н от 15 ноября 2012 г. </w:t>
      </w:r>
    </w:p>
    <w:p w:rsidR="00097C5B" w:rsidRDefault="00172B91">
      <w:pPr>
        <w:numPr>
          <w:ilvl w:val="0"/>
          <w:numId w:val="7"/>
        </w:numPr>
        <w:spacing w:after="46" w:line="356" w:lineRule="auto"/>
        <w:ind w:hanging="425"/>
      </w:pPr>
      <w:r>
        <w:t>Приказ Министерства труда и социальной защиты</w:t>
      </w:r>
      <w:r>
        <w:t xml:space="preserve"> Российской Федерации № 142 н «Об утверждении профессионального стандарта «врач дерматовенеролог» от 14 марта </w:t>
      </w:r>
    </w:p>
    <w:p w:rsidR="00097C5B" w:rsidRDefault="00172B91">
      <w:pPr>
        <w:spacing w:after="104"/>
        <w:ind w:left="514"/>
      </w:pPr>
      <w:r>
        <w:t xml:space="preserve">2018 г. </w:t>
      </w:r>
    </w:p>
    <w:p w:rsidR="00097C5B" w:rsidRDefault="00172B91">
      <w:pPr>
        <w:spacing w:after="115" w:line="259" w:lineRule="auto"/>
        <w:ind w:left="785" w:firstLine="0"/>
        <w:jc w:val="left"/>
      </w:pPr>
      <w:r>
        <w:t xml:space="preserve"> </w:t>
      </w:r>
    </w:p>
    <w:p w:rsidR="00097C5B" w:rsidRDefault="00172B91">
      <w:pPr>
        <w:spacing w:after="0" w:line="259" w:lineRule="auto"/>
        <w:ind w:left="77" w:firstLine="0"/>
        <w:jc w:val="left"/>
      </w:pPr>
      <w:r>
        <w:t xml:space="preserve"> </w:t>
      </w:r>
      <w:r>
        <w:tab/>
        <w:t xml:space="preserve"> </w:t>
      </w:r>
    </w:p>
    <w:p w:rsidR="00097C5B" w:rsidRDefault="00172B91">
      <w:pPr>
        <w:spacing w:after="21" w:line="259" w:lineRule="auto"/>
        <w:ind w:right="3906"/>
        <w:jc w:val="right"/>
      </w:pPr>
      <w:r>
        <w:rPr>
          <w:b/>
        </w:rPr>
        <w:t>Приложение Б. Алгоритмы действий врача</w:t>
      </w:r>
      <w:r>
        <w:rPr>
          <w:rFonts w:ascii="Arial" w:eastAsia="Arial" w:hAnsi="Arial" w:cs="Arial"/>
          <w:b/>
          <w:sz w:val="40"/>
        </w:rPr>
        <w:t xml:space="preserve"> </w:t>
      </w:r>
    </w:p>
    <w:p w:rsidR="00097C5B" w:rsidRDefault="00172B91">
      <w:pPr>
        <w:spacing w:after="9" w:line="259" w:lineRule="auto"/>
        <w:ind w:left="785" w:firstLine="0"/>
        <w:jc w:val="left"/>
      </w:pPr>
      <w:r>
        <w:t xml:space="preserve"> </w:t>
      </w:r>
    </w:p>
    <w:p w:rsidR="00097C5B" w:rsidRDefault="00172B91">
      <w:pPr>
        <w:pBdr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pBdr>
        <w:spacing w:after="0" w:line="259" w:lineRule="auto"/>
        <w:ind w:left="0" w:right="4124" w:firstLine="0"/>
        <w:jc w:val="right"/>
      </w:pPr>
      <w:r>
        <w:rPr>
          <w:sz w:val="22"/>
        </w:rPr>
        <w:t>Пациент с кожным рогом</w:t>
      </w:r>
      <w:r>
        <w:t xml:space="preserve"> </w:t>
      </w:r>
    </w:p>
    <w:p w:rsidR="00097C5B" w:rsidRDefault="00172B91">
      <w:pPr>
        <w:spacing w:after="0" w:line="259" w:lineRule="auto"/>
        <w:ind w:left="77" w:firstLine="0"/>
        <w:jc w:val="left"/>
      </w:pPr>
      <w:r>
        <w:t xml:space="preserve"> </w:t>
      </w:r>
    </w:p>
    <w:p w:rsidR="00097C5B" w:rsidRDefault="00172B91">
      <w:pPr>
        <w:spacing w:after="0" w:line="259" w:lineRule="auto"/>
        <w:ind w:left="-607" w:right="-65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2595" cy="7922282"/>
                <wp:effectExtent l="0" t="0" r="0" b="0"/>
                <wp:docPr id="19678" name="Group 196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2595" cy="7922282"/>
                          <a:chOff x="0" y="0"/>
                          <a:chExt cx="6792595" cy="7922282"/>
                        </a:xfrm>
                      </wpg:grpSpPr>
                      <wps:wsp>
                        <wps:cNvPr id="3352" name="Rectangle 3352"/>
                        <wps:cNvSpPr/>
                        <wps:spPr>
                          <a:xfrm>
                            <a:off x="883920" y="5205069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3" name="Rectangle 3353"/>
                        <wps:cNvSpPr/>
                        <wps:spPr>
                          <a:xfrm>
                            <a:off x="883920" y="546719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4" name="Rectangle 3354"/>
                        <wps:cNvSpPr/>
                        <wps:spPr>
                          <a:xfrm>
                            <a:off x="883920" y="5731231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5" name="Rectangle 3355"/>
                        <wps:cNvSpPr/>
                        <wps:spPr>
                          <a:xfrm>
                            <a:off x="883920" y="599335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6" name="Rectangle 3356"/>
                        <wps:cNvSpPr/>
                        <wps:spPr>
                          <a:xfrm>
                            <a:off x="883920" y="62570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7" name="Rectangle 3357"/>
                        <wps:cNvSpPr/>
                        <wps:spPr>
                          <a:xfrm>
                            <a:off x="883920" y="6519138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8" name="Rectangle 3358"/>
                        <wps:cNvSpPr/>
                        <wps:spPr>
                          <a:xfrm>
                            <a:off x="883920" y="678279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9" name="Rectangle 3359"/>
                        <wps:cNvSpPr/>
                        <wps:spPr>
                          <a:xfrm>
                            <a:off x="883920" y="704491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60" name="Rectangle 3360"/>
                        <wps:cNvSpPr/>
                        <wps:spPr>
                          <a:xfrm>
                            <a:off x="883920" y="730857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66" name="Shape 3366"/>
                        <wps:cNvSpPr/>
                        <wps:spPr>
                          <a:xfrm>
                            <a:off x="1639570" y="323850"/>
                            <a:ext cx="2684780" cy="51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4780" h="514350">
                                <a:moveTo>
                                  <a:pt x="0" y="514350"/>
                                </a:moveTo>
                                <a:lnTo>
                                  <a:pt x="2684780" y="514350"/>
                                </a:lnTo>
                                <a:lnTo>
                                  <a:pt x="26847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67" name="Rectangle 3367"/>
                        <wps:cNvSpPr/>
                        <wps:spPr>
                          <a:xfrm>
                            <a:off x="2312289" y="398212"/>
                            <a:ext cx="243016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Диагностика для определения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68" name="Rectangle 3368"/>
                        <wps:cNvSpPr/>
                        <wps:spPr>
                          <a:xfrm>
                            <a:off x="2403729" y="639004"/>
                            <a:ext cx="154122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характера процесса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69" name="Rectangle 3369"/>
                        <wps:cNvSpPr/>
                        <wps:spPr>
                          <a:xfrm>
                            <a:off x="3562223" y="60043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1" name="Shape 3371"/>
                        <wps:cNvSpPr/>
                        <wps:spPr>
                          <a:xfrm>
                            <a:off x="1669415" y="1189863"/>
                            <a:ext cx="2638425" cy="509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8425" h="509270">
                                <a:moveTo>
                                  <a:pt x="0" y="509270"/>
                                </a:moveTo>
                                <a:lnTo>
                                  <a:pt x="2638425" y="509270"/>
                                </a:lnTo>
                                <a:lnTo>
                                  <a:pt x="26384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54" name="Rectangle 4354"/>
                        <wps:cNvSpPr/>
                        <wps:spPr>
                          <a:xfrm>
                            <a:off x="2214753" y="1263845"/>
                            <a:ext cx="127456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Дерматоскопия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6" name="Rectangle 4356"/>
                        <wps:cNvSpPr/>
                        <wps:spPr>
                          <a:xfrm>
                            <a:off x="4146539" y="1263845"/>
                            <a:ext cx="13370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в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5" name="Rectangle 4355"/>
                        <wps:cNvSpPr/>
                        <wps:spPr>
                          <a:xfrm>
                            <a:off x="3486860" y="1263845"/>
                            <a:ext cx="458360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кожи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3" name="Rectangle 3373"/>
                        <wps:cNvSpPr/>
                        <wps:spPr>
                          <a:xfrm>
                            <a:off x="1765173" y="1505018"/>
                            <a:ext cx="1994181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основании кожного рога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4" name="Rectangle 3374"/>
                        <wps:cNvSpPr/>
                        <wps:spPr>
                          <a:xfrm>
                            <a:off x="3263519" y="146644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6" name="Shape 3376"/>
                        <wps:cNvSpPr/>
                        <wps:spPr>
                          <a:xfrm>
                            <a:off x="1639570" y="2105406"/>
                            <a:ext cx="2705100" cy="953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5100" h="953770">
                                <a:moveTo>
                                  <a:pt x="1352550" y="0"/>
                                </a:moveTo>
                                <a:lnTo>
                                  <a:pt x="0" y="476885"/>
                                </a:lnTo>
                                <a:lnTo>
                                  <a:pt x="1352550" y="953770"/>
                                </a:lnTo>
                                <a:lnTo>
                                  <a:pt x="2705100" y="476885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77" name="Rectangle 3377"/>
                        <wps:cNvSpPr/>
                        <wps:spPr>
                          <a:xfrm>
                            <a:off x="2993771" y="2152438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8" name="Rectangle 3378"/>
                        <wps:cNvSpPr/>
                        <wps:spPr>
                          <a:xfrm>
                            <a:off x="2702433" y="2340170"/>
                            <a:ext cx="81881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Признаки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9" name="Rectangle 3379"/>
                        <wps:cNvSpPr/>
                        <wps:spPr>
                          <a:xfrm>
                            <a:off x="3318383" y="2312459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0" name="Rectangle 3380"/>
                        <wps:cNvSpPr/>
                        <wps:spPr>
                          <a:xfrm>
                            <a:off x="2464689" y="2501713"/>
                            <a:ext cx="145078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злокачественного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1" name="Rectangle 3381"/>
                        <wps:cNvSpPr/>
                        <wps:spPr>
                          <a:xfrm>
                            <a:off x="3554603" y="2474003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2" name="Rectangle 3382"/>
                        <wps:cNvSpPr/>
                        <wps:spPr>
                          <a:xfrm>
                            <a:off x="2623185" y="2666305"/>
                            <a:ext cx="98552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образования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3" name="Rectangle 3383"/>
                        <wps:cNvSpPr/>
                        <wps:spPr>
                          <a:xfrm>
                            <a:off x="3362579" y="262773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5" name="Shape 3385"/>
                        <wps:cNvSpPr/>
                        <wps:spPr>
                          <a:xfrm>
                            <a:off x="1270" y="3543300"/>
                            <a:ext cx="1914525" cy="9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4525" h="963295">
                                <a:moveTo>
                                  <a:pt x="957199" y="0"/>
                                </a:moveTo>
                                <a:lnTo>
                                  <a:pt x="0" y="481584"/>
                                </a:lnTo>
                                <a:lnTo>
                                  <a:pt x="957199" y="963295"/>
                                </a:lnTo>
                                <a:lnTo>
                                  <a:pt x="1914525" y="481584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86" name="Rectangle 3386"/>
                        <wps:cNvSpPr/>
                        <wps:spPr>
                          <a:xfrm>
                            <a:off x="958596" y="358982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7" name="Rectangle 3387"/>
                        <wps:cNvSpPr/>
                        <wps:spPr>
                          <a:xfrm>
                            <a:off x="525831" y="3779079"/>
                            <a:ext cx="119941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Размеры очага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8" name="Rectangle 3388"/>
                        <wps:cNvSpPr/>
                        <wps:spPr>
                          <a:xfrm>
                            <a:off x="1426845" y="3751368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9" name="Rectangle 3389"/>
                        <wps:cNvSpPr/>
                        <wps:spPr>
                          <a:xfrm>
                            <a:off x="402387" y="3943671"/>
                            <a:ext cx="1484541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до 1 см диаметром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0" name="Rectangle 3390"/>
                        <wps:cNvSpPr/>
                        <wps:spPr>
                          <a:xfrm>
                            <a:off x="1516761" y="390509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1" name="Shape 3391"/>
                        <wps:cNvSpPr/>
                        <wps:spPr>
                          <a:xfrm>
                            <a:off x="906145" y="2578100"/>
                            <a:ext cx="647700" cy="746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 h="746125">
                                <a:moveTo>
                                  <a:pt x="33528" y="0"/>
                                </a:moveTo>
                                <a:lnTo>
                                  <a:pt x="647700" y="0"/>
                                </a:lnTo>
                                <a:lnTo>
                                  <a:pt x="647700" y="6350"/>
                                </a:lnTo>
                                <a:lnTo>
                                  <a:pt x="39723" y="6350"/>
                                </a:lnTo>
                                <a:lnTo>
                                  <a:pt x="33768" y="677717"/>
                                </a:lnTo>
                                <a:lnTo>
                                  <a:pt x="69977" y="697611"/>
                                </a:lnTo>
                                <a:lnTo>
                                  <a:pt x="0" y="746125"/>
                                </a:lnTo>
                                <a:lnTo>
                                  <a:pt x="3175" y="660908"/>
                                </a:lnTo>
                                <a:lnTo>
                                  <a:pt x="27450" y="674246"/>
                                </a:lnTo>
                                <a:lnTo>
                                  <a:pt x="335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3" name="Rectangle 3393"/>
                        <wps:cNvSpPr/>
                        <wps:spPr>
                          <a:xfrm>
                            <a:off x="819912" y="2285995"/>
                            <a:ext cx="32369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4" name="Rectangle 3394"/>
                        <wps:cNvSpPr/>
                        <wps:spPr>
                          <a:xfrm>
                            <a:off x="1063752" y="225587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5" name="Shape 3395"/>
                        <wps:cNvSpPr/>
                        <wps:spPr>
                          <a:xfrm>
                            <a:off x="4516120" y="2568575"/>
                            <a:ext cx="964946" cy="841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946" h="841375">
                                <a:moveTo>
                                  <a:pt x="0" y="0"/>
                                </a:moveTo>
                                <a:lnTo>
                                  <a:pt x="930656" y="0"/>
                                </a:lnTo>
                                <a:lnTo>
                                  <a:pt x="928531" y="766448"/>
                                </a:lnTo>
                                <a:lnTo>
                                  <a:pt x="964946" y="772795"/>
                                </a:lnTo>
                                <a:lnTo>
                                  <a:pt x="914400" y="841375"/>
                                </a:lnTo>
                                <a:lnTo>
                                  <a:pt x="889889" y="759714"/>
                                </a:lnTo>
                                <a:lnTo>
                                  <a:pt x="922184" y="765342"/>
                                </a:lnTo>
                                <a:lnTo>
                                  <a:pt x="924297" y="6350"/>
                                </a:lnTo>
                                <a:lnTo>
                                  <a:pt x="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7" name="Rectangle 3397"/>
                        <wps:cNvSpPr/>
                        <wps:spPr>
                          <a:xfrm>
                            <a:off x="5260340" y="2267707"/>
                            <a:ext cx="22782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8" name="Rectangle 3398"/>
                        <wps:cNvSpPr/>
                        <wps:spPr>
                          <a:xfrm>
                            <a:off x="5432552" y="223758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00" name="Shape 3400"/>
                        <wps:cNvSpPr/>
                        <wps:spPr>
                          <a:xfrm>
                            <a:off x="4173220" y="3552825"/>
                            <a:ext cx="2400935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00935" h="390525">
                                <a:moveTo>
                                  <a:pt x="0" y="390525"/>
                                </a:moveTo>
                                <a:lnTo>
                                  <a:pt x="2400935" y="390525"/>
                                </a:lnTo>
                                <a:lnTo>
                                  <a:pt x="2400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1" name="Rectangle 3401"/>
                        <wps:cNvSpPr/>
                        <wps:spPr>
                          <a:xfrm>
                            <a:off x="4624832" y="3634990"/>
                            <a:ext cx="2043541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Эксцизионная биопсия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02" name="Rectangle 3402"/>
                        <wps:cNvSpPr/>
                        <wps:spPr>
                          <a:xfrm>
                            <a:off x="6161278" y="360487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03" name="Shape 3403"/>
                        <wps:cNvSpPr/>
                        <wps:spPr>
                          <a:xfrm>
                            <a:off x="2849245" y="0"/>
                            <a:ext cx="7620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76225">
                                <a:moveTo>
                                  <a:pt x="34925" y="0"/>
                                </a:moveTo>
                                <a:lnTo>
                                  <a:pt x="41275" y="0"/>
                                </a:lnTo>
                                <a:lnTo>
                                  <a:pt x="41275" y="200025"/>
                                </a:lnTo>
                                <a:lnTo>
                                  <a:pt x="76200" y="200025"/>
                                </a:lnTo>
                                <a:lnTo>
                                  <a:pt x="38100" y="276225"/>
                                </a:lnTo>
                                <a:lnTo>
                                  <a:pt x="0" y="200025"/>
                                </a:lnTo>
                                <a:lnTo>
                                  <a:pt x="34925" y="200025"/>
                                </a:lnTo>
                                <a:lnTo>
                                  <a:pt x="349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4" name="Shape 3404"/>
                        <wps:cNvSpPr/>
                        <wps:spPr>
                          <a:xfrm>
                            <a:off x="2856357" y="828167"/>
                            <a:ext cx="76708" cy="362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708" h="362331">
                                <a:moveTo>
                                  <a:pt x="70358" y="0"/>
                                </a:moveTo>
                                <a:lnTo>
                                  <a:pt x="76708" y="762"/>
                                </a:lnTo>
                                <a:lnTo>
                                  <a:pt x="41067" y="287108"/>
                                </a:lnTo>
                                <a:lnTo>
                                  <a:pt x="75692" y="291465"/>
                                </a:lnTo>
                                <a:lnTo>
                                  <a:pt x="28448" y="362331"/>
                                </a:lnTo>
                                <a:lnTo>
                                  <a:pt x="0" y="281940"/>
                                </a:lnTo>
                                <a:lnTo>
                                  <a:pt x="34722" y="286309"/>
                                </a:lnTo>
                                <a:lnTo>
                                  <a:pt x="703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5" name="Shape 3405"/>
                        <wps:cNvSpPr/>
                        <wps:spPr>
                          <a:xfrm>
                            <a:off x="2950083" y="1675257"/>
                            <a:ext cx="78232" cy="428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232" h="428879">
                                <a:moveTo>
                                  <a:pt x="71882" y="0"/>
                                </a:moveTo>
                                <a:lnTo>
                                  <a:pt x="78232" y="635"/>
                                </a:lnTo>
                                <a:lnTo>
                                  <a:pt x="41086" y="353459"/>
                                </a:lnTo>
                                <a:lnTo>
                                  <a:pt x="75819" y="357124"/>
                                </a:lnTo>
                                <a:lnTo>
                                  <a:pt x="29972" y="428879"/>
                                </a:lnTo>
                                <a:lnTo>
                                  <a:pt x="0" y="349123"/>
                                </a:lnTo>
                                <a:lnTo>
                                  <a:pt x="34740" y="352789"/>
                                </a:lnTo>
                                <a:lnTo>
                                  <a:pt x="7188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6" name="Shape 3406"/>
                        <wps:cNvSpPr/>
                        <wps:spPr>
                          <a:xfrm>
                            <a:off x="2057908" y="3878834"/>
                            <a:ext cx="2028952" cy="96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8952" h="96266">
                                <a:moveTo>
                                  <a:pt x="1951736" y="0"/>
                                </a:moveTo>
                                <a:lnTo>
                                  <a:pt x="2028952" y="35941"/>
                                </a:lnTo>
                                <a:lnTo>
                                  <a:pt x="1953895" y="76200"/>
                                </a:lnTo>
                                <a:lnTo>
                                  <a:pt x="1952905" y="41251"/>
                                </a:lnTo>
                                <a:lnTo>
                                  <a:pt x="254" y="96266"/>
                                </a:lnTo>
                                <a:lnTo>
                                  <a:pt x="0" y="89916"/>
                                </a:lnTo>
                                <a:lnTo>
                                  <a:pt x="1952725" y="34903"/>
                                </a:lnTo>
                                <a:lnTo>
                                  <a:pt x="19517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8" name="Shape 3408"/>
                        <wps:cNvSpPr/>
                        <wps:spPr>
                          <a:xfrm>
                            <a:off x="4087495" y="4676775"/>
                            <a:ext cx="2705100" cy="9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5100" h="963295">
                                <a:moveTo>
                                  <a:pt x="1352550" y="0"/>
                                </a:moveTo>
                                <a:lnTo>
                                  <a:pt x="0" y="481584"/>
                                </a:lnTo>
                                <a:lnTo>
                                  <a:pt x="1352550" y="963295"/>
                                </a:lnTo>
                                <a:lnTo>
                                  <a:pt x="2705100" y="481584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9" name="Rectangle 3409"/>
                        <wps:cNvSpPr/>
                        <wps:spPr>
                          <a:xfrm>
                            <a:off x="5441696" y="4723681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0" name="Rectangle 3410"/>
                        <wps:cNvSpPr/>
                        <wps:spPr>
                          <a:xfrm>
                            <a:off x="4969256" y="4911411"/>
                            <a:ext cx="130067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Подтверждение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1" name="Rectangle 3411"/>
                        <wps:cNvSpPr/>
                        <wps:spPr>
                          <a:xfrm>
                            <a:off x="5946394" y="488370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2" name="Rectangle 3412"/>
                        <wps:cNvSpPr/>
                        <wps:spPr>
                          <a:xfrm>
                            <a:off x="4912868" y="5072955"/>
                            <a:ext cx="1450789" cy="169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злокачественного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3" name="Rectangle 3413"/>
                        <wps:cNvSpPr/>
                        <wps:spPr>
                          <a:xfrm>
                            <a:off x="6002782" y="5045245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4" name="Rectangle 3414"/>
                        <wps:cNvSpPr/>
                        <wps:spPr>
                          <a:xfrm>
                            <a:off x="5071364" y="5237547"/>
                            <a:ext cx="985529" cy="169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образования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5" name="Rectangle 3415"/>
                        <wps:cNvSpPr/>
                        <wps:spPr>
                          <a:xfrm>
                            <a:off x="5810758" y="519897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6" name="Shape 3416"/>
                        <wps:cNvSpPr/>
                        <wps:spPr>
                          <a:xfrm>
                            <a:off x="5379212" y="4028821"/>
                            <a:ext cx="79883" cy="543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883" h="543179">
                                <a:moveTo>
                                  <a:pt x="73533" y="0"/>
                                </a:moveTo>
                                <a:lnTo>
                                  <a:pt x="79883" y="508"/>
                                </a:lnTo>
                                <a:lnTo>
                                  <a:pt x="41060" y="467491"/>
                                </a:lnTo>
                                <a:lnTo>
                                  <a:pt x="75946" y="470408"/>
                                </a:lnTo>
                                <a:lnTo>
                                  <a:pt x="31623" y="543179"/>
                                </a:lnTo>
                                <a:lnTo>
                                  <a:pt x="0" y="464058"/>
                                </a:lnTo>
                                <a:lnTo>
                                  <a:pt x="34702" y="466959"/>
                                </a:lnTo>
                                <a:lnTo>
                                  <a:pt x="735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7" name="Shape 3417"/>
                        <wps:cNvSpPr/>
                        <wps:spPr>
                          <a:xfrm>
                            <a:off x="5402707" y="5695822"/>
                            <a:ext cx="82423" cy="887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423" h="887223">
                                <a:moveTo>
                                  <a:pt x="76073" y="0"/>
                                </a:moveTo>
                                <a:lnTo>
                                  <a:pt x="82423" y="254"/>
                                </a:lnTo>
                                <a:lnTo>
                                  <a:pt x="41161" y="811247"/>
                                </a:lnTo>
                                <a:lnTo>
                                  <a:pt x="76073" y="813054"/>
                                </a:lnTo>
                                <a:lnTo>
                                  <a:pt x="34163" y="887223"/>
                                </a:lnTo>
                                <a:lnTo>
                                  <a:pt x="0" y="809117"/>
                                </a:lnTo>
                                <a:lnTo>
                                  <a:pt x="34808" y="810919"/>
                                </a:lnTo>
                                <a:lnTo>
                                  <a:pt x="760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9" name="Rectangle 3419"/>
                        <wps:cNvSpPr/>
                        <wps:spPr>
                          <a:xfrm>
                            <a:off x="5914390" y="5758303"/>
                            <a:ext cx="22782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0" name="Rectangle 3420"/>
                        <wps:cNvSpPr/>
                        <wps:spPr>
                          <a:xfrm>
                            <a:off x="6086602" y="572818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2" name="Shape 3422"/>
                        <wps:cNvSpPr/>
                        <wps:spPr>
                          <a:xfrm>
                            <a:off x="4243705" y="6674485"/>
                            <a:ext cx="2400935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00935" h="390525">
                                <a:moveTo>
                                  <a:pt x="0" y="390525"/>
                                </a:moveTo>
                                <a:lnTo>
                                  <a:pt x="2400935" y="390525"/>
                                </a:lnTo>
                                <a:lnTo>
                                  <a:pt x="2400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3" name="Rectangle 3423"/>
                        <wps:cNvSpPr/>
                        <wps:spPr>
                          <a:xfrm>
                            <a:off x="4344416" y="6758047"/>
                            <a:ext cx="302457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Продолжение терапии у онколога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4" name="Rectangle 3424"/>
                        <wps:cNvSpPr/>
                        <wps:spPr>
                          <a:xfrm>
                            <a:off x="6620002" y="6727927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6" name="Rectangle 3426"/>
                        <wps:cNvSpPr/>
                        <wps:spPr>
                          <a:xfrm>
                            <a:off x="1173480" y="4646926"/>
                            <a:ext cx="32369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7" name="Rectangle 3427"/>
                        <wps:cNvSpPr/>
                        <wps:spPr>
                          <a:xfrm>
                            <a:off x="1417701" y="461680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9" name="Rectangle 3429"/>
                        <wps:cNvSpPr/>
                        <wps:spPr>
                          <a:xfrm>
                            <a:off x="2932811" y="3682234"/>
                            <a:ext cx="22782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0" name="Rectangle 3430"/>
                        <wps:cNvSpPr/>
                        <wps:spPr>
                          <a:xfrm>
                            <a:off x="3105023" y="365211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1" name="Shape 3431"/>
                        <wps:cNvSpPr/>
                        <wps:spPr>
                          <a:xfrm>
                            <a:off x="923290" y="4504309"/>
                            <a:ext cx="77978" cy="4194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978" h="419481">
                                <a:moveTo>
                                  <a:pt x="6350" y="0"/>
                                </a:moveTo>
                                <a:lnTo>
                                  <a:pt x="43219" y="343330"/>
                                </a:lnTo>
                                <a:lnTo>
                                  <a:pt x="77978" y="339598"/>
                                </a:lnTo>
                                <a:lnTo>
                                  <a:pt x="48260" y="419481"/>
                                </a:lnTo>
                                <a:lnTo>
                                  <a:pt x="2286" y="347726"/>
                                </a:lnTo>
                                <a:lnTo>
                                  <a:pt x="36995" y="343999"/>
                                </a:lnTo>
                                <a:lnTo>
                                  <a:pt x="0" y="635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3" name="Shape 3433"/>
                        <wps:cNvSpPr/>
                        <wps:spPr>
                          <a:xfrm>
                            <a:off x="0" y="4937124"/>
                            <a:ext cx="1914525" cy="9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4525" h="963295">
                                <a:moveTo>
                                  <a:pt x="957326" y="0"/>
                                </a:moveTo>
                                <a:lnTo>
                                  <a:pt x="0" y="481585"/>
                                </a:lnTo>
                                <a:lnTo>
                                  <a:pt x="957326" y="963295"/>
                                </a:lnTo>
                                <a:lnTo>
                                  <a:pt x="1914525" y="481585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4" name="Rectangle 3434"/>
                        <wps:cNvSpPr/>
                        <wps:spPr>
                          <a:xfrm>
                            <a:off x="957072" y="498428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5" name="Rectangle 3435"/>
                        <wps:cNvSpPr/>
                        <wps:spPr>
                          <a:xfrm>
                            <a:off x="557835" y="5172016"/>
                            <a:ext cx="1110655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Инцизионная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6" name="Rectangle 3436"/>
                        <wps:cNvSpPr/>
                        <wps:spPr>
                          <a:xfrm>
                            <a:off x="1392936" y="514430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7" name="Rectangle 3437"/>
                        <wps:cNvSpPr/>
                        <wps:spPr>
                          <a:xfrm>
                            <a:off x="711708" y="5338131"/>
                            <a:ext cx="655279" cy="169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биопсия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8" name="Rectangle 3438"/>
                        <wps:cNvSpPr/>
                        <wps:spPr>
                          <a:xfrm>
                            <a:off x="1203960" y="5299558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9" name="Shape 3439"/>
                        <wps:cNvSpPr/>
                        <wps:spPr>
                          <a:xfrm>
                            <a:off x="1962023" y="5181219"/>
                            <a:ext cx="2028952" cy="96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8952" h="96266">
                                <a:moveTo>
                                  <a:pt x="1951736" y="0"/>
                                </a:moveTo>
                                <a:lnTo>
                                  <a:pt x="2028952" y="35941"/>
                                </a:lnTo>
                                <a:lnTo>
                                  <a:pt x="1953895" y="76200"/>
                                </a:lnTo>
                                <a:lnTo>
                                  <a:pt x="1952905" y="41252"/>
                                </a:lnTo>
                                <a:lnTo>
                                  <a:pt x="254" y="96266"/>
                                </a:lnTo>
                                <a:lnTo>
                                  <a:pt x="0" y="89916"/>
                                </a:lnTo>
                                <a:lnTo>
                                  <a:pt x="1952725" y="34903"/>
                                </a:lnTo>
                                <a:lnTo>
                                  <a:pt x="19517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0" name="Shape 3440"/>
                        <wps:cNvSpPr/>
                        <wps:spPr>
                          <a:xfrm>
                            <a:off x="2259965" y="5501767"/>
                            <a:ext cx="2768473" cy="1022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8473" h="1022350">
                                <a:moveTo>
                                  <a:pt x="2766187" y="0"/>
                                </a:moveTo>
                                <a:lnTo>
                                  <a:pt x="2768473" y="5969"/>
                                </a:lnTo>
                                <a:lnTo>
                                  <a:pt x="72657" y="989542"/>
                                </a:lnTo>
                                <a:lnTo>
                                  <a:pt x="84582" y="1022350"/>
                                </a:lnTo>
                                <a:lnTo>
                                  <a:pt x="0" y="1012698"/>
                                </a:lnTo>
                                <a:lnTo>
                                  <a:pt x="58547" y="950723"/>
                                </a:lnTo>
                                <a:lnTo>
                                  <a:pt x="70488" y="983576"/>
                                </a:lnTo>
                                <a:lnTo>
                                  <a:pt x="27661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02" name="Shape 25202"/>
                        <wps:cNvSpPr/>
                        <wps:spPr>
                          <a:xfrm>
                            <a:off x="2336165" y="5780405"/>
                            <a:ext cx="9131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3130" h="266700">
                                <a:moveTo>
                                  <a:pt x="0" y="0"/>
                                </a:moveTo>
                                <a:lnTo>
                                  <a:pt x="913130" y="0"/>
                                </a:lnTo>
                                <a:lnTo>
                                  <a:pt x="913130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2" name="Rectangle 3442"/>
                        <wps:cNvSpPr/>
                        <wps:spPr>
                          <a:xfrm>
                            <a:off x="2874899" y="5852791"/>
                            <a:ext cx="32369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3" name="Rectangle 3443"/>
                        <wps:cNvSpPr/>
                        <wps:spPr>
                          <a:xfrm>
                            <a:off x="3118739" y="582267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5" name="Shape 3445"/>
                        <wps:cNvSpPr/>
                        <wps:spPr>
                          <a:xfrm>
                            <a:off x="485775" y="6583045"/>
                            <a:ext cx="2400935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00935" h="532130">
                                <a:moveTo>
                                  <a:pt x="0" y="532130"/>
                                </a:moveTo>
                                <a:lnTo>
                                  <a:pt x="2400935" y="532130"/>
                                </a:lnTo>
                                <a:lnTo>
                                  <a:pt x="2400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6" name="Rectangle 3446"/>
                        <wps:cNvSpPr/>
                        <wps:spPr>
                          <a:xfrm>
                            <a:off x="861060" y="6662035"/>
                            <a:ext cx="224258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Продолжение терапии до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7" name="Rectangle 3447"/>
                        <wps:cNvSpPr/>
                        <wps:spPr>
                          <a:xfrm>
                            <a:off x="722376" y="6841867"/>
                            <a:ext cx="260925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клинического выздоровления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8" name="Rectangle 3448"/>
                        <wps:cNvSpPr/>
                        <wps:spPr>
                          <a:xfrm>
                            <a:off x="2684145" y="681174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9" name="Shape 3449"/>
                        <wps:cNvSpPr/>
                        <wps:spPr>
                          <a:xfrm>
                            <a:off x="1471041" y="7113905"/>
                            <a:ext cx="106299" cy="450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299" h="450850">
                                <a:moveTo>
                                  <a:pt x="99949" y="0"/>
                                </a:moveTo>
                                <a:lnTo>
                                  <a:pt x="106299" y="1143"/>
                                </a:lnTo>
                                <a:lnTo>
                                  <a:pt x="40684" y="376279"/>
                                </a:lnTo>
                                <a:lnTo>
                                  <a:pt x="75057" y="382270"/>
                                </a:lnTo>
                                <a:lnTo>
                                  <a:pt x="24384" y="450850"/>
                                </a:lnTo>
                                <a:lnTo>
                                  <a:pt x="0" y="369189"/>
                                </a:lnTo>
                                <a:lnTo>
                                  <a:pt x="34447" y="375193"/>
                                </a:lnTo>
                                <a:lnTo>
                                  <a:pt x="999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5608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2" name="Rectangle 3452"/>
                        <wps:cNvSpPr/>
                        <wps:spPr>
                          <a:xfrm>
                            <a:off x="809244" y="7783648"/>
                            <a:ext cx="238001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Диспансерное наблюдение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53" name="Rectangle 3453"/>
                        <wps:cNvSpPr/>
                        <wps:spPr>
                          <a:xfrm>
                            <a:off x="2598801" y="775352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7C5B" w:rsidRDefault="00172B9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78" style="width:534.85pt;height:623.802pt;mso-position-horizontal-relative:char;mso-position-vertical-relative:line" coordsize="67925,79222">
                <v:rect id="Rectangle 3352" style="position:absolute;width:506;height:2243;left:8839;top:520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3" style="position:absolute;width:506;height:2243;left:8839;top:546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4" style="position:absolute;width:506;height:2243;left:8839;top:573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5" style="position:absolute;width:506;height:2243;left:8839;top:599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6" style="position:absolute;width:506;height:2243;left:8839;top:6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7" style="position:absolute;width:506;height:2243;left:8839;top:651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8" style="position:absolute;width:506;height:2243;left:8839;top:67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9" style="position:absolute;width:506;height:2243;left:8839;top:704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60" style="position:absolute;width:506;height:2243;left:8839;top:730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366" style="position:absolute;width:26847;height:5143;left:16395;top:3238;" coordsize="2684780,514350" path="m0,514350l2684780,514350l2684780,0l0,0x">
                  <v:stroke weight="1pt" endcap="flat" joinstyle="round" on="true" color="#000000"/>
                  <v:fill on="false" color="#000000" opacity="0"/>
                </v:shape>
                <v:rect id="Rectangle 3367" style="position:absolute;width:24301;height:1696;left:23122;top:39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Диагностика для определения </w:t>
                        </w:r>
                      </w:p>
                    </w:txbxContent>
                  </v:textbox>
                </v:rect>
                <v:rect id="Rectangle 3368" style="position:absolute;width:15412;height:1696;left:24037;top:63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характера процесса</w:t>
                        </w:r>
                      </w:p>
                    </w:txbxContent>
                  </v:textbox>
                </v:rect>
                <v:rect id="Rectangle 3369" style="position:absolute;width:506;height:2243;left:35622;top:60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371" style="position:absolute;width:26384;height:5092;left:16694;top:11898;" coordsize="2638425,509270" path="m0,509270l2638425,509270l2638425,0l0,0x">
                  <v:stroke weight="1pt" endcap="flat" joinstyle="round" on="true" color="#000000"/>
                  <v:fill on="false" color="#000000" opacity="0"/>
                </v:shape>
                <v:rect id="Rectangle 4354" style="position:absolute;width:12745;height:1696;left:22147;top:126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Дерматоскопия </w:t>
                        </w:r>
                      </w:p>
                    </w:txbxContent>
                  </v:textbox>
                </v:rect>
                <v:rect id="Rectangle 4356" style="position:absolute;width:1337;height:1696;left:41465;top:126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в </w:t>
                        </w:r>
                      </w:p>
                    </w:txbxContent>
                  </v:textbox>
                </v:rect>
                <v:rect id="Rectangle 4355" style="position:absolute;width:4583;height:1696;left:34868;top:126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кожи </w:t>
                        </w:r>
                      </w:p>
                    </w:txbxContent>
                  </v:textbox>
                </v:rect>
                <v:rect id="Rectangle 3373" style="position:absolute;width:19941;height:1696;left:17651;top:150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основании кожного рога </w:t>
                        </w:r>
                      </w:p>
                    </w:txbxContent>
                  </v:textbox>
                </v:rect>
                <v:rect id="Rectangle 3374" style="position:absolute;width:506;height:2243;left:32635;top:146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376" style="position:absolute;width:27051;height:9537;left:16395;top:21054;" coordsize="2705100,953770" path="m1352550,0l0,476885l1352550,953770l2705100,476885x">
                  <v:stroke weight="1pt" endcap="flat" joinstyle="miter" miterlimit="1" on="true" color="#000000"/>
                  <v:fill on="false" color="#000000" opacity="0"/>
                </v:shape>
                <v:rect id="Rectangle 3377" style="position:absolute;width:466;height:2064;left:29937;top:215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78" style="position:absolute;width:8188;height:1696;left:27024;top:234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Признаки </w:t>
                        </w:r>
                      </w:p>
                    </w:txbxContent>
                  </v:textbox>
                </v:rect>
                <v:rect id="Rectangle 3379" style="position:absolute;width:466;height:2064;left:33183;top:231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80" style="position:absolute;width:14507;height:1696;left:24646;top:250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злокачественного </w:t>
                        </w:r>
                      </w:p>
                    </w:txbxContent>
                  </v:textbox>
                </v:rect>
                <v:rect id="Rectangle 3381" style="position:absolute;width:466;height:2064;left:35546;top:247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82" style="position:absolute;width:9855;height:1696;left:26231;top:266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образования</w:t>
                        </w:r>
                      </w:p>
                    </w:txbxContent>
                  </v:textbox>
                </v:rect>
                <v:rect id="Rectangle 3383" style="position:absolute;width:506;height:2243;left:33625;top:262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385" style="position:absolute;width:19145;height:9632;left:12;top:35433;" coordsize="1914525,963295" path="m957199,0l0,481584l957199,963295l1914525,481584x">
                  <v:stroke weight="1pt" endcap="flat" joinstyle="miter" miterlimit="1" on="true" color="#000000"/>
                  <v:fill on="false" color="#000000" opacity="0"/>
                </v:shape>
                <v:rect id="Rectangle 3386" style="position:absolute;width:466;height:2064;left:9585;top:358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87" style="position:absolute;width:11994;height:1696;left:5258;top:377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Размеры очага </w:t>
                        </w:r>
                      </w:p>
                    </w:txbxContent>
                  </v:textbox>
                </v:rect>
                <v:rect id="Rectangle 3388" style="position:absolute;width:466;height:2064;left:14268;top:375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89" style="position:absolute;width:14845;height:1696;left:4023;top:394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до 1 см диаметром</w:t>
                        </w:r>
                      </w:p>
                    </w:txbxContent>
                  </v:textbox>
                </v:rect>
                <v:rect id="Rectangle 3390" style="position:absolute;width:506;height:2243;left:15167;top:390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391" style="position:absolute;width:6477;height:7461;left:9061;top:25781;" coordsize="647700,746125" path="m33528,0l647700,0l647700,6350l39723,6350l33768,677717l69977,697611l0,746125l3175,660908l27450,674246l33528,0x">
                  <v:stroke weight="0pt" endcap="flat" joinstyle="miter" miterlimit="1" on="false" color="#000000" opacity="0"/>
                  <v:fill on="true" color="#156082"/>
                </v:shape>
                <v:rect id="Rectangle 3393" style="position:absolute;width:3236;height:1843;left:8199;top:228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Нет</w:t>
                        </w:r>
                      </w:p>
                    </w:txbxContent>
                  </v:textbox>
                </v:rect>
                <v:rect id="Rectangle 3394" style="position:absolute;width:506;height:2243;left:10637;top:225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395" style="position:absolute;width:9649;height:8413;left:45161;top:25685;" coordsize="964946,841375" path="m0,0l930656,0l928531,766448l964946,772795l914400,841375l889889,759714l922184,765342l924297,6350l0,6350l0,0x">
                  <v:stroke weight="0pt" endcap="flat" joinstyle="miter" miterlimit="1" on="false" color="#000000" opacity="0"/>
                  <v:fill on="true" color="#156082"/>
                </v:shape>
                <v:rect id="Rectangle 3397" style="position:absolute;width:2278;height:1843;left:52603;top:226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Да</w:t>
                        </w:r>
                      </w:p>
                    </w:txbxContent>
                  </v:textbox>
                </v:rect>
                <v:rect id="Rectangle 3398" style="position:absolute;width:506;height:2243;left:54325;top:223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00" style="position:absolute;width:24009;height:3905;left:41732;top:35528;" coordsize="2400935,390525" path="m0,390525l2400935,390525l2400935,0l0,0x">
                  <v:stroke weight="1pt" endcap="flat" joinstyle="round" on="true" color="#000000"/>
                  <v:fill on="false" color="#000000" opacity="0"/>
                </v:shape>
                <v:rect id="Rectangle 3401" style="position:absolute;width:20435;height:1843;left:46248;top:36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Эксцизионная биопсия </w:t>
                        </w:r>
                      </w:p>
                    </w:txbxContent>
                  </v:textbox>
                </v:rect>
                <v:rect id="Rectangle 3402" style="position:absolute;width:506;height:2243;left:61612;top:360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03" style="position:absolute;width:762;height:2762;left:28492;top:0;" coordsize="76200,276225" path="m34925,0l41275,0l41275,200025l76200,200025l38100,276225l0,200025l34925,200025l34925,0x">
                  <v:stroke weight="0pt" endcap="flat" joinstyle="round" on="false" color="#000000" opacity="0"/>
                  <v:fill on="true" color="#156082"/>
                </v:shape>
                <v:shape id="Shape 3404" style="position:absolute;width:767;height:3623;left:28563;top:8281;" coordsize="76708,362331" path="m70358,0l76708,762l41067,287108l75692,291465l28448,362331l0,281940l34722,286309l70358,0x">
                  <v:stroke weight="0pt" endcap="flat" joinstyle="round" on="false" color="#000000" opacity="0"/>
                  <v:fill on="true" color="#156082"/>
                </v:shape>
                <v:shape id="Shape 3405" style="position:absolute;width:782;height:4288;left:29500;top:16752;" coordsize="78232,428879" path="m71882,0l78232,635l41086,353459l75819,357124l29972,428879l0,349123l34740,352789l71882,0x">
                  <v:stroke weight="0pt" endcap="flat" joinstyle="round" on="false" color="#000000" opacity="0"/>
                  <v:fill on="true" color="#156082"/>
                </v:shape>
                <v:shape id="Shape 3406" style="position:absolute;width:20289;height:962;left:20579;top:38788;" coordsize="2028952,96266" path="m1951736,0l2028952,35941l1953895,76200l1952905,41251l254,96266l0,89916l1952725,34903l1951736,0x">
                  <v:stroke weight="0pt" endcap="flat" joinstyle="round" on="false" color="#000000" opacity="0"/>
                  <v:fill on="true" color="#156082"/>
                </v:shape>
                <v:shape id="Shape 3408" style="position:absolute;width:27051;height:9632;left:40874;top:46767;" coordsize="2705100,963295" path="m1352550,0l0,481584l1352550,963295l2705100,481584x">
                  <v:stroke weight="1pt" endcap="flat" joinstyle="miter" miterlimit="1" on="true" color="#000000"/>
                  <v:fill on="false" color="#000000" opacity="0"/>
                </v:shape>
                <v:rect id="Rectangle 3409" style="position:absolute;width:466;height:2064;left:54416;top:472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0" style="position:absolute;width:13006;height:1696;left:49692;top:491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Подтверждение </w:t>
                        </w:r>
                      </w:p>
                    </w:txbxContent>
                  </v:textbox>
                </v:rect>
                <v:rect id="Rectangle 3411" style="position:absolute;width:466;height:2064;left:59463;top:488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2" style="position:absolute;width:14507;height:1696;left:49128;top:5072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злокачественного </w:t>
                        </w:r>
                      </w:p>
                    </w:txbxContent>
                  </v:textbox>
                </v:rect>
                <v:rect id="Rectangle 3413" style="position:absolute;width:466;height:2064;left:60027;top:504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4" style="position:absolute;width:9855;height:1696;left:50713;top:523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образования</w:t>
                        </w:r>
                      </w:p>
                    </w:txbxContent>
                  </v:textbox>
                </v:rect>
                <v:rect id="Rectangle 3415" style="position:absolute;width:506;height:2243;left:58107;top:519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16" style="position:absolute;width:798;height:5431;left:53792;top:40288;" coordsize="79883,543179" path="m73533,0l79883,508l41060,467491l75946,470408l31623,543179l0,464058l34702,466959l73533,0x">
                  <v:stroke weight="0pt" endcap="flat" joinstyle="miter" miterlimit="1" on="false" color="#000000" opacity="0"/>
                  <v:fill on="true" color="#156082"/>
                </v:shape>
                <v:shape id="Shape 3417" style="position:absolute;width:824;height:8872;left:54027;top:56958;" coordsize="82423,887223" path="m76073,0l82423,254l41161,811247l76073,813054l34163,887223l0,809117l34808,810919l76073,0x">
                  <v:stroke weight="0pt" endcap="flat" joinstyle="miter" miterlimit="1" on="false" color="#000000" opacity="0"/>
                  <v:fill on="true" color="#156082"/>
                </v:shape>
                <v:rect id="Rectangle 3419" style="position:absolute;width:2278;height:1843;left:59143;top:575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Да</w:t>
                        </w:r>
                      </w:p>
                    </w:txbxContent>
                  </v:textbox>
                </v:rect>
                <v:rect id="Rectangle 3420" style="position:absolute;width:506;height:2243;left:60866;top:572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22" style="position:absolute;width:24009;height:3905;left:42437;top:66744;" coordsize="2400935,390525" path="m0,390525l2400935,390525l2400935,0l0,0x">
                  <v:stroke weight="1pt" endcap="flat" joinstyle="round" on="true" color="#000000"/>
                  <v:fill on="false" color="#000000" opacity="0"/>
                </v:shape>
                <v:rect id="Rectangle 3423" style="position:absolute;width:30245;height:1843;left:43444;top:675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Продолжение терапии у онколога  </w:t>
                        </w:r>
                      </w:p>
                    </w:txbxContent>
                  </v:textbox>
                </v:rect>
                <v:rect id="Rectangle 3424" style="position:absolute;width:506;height:2243;left:66200;top:672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3426" style="position:absolute;width:3236;height:1843;left:11734;top:464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Нет</w:t>
                        </w:r>
                      </w:p>
                    </w:txbxContent>
                  </v:textbox>
                </v:rect>
                <v:rect id="Rectangle 3427" style="position:absolute;width:506;height:2243;left:14177;top:461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3429" style="position:absolute;width:2278;height:1843;left:29328;top:36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Да</w:t>
                        </w:r>
                      </w:p>
                    </w:txbxContent>
                  </v:textbox>
                </v:rect>
                <v:rect id="Rectangle 3430" style="position:absolute;width:506;height:2243;left:31050;top:365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31" style="position:absolute;width:779;height:4194;left:9232;top:45043;" coordsize="77978,419481" path="m6350,0l43219,343330l77978,339598l48260,419481l2286,347726l36995,343999l0,635l6350,0x">
                  <v:stroke weight="0pt" endcap="flat" joinstyle="round" on="false" color="#000000" opacity="0"/>
                  <v:fill on="true" color="#156082"/>
                </v:shape>
                <v:shape id="Shape 3433" style="position:absolute;width:19145;height:9632;left:0;top:49371;" coordsize="1914525,963295" path="m957326,0l0,481585l957326,963295l1914525,481585x">
                  <v:stroke weight="1pt" endcap="flat" joinstyle="miter" miterlimit="1" on="true" color="#000000"/>
                  <v:fill on="false" color="#000000" opacity="0"/>
                </v:shape>
                <v:rect id="Rectangle 3434" style="position:absolute;width:466;height:2064;left:9570;top:498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5" style="position:absolute;width:11106;height:1696;left:5578;top:517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Инцизионная </w:t>
                        </w:r>
                      </w:p>
                    </w:txbxContent>
                  </v:textbox>
                </v:rect>
                <v:rect id="Rectangle 3436" style="position:absolute;width:466;height:2064;left:13929;top:514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7" style="position:absolute;width:6552;height:1696;left:7117;top:533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биопсия</w:t>
                        </w:r>
                      </w:p>
                    </w:txbxContent>
                  </v:textbox>
                </v:rect>
                <v:rect id="Rectangle 3438" style="position:absolute;width:506;height:2243;left:12039;top:529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39" style="position:absolute;width:20289;height:962;left:19620;top:51812;" coordsize="2028952,96266" path="m1951736,0l2028952,35941l1953895,76200l1952905,41252l254,96266l0,89916l1952725,34903l1951736,0x">
                  <v:stroke weight="0pt" endcap="flat" joinstyle="miter" miterlimit="1" on="false" color="#000000" opacity="0"/>
                  <v:fill on="true" color="#156082"/>
                </v:shape>
                <v:shape id="Shape 3440" style="position:absolute;width:27684;height:10223;left:22599;top:55017;" coordsize="2768473,1022350" path="m2766187,0l2768473,5969l72657,989542l84582,1022350l0,1012698l58547,950723l70488,983576l2766187,0x">
                  <v:stroke weight="0pt" endcap="flat" joinstyle="miter" miterlimit="1" on="false" color="#000000" opacity="0"/>
                  <v:fill on="true" color="#156082"/>
                </v:shape>
                <v:shape id="Shape 25203" style="position:absolute;width:9131;height:2667;left:23361;top:57804;" coordsize="913130,266700" path="m0,0l913130,0l913130,266700l0,266700l0,0">
                  <v:stroke weight="0pt" endcap="flat" joinstyle="miter" miterlimit="1" on="false" color="#000000" opacity="0"/>
                  <v:fill on="true" color="#ffffff"/>
                </v:shape>
                <v:rect id="Rectangle 3442" style="position:absolute;width:3236;height:1843;left:28748;top:585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Нет</w:t>
                        </w:r>
                      </w:p>
                    </w:txbxContent>
                  </v:textbox>
                </v:rect>
                <v:rect id="Rectangle 3443" style="position:absolute;width:506;height:2243;left:31187;top:582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45" style="position:absolute;width:24009;height:5321;left:4857;top:65830;" coordsize="2400935,532130" path="m0,532130l2400935,532130l2400935,0l0,0x">
                  <v:stroke weight="1pt" endcap="flat" joinstyle="round" on="true" color="#000000"/>
                  <v:fill on="false" color="#000000" opacity="0"/>
                </v:shape>
                <v:rect id="Rectangle 3446" style="position:absolute;width:22425;height:1843;left:8610;top:666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Продолжение терапии до </w:t>
                        </w:r>
                      </w:p>
                    </w:txbxContent>
                  </v:textbox>
                </v:rect>
                <v:rect id="Rectangle 3447" style="position:absolute;width:26092;height:1843;left:7223;top:684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клинического выздоровления </w:t>
                        </w:r>
                      </w:p>
                    </w:txbxContent>
                  </v:textbox>
                </v:rect>
                <v:rect id="Rectangle 3448" style="position:absolute;width:506;height:2243;left:26841;top:681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3449" style="position:absolute;width:1062;height:4508;left:14710;top:71139;" coordsize="106299,450850" path="m99949,0l106299,1143l40684,376279l75057,382270l24384,450850l0,369189l34447,375193l99949,0x">
                  <v:stroke weight="0pt" endcap="flat" joinstyle="round" on="false" color="#000000" opacity="0"/>
                  <v:fill on="true" color="#156082"/>
                </v:shape>
                <v:rect id="Rectangle 3452" style="position:absolute;width:23800;height:1843;left:8092;top:77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Диспансерное наблюдение </w:t>
                        </w:r>
                      </w:p>
                    </w:txbxContent>
                  </v:textbox>
                </v:rect>
                <v:rect id="Rectangle 3453" style="position:absolute;width:506;height:2243;left:25988;top:775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097C5B" w:rsidRDefault="00172B91">
      <w:pPr>
        <w:pStyle w:val="Heading4"/>
        <w:spacing w:after="71"/>
        <w:ind w:left="795"/>
      </w:pPr>
      <w:r>
        <w:t>Приложение В. Информация для пациента</w:t>
      </w:r>
      <w:r>
        <w:rPr>
          <w:rFonts w:ascii="Arial" w:eastAsia="Arial" w:hAnsi="Arial" w:cs="Arial"/>
          <w:sz w:val="40"/>
        </w:rPr>
        <w:t xml:space="preserve"> </w:t>
      </w:r>
    </w:p>
    <w:p w:rsidR="00097C5B" w:rsidRDefault="00172B91">
      <w:pPr>
        <w:numPr>
          <w:ilvl w:val="0"/>
          <w:numId w:val="8"/>
        </w:numPr>
        <w:spacing w:line="398" w:lineRule="auto"/>
        <w:ind w:hanging="360"/>
      </w:pPr>
      <w:r>
        <w:t xml:space="preserve">В связи с возможным злокачественным характером процесса необходимо провести диагностику образования как можно раньше. </w:t>
      </w:r>
    </w:p>
    <w:p w:rsidR="00097C5B" w:rsidRDefault="00172B91">
      <w:pPr>
        <w:numPr>
          <w:ilvl w:val="0"/>
          <w:numId w:val="8"/>
        </w:numPr>
        <w:spacing w:line="399" w:lineRule="auto"/>
        <w:ind w:hanging="360"/>
      </w:pPr>
      <w:r>
        <w:t>Не допускается самостоятельное уда</w:t>
      </w:r>
      <w:r>
        <w:t xml:space="preserve">ление образования, поскольку это может привести к изменению клинической картины и затруднению диагностики. </w:t>
      </w:r>
    </w:p>
    <w:p w:rsidR="00097C5B" w:rsidRDefault="00172B91">
      <w:pPr>
        <w:numPr>
          <w:ilvl w:val="0"/>
          <w:numId w:val="8"/>
        </w:numPr>
        <w:spacing w:line="398" w:lineRule="auto"/>
        <w:ind w:hanging="360"/>
      </w:pPr>
      <w:r>
        <w:t>Показан самостоятельный осмотр кожи для своевременного выявления новых образований.</w:t>
      </w:r>
      <w:r>
        <w:rPr>
          <w:b/>
        </w:rPr>
        <w:t xml:space="preserve"> </w:t>
      </w:r>
    </w:p>
    <w:p w:rsidR="00097C5B" w:rsidRDefault="00172B91">
      <w:pPr>
        <w:spacing w:after="526" w:line="259" w:lineRule="auto"/>
        <w:ind w:left="133" w:firstLine="0"/>
        <w:jc w:val="center"/>
      </w:pPr>
      <w:r>
        <w:rPr>
          <w:b/>
        </w:rPr>
        <w:t xml:space="preserve"> </w:t>
      </w:r>
    </w:p>
    <w:p w:rsidR="00097C5B" w:rsidRDefault="00172B91">
      <w:pPr>
        <w:spacing w:after="60" w:line="259" w:lineRule="auto"/>
        <w:ind w:left="62" w:firstLine="708"/>
      </w:pPr>
      <w:r>
        <w:rPr>
          <w:b/>
        </w:rPr>
        <w:t>Приложение Г1-</w:t>
      </w:r>
      <w:r>
        <w:rPr>
          <w:b/>
        </w:rPr>
        <w:t xml:space="preserve">ГN. Шкалы оценки, вопросники и другие оценочные </w:t>
      </w:r>
    </w:p>
    <w:p w:rsidR="00097C5B" w:rsidRDefault="00172B91">
      <w:pPr>
        <w:pStyle w:val="Heading4"/>
        <w:spacing w:after="60"/>
        <w:ind w:left="62" w:firstLine="708"/>
      </w:pPr>
      <w:r>
        <w:t>инструменты состояния пациента, приведенные в клинических рекомендациях</w:t>
      </w:r>
      <w:r>
        <w:rPr>
          <w:rFonts w:ascii="Arial" w:eastAsia="Arial" w:hAnsi="Arial" w:cs="Arial"/>
          <w:sz w:val="40"/>
        </w:rPr>
        <w:t xml:space="preserve"> </w:t>
      </w:r>
    </w:p>
    <w:p w:rsidR="00097C5B" w:rsidRDefault="00172B91">
      <w:pPr>
        <w:spacing w:after="111"/>
        <w:ind w:left="72"/>
      </w:pPr>
      <w:r>
        <w:t xml:space="preserve">Общепринятой шкалы оценки не существует. </w:t>
      </w:r>
    </w:p>
    <w:p w:rsidR="00097C5B" w:rsidRDefault="00172B91">
      <w:pPr>
        <w:spacing w:after="112" w:line="259" w:lineRule="auto"/>
        <w:ind w:left="77" w:firstLine="0"/>
        <w:jc w:val="left"/>
      </w:pPr>
      <w:r>
        <w:rPr>
          <w:b/>
        </w:rPr>
        <w:t xml:space="preserve"> </w:t>
      </w:r>
    </w:p>
    <w:p w:rsidR="00097C5B" w:rsidRDefault="00172B91">
      <w:pPr>
        <w:spacing w:after="108" w:line="259" w:lineRule="auto"/>
        <w:ind w:left="77" w:firstLine="0"/>
        <w:jc w:val="left"/>
      </w:pPr>
      <w:r>
        <w:rPr>
          <w:b/>
        </w:rPr>
        <w:t xml:space="preserve"> </w:t>
      </w:r>
    </w:p>
    <w:p w:rsidR="00097C5B" w:rsidRDefault="00172B91">
      <w:pPr>
        <w:spacing w:after="0" w:line="259" w:lineRule="auto"/>
        <w:ind w:left="785" w:firstLine="0"/>
        <w:jc w:val="left"/>
      </w:pPr>
      <w:r>
        <w:t xml:space="preserve"> </w:t>
      </w:r>
    </w:p>
    <w:sectPr w:rsidR="00097C5B">
      <w:pgSz w:w="11906" w:h="16838"/>
      <w:pgMar w:top="1039" w:right="843" w:bottom="1158" w:left="16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96B47"/>
    <w:multiLevelType w:val="hybridMultilevel"/>
    <w:tmpl w:val="92E0321A"/>
    <w:lvl w:ilvl="0" w:tplc="5F00DA18">
      <w:start w:val="15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747F7A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52CA5C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746B6E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DE71C4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07F6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96CC96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E7B3C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D4BACE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8A6C1E"/>
    <w:multiLevelType w:val="hybridMultilevel"/>
    <w:tmpl w:val="2730CA48"/>
    <w:lvl w:ilvl="0" w:tplc="BC8E0B46">
      <w:start w:val="1"/>
      <w:numFmt w:val="decimal"/>
      <w:lvlText w:val="%1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10861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AC3F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80F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897C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6C3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FEED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CAD1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8AE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791C79"/>
    <w:multiLevelType w:val="hybridMultilevel"/>
    <w:tmpl w:val="FD78A96A"/>
    <w:lvl w:ilvl="0" w:tplc="C3E60522">
      <w:start w:val="1"/>
      <w:numFmt w:val="decimal"/>
      <w:lvlText w:val="%1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8C926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66D76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06042E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1886B8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A599C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E80A46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CA584C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66540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8B27AE"/>
    <w:multiLevelType w:val="hybridMultilevel"/>
    <w:tmpl w:val="CCA0A46E"/>
    <w:lvl w:ilvl="0" w:tplc="7C040E58">
      <w:start w:val="1"/>
      <w:numFmt w:val="decimal"/>
      <w:lvlText w:val="%1.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662CC8">
      <w:start w:val="1"/>
      <w:numFmt w:val="lowerLetter"/>
      <w:lvlText w:val="%2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568F3E">
      <w:start w:val="1"/>
      <w:numFmt w:val="lowerRoman"/>
      <w:lvlText w:val="%3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823990">
      <w:start w:val="1"/>
      <w:numFmt w:val="decimal"/>
      <w:lvlText w:val="%4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CBF56">
      <w:start w:val="1"/>
      <w:numFmt w:val="lowerLetter"/>
      <w:lvlText w:val="%5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5834E0">
      <w:start w:val="1"/>
      <w:numFmt w:val="lowerRoman"/>
      <w:lvlText w:val="%6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A4AE56">
      <w:start w:val="1"/>
      <w:numFmt w:val="decimal"/>
      <w:lvlText w:val="%7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AE11C8">
      <w:start w:val="1"/>
      <w:numFmt w:val="lowerLetter"/>
      <w:lvlText w:val="%8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723E18">
      <w:start w:val="1"/>
      <w:numFmt w:val="lowerRoman"/>
      <w:lvlText w:val="%9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CC1ECC"/>
    <w:multiLevelType w:val="hybridMultilevel"/>
    <w:tmpl w:val="67A47662"/>
    <w:lvl w:ilvl="0" w:tplc="20C2F3FE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32296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C0BA3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3A9C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E8755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56B1C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4733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B28B4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D8BA6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C1D1E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EEA6535"/>
    <w:multiLevelType w:val="multilevel"/>
    <w:tmpl w:val="01A2FDB6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3196290"/>
    <w:multiLevelType w:val="hybridMultilevel"/>
    <w:tmpl w:val="F336F63A"/>
    <w:lvl w:ilvl="0" w:tplc="9BA45D58">
      <w:start w:val="1"/>
      <w:numFmt w:val="bullet"/>
      <w:lvlText w:val=""/>
      <w:lvlJc w:val="left"/>
      <w:pPr>
        <w:ind w:left="10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4C240">
      <w:start w:val="1"/>
      <w:numFmt w:val="bullet"/>
      <w:lvlText w:val="o"/>
      <w:lvlJc w:val="left"/>
      <w:pPr>
        <w:ind w:left="1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944380">
      <w:start w:val="1"/>
      <w:numFmt w:val="bullet"/>
      <w:lvlText w:val="▪"/>
      <w:lvlJc w:val="left"/>
      <w:pPr>
        <w:ind w:left="2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C2671C">
      <w:start w:val="1"/>
      <w:numFmt w:val="bullet"/>
      <w:lvlText w:val="•"/>
      <w:lvlJc w:val="left"/>
      <w:pPr>
        <w:ind w:left="3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EAFD4">
      <w:start w:val="1"/>
      <w:numFmt w:val="bullet"/>
      <w:lvlText w:val="o"/>
      <w:lvlJc w:val="left"/>
      <w:pPr>
        <w:ind w:left="3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7EA024">
      <w:start w:val="1"/>
      <w:numFmt w:val="bullet"/>
      <w:lvlText w:val="▪"/>
      <w:lvlJc w:val="left"/>
      <w:pPr>
        <w:ind w:left="4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451DC">
      <w:start w:val="1"/>
      <w:numFmt w:val="bullet"/>
      <w:lvlText w:val="•"/>
      <w:lvlJc w:val="left"/>
      <w:pPr>
        <w:ind w:left="5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C9CE2">
      <w:start w:val="1"/>
      <w:numFmt w:val="bullet"/>
      <w:lvlText w:val="o"/>
      <w:lvlJc w:val="left"/>
      <w:pPr>
        <w:ind w:left="6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82EC10">
      <w:start w:val="1"/>
      <w:numFmt w:val="bullet"/>
      <w:lvlText w:val="▪"/>
      <w:lvlJc w:val="left"/>
      <w:pPr>
        <w:ind w:left="67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B367B3"/>
    <w:multiLevelType w:val="hybridMultilevel"/>
    <w:tmpl w:val="F174917E"/>
    <w:lvl w:ilvl="0" w:tplc="0AF603BA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12CE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C63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4220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275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CA15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62DE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647E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B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C5B"/>
    <w:rsid w:val="00097C5B"/>
    <w:rsid w:val="001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C2A1C73-501B-446C-AB4E-1FD2805C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12"/>
      <w:ind w:left="795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12"/>
      <w:ind w:left="795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212"/>
      <w:ind w:left="795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1"/>
      <w:ind w:left="10" w:hanging="10"/>
      <w:jc w:val="both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235"/>
      <w:ind w:left="795" w:hanging="10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pacing w:after="1"/>
      <w:ind w:left="10" w:hanging="10"/>
      <w:jc w:val="both"/>
      <w:outlineLvl w:val="5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6Char">
    <w:name w:val="Heading 6 Char"/>
    <w:link w:val="Heading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paragraph" w:styleId="TOC1">
    <w:name w:val="toc 1"/>
    <w:hidden/>
    <w:pPr>
      <w:spacing w:after="78" w:line="329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OC2">
    <w:name w:val="toc 2"/>
    <w:hidden/>
    <w:pPr>
      <w:spacing w:after="112" w:line="268" w:lineRule="auto"/>
      <w:ind w:left="308" w:right="2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1111/pde.13221" TargetMode="External"/><Relationship Id="rId21" Type="http://schemas.openxmlformats.org/officeDocument/2006/relationships/hyperlink" Target="https://doi.org/10.1111/j.1365-4632.2011.05262.x" TargetMode="External"/><Relationship Id="rId42" Type="http://schemas.openxmlformats.org/officeDocument/2006/relationships/hyperlink" Target="https://doi.org/10.1111/pde.15119" TargetMode="External"/><Relationship Id="rId47" Type="http://schemas.openxmlformats.org/officeDocument/2006/relationships/hyperlink" Target="https://doi.org/10.1111/j.1525-1470.2012.01760.x" TargetMode="External"/><Relationship Id="rId63" Type="http://schemas.openxmlformats.org/officeDocument/2006/relationships/hyperlink" Target="https://doi.org/10.1111/j.1525-1470.2011.01660.x" TargetMode="External"/><Relationship Id="rId68" Type="http://schemas.openxmlformats.org/officeDocument/2006/relationships/hyperlink" Target="https://doi.org/10.1111/1346-8138.13773" TargetMode="External"/><Relationship Id="rId84" Type="http://schemas.openxmlformats.org/officeDocument/2006/relationships/hyperlink" Target="https://doi.org/10.1111/cup.13495" TargetMode="External"/><Relationship Id="rId89" Type="http://schemas.openxmlformats.org/officeDocument/2006/relationships/hyperlink" Target="https://doi.org/10.1111/1346-8138.14917" TargetMode="External"/><Relationship Id="rId16" Type="http://schemas.openxmlformats.org/officeDocument/2006/relationships/hyperlink" Target="https://doi.org/10.1111/1346-8138.13864" TargetMode="External"/><Relationship Id="rId11" Type="http://schemas.openxmlformats.org/officeDocument/2006/relationships/hyperlink" Target="https://doi.org/10.1155/2010/825949" TargetMode="External"/><Relationship Id="rId32" Type="http://schemas.openxmlformats.org/officeDocument/2006/relationships/hyperlink" Target="https://doi.org/10.1155/2020/7134789" TargetMode="External"/><Relationship Id="rId37" Type="http://schemas.openxmlformats.org/officeDocument/2006/relationships/hyperlink" Target="https://doi.org/10.5694/mja2.51781" TargetMode="External"/><Relationship Id="rId53" Type="http://schemas.openxmlformats.org/officeDocument/2006/relationships/hyperlink" Target="https://doi.org/10.1155/2018/9489163" TargetMode="External"/><Relationship Id="rId58" Type="http://schemas.openxmlformats.org/officeDocument/2006/relationships/hyperlink" Target="https://doi.org/10.1111/j.1365-4632.2012.05526.x" TargetMode="External"/><Relationship Id="rId74" Type="http://schemas.openxmlformats.org/officeDocument/2006/relationships/hyperlink" Target="https://doi.org/10.1111/j.1365-4632.2010.04822.x" TargetMode="External"/><Relationship Id="rId79" Type="http://schemas.openxmlformats.org/officeDocument/2006/relationships/hyperlink" Target="https://doi.org/10.1111/1346-8138.15279" TargetMode="External"/><Relationship Id="rId102" Type="http://schemas.openxmlformats.org/officeDocument/2006/relationships/fontTable" Target="fontTable.xml"/><Relationship Id="rId5" Type="http://schemas.openxmlformats.org/officeDocument/2006/relationships/image" Target="media/image1.jpg"/><Relationship Id="rId90" Type="http://schemas.openxmlformats.org/officeDocument/2006/relationships/hyperlink" Target="https://doi.org/10.1111/1346-8138.14917" TargetMode="External"/><Relationship Id="rId95" Type="http://schemas.openxmlformats.org/officeDocument/2006/relationships/hyperlink" Target="https://doi.org/10.1111/dth.15733" TargetMode="External"/><Relationship Id="rId22" Type="http://schemas.openxmlformats.org/officeDocument/2006/relationships/hyperlink" Target="https://doi.org/10.1111/pde.13221" TargetMode="External"/><Relationship Id="rId27" Type="http://schemas.openxmlformats.org/officeDocument/2006/relationships/hyperlink" Target="https://doi.org/10.1111/pde.13221" TargetMode="External"/><Relationship Id="rId43" Type="http://schemas.openxmlformats.org/officeDocument/2006/relationships/hyperlink" Target="https://doi.org/10.1111/pde.15119" TargetMode="External"/><Relationship Id="rId48" Type="http://schemas.openxmlformats.org/officeDocument/2006/relationships/hyperlink" Target="https://doi.org/10.1111/j.1525-1470.2012.01760.x" TargetMode="External"/><Relationship Id="rId64" Type="http://schemas.openxmlformats.org/officeDocument/2006/relationships/hyperlink" Target="https://doi.org/10.1111/j.1525-1470.2011.01660.x" TargetMode="External"/><Relationship Id="rId69" Type="http://schemas.openxmlformats.org/officeDocument/2006/relationships/hyperlink" Target="https://doi.org/10.1111/1346-8138.13773" TargetMode="External"/><Relationship Id="rId80" Type="http://schemas.openxmlformats.org/officeDocument/2006/relationships/hyperlink" Target="https://doi.org/10.1111/1346-8138.15279" TargetMode="External"/><Relationship Id="rId85" Type="http://schemas.openxmlformats.org/officeDocument/2006/relationships/hyperlink" Target="https://doi.org/10.1111/cup.13495" TargetMode="External"/><Relationship Id="rId12" Type="http://schemas.openxmlformats.org/officeDocument/2006/relationships/hyperlink" Target="https://doi.org/10.1111/1346-8138.13864" TargetMode="External"/><Relationship Id="rId17" Type="http://schemas.openxmlformats.org/officeDocument/2006/relationships/hyperlink" Target="https://doi.org/10.1111/j.1365-4632.2011.05262.x" TargetMode="External"/><Relationship Id="rId25" Type="http://schemas.openxmlformats.org/officeDocument/2006/relationships/hyperlink" Target="https://doi.org/10.1111/pde.13221" TargetMode="External"/><Relationship Id="rId33" Type="http://schemas.openxmlformats.org/officeDocument/2006/relationships/hyperlink" Target="https://doi.org/10.1155/2020/7134789" TargetMode="External"/><Relationship Id="rId38" Type="http://schemas.openxmlformats.org/officeDocument/2006/relationships/hyperlink" Target="https://doi.org/10.1111/pde.13462" TargetMode="External"/><Relationship Id="rId46" Type="http://schemas.openxmlformats.org/officeDocument/2006/relationships/hyperlink" Target="https://doi.org/10.1111/j.1525-1470.2012.01760.x" TargetMode="External"/><Relationship Id="rId59" Type="http://schemas.openxmlformats.org/officeDocument/2006/relationships/hyperlink" Target="https://doi.org/10.1111/ijd.15962" TargetMode="External"/><Relationship Id="rId67" Type="http://schemas.openxmlformats.org/officeDocument/2006/relationships/hyperlink" Target="https://doi.org/10.1111/1346-8138.13773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doi.org/10.1111/j.1365-4632.2011.05262.x" TargetMode="External"/><Relationship Id="rId41" Type="http://schemas.openxmlformats.org/officeDocument/2006/relationships/hyperlink" Target="https://doi.org/10.1111/pde.15119" TargetMode="External"/><Relationship Id="rId54" Type="http://schemas.openxmlformats.org/officeDocument/2006/relationships/hyperlink" Target="https://doi.org/10.1111/j.1365-4632.2012.05526.x" TargetMode="External"/><Relationship Id="rId62" Type="http://schemas.openxmlformats.org/officeDocument/2006/relationships/hyperlink" Target="https://doi.org/10.1111/j.1525-1470.2011.01660.x" TargetMode="External"/><Relationship Id="rId70" Type="http://schemas.openxmlformats.org/officeDocument/2006/relationships/hyperlink" Target="https://doi.org/10.1111/1346-8138.13773" TargetMode="External"/><Relationship Id="rId75" Type="http://schemas.openxmlformats.org/officeDocument/2006/relationships/hyperlink" Target="https://doi.org/10.1111/j.1365-4632.2010.04822.x" TargetMode="External"/><Relationship Id="rId83" Type="http://schemas.openxmlformats.org/officeDocument/2006/relationships/hyperlink" Target="https://doi.org/10.1111/cup.13495" TargetMode="External"/><Relationship Id="rId88" Type="http://schemas.openxmlformats.org/officeDocument/2006/relationships/hyperlink" Target="https://doi.org/10.1111/1346-8138.14917" TargetMode="External"/><Relationship Id="rId91" Type="http://schemas.openxmlformats.org/officeDocument/2006/relationships/hyperlink" Target="https://doi.org/10.1111/1346-8138.14917" TargetMode="External"/><Relationship Id="rId96" Type="http://schemas.openxmlformats.org/officeDocument/2006/relationships/hyperlink" Target="https://doi.org/10.1111/dth.1573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111/ajd.13271" TargetMode="External"/><Relationship Id="rId15" Type="http://schemas.openxmlformats.org/officeDocument/2006/relationships/hyperlink" Target="https://doi.org/10.1111/1346-8138.13864" TargetMode="External"/><Relationship Id="rId23" Type="http://schemas.openxmlformats.org/officeDocument/2006/relationships/hyperlink" Target="https://doi.org/10.1111/pde.13221" TargetMode="External"/><Relationship Id="rId28" Type="http://schemas.openxmlformats.org/officeDocument/2006/relationships/hyperlink" Target="https://doi.org/10.1111/pde.13221" TargetMode="External"/><Relationship Id="rId36" Type="http://schemas.openxmlformats.org/officeDocument/2006/relationships/hyperlink" Target="https://doi.org/10.5694/mja2.51781" TargetMode="External"/><Relationship Id="rId49" Type="http://schemas.openxmlformats.org/officeDocument/2006/relationships/hyperlink" Target="https://www.ncbi.nlm.nih.gov/books/NBK563280/" TargetMode="External"/><Relationship Id="rId57" Type="http://schemas.openxmlformats.org/officeDocument/2006/relationships/hyperlink" Target="https://doi.org/10.1111/j.1365-4632.2012.05526.x" TargetMode="External"/><Relationship Id="rId10" Type="http://schemas.openxmlformats.org/officeDocument/2006/relationships/hyperlink" Target="https://doi.org/10.1155/2010/825949" TargetMode="External"/><Relationship Id="rId31" Type="http://schemas.openxmlformats.org/officeDocument/2006/relationships/hyperlink" Target="https://doi.org/10.1111/pde.13221" TargetMode="External"/><Relationship Id="rId44" Type="http://schemas.openxmlformats.org/officeDocument/2006/relationships/hyperlink" Target="https://doi.org/10.1111/j.1525-1470.2012.01760.x" TargetMode="External"/><Relationship Id="rId52" Type="http://schemas.openxmlformats.org/officeDocument/2006/relationships/hyperlink" Target="https://doi.org/10.1155/2018/9489163" TargetMode="External"/><Relationship Id="rId60" Type="http://schemas.openxmlformats.org/officeDocument/2006/relationships/hyperlink" Target="https://doi.org/10.1111/ijd.15962" TargetMode="External"/><Relationship Id="rId65" Type="http://schemas.openxmlformats.org/officeDocument/2006/relationships/hyperlink" Target="https://doi.org/10.1111/j.1525-1470.2011.01660.x" TargetMode="External"/><Relationship Id="rId73" Type="http://schemas.openxmlformats.org/officeDocument/2006/relationships/hyperlink" Target="https://doi.org/10.1111/j.1365-4632.2010.04822.x" TargetMode="External"/><Relationship Id="rId78" Type="http://schemas.openxmlformats.org/officeDocument/2006/relationships/hyperlink" Target="https://doi.org/10.1111/1346-8138.15279" TargetMode="External"/><Relationship Id="rId81" Type="http://schemas.openxmlformats.org/officeDocument/2006/relationships/hyperlink" Target="https://doi.org/10.1111/1346-8138.15279" TargetMode="External"/><Relationship Id="rId86" Type="http://schemas.openxmlformats.org/officeDocument/2006/relationships/hyperlink" Target="https://doi.org/10.1111/1346-8138.14917" TargetMode="External"/><Relationship Id="rId94" Type="http://schemas.openxmlformats.org/officeDocument/2006/relationships/hyperlink" Target="https://doi.org/10.1002/ccr3.2549" TargetMode="External"/><Relationship Id="rId99" Type="http://schemas.openxmlformats.org/officeDocument/2006/relationships/hyperlink" Target="https://doi.org/10.1111/cup.13979" TargetMode="External"/><Relationship Id="rId101" Type="http://schemas.openxmlformats.org/officeDocument/2006/relationships/hyperlink" Target="https://doi.org/10.1111/cup.139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155/2010/825949" TargetMode="External"/><Relationship Id="rId13" Type="http://schemas.openxmlformats.org/officeDocument/2006/relationships/hyperlink" Target="https://doi.org/10.1111/1346-8138.13864" TargetMode="External"/><Relationship Id="rId18" Type="http://schemas.openxmlformats.org/officeDocument/2006/relationships/hyperlink" Target="https://doi.org/10.1111/j.1365-4632.2011.05262.x" TargetMode="External"/><Relationship Id="rId39" Type="http://schemas.openxmlformats.org/officeDocument/2006/relationships/hyperlink" Target="https://doi.org/10.1111/pde.13462" TargetMode="External"/><Relationship Id="rId34" Type="http://schemas.openxmlformats.org/officeDocument/2006/relationships/hyperlink" Target="https://doi.org/10.1155/2020/7134789" TargetMode="External"/><Relationship Id="rId50" Type="http://schemas.openxmlformats.org/officeDocument/2006/relationships/hyperlink" Target="https://www.ncbi.nlm.nih.gov/books/NBK563280/" TargetMode="External"/><Relationship Id="rId55" Type="http://schemas.openxmlformats.org/officeDocument/2006/relationships/hyperlink" Target="https://doi.org/10.1111/j.1365-4632.2012.05526.x" TargetMode="External"/><Relationship Id="rId76" Type="http://schemas.openxmlformats.org/officeDocument/2006/relationships/hyperlink" Target="https://doi.org/10.1111/j.1365-4632.2010.04822.x" TargetMode="External"/><Relationship Id="rId97" Type="http://schemas.openxmlformats.org/officeDocument/2006/relationships/hyperlink" Target="https://doi.org/10.1111/dth.15733" TargetMode="External"/><Relationship Id="rId7" Type="http://schemas.openxmlformats.org/officeDocument/2006/relationships/hyperlink" Target="https://doi.org/10.1111/ajd.13271" TargetMode="External"/><Relationship Id="rId71" Type="http://schemas.openxmlformats.org/officeDocument/2006/relationships/hyperlink" Target="https://doi.org/10.1111/1346-8138.13773" TargetMode="External"/><Relationship Id="rId92" Type="http://schemas.openxmlformats.org/officeDocument/2006/relationships/hyperlink" Target="https://doi.org/10.1002/ccr3.2549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i.org/10.1111/pde.13221" TargetMode="External"/><Relationship Id="rId24" Type="http://schemas.openxmlformats.org/officeDocument/2006/relationships/hyperlink" Target="https://doi.org/10.1111/pde.13221" TargetMode="External"/><Relationship Id="rId40" Type="http://schemas.openxmlformats.org/officeDocument/2006/relationships/hyperlink" Target="https://doi.org/10.1111/pde.13462" TargetMode="External"/><Relationship Id="rId45" Type="http://schemas.openxmlformats.org/officeDocument/2006/relationships/hyperlink" Target="https://doi.org/10.1111/j.1525-1470.2012.01760.x" TargetMode="External"/><Relationship Id="rId66" Type="http://schemas.openxmlformats.org/officeDocument/2006/relationships/hyperlink" Target="https://doi.org/10.1111/j.1525-1470.2011.01660.x" TargetMode="External"/><Relationship Id="rId87" Type="http://schemas.openxmlformats.org/officeDocument/2006/relationships/hyperlink" Target="https://doi.org/10.1111/1346-8138.14917" TargetMode="External"/><Relationship Id="rId61" Type="http://schemas.openxmlformats.org/officeDocument/2006/relationships/hyperlink" Target="https://doi.org/10.1111/ijd.15962" TargetMode="External"/><Relationship Id="rId82" Type="http://schemas.openxmlformats.org/officeDocument/2006/relationships/hyperlink" Target="https://doi.org/10.1111/1346-8138.15279" TargetMode="External"/><Relationship Id="rId19" Type="http://schemas.openxmlformats.org/officeDocument/2006/relationships/hyperlink" Target="https://doi.org/10.1111/j.1365-4632.2011.05262.x" TargetMode="External"/><Relationship Id="rId14" Type="http://schemas.openxmlformats.org/officeDocument/2006/relationships/hyperlink" Target="https://doi.org/10.1111/1346-8138.13864" TargetMode="External"/><Relationship Id="rId30" Type="http://schemas.openxmlformats.org/officeDocument/2006/relationships/hyperlink" Target="https://doi.org/10.1111/pde.13221" TargetMode="External"/><Relationship Id="rId35" Type="http://schemas.openxmlformats.org/officeDocument/2006/relationships/hyperlink" Target="https://doi.org/10.5694/mja2.51781" TargetMode="External"/><Relationship Id="rId56" Type="http://schemas.openxmlformats.org/officeDocument/2006/relationships/hyperlink" Target="https://doi.org/10.1111/j.1365-4632.2012.05526.x" TargetMode="External"/><Relationship Id="rId77" Type="http://schemas.openxmlformats.org/officeDocument/2006/relationships/hyperlink" Target="https://doi.org/10.1111/1346-8138.15279" TargetMode="External"/><Relationship Id="rId100" Type="http://schemas.openxmlformats.org/officeDocument/2006/relationships/hyperlink" Target="https://doi.org/10.1111/cup.13979" TargetMode="External"/><Relationship Id="rId8" Type="http://schemas.openxmlformats.org/officeDocument/2006/relationships/hyperlink" Target="https://doi.org/10.1111/ajd.13271" TargetMode="External"/><Relationship Id="rId51" Type="http://schemas.openxmlformats.org/officeDocument/2006/relationships/hyperlink" Target="https://doi.org/10.1155/2018/9489163" TargetMode="External"/><Relationship Id="rId72" Type="http://schemas.openxmlformats.org/officeDocument/2006/relationships/hyperlink" Target="https://doi.org/10.1111/j.1365-4632.2010.04822.x" TargetMode="External"/><Relationship Id="rId93" Type="http://schemas.openxmlformats.org/officeDocument/2006/relationships/hyperlink" Target="https://doi.org/10.1002/ccr3.2549" TargetMode="External"/><Relationship Id="rId98" Type="http://schemas.openxmlformats.org/officeDocument/2006/relationships/hyperlink" Target="https://doi.org/10.1111/dth.1573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6144</Words>
  <Characters>35021</Characters>
  <Application>Microsoft Office Word</Application>
  <DocSecurity>4</DocSecurity>
  <Lines>291</Lines>
  <Paragraphs>82</Paragraphs>
  <ScaleCrop>false</ScaleCrop>
  <Company/>
  <LinksUpToDate>false</LinksUpToDate>
  <CharactersWithSpaces>41083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Сергеева</dc:creator>
  <cp:keywords/>
  <cp:lastModifiedBy>word</cp:lastModifiedBy>
  <cp:revision>2</cp:revision>
  <dcterms:created xsi:type="dcterms:W3CDTF">2026-07-17T13:41:00Z</dcterms:created>
  <dcterms:modified xsi:type="dcterms:W3CDTF">2026-07-17T13:41:00Z</dcterms:modified>
</cp:coreProperties>
</file>