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32E" w:rsidRDefault="00A47635">
      <w:pPr>
        <w:spacing w:after="0" w:line="259" w:lineRule="auto"/>
        <w:ind w:left="0" w:firstLine="0"/>
        <w:jc w:val="left"/>
      </w:pPr>
      <w:bookmarkStart w:id="0" w:name="_GoBack"/>
      <w:bookmarkEnd w:id="0"/>
      <w:r>
        <w:t xml:space="preserve"> </w:t>
      </w:r>
    </w:p>
    <w:p w:rsidR="008F432E" w:rsidRDefault="00A47635">
      <w:pPr>
        <w:spacing w:after="0" w:line="266" w:lineRule="auto"/>
        <w:ind w:left="6125" w:right="45"/>
      </w:pPr>
      <w:r>
        <w:t xml:space="preserve">Утверждено: </w:t>
      </w:r>
    </w:p>
    <w:p w:rsidR="008F432E" w:rsidRDefault="00A47635">
      <w:pPr>
        <w:spacing w:after="0" w:line="259" w:lineRule="auto"/>
        <w:ind w:left="4247" w:firstLine="0"/>
        <w:jc w:val="center"/>
      </w:pPr>
      <w:r>
        <w:t xml:space="preserve"> </w:t>
      </w:r>
    </w:p>
    <w:p w:rsidR="008F432E" w:rsidRDefault="00A47635">
      <w:pPr>
        <w:spacing w:after="19" w:line="259" w:lineRule="auto"/>
        <w:ind w:right="183"/>
        <w:jc w:val="right"/>
      </w:pPr>
      <w:r>
        <w:t xml:space="preserve">Ассоциация травматологов-ортопедов России </w:t>
      </w:r>
    </w:p>
    <w:p w:rsidR="008F432E" w:rsidRDefault="00A47635">
      <w:pPr>
        <w:spacing w:after="1078" w:line="249" w:lineRule="auto"/>
        <w:ind w:right="115"/>
        <w:jc w:val="center"/>
      </w:pPr>
      <w:r>
        <w:t xml:space="preserve">(АТОР)  </w:t>
      </w:r>
    </w:p>
    <w:p w:rsidR="008F432E" w:rsidRDefault="00A47635">
      <w:pPr>
        <w:spacing w:after="252" w:line="259" w:lineRule="auto"/>
        <w:ind w:right="319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2695956</wp:posOffset>
                </wp:positionH>
                <wp:positionV relativeFrom="paragraph">
                  <wp:posOffset>-664890</wp:posOffset>
                </wp:positionV>
                <wp:extent cx="2331257" cy="1488532"/>
                <wp:effectExtent l="0" t="0" r="0" b="0"/>
                <wp:wrapSquare wrapText="bothSides"/>
                <wp:docPr id="52895" name="Group 52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1257" cy="1488532"/>
                          <a:chOff x="0" y="0"/>
                          <a:chExt cx="2331257" cy="1488532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4572" y="0"/>
                            <a:ext cx="3094491" cy="1811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F432E" w:rsidRDefault="00A476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6"/>
                                </w:rPr>
                                <w:t>Президент</w:t>
                              </w:r>
                              <w:r>
                                <w:rPr>
                                  <w:spacing w:val="2"/>
                                  <w:w w:val="106"/>
                                </w:rPr>
                                <w:t xml:space="preserve"> </w:t>
                              </w:r>
                              <w:r>
                                <w:rPr>
                                  <w:w w:val="106"/>
                                </w:rPr>
                                <w:t>АТОР, академик</w:t>
                              </w:r>
                              <w:r>
                                <w:rPr>
                                  <w:spacing w:val="2"/>
                                  <w:w w:val="106"/>
                                </w:rPr>
                                <w:t xml:space="preserve"> </w:t>
                              </w:r>
                              <w:r>
                                <w:rPr>
                                  <w:w w:val="106"/>
                                </w:rPr>
                                <w:t>РАН</w:t>
                              </w:r>
                              <w:r>
                                <w:rPr>
                                  <w:spacing w:val="-2"/>
                                  <w:w w:val="10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572" y="175260"/>
                            <a:ext cx="50675" cy="1811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F432E" w:rsidRDefault="00A476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572" y="841248"/>
                            <a:ext cx="450334" cy="1811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F432E" w:rsidRDefault="00A476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5"/>
                                </w:rPr>
                                <w:t>М.П.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42900" y="838792"/>
                            <a:ext cx="50675" cy="1843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F432E" w:rsidRDefault="00A476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22444"/>
                            <a:ext cx="1694688" cy="14660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895" style="width:183.564pt;height:117.207pt;position:absolute;mso-position-horizontal-relative:text;mso-position-horizontal:absolute;margin-left:212.28pt;mso-position-vertical-relative:text;margin-top:-52.3537pt;" coordsize="23312,14885">
                <v:rect id="Rectangle 11" style="position:absolute;width:30944;height:1811;left:4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w w:val="106"/>
                          </w:rPr>
                          <w:t xml:space="preserve">Президент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6"/>
                          </w:rPr>
                          <w:t xml:space="preserve"> </w:t>
                        </w:r>
                        <w:r>
                          <w:rPr>
                            <w:rFonts w:cs="Times New Roman" w:hAnsi="Times New Roman" w:eastAsia="Times New Roman" w:ascii="Times New Roman"/>
                            <w:w w:val="106"/>
                          </w:rPr>
                          <w:t xml:space="preserve">АТОР, академик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6"/>
                          </w:rPr>
                          <w:t xml:space="preserve"> </w:t>
                        </w:r>
                        <w:r>
                          <w:rPr>
                            <w:rFonts w:cs="Times New Roman" w:hAnsi="Times New Roman" w:eastAsia="Times New Roman" w:ascii="Times New Roman"/>
                            <w:w w:val="106"/>
                          </w:rPr>
                          <w:t xml:space="preserve">РАН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width:506;height:1811;left:45;top:17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width:4503;height:1811;left:45;top:84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w w:val="105"/>
                          </w:rPr>
                          <w:t xml:space="preserve">М.П.</w:t>
                        </w:r>
                      </w:p>
                    </w:txbxContent>
                  </v:textbox>
                </v:rect>
                <v:rect id="Rectangle 16" style="position:absolute;width:506;height:1843;left:3429;top:838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6" style="position:absolute;width:16946;height:14660;left:0;top:224;" filled="f">
                  <v:imagedata r:id="rId8"/>
                </v:shape>
                <w10:wrap type="square"/>
              </v:group>
            </w:pict>
          </mc:Fallback>
        </mc:AlternateContent>
      </w:r>
      <w:r>
        <w:t xml:space="preserve">                            </w:t>
      </w:r>
      <w:r>
        <w:t xml:space="preserve"> Г.П. Котельников </w:t>
      </w:r>
    </w:p>
    <w:p w:rsidR="008F432E" w:rsidRDefault="00A47635">
      <w:pPr>
        <w:spacing w:after="0" w:line="259" w:lineRule="auto"/>
        <w:ind w:left="0" w:right="1528" w:firstLine="0"/>
        <w:jc w:val="left"/>
      </w:pPr>
      <w:r>
        <w:rPr>
          <w:color w:val="808080"/>
        </w:rPr>
        <w:t xml:space="preserve"> </w:t>
      </w:r>
    </w:p>
    <w:p w:rsidR="008F432E" w:rsidRDefault="00A47635">
      <w:pPr>
        <w:spacing w:after="0" w:line="259" w:lineRule="auto"/>
        <w:ind w:left="0" w:right="1528" w:firstLine="0"/>
        <w:jc w:val="left"/>
      </w:pPr>
      <w:r>
        <w:rPr>
          <w:color w:val="808080"/>
        </w:rPr>
        <w:t xml:space="preserve"> </w:t>
      </w:r>
    </w:p>
    <w:p w:rsidR="008F432E" w:rsidRDefault="00A47635">
      <w:pPr>
        <w:spacing w:after="0" w:line="259" w:lineRule="auto"/>
        <w:ind w:left="0" w:right="1528" w:firstLine="0"/>
        <w:jc w:val="left"/>
      </w:pPr>
      <w:r>
        <w:rPr>
          <w:color w:val="808080"/>
        </w:rP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rPr>
          <w:color w:val="808080"/>
        </w:rP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rPr>
          <w:color w:val="808080"/>
        </w:rPr>
        <w:t xml:space="preserve"> </w:t>
      </w:r>
    </w:p>
    <w:p w:rsidR="008F432E" w:rsidRDefault="00A47635">
      <w:pPr>
        <w:spacing w:after="362" w:line="259" w:lineRule="auto"/>
        <w:ind w:left="0" w:firstLine="0"/>
        <w:jc w:val="left"/>
      </w:pPr>
      <w:r>
        <w:rPr>
          <w:color w:val="595959"/>
        </w:rPr>
        <w:t xml:space="preserve">Клинические рекомендации </w:t>
      </w:r>
    </w:p>
    <w:p w:rsidR="008F432E" w:rsidRDefault="00A47635">
      <w:pPr>
        <w:spacing w:after="0" w:line="239" w:lineRule="auto"/>
        <w:ind w:left="0" w:right="1144" w:firstLine="0"/>
        <w:jc w:val="left"/>
      </w:pPr>
      <w:r>
        <w:rPr>
          <w:sz w:val="36"/>
        </w:rPr>
        <w:t xml:space="preserve">Приобретенные деформации нижних  конечностей (кроме стопы) </w:t>
      </w:r>
    </w:p>
    <w:p w:rsidR="008F432E" w:rsidRDefault="00A47635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tbl>
      <w:tblPr>
        <w:tblStyle w:val="TableGrid"/>
        <w:tblW w:w="8806" w:type="dxa"/>
        <w:tblInd w:w="-103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162"/>
      </w:tblGrid>
      <w:tr w:rsidR="008F432E">
        <w:trPr>
          <w:trHeight w:val="919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F432E" w:rsidRDefault="00A47635">
            <w:pPr>
              <w:spacing w:after="0" w:line="259" w:lineRule="auto"/>
              <w:ind w:left="0" w:right="396" w:firstLine="0"/>
              <w:jc w:val="right"/>
            </w:pPr>
            <w:r>
              <w:t xml:space="preserve">Кодирование по Международной статистической классификации болезней и проблем, связанных со здоровьем: 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М21.0, М21.1, M21.2, М21.7, М21.8, М21.9, М95.8, М99.9 </w:t>
            </w:r>
          </w:p>
        </w:tc>
      </w:tr>
      <w:tr w:rsidR="008F432E">
        <w:trPr>
          <w:trHeight w:val="51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2E" w:rsidRDefault="00A47635">
            <w:pPr>
              <w:spacing w:after="0" w:line="259" w:lineRule="auto"/>
              <w:ind w:left="0" w:right="400" w:firstLine="0"/>
              <w:jc w:val="right"/>
            </w:pPr>
            <w:r>
              <w:t xml:space="preserve">Возрастная группа: 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Взрослые, дети </w:t>
            </w:r>
          </w:p>
        </w:tc>
      </w:tr>
      <w:tr w:rsidR="008F432E">
        <w:trPr>
          <w:trHeight w:val="51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2E" w:rsidRDefault="00A47635">
            <w:pPr>
              <w:spacing w:after="0" w:line="259" w:lineRule="auto"/>
              <w:ind w:left="0" w:right="399" w:firstLine="0"/>
              <w:jc w:val="right"/>
            </w:pPr>
            <w:r>
              <w:t xml:space="preserve">Год утверждения: 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2026 </w:t>
            </w:r>
          </w:p>
        </w:tc>
      </w:tr>
      <w:tr w:rsidR="008F432E">
        <w:trPr>
          <w:trHeight w:val="64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Разработчик клинической рекомендации: 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Ассоциация травматологов и ортопедов России </w:t>
            </w:r>
          </w:p>
        </w:tc>
      </w:tr>
    </w:tbl>
    <w:p w:rsidR="008F432E" w:rsidRDefault="00A47635">
      <w:pPr>
        <w:spacing w:after="96" w:line="259" w:lineRule="auto"/>
        <w:ind w:left="0" w:right="304" w:firstLine="0"/>
        <w:jc w:val="center"/>
      </w:pPr>
      <w: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spacing w:after="0" w:line="259" w:lineRule="auto"/>
        <w:ind w:left="10" w:right="65"/>
      </w:pPr>
      <w:bookmarkStart w:id="1" w:name="_Toc71476"/>
      <w:r>
        <w:rPr>
          <w:sz w:val="28"/>
        </w:rPr>
        <w:t xml:space="preserve">Оглавление </w:t>
      </w:r>
      <w:bookmarkEnd w:id="1"/>
    </w:p>
    <w:sdt>
      <w:sdtPr>
        <w:id w:val="-642579709"/>
        <w:docPartObj>
          <w:docPartGallery w:val="Table of Contents"/>
        </w:docPartObj>
      </w:sdtPr>
      <w:sdtEndPr/>
      <w:sdtContent>
        <w:p w:rsidR="008F432E" w:rsidRDefault="00A47635">
          <w:pPr>
            <w:pStyle w:val="TOC1"/>
            <w:tabs>
              <w:tab w:val="right" w:leader="dot" w:pos="9445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1476">
            <w:r>
              <w:t>Оглавление</w:t>
            </w:r>
            <w:r>
              <w:tab/>
            </w:r>
            <w:r>
              <w:fldChar w:fldCharType="begin"/>
            </w:r>
            <w:r>
              <w:instrText>PAGEREF _Toc71476 \h</w:instrText>
            </w:r>
            <w:r>
              <w:fldChar w:fldCharType="separate"/>
            </w:r>
            <w:r>
              <w:t xml:space="preserve">2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477">
            <w:r>
              <w:t>Список сокращений</w:t>
            </w:r>
            <w:r>
              <w:tab/>
            </w:r>
            <w:r>
              <w:fldChar w:fldCharType="begin"/>
            </w:r>
            <w:r>
              <w:instrText>PAGEREF _Toc71477 \h</w:instrText>
            </w:r>
            <w:r>
              <w:fldChar w:fldCharType="separate"/>
            </w:r>
            <w:r>
              <w:t xml:space="preserve">4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478">
            <w:r>
              <w:t>1. Краткая информация по за</w:t>
            </w:r>
            <w:r>
              <w:t>болеванию или состоянию (группе заболеваний или состояний)</w:t>
            </w:r>
            <w:r>
              <w:tab/>
            </w:r>
            <w:r>
              <w:fldChar w:fldCharType="begin"/>
            </w:r>
            <w:r>
              <w:instrText>PAGEREF _Toc71478 \h</w:instrText>
            </w:r>
            <w:r>
              <w:fldChar w:fldCharType="separate"/>
            </w:r>
            <w:r>
              <w:t xml:space="preserve">10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79">
            <w:r>
              <w:t>1.1. Определение заболевания или состояния (группы заболеваний или состояний)</w:t>
            </w:r>
            <w:r>
              <w:tab/>
            </w:r>
            <w:r>
              <w:fldChar w:fldCharType="begin"/>
            </w:r>
            <w:r>
              <w:instrText>PAGEREF _Toc71479 \h</w:instrText>
            </w:r>
            <w:r>
              <w:fldChar w:fldCharType="separate"/>
            </w:r>
            <w:r>
              <w:t xml:space="preserve">10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0">
            <w:r>
              <w:t>1.2. Этиология и патогенез заболевания или состояния (группы заболеваний или состояний)</w:t>
            </w:r>
            <w:r>
              <w:tab/>
            </w:r>
            <w:r>
              <w:fldChar w:fldCharType="begin"/>
            </w:r>
            <w:r>
              <w:instrText>PAGEREF _Toc71480 \h</w:instrText>
            </w:r>
            <w:r>
              <w:fldChar w:fldCharType="separate"/>
            </w:r>
            <w:r>
              <w:t xml:space="preserve">10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1">
            <w:r>
              <w:t>1.3. Эпидемиология заболевания или состояния (группы заболеваний или состояний)</w:t>
            </w:r>
            <w:r>
              <w:tab/>
            </w:r>
            <w:r>
              <w:fldChar w:fldCharType="begin"/>
            </w:r>
            <w:r>
              <w:instrText>PAGEREF _Toc71481 \h</w:instrText>
            </w:r>
            <w:r>
              <w:fldChar w:fldCharType="separate"/>
            </w:r>
            <w:r>
              <w:t xml:space="preserve">12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2">
            <w:r>
              <w:t>1.4.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      </w:r>
            <w:r>
              <w:tab/>
            </w:r>
            <w:r>
              <w:fldChar w:fldCharType="begin"/>
            </w:r>
            <w:r>
              <w:instrText>PAGEREF _Toc71482 \h</w:instrText>
            </w:r>
            <w:r>
              <w:fldChar w:fldCharType="separate"/>
            </w:r>
            <w:r>
              <w:t xml:space="preserve">13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3">
            <w:r>
              <w:t>1.5. Классификация заболевания или состояния (группы заболеваний или состояний)</w:t>
            </w:r>
            <w:r>
              <w:tab/>
            </w:r>
            <w:r>
              <w:fldChar w:fldCharType="begin"/>
            </w:r>
            <w:r>
              <w:instrText>PAGEREF _Toc71483 \h</w:instrText>
            </w:r>
            <w:r>
              <w:fldChar w:fldCharType="separate"/>
            </w:r>
            <w:r>
              <w:t xml:space="preserve">13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4">
            <w:r>
              <w:t>1.6. Клиническая картина заболевания или состояния (группы заболеваний или состояний)</w:t>
            </w:r>
            <w:r>
              <w:tab/>
            </w:r>
            <w:r>
              <w:fldChar w:fldCharType="begin"/>
            </w:r>
            <w:r>
              <w:instrText>PAGEREF _Toc71484 \h</w:instrText>
            </w:r>
            <w:r>
              <w:fldChar w:fldCharType="separate"/>
            </w:r>
            <w:r>
              <w:t xml:space="preserve">13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485">
            <w:r>
              <w:t>2. Диагностика заболевания или состояния (группы заболеваний или состояний), медицинские показания и противопоказания к применению методов диагностики</w:t>
            </w:r>
            <w:r>
              <w:tab/>
            </w:r>
            <w:r>
              <w:fldChar w:fldCharType="begin"/>
            </w:r>
            <w:r>
              <w:instrText>PAGEREF _Toc71485 \h</w:instrText>
            </w:r>
            <w:r>
              <w:fldChar w:fldCharType="separate"/>
            </w:r>
            <w:r>
              <w:t xml:space="preserve">15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6">
            <w:r>
              <w:t>2.1 Жалобы и анамнез</w:t>
            </w:r>
            <w:r>
              <w:tab/>
            </w:r>
            <w:r>
              <w:fldChar w:fldCharType="begin"/>
            </w:r>
            <w:r>
              <w:instrText>PAGEREF _Toc71486 \h</w:instrText>
            </w:r>
            <w:r>
              <w:fldChar w:fldCharType="separate"/>
            </w:r>
            <w:r>
              <w:t xml:space="preserve">16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7">
            <w:r>
              <w:t>2.2 Физикальное обследование</w:t>
            </w:r>
            <w:r>
              <w:tab/>
            </w:r>
            <w:r>
              <w:fldChar w:fldCharType="begin"/>
            </w:r>
            <w:r>
              <w:instrText>PAGEREF _Toc71487 \h</w:instrText>
            </w:r>
            <w:r>
              <w:fldChar w:fldCharType="separate"/>
            </w:r>
            <w:r>
              <w:t xml:space="preserve">16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8">
            <w:r>
              <w:t>2.3 Лабораторные диагностические исследования</w:t>
            </w:r>
            <w:r>
              <w:tab/>
            </w:r>
            <w:r>
              <w:fldChar w:fldCharType="begin"/>
            </w:r>
            <w:r>
              <w:instrText>PAGEREF _Toc71488 \h</w:instrText>
            </w:r>
            <w:r>
              <w:fldChar w:fldCharType="separate"/>
            </w:r>
            <w:r>
              <w:t xml:space="preserve">17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89">
            <w:r>
              <w:t>2</w:t>
            </w:r>
            <w:r>
              <w:t>.4 Инструментальные диагностические исследования</w:t>
            </w:r>
            <w:r>
              <w:tab/>
            </w:r>
            <w:r>
              <w:fldChar w:fldCharType="begin"/>
            </w:r>
            <w:r>
              <w:instrText>PAGEREF _Toc71489 \h</w:instrText>
            </w:r>
            <w:r>
              <w:fldChar w:fldCharType="separate"/>
            </w:r>
            <w:r>
              <w:t xml:space="preserve">18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90">
            <w:r>
              <w:t>2.5 Иные диагностические исследования</w:t>
            </w:r>
            <w:r>
              <w:tab/>
            </w:r>
            <w:r>
              <w:fldChar w:fldCharType="begin"/>
            </w:r>
            <w:r>
              <w:instrText>PAGEREF _Toc71490 \h</w:instrText>
            </w:r>
            <w:r>
              <w:fldChar w:fldCharType="separate"/>
            </w:r>
            <w:r>
              <w:t xml:space="preserve">19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491">
            <w:r>
              <w:t>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      </w:r>
            <w:r>
              <w:tab/>
            </w:r>
            <w:r>
              <w:fldChar w:fldCharType="begin"/>
            </w:r>
            <w:r>
              <w:instrText>PAGEREF _Toc71491 \h</w:instrText>
            </w:r>
            <w:r>
              <w:fldChar w:fldCharType="separate"/>
            </w:r>
            <w:r>
              <w:t xml:space="preserve">19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92">
            <w:r>
              <w:t>3.1 Лечение пациентов с приобретенными деформациями нижних конечностей с применением аппарата и метода Илизарова</w:t>
            </w:r>
            <w:r>
              <w:tab/>
            </w:r>
            <w:r>
              <w:fldChar w:fldCharType="begin"/>
            </w:r>
            <w:r>
              <w:instrText>PAGEREF _Toc71492 \h</w:instrText>
            </w:r>
            <w:r>
              <w:fldChar w:fldCharType="separate"/>
            </w:r>
            <w:r>
              <w:t xml:space="preserve">21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93">
            <w:r>
              <w:t>3.2 Медикаментозная терапия</w:t>
            </w:r>
            <w:r>
              <w:tab/>
            </w:r>
            <w:r>
              <w:fldChar w:fldCharType="begin"/>
            </w:r>
            <w:r>
              <w:instrText>PAGEREF _Toc71493 \h</w:instrText>
            </w:r>
            <w:r>
              <w:fldChar w:fldCharType="separate"/>
            </w:r>
            <w:r>
              <w:t xml:space="preserve">22 </w:t>
            </w:r>
            <w:r>
              <w:fldChar w:fldCharType="end"/>
            </w:r>
          </w:hyperlink>
        </w:p>
        <w:p w:rsidR="008F432E" w:rsidRDefault="00A47635">
          <w:pPr>
            <w:pStyle w:val="TOC3"/>
            <w:tabs>
              <w:tab w:val="right" w:leader="dot" w:pos="9445"/>
            </w:tabs>
          </w:pPr>
          <w:hyperlink w:anchor="_Toc71494">
            <w:r>
              <w:t>Хирургическая антибиотикопрофилак</w:t>
            </w:r>
            <w:r>
              <w:t>тика</w:t>
            </w:r>
            <w:r>
              <w:tab/>
            </w:r>
            <w:r>
              <w:fldChar w:fldCharType="begin"/>
            </w:r>
            <w:r>
              <w:instrText>PAGEREF _Toc71494 \h</w:instrText>
            </w:r>
            <w:r>
              <w:fldChar w:fldCharType="separate"/>
            </w:r>
            <w:r>
              <w:t xml:space="preserve">22 </w:t>
            </w:r>
            <w:r>
              <w:fldChar w:fldCharType="end"/>
            </w:r>
          </w:hyperlink>
        </w:p>
        <w:p w:rsidR="008F432E" w:rsidRDefault="00A47635">
          <w:pPr>
            <w:pStyle w:val="TOC3"/>
            <w:tabs>
              <w:tab w:val="right" w:leader="dot" w:pos="9445"/>
            </w:tabs>
          </w:pPr>
          <w:hyperlink w:anchor="_Toc71495">
            <w:r>
              <w:t>Послеоперационное обезболивание</w:t>
            </w:r>
            <w:r>
              <w:tab/>
            </w:r>
            <w:r>
              <w:fldChar w:fldCharType="begin"/>
            </w:r>
            <w:r>
              <w:instrText>PAGEREF _Toc71495 \h</w:instrText>
            </w:r>
            <w:r>
              <w:fldChar w:fldCharType="separate"/>
            </w:r>
            <w:r>
              <w:t xml:space="preserve">24 </w:t>
            </w:r>
            <w:r>
              <w:fldChar w:fldCharType="end"/>
            </w:r>
          </w:hyperlink>
        </w:p>
        <w:p w:rsidR="008F432E" w:rsidRDefault="00A47635">
          <w:pPr>
            <w:pStyle w:val="TOC3"/>
            <w:tabs>
              <w:tab w:val="right" w:leader="dot" w:pos="9445"/>
            </w:tabs>
          </w:pPr>
          <w:hyperlink w:anchor="_Toc71496">
            <w:r>
              <w:t>Профилактика венозных тромбоэмболических осложнений</w:t>
            </w:r>
            <w:r>
              <w:tab/>
            </w:r>
            <w:r>
              <w:fldChar w:fldCharType="begin"/>
            </w:r>
            <w:r>
              <w:instrText>PAGEREF _Toc71496 \h</w:instrText>
            </w:r>
            <w:r>
              <w:fldChar w:fldCharType="separate"/>
            </w:r>
            <w:r>
              <w:t xml:space="preserve">31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97">
            <w:r>
              <w:t>3.3 Диетотерапия</w:t>
            </w:r>
            <w:r>
              <w:tab/>
            </w:r>
            <w:r>
              <w:fldChar w:fldCharType="begin"/>
            </w:r>
            <w:r>
              <w:instrText>PAGEREF _Toc71497 \h</w:instrText>
            </w:r>
            <w:r>
              <w:fldChar w:fldCharType="separate"/>
            </w:r>
            <w:r>
              <w:t xml:space="preserve">34 </w:t>
            </w:r>
            <w:r>
              <w:fldChar w:fldCharType="end"/>
            </w:r>
          </w:hyperlink>
        </w:p>
        <w:p w:rsidR="008F432E" w:rsidRDefault="00A47635">
          <w:pPr>
            <w:pStyle w:val="TOC2"/>
            <w:tabs>
              <w:tab w:val="right" w:leader="dot" w:pos="9445"/>
            </w:tabs>
          </w:pPr>
          <w:hyperlink w:anchor="_Toc71498">
            <w:r>
              <w:t>3.4</w:t>
            </w:r>
            <w:r>
              <w:rPr>
                <w:sz w:val="22"/>
              </w:rPr>
              <w:t xml:space="preserve">  </w:t>
            </w:r>
            <w:r>
              <w:t>Иное лечение</w:t>
            </w:r>
            <w:r>
              <w:tab/>
            </w:r>
            <w:r>
              <w:fldChar w:fldCharType="begin"/>
            </w:r>
            <w:r>
              <w:instrText>PAGEREF _Toc71498 \h</w:instrText>
            </w:r>
            <w:r>
              <w:fldChar w:fldCharType="separate"/>
            </w:r>
            <w:r>
              <w:t xml:space="preserve">34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499">
            <w:r>
              <w:t>4. 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</w:t>
            </w:r>
            <w:r>
              <w:tab/>
            </w:r>
            <w:r>
              <w:fldChar w:fldCharType="begin"/>
            </w:r>
            <w:r>
              <w:instrText>PAGEREF _Toc71499 \h</w:instrText>
            </w:r>
            <w:r>
              <w:fldChar w:fldCharType="separate"/>
            </w:r>
            <w:r>
              <w:t xml:space="preserve">35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0">
            <w:r>
              <w:t>5. Профилактика и диспансерное наблюдение, медицинские показания и противопоказания к применению методов профилактики</w:t>
            </w:r>
            <w:r>
              <w:tab/>
            </w:r>
            <w:r>
              <w:fldChar w:fldCharType="begin"/>
            </w:r>
            <w:r>
              <w:instrText>PAGEREF _Toc71500 \h</w:instrText>
            </w:r>
            <w:r>
              <w:fldChar w:fldCharType="separate"/>
            </w:r>
            <w:r>
              <w:t xml:space="preserve">38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1">
            <w:r>
              <w:t>6. Организация оказания медицинской помощи</w:t>
            </w:r>
            <w:r>
              <w:tab/>
            </w:r>
            <w:r>
              <w:fldChar w:fldCharType="begin"/>
            </w:r>
            <w:r>
              <w:instrText>PAGEREF _Toc71501 \h</w:instrText>
            </w:r>
            <w:r>
              <w:fldChar w:fldCharType="separate"/>
            </w:r>
            <w:r>
              <w:t xml:space="preserve">40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2">
            <w:r>
              <w:t>7.</w:t>
            </w:r>
            <w:r>
              <w:rPr>
                <w:sz w:val="22"/>
              </w:rPr>
              <w:t xml:space="preserve">  </w:t>
            </w:r>
            <w:r>
              <w:t xml:space="preserve">Дополнительная информация (в </w:t>
            </w:r>
            <w:r>
              <w:t xml:space="preserve">том числе факторы, влияющие на исход заболевания </w:t>
            </w:r>
            <w:r>
              <w:tab/>
            </w:r>
            <w:r>
              <w:fldChar w:fldCharType="begin"/>
            </w:r>
            <w:r>
              <w:instrText>PAGEREF _Toc71502 \h</w:instrTex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3">
            <w:r>
              <w:t>или состояния)</w:t>
            </w:r>
            <w:r>
              <w:tab/>
            </w:r>
            <w:r>
              <w:fldChar w:fldCharType="begin"/>
            </w:r>
            <w:r>
              <w:instrText>PAGEREF _Toc71503 \h</w:instrText>
            </w:r>
            <w:r>
              <w:fldChar w:fldCharType="separate"/>
            </w:r>
            <w:r>
              <w:t xml:space="preserve">40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4">
            <w:r>
              <w:t>Критерии оценки качества медицинской помощи</w:t>
            </w:r>
            <w:r>
              <w:tab/>
            </w:r>
            <w:r>
              <w:fldChar w:fldCharType="begin"/>
            </w:r>
            <w:r>
              <w:instrText>PAGEREF _Toc71504 \h</w:instrText>
            </w:r>
            <w:r>
              <w:fldChar w:fldCharType="separate"/>
            </w:r>
            <w:r>
              <w:t xml:space="preserve">40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5">
            <w:r>
              <w:t>Список литературы</w:t>
            </w:r>
            <w:r>
              <w:tab/>
            </w:r>
            <w:r>
              <w:fldChar w:fldCharType="begin"/>
            </w:r>
            <w:r>
              <w:instrText>PAGEREF _Toc71505 \h</w:instrText>
            </w:r>
            <w:r>
              <w:fldChar w:fldCharType="separate"/>
            </w:r>
            <w:r>
              <w:t xml:space="preserve">42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6">
            <w:r>
              <w:t>Приложение А1. Состав рабочей группы по разработке и пересмотру клинических рекомендаций</w:t>
            </w:r>
            <w:r>
              <w:tab/>
            </w:r>
            <w:r>
              <w:fldChar w:fldCharType="begin"/>
            </w:r>
            <w:r>
              <w:instrText>PAGEREF _Toc71506 \h</w:instrText>
            </w:r>
            <w:r>
              <w:fldChar w:fldCharType="separate"/>
            </w:r>
            <w:r>
              <w:t xml:space="preserve">51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7">
            <w:r>
              <w:t>Приложение А2. Методология разработки клинических рекомендаций</w:t>
            </w:r>
            <w:r>
              <w:tab/>
            </w:r>
            <w:r>
              <w:fldChar w:fldCharType="begin"/>
            </w:r>
            <w:r>
              <w:instrText>PAGEREF _Toc71507 \h</w:instrText>
            </w:r>
            <w:r>
              <w:fldChar w:fldCharType="separate"/>
            </w:r>
            <w:r>
              <w:t xml:space="preserve">52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8">
            <w:r>
      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 инструкции по применению лекарственного препарата</w:t>
            </w:r>
            <w:r>
              <w:tab/>
            </w:r>
            <w:r>
              <w:fldChar w:fldCharType="begin"/>
            </w:r>
            <w:r>
              <w:instrText>PAGEREF _Toc71508 \h</w:instrText>
            </w:r>
            <w:r>
              <w:fldChar w:fldCharType="separate"/>
            </w:r>
            <w:r>
              <w:t xml:space="preserve">55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09">
            <w:r>
              <w:t>Приложение Б. Алгоритмы действий врача</w:t>
            </w:r>
            <w:r>
              <w:tab/>
            </w:r>
            <w:r>
              <w:fldChar w:fldCharType="begin"/>
            </w:r>
            <w:r>
              <w:instrText>PAGEREF _Toc71509 \h</w:instrText>
            </w:r>
            <w:r>
              <w:fldChar w:fldCharType="separate"/>
            </w:r>
            <w:r>
              <w:t xml:space="preserve">69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10">
            <w:r>
              <w:t>Приложение В.</w:t>
            </w:r>
            <w:r>
              <w:t xml:space="preserve"> Информация для пациента</w:t>
            </w:r>
            <w:r>
              <w:tab/>
            </w:r>
            <w:r>
              <w:fldChar w:fldCharType="begin"/>
            </w:r>
            <w:r>
              <w:instrText>PAGEREF _Toc71510 \h</w:instrText>
            </w:r>
            <w:r>
              <w:fldChar w:fldCharType="separate"/>
            </w:r>
            <w:r>
              <w:t xml:space="preserve">69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11">
            <w:r>
              <w:t>Приложение Г1-ГN. Шкалы оценки, вопросники и другие оценочные инструменты состояния пациента, приведенные в кли</w:t>
            </w:r>
            <w:r>
              <w:t>нических рекомендациях</w:t>
            </w:r>
            <w:r>
              <w:tab/>
            </w:r>
            <w:r>
              <w:fldChar w:fldCharType="begin"/>
            </w:r>
            <w:r>
              <w:instrText>PAGEREF _Toc71511 \h</w:instrText>
            </w:r>
            <w:r>
              <w:fldChar w:fldCharType="separate"/>
            </w:r>
            <w:r>
              <w:t xml:space="preserve">71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12">
            <w:r>
              <w:t>Приложение Г1. Опросник SF-36</w:t>
            </w:r>
            <w:r>
              <w:tab/>
            </w:r>
            <w:r>
              <w:fldChar w:fldCharType="begin"/>
            </w:r>
            <w:r>
              <w:instrText>PAGEREF _Toc71512 \h</w:instrText>
            </w:r>
            <w:r>
              <w:fldChar w:fldCharType="separate"/>
            </w:r>
            <w:r>
              <w:t xml:space="preserve">71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13">
            <w:r>
              <w:t>Приложение Г2 Опросники PedsQL 4.0 Generic Core Scales</w:t>
            </w:r>
            <w:r>
              <w:tab/>
            </w:r>
            <w:r>
              <w:fldChar w:fldCharType="begin"/>
            </w:r>
            <w:r>
              <w:instrText>PAGEREF _Toc71513 \h</w:instrText>
            </w:r>
            <w:r>
              <w:fldChar w:fldCharType="separate"/>
            </w:r>
            <w:r>
              <w:t xml:space="preserve">72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14">
            <w:r>
              <w:t>Приложение Г3 Основные референтные линии и уг</w:t>
            </w:r>
            <w:r>
              <w:t>лы нижней конечности</w:t>
            </w:r>
            <w:r>
              <w:tab/>
            </w:r>
            <w:r>
              <w:fldChar w:fldCharType="begin"/>
            </w:r>
            <w:r>
              <w:instrText>PAGEREF _Toc71514 \h</w:instrText>
            </w:r>
            <w:r>
              <w:fldChar w:fldCharType="separate"/>
            </w:r>
            <w:r>
              <w:t xml:space="preserve">74 </w:t>
            </w:r>
            <w:r>
              <w:fldChar w:fldCharType="end"/>
            </w:r>
          </w:hyperlink>
        </w:p>
        <w:p w:rsidR="008F432E" w:rsidRDefault="00A47635">
          <w:pPr>
            <w:pStyle w:val="TOC1"/>
            <w:tabs>
              <w:tab w:val="right" w:leader="dot" w:pos="9445"/>
            </w:tabs>
          </w:pPr>
          <w:hyperlink w:anchor="_Toc71515">
            <w:r>
              <w:t>Приложение Г4. Шкала индивидуальной оценки риска развития венозных тромбоэмболических осложнений по Каприни</w:t>
            </w:r>
            <w:r>
              <w:tab/>
            </w:r>
            <w:r>
              <w:fldChar w:fldCharType="begin"/>
            </w:r>
            <w:r>
              <w:instrText>PAGEREF _Toc71515 \h</w:instrText>
            </w:r>
            <w:r>
              <w:fldChar w:fldCharType="separate"/>
            </w:r>
            <w:r>
              <w:t xml:space="preserve">77 </w:t>
            </w:r>
            <w:r>
              <w:fldChar w:fldCharType="end"/>
            </w:r>
          </w:hyperlink>
        </w:p>
        <w:p w:rsidR="008F432E" w:rsidRDefault="00A47635">
          <w:r>
            <w:fldChar w:fldCharType="end"/>
          </w:r>
        </w:p>
      </w:sdtContent>
    </w:sdt>
    <w:p w:rsidR="008F432E" w:rsidRDefault="00A47635">
      <w:pPr>
        <w:spacing w:after="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8F432E" w:rsidRDefault="00A47635">
      <w:pPr>
        <w:spacing w:after="14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spacing w:after="174" w:line="259" w:lineRule="auto"/>
        <w:ind w:left="10" w:right="62"/>
      </w:pPr>
      <w:bookmarkStart w:id="2" w:name="_Toc71477"/>
      <w:r>
        <w:rPr>
          <w:sz w:val="28"/>
        </w:rPr>
        <w:t xml:space="preserve">Список сокращений </w:t>
      </w:r>
      <w:bookmarkEnd w:id="2"/>
    </w:p>
    <w:p w:rsidR="008F432E" w:rsidRDefault="00A47635">
      <w:pPr>
        <w:spacing w:after="102"/>
        <w:ind w:left="-5" w:right="54"/>
      </w:pPr>
      <w:r>
        <w:t xml:space="preserve">АВФ – аппарат внешней фиксации </w:t>
      </w:r>
    </w:p>
    <w:p w:rsidR="008F432E" w:rsidRDefault="00A47635">
      <w:pPr>
        <w:ind w:left="-5" w:right="54"/>
      </w:pPr>
      <w:r>
        <w:t xml:space="preserve">АО – Ассоциация Остеосинтеза (Association of the Osteosynthesis) </w:t>
      </w:r>
    </w:p>
    <w:p w:rsidR="008F432E" w:rsidRDefault="00A47635">
      <w:pPr>
        <w:spacing w:after="2" w:line="356" w:lineRule="auto"/>
        <w:ind w:left="-5" w:right="54"/>
      </w:pPr>
      <w:r>
        <w:t xml:space="preserve">АТОР – Общероссийская общественная организация «Ассоциация травматологов- ортопедов России». </w:t>
      </w:r>
    </w:p>
    <w:p w:rsidR="008F432E" w:rsidRDefault="00A47635">
      <w:pPr>
        <w:spacing w:after="102"/>
        <w:ind w:left="-5" w:right="54"/>
      </w:pPr>
      <w:r>
        <w:t xml:space="preserve">ББК – большеберцовая кость </w:t>
      </w:r>
    </w:p>
    <w:p w:rsidR="008F432E" w:rsidRDefault="00A47635">
      <w:pPr>
        <w:ind w:left="-5" w:right="54"/>
      </w:pPr>
      <w:r>
        <w:t xml:space="preserve">ВТЭО – венозные тромбоэмболические осложнения </w:t>
      </w:r>
    </w:p>
    <w:p w:rsidR="008F432E" w:rsidRDefault="00A47635">
      <w:pPr>
        <w:spacing w:after="102"/>
        <w:ind w:left="-5" w:right="54"/>
      </w:pPr>
      <w:r>
        <w:t xml:space="preserve">ДМБС – дистальный межберцовый синдесмоз </w:t>
      </w:r>
    </w:p>
    <w:p w:rsidR="008F432E" w:rsidRDefault="00A47635">
      <w:pPr>
        <w:ind w:left="-5" w:right="54"/>
      </w:pPr>
      <w:r>
        <w:t xml:space="preserve">ДОКГ – дистальный отдел костей голени  </w:t>
      </w:r>
    </w:p>
    <w:p w:rsidR="008F432E" w:rsidRDefault="00A47635">
      <w:pPr>
        <w:spacing w:after="102"/>
        <w:ind w:left="-5" w:right="54"/>
      </w:pPr>
      <w:r>
        <w:t xml:space="preserve">ДТП – </w:t>
      </w:r>
      <w:r>
        <w:t xml:space="preserve">дорожно-транспортное происшествие </w:t>
      </w:r>
    </w:p>
    <w:p w:rsidR="008F432E" w:rsidRDefault="00A47635">
      <w:pPr>
        <w:spacing w:after="102"/>
        <w:ind w:left="-5" w:right="54"/>
      </w:pPr>
      <w:r>
        <w:t xml:space="preserve">КС – коленный сустав </w:t>
      </w:r>
    </w:p>
    <w:p w:rsidR="008F432E" w:rsidRDefault="00A47635">
      <w:pPr>
        <w:ind w:left="-5" w:right="54"/>
      </w:pPr>
      <w:r>
        <w:t xml:space="preserve">КТ – компьютерная томография </w:t>
      </w:r>
    </w:p>
    <w:p w:rsidR="008F432E" w:rsidRDefault="00A47635">
      <w:pPr>
        <w:spacing w:after="102"/>
        <w:ind w:left="-5" w:right="54"/>
      </w:pPr>
      <w:r>
        <w:t xml:space="preserve">СКТ – спиральная компьютерная томография </w:t>
      </w:r>
    </w:p>
    <w:p w:rsidR="008F432E" w:rsidRDefault="00A47635">
      <w:pPr>
        <w:ind w:left="-5" w:right="54"/>
      </w:pPr>
      <w:r>
        <w:t xml:space="preserve">ЛП – лекарственные препараты </w:t>
      </w:r>
    </w:p>
    <w:p w:rsidR="008F432E" w:rsidRDefault="00A47635">
      <w:pPr>
        <w:spacing w:after="102"/>
        <w:ind w:left="-5" w:right="54"/>
      </w:pPr>
      <w:r>
        <w:t xml:space="preserve">ЛФК – лечебная физическая культура </w:t>
      </w:r>
    </w:p>
    <w:p w:rsidR="008F432E" w:rsidRDefault="00A47635">
      <w:pPr>
        <w:ind w:left="-5" w:right="54"/>
      </w:pPr>
      <w:r>
        <w:t xml:space="preserve">МДРК – мультидисциплинарная реабилитационная команда </w:t>
      </w:r>
    </w:p>
    <w:p w:rsidR="008F432E" w:rsidRDefault="00A47635">
      <w:pPr>
        <w:spacing w:after="102"/>
        <w:ind w:left="-5" w:right="54"/>
      </w:pPr>
      <w:r>
        <w:t>МЗ РФ –</w:t>
      </w:r>
      <w:r>
        <w:t xml:space="preserve"> Министерство здравоохранения Российской Федерации </w:t>
      </w:r>
    </w:p>
    <w:p w:rsidR="008F432E" w:rsidRDefault="00A47635">
      <w:pPr>
        <w:spacing w:after="0" w:line="358" w:lineRule="auto"/>
        <w:ind w:left="-5" w:right="54"/>
      </w:pPr>
      <w:r>
        <w:t xml:space="preserve">МКБ-10 – Международная статистическая классификация болезней и проблем, связанных со здоровьем, 10-го пересмотра. </w:t>
      </w:r>
    </w:p>
    <w:p w:rsidR="008F432E" w:rsidRDefault="00A47635">
      <w:pPr>
        <w:ind w:left="-5" w:right="54"/>
      </w:pPr>
      <w:r>
        <w:t xml:space="preserve">МРТ – магнитно-резонансная томография </w:t>
      </w:r>
    </w:p>
    <w:p w:rsidR="008F432E" w:rsidRDefault="00A47635">
      <w:pPr>
        <w:spacing w:after="102"/>
        <w:ind w:left="-5" w:right="54"/>
      </w:pPr>
      <w:r>
        <w:t>НДНК – приобретенное неравенство длины нижних коне</w:t>
      </w:r>
      <w:r>
        <w:t xml:space="preserve">чностей </w:t>
      </w:r>
    </w:p>
    <w:p w:rsidR="008F432E" w:rsidRDefault="00A47635">
      <w:pPr>
        <w:spacing w:after="0" w:line="358" w:lineRule="auto"/>
        <w:ind w:left="-5" w:right="54"/>
      </w:pPr>
      <w:r>
        <w:t xml:space="preserve">НПВП – нестероидные противовоспалительные препараты из группы M01A Нестероидные противовоспалительные и противоревматические препараты </w:t>
      </w:r>
    </w:p>
    <w:p w:rsidR="008F432E" w:rsidRDefault="00A47635">
      <w:pPr>
        <w:ind w:left="-5" w:right="54"/>
      </w:pPr>
      <w:r>
        <w:t xml:space="preserve">ФР – факторы риска </w:t>
      </w:r>
    </w:p>
    <w:p w:rsidR="008F432E" w:rsidRDefault="00A47635">
      <w:pPr>
        <w:spacing w:after="102"/>
        <w:ind w:left="-5" w:right="54"/>
      </w:pPr>
      <w:r>
        <w:t xml:space="preserve">ФРМ – физическая и реабилитационная медицина </w:t>
      </w:r>
    </w:p>
    <w:p w:rsidR="008F432E" w:rsidRDefault="00A47635">
      <w:pPr>
        <w:ind w:left="-5" w:right="54"/>
      </w:pPr>
      <w:r>
        <w:t xml:space="preserve">ФС – функциональный статус </w:t>
      </w:r>
    </w:p>
    <w:p w:rsidR="008F432E" w:rsidRDefault="00A47635">
      <w:pPr>
        <w:spacing w:after="102"/>
        <w:ind w:left="-5" w:right="54"/>
      </w:pPr>
      <w:r>
        <w:t>ЧЭНС – чрескожная</w:t>
      </w:r>
      <w:r>
        <w:t xml:space="preserve"> электронейростимуляция </w:t>
      </w:r>
    </w:p>
    <w:p w:rsidR="008F432E" w:rsidRDefault="00A47635">
      <w:pPr>
        <w:ind w:left="-5" w:right="54"/>
      </w:pPr>
      <w:r>
        <w:t xml:space="preserve">ХАП – хирургическая антибиотикопрофилактика </w:t>
      </w:r>
    </w:p>
    <w:p w:rsidR="008F432E" w:rsidRDefault="00A47635">
      <w:pPr>
        <w:spacing w:after="102"/>
        <w:ind w:left="-5" w:right="54"/>
      </w:pPr>
      <w:r>
        <w:t xml:space="preserve">LCP – Locking Compression Plate (англ.) – пластина с угловой стабильностью </w:t>
      </w:r>
    </w:p>
    <w:p w:rsidR="008F432E" w:rsidRDefault="00A47635">
      <w:pPr>
        <w:ind w:left="-5" w:right="54"/>
      </w:pPr>
      <w:r>
        <w:t xml:space="preserve">MIPO – Minimally Invasive Plate Osteosynthesis (англ.) – минимально инвазивный остеосинтез </w:t>
      </w:r>
    </w:p>
    <w:p w:rsidR="008F432E" w:rsidRDefault="00A47635">
      <w:pPr>
        <w:spacing w:after="102"/>
        <w:ind w:left="-5" w:right="54"/>
      </w:pPr>
      <w:r>
        <w:t xml:space="preserve">ORIF – Open Reduction Internal Fixation (англ.) – открытая репозиция с внутренней фиксацией </w:t>
      </w:r>
    </w:p>
    <w:p w:rsidR="008F432E" w:rsidRDefault="00A47635">
      <w:pPr>
        <w:ind w:left="-5" w:right="54"/>
      </w:pPr>
      <w:r>
        <w:t xml:space="preserve">АВСК — активированное время свертывания крови </w:t>
      </w:r>
    </w:p>
    <w:p w:rsidR="008F432E" w:rsidRDefault="00A47635">
      <w:pPr>
        <w:spacing w:after="102"/>
        <w:ind w:left="-5" w:right="54"/>
      </w:pPr>
      <w:r>
        <w:t xml:space="preserve">ВТЭО — венозные тромбоэмболические осложнения </w:t>
      </w:r>
    </w:p>
    <w:p w:rsidR="008F432E" w:rsidRDefault="00A47635">
      <w:pPr>
        <w:ind w:left="-5" w:right="54"/>
      </w:pPr>
      <w:r>
        <w:t xml:space="preserve">ММА — мультимодальная анальгезия </w:t>
      </w:r>
    </w:p>
    <w:p w:rsidR="008F432E" w:rsidRDefault="00A47635">
      <w:pPr>
        <w:ind w:left="-5" w:right="54"/>
      </w:pPr>
      <w:r>
        <w:t xml:space="preserve">НМГ — низкомолекулярные гепарины </w:t>
      </w:r>
    </w:p>
    <w:p w:rsidR="008F432E" w:rsidRDefault="00A47635">
      <w:pPr>
        <w:spacing w:after="102"/>
        <w:ind w:left="-5" w:right="54"/>
      </w:pPr>
      <w:r>
        <w:t xml:space="preserve">НФГ — нефракционированный гепарин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  <w:r>
        <w:br w:type="page"/>
      </w:r>
    </w:p>
    <w:p w:rsidR="008F432E" w:rsidRDefault="00A47635">
      <w:pPr>
        <w:spacing w:after="96" w:line="259" w:lineRule="auto"/>
        <w:ind w:right="63"/>
        <w:jc w:val="center"/>
      </w:pPr>
      <w:r>
        <w:rPr>
          <w:sz w:val="28"/>
        </w:rPr>
        <w:t xml:space="preserve">Термины и определения </w:t>
      </w:r>
    </w:p>
    <w:p w:rsidR="008F432E" w:rsidRDefault="00A47635">
      <w:pPr>
        <w:spacing w:line="356" w:lineRule="auto"/>
        <w:ind w:left="-5" w:right="54"/>
      </w:pPr>
      <w:r>
        <w:t xml:space="preserve">Остеотомия - </w:t>
      </w:r>
      <w:r>
        <w:t>хирургическая операция, включающая пересечение кости с целью последующего изменения ее размеров и формы.</w:t>
      </w:r>
      <w:r>
        <w:t xml:space="preserve"> </w:t>
      </w:r>
    </w:p>
    <w:p w:rsidR="008F432E" w:rsidRDefault="00A47635">
      <w:pPr>
        <w:spacing w:line="357" w:lineRule="auto"/>
        <w:ind w:left="-5" w:right="54"/>
      </w:pPr>
      <w:r>
        <w:t>Консолидация костных фрагментов</w:t>
      </w:r>
      <w:r>
        <w:t xml:space="preserve"> – взаимное соединение фрагментов живой костн</w:t>
      </w:r>
      <w:r>
        <w:t xml:space="preserve">ой тканью вследствие успешного завершения процесса репаративной регенерации или дистракционного остеогенеза. </w:t>
      </w:r>
    </w:p>
    <w:p w:rsidR="008F432E" w:rsidRDefault="00A47635">
      <w:pPr>
        <w:spacing w:line="358" w:lineRule="auto"/>
        <w:ind w:left="-5" w:right="54"/>
      </w:pPr>
      <w:r>
        <w:t xml:space="preserve">Костный фрагмент </w:t>
      </w:r>
      <w:r>
        <w:t xml:space="preserve">– часть кости, отделённая вследствие повреждения при травме, хирургическом вмешательстве или деструктивном процессе. </w:t>
      </w:r>
    </w:p>
    <w:p w:rsidR="008F432E" w:rsidRDefault="00A47635">
      <w:pPr>
        <w:spacing w:line="358" w:lineRule="auto"/>
        <w:ind w:left="-5" w:right="54"/>
      </w:pPr>
      <w:r>
        <w:t xml:space="preserve">Деформация </w:t>
      </w:r>
      <w:r>
        <w:t>(ортопедическая)</w:t>
      </w:r>
      <w:r>
        <w:t xml:space="preserve"> – несоответствие Референтных линий и углов (РЛУ) значениям, принятым за норму, при отсутствии или наличии относительного укорочения; при этом «укорочение» рассматривается и как компонент деформации, и как костный дефект. </w:t>
      </w:r>
    </w:p>
    <w:p w:rsidR="008F432E" w:rsidRDefault="00A47635">
      <w:pPr>
        <w:spacing w:line="358" w:lineRule="auto"/>
        <w:ind w:left="-5" w:right="54"/>
      </w:pPr>
      <w:r>
        <w:t>Референтные линии</w:t>
      </w:r>
      <w:r>
        <w:t xml:space="preserve"> и углы (РЛУ) – </w:t>
      </w:r>
      <w:r>
        <w:t>линии суставов,</w:t>
      </w:r>
      <w:r>
        <w:t xml:space="preserve"> </w:t>
      </w:r>
      <w:r>
        <w:t xml:space="preserve">анатомические и механические оси, анатомические и механические углы в их взаимосвязи, принятой за норму. </w:t>
      </w:r>
    </w:p>
    <w:p w:rsidR="008F432E" w:rsidRDefault="00A47635">
      <w:pPr>
        <w:spacing w:line="358" w:lineRule="auto"/>
        <w:ind w:left="-5" w:right="54"/>
      </w:pPr>
      <w:r>
        <w:t>Линия сустава (суставная линия)</w:t>
      </w:r>
      <w:r>
        <w:t xml:space="preserve"> – проводимая на основе двух референтных точек линия, определяющая ориентацию суставной</w:t>
      </w:r>
      <w:r>
        <w:t xml:space="preserve"> поверхности. </w:t>
      </w:r>
    </w:p>
    <w:p w:rsidR="008F432E" w:rsidRDefault="00A47635">
      <w:pPr>
        <w:spacing w:after="224"/>
        <w:ind w:left="-5" w:right="54"/>
      </w:pPr>
      <w:r>
        <w:t>Анатомическая ось</w:t>
      </w:r>
      <w:r>
        <w:t xml:space="preserve"> – среднедиафизарная линия. </w:t>
      </w:r>
    </w:p>
    <w:p w:rsidR="008F432E" w:rsidRDefault="00A47635">
      <w:pPr>
        <w:spacing w:line="358" w:lineRule="auto"/>
        <w:ind w:left="-5" w:right="54"/>
      </w:pPr>
      <w:r>
        <w:t>Общая механическая ось нижней конечности</w:t>
      </w:r>
      <w:r>
        <w:t xml:space="preserve"> – линия от центра головки бедренной кости до центра дистальной суставной линии большеберцовой кости. </w:t>
      </w:r>
    </w:p>
    <w:p w:rsidR="008F432E" w:rsidRDefault="00A47635">
      <w:pPr>
        <w:spacing w:line="357" w:lineRule="auto"/>
        <w:ind w:left="-5" w:right="54"/>
      </w:pPr>
      <w:r>
        <w:t>Девиация (отклонение) общей механической оси</w:t>
      </w:r>
      <w:r>
        <w:t xml:space="preserve"> – отклонение во фронтальной плоскости от центра дистальной суставной линии бедренной кости. За норму принят интервал от центра линии сустава до 12 мм медиально. </w:t>
      </w:r>
    </w:p>
    <w:p w:rsidR="008F432E" w:rsidRDefault="00A47635">
      <w:pPr>
        <w:spacing w:line="357" w:lineRule="auto"/>
        <w:ind w:left="-5" w:right="54"/>
      </w:pPr>
      <w:r>
        <w:t>Механическая ось бедренной кости</w:t>
      </w:r>
      <w:r>
        <w:t xml:space="preserve"> – во фронтальной плоскости линия от центра головки бедренной</w:t>
      </w:r>
      <w:r>
        <w:t xml:space="preserve"> кости до центра дистальной суставной линии бедренной кости; в сагиттальной плоскости линия от центра головки бедренной кости до передней 2/5 дистальной суставной линии бедренной кости. </w:t>
      </w:r>
    </w:p>
    <w:p w:rsidR="008F432E" w:rsidRDefault="00A47635">
      <w:pPr>
        <w:spacing w:line="357" w:lineRule="auto"/>
        <w:ind w:left="-5" w:right="54"/>
      </w:pPr>
      <w:r>
        <w:t>Механическая ось большеберцовой кости</w:t>
      </w:r>
      <w:r>
        <w:t xml:space="preserve"> – во фронтальной плоскости лини</w:t>
      </w:r>
      <w:r>
        <w:t xml:space="preserve">я между центрами проксимальной и дистальной линий большеберцовой кости; в сагиттальной плоскости линия от передней 1/4 проксимальной суставной линии большеберцовой кости до центра дистальной суставной линии большеберцовой кости. </w:t>
      </w:r>
    </w:p>
    <w:p w:rsidR="008F432E" w:rsidRDefault="00A47635">
      <w:pPr>
        <w:ind w:left="-5" w:right="54"/>
      </w:pPr>
      <w:r>
        <w:t>Анатомический угол</w:t>
      </w:r>
      <w:r>
        <w:t xml:space="preserve"> – угол </w:t>
      </w:r>
      <w:r>
        <w:t xml:space="preserve">пересечения линии сустава с анатомической осью. </w:t>
      </w:r>
    </w:p>
    <w:p w:rsidR="008F432E" w:rsidRDefault="00A47635">
      <w:pPr>
        <w:spacing w:after="225"/>
        <w:ind w:left="-5" w:right="54"/>
      </w:pPr>
      <w:r>
        <w:t>Механический угол</w:t>
      </w:r>
      <w:r>
        <w:t xml:space="preserve"> – угол пересечения линии сустава с механической осью. </w:t>
      </w:r>
    </w:p>
    <w:p w:rsidR="008F432E" w:rsidRDefault="00A47635">
      <w:pPr>
        <w:spacing w:line="356" w:lineRule="auto"/>
        <w:ind w:left="-5" w:right="54"/>
      </w:pPr>
      <w:r>
        <w:t>Вершина деформации</w:t>
      </w:r>
      <w:r>
        <w:t xml:space="preserve"> – точка пересечения анатомических или механических осей проксимального и дистального фрагментов. </w:t>
      </w:r>
    </w:p>
    <w:p w:rsidR="008F432E" w:rsidRDefault="00A47635">
      <w:pPr>
        <w:spacing w:line="356" w:lineRule="auto"/>
        <w:ind w:left="-5" w:right="54"/>
      </w:pPr>
      <w:r>
        <w:t>Многовершинная де</w:t>
      </w:r>
      <w:r>
        <w:t>формация</w:t>
      </w:r>
      <w:r>
        <w:t xml:space="preserve"> – ситуация, когда на протяжении кости имеется боле одной вершины деформации. </w:t>
      </w:r>
    </w:p>
    <w:p w:rsidR="008F432E" w:rsidRDefault="00A47635">
      <w:pPr>
        <w:spacing w:line="357" w:lineRule="auto"/>
        <w:ind w:left="-5" w:right="54"/>
      </w:pPr>
      <w:r>
        <w:t>Правило остеотомий №1</w:t>
      </w:r>
      <w:r>
        <w:t xml:space="preserve"> – при выполнении остеотомии на уровне вершины деформации коррекция угловой деформации не приведет к поперечному смещению («трансляции») мобильного </w:t>
      </w:r>
      <w:r>
        <w:t xml:space="preserve">(дистального) костного фрагмента. </w:t>
      </w:r>
    </w:p>
    <w:p w:rsidR="008F432E" w:rsidRDefault="00A47635">
      <w:pPr>
        <w:spacing w:line="358" w:lineRule="auto"/>
        <w:ind w:left="-5" w:right="54"/>
      </w:pPr>
      <w:r>
        <w:t>Правило остеотомий №2</w:t>
      </w:r>
      <w:r>
        <w:t xml:space="preserve"> – при выполнении остеотомии выше или ниже вершины деформации коррекция угловой деформации приведет к поперечному смещению («трансляции») мобильного (дистального) костного фрагмента; чем больше рассто</w:t>
      </w:r>
      <w:r>
        <w:t xml:space="preserve">яние от уровня вершины деформации до уровня остеотомии, тем большая трансляция потребуется. </w:t>
      </w:r>
    </w:p>
    <w:p w:rsidR="008F432E" w:rsidRDefault="00A47635">
      <w:pPr>
        <w:spacing w:line="357" w:lineRule="auto"/>
        <w:ind w:left="-5" w:right="54"/>
      </w:pPr>
      <w:r>
        <w:t>Моделирующая резекция</w:t>
      </w:r>
      <w:r>
        <w:t xml:space="preserve"> – иссечение части кости для устранения деформации, удаления патологических тканей, обеспечения максимального контакта костных фрагментов или </w:t>
      </w:r>
      <w:r>
        <w:t xml:space="preserve">для устранение импинджмента сустава. </w:t>
      </w:r>
    </w:p>
    <w:p w:rsidR="008F432E" w:rsidRDefault="00A47635">
      <w:pPr>
        <w:spacing w:line="357" w:lineRule="auto"/>
        <w:ind w:left="-5" w:right="54"/>
      </w:pPr>
      <w:r>
        <w:t>Фиксация</w:t>
      </w:r>
      <w:r>
        <w:t xml:space="preserve"> – состояние, при которой достигается полное обездвиживание отломков или сохраняется микроподвижность, не препятствующая сращению костных фрагментов</w:t>
      </w:r>
      <w:r>
        <w:rPr>
          <w:color w:val="FF0000"/>
        </w:rPr>
        <w:t xml:space="preserve"> </w:t>
      </w:r>
      <w:r>
        <w:t xml:space="preserve">в условиях относительной стабильности. </w:t>
      </w:r>
    </w:p>
    <w:p w:rsidR="008F432E" w:rsidRDefault="00A47635">
      <w:pPr>
        <w:spacing w:after="245" w:line="357" w:lineRule="auto"/>
        <w:ind w:left="-5" w:right="54"/>
      </w:pPr>
      <w:r>
        <w:t>Остеосинтез чрескостн</w:t>
      </w:r>
      <w:r>
        <w:t>ый</w:t>
      </w:r>
      <w:r>
        <w:t xml:space="preserve"> – метод лечения повреждений и заболеваний костей, суставов, мягких тканей, для реализации которого используются связанные с костью при помощи чрескостных или экстракортикальных элементов внешние, т.е. располагающиеся над поверхностью кожи, конструкции. </w:t>
      </w:r>
      <w:r>
        <w:t xml:space="preserve">В комплексе они образуют аппарат внешней фиксации (АВФ). </w:t>
      </w:r>
    </w:p>
    <w:p w:rsidR="008F432E" w:rsidRDefault="00A47635">
      <w:pPr>
        <w:spacing w:after="241" w:line="359" w:lineRule="auto"/>
        <w:ind w:left="-5" w:right="54"/>
      </w:pPr>
      <w:r>
        <w:t>Жесткость остеосинтеза (жесткость фиксации костных фрагментов)</w:t>
      </w:r>
      <w:r>
        <w:t xml:space="preserve"> — это способность АВФ сопротивляться деформированию (изменению формы и/или размеров) от приложенного усилия вдоль выбранного направлени</w:t>
      </w:r>
      <w:r>
        <w:t>я в заданной системе координат; жесткость может быть точно измерена.</w:t>
      </w:r>
      <w:r>
        <w:t xml:space="preserve"> </w:t>
      </w:r>
    </w:p>
    <w:p w:rsidR="008F432E" w:rsidRDefault="00A47635">
      <w:pPr>
        <w:spacing w:line="357" w:lineRule="auto"/>
        <w:ind w:left="-5" w:right="54"/>
      </w:pPr>
      <w:r>
        <w:t>Стабильность (жёсткость) остеосинтеза</w:t>
      </w:r>
      <w:r>
        <w:t xml:space="preserve"> — это способность системы «АВФ – кость» функционировать, не изменяя собственную структуру, и находиться в равновесии; измерить стабильность нельзя, </w:t>
      </w:r>
      <w:r>
        <w:t xml:space="preserve">допустимо лишь использовать качественные понятия «более, менее стабилен», используя при этом критерии жёсткости. </w:t>
      </w:r>
    </w:p>
    <w:p w:rsidR="008F432E" w:rsidRDefault="00A47635">
      <w:pPr>
        <w:spacing w:line="357" w:lineRule="auto"/>
        <w:ind w:left="-5" w:right="54"/>
      </w:pPr>
      <w:r>
        <w:t>Нагрузка</w:t>
      </w:r>
      <w:r>
        <w:t xml:space="preserve"> – механическая сила, прикладываемая к конечности, кости и системе фиксатор – кость в процессе лечения, как правило, повторяющаяся с п</w:t>
      </w:r>
      <w:r>
        <w:t xml:space="preserve">остоянной периодичностью (циклически). </w:t>
      </w:r>
    </w:p>
    <w:p w:rsidR="008F432E" w:rsidRDefault="00A47635">
      <w:pPr>
        <w:spacing w:line="357" w:lineRule="auto"/>
        <w:ind w:left="-5" w:right="54"/>
      </w:pPr>
      <w:r>
        <w:t>Оптимальные (рекомендуемые) позиции для введения чрескостных элементов</w:t>
      </w:r>
      <w:r>
        <w:t xml:space="preserve"> – позиции, в проекции которых отсутствуют магистральные сосудисто-нервные образования и имеется минимальное смещение мягких тканей (кожи, фасции, мышц) при движениях в смежных к сегменту суставах. </w:t>
      </w:r>
    </w:p>
    <w:p w:rsidR="008F432E" w:rsidRDefault="00A47635">
      <w:pPr>
        <w:spacing w:line="357" w:lineRule="auto"/>
        <w:ind w:left="-5" w:right="54"/>
      </w:pPr>
      <w:r>
        <w:t>Ортопедический имплантат</w:t>
      </w:r>
      <w:r>
        <w:t xml:space="preserve"> – устройство, внедряемое в орган</w:t>
      </w:r>
      <w:r>
        <w:t xml:space="preserve">изм человека для соединения костных фрагментов и временной компенсации утерянной прочности кости (фиксатор, трансплантат, их компоненты и их комбинации, в некоторых случаях – эндопротез). </w:t>
      </w:r>
    </w:p>
    <w:p w:rsidR="008F432E" w:rsidRDefault="00A47635">
      <w:pPr>
        <w:spacing w:line="357" w:lineRule="auto"/>
        <w:ind w:left="-5" w:right="54"/>
      </w:pPr>
      <w:r>
        <w:t>Фиксатор внутренний</w:t>
      </w:r>
      <w:r>
        <w:t xml:space="preserve"> – ортопедический имплантат, вживляемый под кожу пациента, и соединяющий костные отломки при лечении переломов, ложных суставов и коррекции деформаций. </w:t>
      </w:r>
    </w:p>
    <w:p w:rsidR="008F432E" w:rsidRDefault="00A47635">
      <w:pPr>
        <w:spacing w:line="357" w:lineRule="auto"/>
        <w:ind w:left="-5" w:right="54"/>
      </w:pPr>
      <w:r>
        <w:t>Ревизионная операция</w:t>
      </w:r>
      <w:r>
        <w:t xml:space="preserve"> – повторная операция на той же локализации, что и первичная операция и направленна</w:t>
      </w:r>
      <w:r>
        <w:t xml:space="preserve">я на достижение цели первичной операции с максимально возможным восстановлением функции конечности. </w:t>
      </w:r>
    </w:p>
    <w:p w:rsidR="008F432E" w:rsidRDefault="00A47635">
      <w:pPr>
        <w:spacing w:after="223"/>
        <w:ind w:left="-5" w:right="54"/>
      </w:pPr>
      <w:r>
        <w:t>Реостеосинтез</w:t>
      </w:r>
      <w:r>
        <w:t xml:space="preserve"> – ревизионный остеосинтез – повторный остеосинтез на той же локализации. </w:t>
      </w:r>
    </w:p>
    <w:p w:rsidR="008F432E" w:rsidRDefault="00A47635">
      <w:pPr>
        <w:spacing w:line="358" w:lineRule="auto"/>
        <w:ind w:left="-5" w:right="54"/>
      </w:pPr>
      <w:r>
        <w:t>Ассистирующая внешняя фиксация</w:t>
      </w:r>
      <w:r>
        <w:t xml:space="preserve"> – метод применения чрезкостного осте</w:t>
      </w:r>
      <w:r>
        <w:t xml:space="preserve">осинтеза для репозиции перелома или одномоментной коррекции деформации и удержания костных фрагментов в корректном положении на время выполнения остеосинтеза гвоздем или пластиной, после чего АВФ демонтируют. </w:t>
      </w:r>
    </w:p>
    <w:p w:rsidR="008F432E" w:rsidRDefault="00A47635">
      <w:pPr>
        <w:spacing w:line="358" w:lineRule="auto"/>
        <w:ind w:left="-5" w:right="54"/>
      </w:pPr>
      <w:r>
        <w:t xml:space="preserve">Удлинение поверх гвоздя (вдоль пластины) – </w:t>
      </w:r>
      <w:r>
        <w:t>мет</w:t>
      </w:r>
      <w:r>
        <w:t>одика удлинения длинной кости при помощи АВФ при наличии установленного интрамедуллярного (или накостного) имплантата, блокированном проксимально или дистально, с последующим окончательным блокированием и демонтажем аппарата по окончании периода дистракции</w:t>
      </w:r>
      <w:r>
        <w:t xml:space="preserve">. </w:t>
      </w:r>
    </w:p>
    <w:p w:rsidR="008F432E" w:rsidRDefault="00A47635">
      <w:pPr>
        <w:spacing w:line="357" w:lineRule="auto"/>
        <w:ind w:left="-5" w:right="54"/>
      </w:pPr>
      <w:r>
        <w:t xml:space="preserve">Удлинение затем гвоздь (пластина) – </w:t>
      </w:r>
      <w:r>
        <w:t xml:space="preserve">методика удлинения длинной кости при помощи АВФ с установкой в конце периода дистракции интрамедуллярного (накостного) имплантата и демонтажем аппарата внешней фиксации. </w:t>
      </w:r>
    </w:p>
    <w:p w:rsidR="008F432E" w:rsidRDefault="00A47635">
      <w:pPr>
        <w:spacing w:line="356" w:lineRule="auto"/>
        <w:ind w:left="-5" w:right="54"/>
      </w:pPr>
      <w:r>
        <w:t xml:space="preserve">Латентный период – </w:t>
      </w:r>
      <w:r>
        <w:t>период от выполнения остеот</w:t>
      </w:r>
      <w:r>
        <w:t xml:space="preserve">омии до начала дистракции (коррекции деформации) в аппарате внешней фиксации. </w:t>
      </w:r>
    </w:p>
    <w:p w:rsidR="008F432E" w:rsidRDefault="00A47635">
      <w:pPr>
        <w:spacing w:line="358" w:lineRule="auto"/>
        <w:ind w:left="-5" w:right="54"/>
      </w:pPr>
      <w:r>
        <w:t xml:space="preserve">Период дистракции (коррекции деформации) – </w:t>
      </w:r>
      <w:r>
        <w:t xml:space="preserve">период выполнения манипуляций по удлинению кости (дистракция) или коррекции деформации в АВФ. </w:t>
      </w:r>
    </w:p>
    <w:p w:rsidR="008F432E" w:rsidRDefault="00A47635">
      <w:pPr>
        <w:spacing w:line="358" w:lineRule="auto"/>
        <w:ind w:left="-5" w:right="54"/>
      </w:pPr>
      <w:r>
        <w:t xml:space="preserve">Период фиксации – </w:t>
      </w:r>
      <w:r>
        <w:t>период от момента око</w:t>
      </w:r>
      <w:r>
        <w:t xml:space="preserve">нчания удлинения или коррекции деформации до демонтажа АВФ. </w:t>
      </w:r>
    </w:p>
    <w:p w:rsidR="008F432E" w:rsidRDefault="00A47635">
      <w:pPr>
        <w:spacing w:line="358" w:lineRule="auto"/>
        <w:ind w:left="-5" w:right="54"/>
      </w:pPr>
      <w:r>
        <w:t xml:space="preserve">Период чрезкостного остеосинтеза – </w:t>
      </w:r>
      <w:r>
        <w:t xml:space="preserve">период от операции чрезкостного остеосинтеза до демонтажа АВФ. </w:t>
      </w:r>
    </w:p>
    <w:p w:rsidR="008F432E" w:rsidRDefault="00A47635">
      <w:pPr>
        <w:spacing w:after="3" w:line="357" w:lineRule="auto"/>
        <w:ind w:left="-15" w:right="54" w:firstLine="427"/>
      </w:pPr>
      <w:r>
        <w:t>Антикоагулянты</w:t>
      </w:r>
      <w:r>
        <w:t xml:space="preserve"> — химические вещества и лекарственные средства, угнетающие активность коагуляцион</w:t>
      </w:r>
      <w:r>
        <w:t xml:space="preserve">ного гемостаза (свертывающей системы крови) и препятствующие образованию тромбов из группы «Антитромботические средства» (B01A). </w:t>
      </w:r>
    </w:p>
    <w:p w:rsidR="008F432E" w:rsidRDefault="00A47635">
      <w:pPr>
        <w:spacing w:after="4" w:line="356" w:lineRule="auto"/>
        <w:ind w:left="-15" w:right="54" w:firstLine="427"/>
      </w:pPr>
      <w:r>
        <w:t>Антибактериальный препарат, антибиотик</w:t>
      </w:r>
      <w:r>
        <w:t xml:space="preserve"> – лекарственный препарат из группы «Антибактериальные препараты системного действия» (J</w:t>
      </w:r>
      <w:r>
        <w:t>01).</w:t>
      </w:r>
      <w:r>
        <w:t xml:space="preserve"> </w:t>
      </w:r>
    </w:p>
    <w:p w:rsidR="008F432E" w:rsidRDefault="00A47635">
      <w:pPr>
        <w:spacing w:after="4" w:line="357" w:lineRule="auto"/>
        <w:ind w:left="-15" w:right="54" w:firstLine="427"/>
      </w:pPr>
      <w:r>
        <w:t xml:space="preserve">Бета-лактамные антибиотики – </w:t>
      </w:r>
      <w:r>
        <w:t>это группа антибактериальных препаратов, обладающих общим структурным элементом — бета-лактамным кольцом. Они ингибируют синтез клеточной стенки бактерий путем связывания с пенициллинсвязывающими белками, что приводит к л</w:t>
      </w:r>
      <w:r>
        <w:t>изису и гибели микробной клетки. Согласно анатомо-терапевтическо-химической классификации бета-лактамные антибиотики включают следующие основные группы:  «Бета-лактамные антибактериальные препараты, пенициллины» (J01C) и «Другие бета-лактамные антибактериа</w:t>
      </w:r>
      <w:r>
        <w:t>льные препараты»  (J01D), из которых наибольшее клиническое значение имеют цефалоспорины первого (J01DB), второго (J01DC), третьего (J01DD), четвертого (J01DE) поколений, «другие цефалоспорины и пенемы» (J01DI), «карбапенемы» (J01DH), «монобактамы» (J01DF)</w:t>
      </w:r>
      <w:r>
        <w:t xml:space="preserve">. </w:t>
      </w:r>
    </w:p>
    <w:p w:rsidR="008F432E" w:rsidRDefault="00A47635">
      <w:pPr>
        <w:spacing w:after="0" w:line="357" w:lineRule="auto"/>
        <w:ind w:left="-15" w:right="54" w:firstLine="427"/>
      </w:pPr>
      <w:r>
        <w:t>Нестероидные противовоспалительные препараты</w:t>
      </w:r>
      <w:r>
        <w:t xml:space="preserve"> </w:t>
      </w:r>
      <w:r>
        <w:t xml:space="preserve">– </w:t>
      </w:r>
      <w:r>
        <w:t xml:space="preserve">нестероидные противовоспалительные препараты из группы «Нестероидные противовоспалительные и противоревматические препараты» (M01A). </w:t>
      </w:r>
    </w:p>
    <w:p w:rsidR="008F432E" w:rsidRDefault="00A47635">
      <w:pPr>
        <w:spacing w:after="3" w:line="357" w:lineRule="auto"/>
        <w:ind w:left="-15" w:right="54" w:firstLine="427"/>
      </w:pPr>
      <w:r>
        <w:t>Нефракционированный гепарин</w:t>
      </w:r>
      <w:r>
        <w:t xml:space="preserve"> — парентеральный антикоагулянт, представляющий собой гетерогенный по размерам молекул сульфированный мукополисахарид с молекулярной массой, которая варьирует от 3 000 до 30 000 кДа с средним значением 15 000 кДа, что соответствует приблизительно 45 остатк</w:t>
      </w:r>
      <w:r>
        <w:t xml:space="preserve">ам моносахаридов. Представлен гепарином натрия (или гепарином). </w:t>
      </w:r>
    </w:p>
    <w:p w:rsidR="008F432E" w:rsidRDefault="00A47635">
      <w:pPr>
        <w:spacing w:line="357" w:lineRule="auto"/>
        <w:ind w:left="-15" w:right="54" w:firstLine="427"/>
      </w:pPr>
      <w:r>
        <w:t>Низкомолекулярные гепарины</w:t>
      </w:r>
      <w:r>
        <w:t xml:space="preserve"> — разновидность парентеральных антикоагулянтов, которые представляют собой фрагменты нефракционированного гепарина, полученные в результате ферментативных или химич</w:t>
      </w:r>
      <w:r>
        <w:t xml:space="preserve">еских процессов деполимеризации, в результате которых образуются полисахаридные цепи со средней молекулярной массой около 5 кДа. Относятся к группе гепарина (B01AB). </w:t>
      </w:r>
    </w:p>
    <w:p w:rsidR="008F432E" w:rsidRDefault="00A47635">
      <w:pPr>
        <w:pStyle w:val="Heading1"/>
        <w:spacing w:after="133" w:line="259" w:lineRule="auto"/>
        <w:ind w:left="10" w:right="67"/>
      </w:pPr>
      <w:bookmarkStart w:id="3" w:name="_Toc71478"/>
      <w:r>
        <w:rPr>
          <w:sz w:val="28"/>
        </w:rPr>
        <w:t xml:space="preserve">Краткая информация по заболеванию или состоянию (группе заболеваний или состояний) </w:t>
      </w:r>
      <w:bookmarkEnd w:id="3"/>
    </w:p>
    <w:p w:rsidR="008F432E" w:rsidRDefault="00A47635">
      <w:pPr>
        <w:pStyle w:val="Heading2"/>
        <w:ind w:left="405" w:right="45" w:hanging="420"/>
      </w:pPr>
      <w:bookmarkStart w:id="4" w:name="_Toc71479"/>
      <w:r>
        <w:t>Опред</w:t>
      </w:r>
      <w:r>
        <w:t xml:space="preserve">еление заболевания или состояния (группы заболеваний или состояний) </w:t>
      </w:r>
      <w:bookmarkEnd w:id="4"/>
    </w:p>
    <w:p w:rsidR="008F432E" w:rsidRDefault="00A47635">
      <w:pPr>
        <w:spacing w:after="0" w:line="358" w:lineRule="auto"/>
        <w:ind w:left="-15" w:right="54" w:firstLine="852"/>
      </w:pPr>
      <w:r>
        <w:t>Приобретенные деформации конечностей представляют собой различные приобретенные патологии, которые характеризуются изменением формы, длины и оси конечностей. Эти изменения часто сопровожд</w:t>
      </w:r>
      <w:r>
        <w:t xml:space="preserve">аются не только внешними отклонениями, но и различной степенью функциональных нарушений. </w:t>
      </w:r>
    </w:p>
    <w:p w:rsidR="008F432E" w:rsidRDefault="00A47635">
      <w:pPr>
        <w:spacing w:after="1" w:line="357" w:lineRule="auto"/>
        <w:ind w:left="-15" w:right="54" w:firstLine="708"/>
      </w:pPr>
      <w:r>
        <w:t>Для установления диагноза используются данные симптоматики и анамнеза, а также результаты рентгеновских снимков, компьютерной томографии (КТ), магнитно-резонансной то</w:t>
      </w:r>
      <w:r>
        <w:t xml:space="preserve">мографии (МРТ) и других методов исследования. В зависимости от причин возникновения деформации, её тяжести и уровня нарушения функций конечности, выбирается консервативный или хирургический метод лечения. </w:t>
      </w:r>
    </w:p>
    <w:p w:rsidR="008F432E" w:rsidRDefault="00A47635">
      <w:pPr>
        <w:spacing w:after="0" w:line="357" w:lineRule="auto"/>
        <w:ind w:left="-15" w:right="54" w:firstLine="708"/>
      </w:pPr>
      <w:r>
        <w:t>Посттравматические деформации нижних конечностей —</w:t>
      </w:r>
      <w:r>
        <w:t xml:space="preserve"> это обширная и разнообразная группа патологических состояний, сопровождающихся изменением длины и формы конечности, как результат сращения при неправильном расположении костных фрагментов. Также, перенесенный в раннем возрасте гематогенный остеомиелит явл</w:t>
      </w:r>
      <w:r>
        <w:t>яется одной из основных причин тяжелых прогрессирующих деформаций опорно-двигательной системы у детей и подростков, поскольку их ростковые пластинки уязвимы к инфекции [6, 7]. Кроме внешних признаков деформации, в большинстве случаев, как правило, наблюдае</w:t>
      </w:r>
      <w:r>
        <w:t>тся более или менее выраженное нарушение функции конечности [1-4]. Определение посттравматической деформации может быть сформулировано следующим образом: «Деформация кости – это фиксированное клинически значимое нарушение осей костных фрагментов, т.е. конс</w:t>
      </w:r>
      <w:r>
        <w:t xml:space="preserve">татация несоответствия взаимоотношений РЛУ, принятых за норму» [1, 2, 5]. 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2"/>
        <w:ind w:left="-5" w:right="45"/>
      </w:pPr>
      <w:bookmarkStart w:id="5" w:name="_Toc71480"/>
      <w:r>
        <w:t xml:space="preserve">Этиология и патогенез заболевания или состояния (группы заболеваний или состояний) </w:t>
      </w:r>
      <w:bookmarkEnd w:id="5"/>
    </w:p>
    <w:p w:rsidR="008F432E" w:rsidRDefault="00A47635">
      <w:pPr>
        <w:spacing w:line="357" w:lineRule="auto"/>
        <w:ind w:left="-15" w:right="54" w:firstLine="708"/>
      </w:pPr>
      <w:r>
        <w:t xml:space="preserve">Приобретенное неравенство длины нижних конечностей (НДНК) и деформации являются одними из наиболее частых причин для направления к ортопеду [3, 4, 8]. Укорочение одной из нижних конечностей приобретенной этиологии, даже кажущееся незначительным, влияет на </w:t>
      </w:r>
      <w:r>
        <w:t xml:space="preserve">развитие вторичной патологии [9]. Неравенство длины более 1,5 см может вызвать изменение биомеханики движений, приводящее к сколиотической деформации позвоночника, нарушениям походки и раннему развитию деформирующего артроза крупных суставов [10, 11].  </w:t>
      </w:r>
    </w:p>
    <w:p w:rsidR="008F432E" w:rsidRDefault="00A47635">
      <w:pPr>
        <w:spacing w:line="357" w:lineRule="auto"/>
        <w:ind w:left="-15" w:right="54" w:firstLine="708"/>
      </w:pPr>
      <w:r>
        <w:t>По</w:t>
      </w:r>
      <w:r>
        <w:t xml:space="preserve"> данным В.И. Москвина (1969) нарушения функции конечностей и различные деформации после остеомиелита составляют 71,2%. У детей в основном поражаются длинные кости, особенно бедренная и большеберцовая (27% и 26% соответственно) [6]. Основными механизмами ин</w:t>
      </w:r>
      <w:r>
        <w:t xml:space="preserve">фицирования являются гематогенное распространение и прямая инвазия в следствие травмы или хирургических вмешательств [7]. </w:t>
      </w:r>
    </w:p>
    <w:p w:rsidR="008F432E" w:rsidRDefault="00A47635">
      <w:pPr>
        <w:spacing w:line="357" w:lineRule="auto"/>
        <w:ind w:left="-15" w:right="54" w:firstLine="708"/>
      </w:pPr>
      <w:r>
        <w:t>Постинфекционные деформации нижних конечностей возникают вследствие перенесённой инфекции (остеомиелит, септический артрит, туберкулё</w:t>
      </w:r>
      <w:r>
        <w:t xml:space="preserve">з костей/суставов, глубокие гнойные инфекции мягких тканей и др.). Поражение суставов нижних конечностей, как осложнение гематогенного остеомиелита, наиболее часто возникает у детей первого года жизни (80,5%), особенно в периоде новорожденности [12-14]. </w:t>
      </w:r>
    </w:p>
    <w:p w:rsidR="008F432E" w:rsidRDefault="00A47635">
      <w:pPr>
        <w:spacing w:line="357" w:lineRule="auto"/>
        <w:ind w:left="-15" w:right="54" w:firstLine="708"/>
      </w:pPr>
      <w:r>
        <w:t>О</w:t>
      </w:r>
      <w:r>
        <w:t>сновные возбудители трансфизарного гематогенного остеомиелита это Staphylococcus aureus и Kingella kingae [14]. В дальнейшем это приводит к контрактурам суставов, ложным суставам, большим укорочениям, многоплоскостным деформациям конечностей, возможно форм</w:t>
      </w:r>
      <w:r>
        <w:t>ирование фиброзного или костного анкилоза [6, 7, 12-14]. Деформации конечностей после перенесенного остеомиелита в процессе роста ребёнка прогрессируют. Сложные анатомические диспропорции и функциональные изменения вызывают расстройства статики, кинематики</w:t>
      </w:r>
      <w:r>
        <w:t xml:space="preserve"> опорно-двигательного аппарата, нарушают походку, функцию смежных суставов, вызывают развитие вторичных деформаций опорнодвигательного аппарата и в конечном итоге в 53,7% случаев ведут к инвалидности [6, 7, 1214]. Больные с последствиями гематогенного осте</w:t>
      </w:r>
      <w:r>
        <w:t xml:space="preserve">омиелита составляют до 10 % от числа инвалидов, что свидетельствует об актуальности проблемы реабилитации детей с последствиями остеомиелита [6, 7, 12-14].   </w:t>
      </w:r>
    </w:p>
    <w:p w:rsidR="008F432E" w:rsidRDefault="00A47635">
      <w:pPr>
        <w:spacing w:after="1" w:line="357" w:lineRule="auto"/>
        <w:ind w:left="-15" w:right="54" w:firstLine="852"/>
      </w:pPr>
      <w:r>
        <w:t>Среди причин первичной инвалидности пациентов с последствиями травм опорнодвигательной системы ис</w:t>
      </w:r>
      <w:r>
        <w:t xml:space="preserve">ходы реабилитации с формированием дефектов, ложных суставов и сращений с нарушениями оси и длины поврежденных сегментов занимают третье место </w:t>
      </w:r>
    </w:p>
    <w:p w:rsidR="008F432E" w:rsidRDefault="00A47635">
      <w:pPr>
        <w:spacing w:after="222"/>
        <w:ind w:left="-5" w:right="54"/>
      </w:pPr>
      <w:r>
        <w:t xml:space="preserve">[1-4].  </w:t>
      </w:r>
    </w:p>
    <w:p w:rsidR="008F432E" w:rsidRDefault="00A47635">
      <w:pPr>
        <w:spacing w:line="357" w:lineRule="auto"/>
        <w:ind w:left="-15" w:right="54" w:firstLine="852"/>
      </w:pPr>
      <w:r>
        <w:t>К наиболее частным причинам формирования приобретенной деформации конечности относятся допущенные ошибки</w:t>
      </w:r>
      <w:r>
        <w:t xml:space="preserve"> в тактике ведения и развившиеся осложнения в лечении пациента с переломом кости [1-4]:  </w:t>
      </w:r>
    </w:p>
    <w:p w:rsidR="008F432E" w:rsidRDefault="00A47635">
      <w:pPr>
        <w:numPr>
          <w:ilvl w:val="0"/>
          <w:numId w:val="1"/>
        </w:numPr>
        <w:spacing w:line="357" w:lineRule="auto"/>
        <w:ind w:right="54" w:hanging="283"/>
      </w:pPr>
      <w:r>
        <w:t xml:space="preserve">ошибки консервативного лечения – неадекватная по срокам и качеству иммобилизация поврежденного сегмента конечности, перерастяжение отломков на скелетном вытяжении; </w:t>
      </w:r>
    </w:p>
    <w:p w:rsidR="008F432E" w:rsidRDefault="00A47635">
      <w:pPr>
        <w:numPr>
          <w:ilvl w:val="0"/>
          <w:numId w:val="1"/>
        </w:numPr>
        <w:spacing w:line="358" w:lineRule="auto"/>
        <w:ind w:right="54" w:hanging="283"/>
      </w:pPr>
      <w:r>
        <w:t>д</w:t>
      </w:r>
      <w:r>
        <w:t xml:space="preserve">ефект оперативного вмешательства – нестабильная фиксация и репозиция перелома, девитализация и/или резекция отломков при хирургической обработке; </w:t>
      </w:r>
    </w:p>
    <w:p w:rsidR="008F432E" w:rsidRDefault="00A47635">
      <w:pPr>
        <w:numPr>
          <w:ilvl w:val="0"/>
          <w:numId w:val="1"/>
        </w:numPr>
        <w:spacing w:line="357" w:lineRule="auto"/>
        <w:ind w:right="54" w:hanging="283"/>
      </w:pPr>
      <w:r>
        <w:t>ошибки послеоперационной реабилитации – недостаточные сроки иммобилизации конечности после перелома, использо</w:t>
      </w:r>
      <w:r>
        <w:t xml:space="preserve">вание нестабильного остеосинтеза, раннее удаление фиксатора кости, несвоевременная нагрузка на конечность. </w:t>
      </w:r>
    </w:p>
    <w:p w:rsidR="008F432E" w:rsidRDefault="00A47635">
      <w:pPr>
        <w:spacing w:after="0" w:line="357" w:lineRule="auto"/>
        <w:ind w:left="-15" w:right="54" w:firstLine="852"/>
      </w:pPr>
      <w:r>
        <w:t>Таким образом, на неправильное сращение перелома влияет ряд системных и местных факторов. Наличие системных факторов необходимо учитывать при выборе</w:t>
      </w:r>
      <w:r>
        <w:t xml:space="preserve"> метода лечения перелома. При планировании первичного остеосинтеза необходимо, с учётом тяжести повреждения и системных факторов пациента, обеспечить достаточный уровень стабильности фиксации.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2"/>
        <w:ind w:left="405" w:right="45" w:hanging="420"/>
      </w:pPr>
      <w:bookmarkStart w:id="6" w:name="_Toc71481"/>
      <w:r>
        <w:t xml:space="preserve">Эпидемиология заболевания или состояния (группы заболеваний или состояний) </w:t>
      </w:r>
      <w:bookmarkEnd w:id="6"/>
    </w:p>
    <w:p w:rsidR="008F432E" w:rsidRDefault="00A47635">
      <w:pPr>
        <w:spacing w:line="357" w:lineRule="auto"/>
        <w:ind w:left="-15" w:right="54" w:firstLine="708"/>
      </w:pPr>
      <w:r>
        <w:t>Частота переломов бедренной кости, как правило, имеет бимодальное распределение по возрасту. Большинство деформаций бедренной кости является результатом сочетания угловой и ротацио</w:t>
      </w:r>
      <w:r>
        <w:t>нной девиации в сочетание с  укорочением. Диафизарный перелом большеберцовой кости является наиболее часто встречающимся перелом длинной трубчатой кости. Зарегистрированная частота диафизарного перелома бедренной кости составляет 10/100 000 человек в год [</w:t>
      </w:r>
      <w:r>
        <w:t>15]. Частота диафизарных переломов большеберцовой кости составляет приблизительно 26/100 000 переломов в год [16]. По данным Milner et al, до 8% переломов диафиза большеберцовой кости заживают с уровнем деформации, выходящим за пределы приемлемого диапазон</w:t>
      </w:r>
      <w:r>
        <w:t xml:space="preserve">а [17]. В перечне осложнений лечения переломов посттравматические деформации занимают одно из первых мест, достигая 40-60% [1-4]. </w:t>
      </w:r>
    </w:p>
    <w:p w:rsidR="008F432E" w:rsidRDefault="00A47635">
      <w:pPr>
        <w:spacing w:line="357" w:lineRule="auto"/>
        <w:ind w:left="-15" w:right="54" w:firstLine="708"/>
      </w:pPr>
      <w:r>
        <w:t>Распространенность гематогенного остеомиелита составляет 9,2 случая на 100000 населения [12]. Особенно часто страдают дети мл</w:t>
      </w:r>
      <w:r>
        <w:t>адшего возраста - 50 % пациентов в возрасте до 5 лет [7]. У детей в основном поражаются длинные кости, особенно бедренная и большеберцовая (27% и 26% соответственно) [6]. Трансфизарный гематогенный остеомиелит в зависимости от вирулентности возбудителя и р</w:t>
      </w:r>
      <w:r>
        <w:t xml:space="preserve">еакции организма на инфекцию ТГО может протекать в острой или подострой форме и развивается в 25,7% случаев гематогенного остеомиелита [13, 14, 18]. </w:t>
      </w:r>
    </w:p>
    <w:p w:rsidR="008F432E" w:rsidRDefault="00A47635">
      <w:pPr>
        <w:spacing w:after="0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pStyle w:val="Heading2"/>
        <w:spacing w:after="1" w:line="357" w:lineRule="auto"/>
        <w:ind w:left="-5"/>
        <w:jc w:val="left"/>
      </w:pPr>
      <w:bookmarkStart w:id="7" w:name="_Toc71482"/>
      <w:r>
        <w:t xml:space="preserve">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 </w:t>
      </w:r>
      <w:bookmarkEnd w:id="7"/>
    </w:p>
    <w:p w:rsidR="008F432E" w:rsidRDefault="00A47635">
      <w:pPr>
        <w:spacing w:line="357" w:lineRule="auto"/>
        <w:ind w:left="-15" w:right="54" w:firstLine="708"/>
      </w:pPr>
      <w:r>
        <w:t>В данной клинической рекомендации представлена информация по приобретенным деформ</w:t>
      </w:r>
      <w:r>
        <w:t xml:space="preserve">ациям конечностей (общая группа М21), а также добавлены коды МКБ-10, которые также могут быть применены в данных рекомендациях: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М21.0 </w:t>
      </w:r>
      <w:r>
        <w:t>Вальгусная деформация, не классифицированная в других рубриках</w:t>
      </w:r>
      <w:r>
        <w:t xml:space="preserve">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М21.1 </w:t>
      </w:r>
      <w:r>
        <w:t>Варусная деформация, не классифицированная в других</w:t>
      </w:r>
      <w:r>
        <w:t xml:space="preserve"> рубриках</w:t>
      </w:r>
      <w:r>
        <w:t xml:space="preserve">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M21.2 </w:t>
      </w:r>
      <w:r>
        <w:t>Сгибательная деформация</w:t>
      </w:r>
      <w:r>
        <w:t xml:space="preserve">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М21.7 </w:t>
      </w:r>
      <w:r>
        <w:t xml:space="preserve">Разная длина конечностей (приобретенная)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М21.8 </w:t>
      </w:r>
      <w:r>
        <w:t>Другие уточненные приобретенные деформации конечностей</w:t>
      </w:r>
      <w:r>
        <w:t xml:space="preserve">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М21.9 </w:t>
      </w:r>
      <w:r>
        <w:t>Приобретенная деформация конечностей неуточненная</w:t>
      </w:r>
      <w:r>
        <w:t xml:space="preserve"> </w:t>
      </w:r>
    </w:p>
    <w:p w:rsidR="008F432E" w:rsidRDefault="00A47635">
      <w:pPr>
        <w:numPr>
          <w:ilvl w:val="0"/>
          <w:numId w:val="2"/>
        </w:numPr>
        <w:spacing w:after="6" w:line="358" w:lineRule="auto"/>
        <w:ind w:right="54" w:hanging="286"/>
      </w:pPr>
      <w:r>
        <w:t>М95.8</w:t>
      </w:r>
      <w:r>
        <w:t xml:space="preserve"> Другие уточненные приобретенные деформаци</w:t>
      </w:r>
      <w:r>
        <w:t xml:space="preserve">и костно-мышечной системы </w:t>
      </w:r>
    </w:p>
    <w:p w:rsidR="008F432E" w:rsidRDefault="00A47635">
      <w:pPr>
        <w:numPr>
          <w:ilvl w:val="0"/>
          <w:numId w:val="2"/>
        </w:numPr>
        <w:ind w:right="54" w:hanging="286"/>
      </w:pPr>
      <w:r>
        <w:t xml:space="preserve">М99.9 </w:t>
      </w:r>
      <w:r>
        <w:t>Биомеханическое нарушение неуточненное</w:t>
      </w:r>
      <w:r>
        <w:t xml:space="preserve"> </w:t>
      </w:r>
    </w:p>
    <w:p w:rsidR="008F432E" w:rsidRDefault="00A47635">
      <w:pPr>
        <w:spacing w:after="112" w:line="259" w:lineRule="auto"/>
        <w:ind w:left="1073" w:firstLine="0"/>
        <w:jc w:val="left"/>
      </w:pPr>
      <w:r>
        <w:t xml:space="preserve"> </w:t>
      </w:r>
    </w:p>
    <w:p w:rsidR="008F432E" w:rsidRDefault="00A47635">
      <w:pPr>
        <w:pStyle w:val="Heading2"/>
        <w:spacing w:after="228"/>
        <w:ind w:left="405" w:right="45" w:hanging="420"/>
      </w:pPr>
      <w:bookmarkStart w:id="8" w:name="_Toc71483"/>
      <w:r>
        <w:t xml:space="preserve">Классификация заболевания или состояния (группы заболеваний или состояний) </w:t>
      </w:r>
      <w:bookmarkEnd w:id="8"/>
    </w:p>
    <w:p w:rsidR="008F432E" w:rsidRDefault="00A47635">
      <w:pPr>
        <w:ind w:left="576" w:right="54"/>
      </w:pPr>
      <w:r>
        <w:t xml:space="preserve">1). В зависимости от плоскости деформации выделяют: </w:t>
      </w:r>
    </w:p>
    <w:p w:rsidR="008F432E" w:rsidRDefault="00A47635">
      <w:pPr>
        <w:ind w:left="576" w:right="54"/>
      </w:pPr>
      <w:r>
        <w:t xml:space="preserve">а. вальгусные деформации – имеется отклонение оси сегмента кнаружи, </w:t>
      </w:r>
    </w:p>
    <w:p w:rsidR="008F432E" w:rsidRDefault="00A47635">
      <w:pPr>
        <w:ind w:left="576" w:right="54"/>
      </w:pPr>
      <w:r>
        <w:t xml:space="preserve">б. варусные деформации – имеется оси сегмента кнутри, </w:t>
      </w:r>
    </w:p>
    <w:p w:rsidR="008F432E" w:rsidRDefault="00A47635">
      <w:pPr>
        <w:ind w:left="-15" w:right="54" w:firstLine="566"/>
      </w:pPr>
      <w:r>
        <w:t xml:space="preserve">в. антекурвационные деформации – угловая деформация с углом, открытым кзади, т.е. с отклонением оси сегмента (конечности) кзади; </w:t>
      </w:r>
    </w:p>
    <w:p w:rsidR="008F432E" w:rsidRDefault="00A47635">
      <w:pPr>
        <w:ind w:left="-15" w:right="54" w:firstLine="566"/>
      </w:pPr>
      <w:r>
        <w:t>г.</w:t>
      </w:r>
      <w:r>
        <w:t xml:space="preserve"> рекурвационные деформации – угловая деформация с углом, открытым кпереди, т.е. с отклонением оси сегмента (конечности) кпереди; </w:t>
      </w:r>
    </w:p>
    <w:p w:rsidR="008F432E" w:rsidRDefault="00A47635">
      <w:pPr>
        <w:ind w:left="576" w:right="54"/>
      </w:pPr>
      <w:r>
        <w:t xml:space="preserve">д. многоплоскостные деформация – имеется деформация более чем в одной плоскости; </w:t>
      </w:r>
    </w:p>
    <w:p w:rsidR="008F432E" w:rsidRDefault="00A47635">
      <w:pPr>
        <w:spacing w:after="6"/>
        <w:ind w:left="576" w:right="54"/>
      </w:pPr>
      <w:r>
        <w:t>е. торсионные деформации – определяется изме</w:t>
      </w:r>
      <w:r>
        <w:t xml:space="preserve">нение оси сегмента на протяжении по </w:t>
      </w:r>
    </w:p>
    <w:p w:rsidR="008F432E" w:rsidRDefault="00A47635">
      <w:pPr>
        <w:ind w:left="-5" w:right="54"/>
      </w:pPr>
      <w:r>
        <w:t xml:space="preserve">типу «скручивания», </w:t>
      </w:r>
    </w:p>
    <w:p w:rsidR="008F432E" w:rsidRDefault="00A47635">
      <w:pPr>
        <w:ind w:left="-15" w:right="54" w:firstLine="566"/>
      </w:pPr>
      <w:r>
        <w:t xml:space="preserve">2). В зависимости от уровня деформации кости: метафизарные, диафизарные, метадиафизарные, многовершинные. </w:t>
      </w:r>
    </w:p>
    <w:p w:rsidR="008F432E" w:rsidRDefault="00A47635">
      <w:pPr>
        <w:spacing w:after="3"/>
        <w:ind w:left="-15" w:right="54" w:firstLine="566"/>
      </w:pPr>
      <w:r>
        <w:t>3). В зависимости от вовлечения сегмента/ов конечности: односегментарные, полисегментарные.</w:t>
      </w:r>
      <w:r>
        <w:t xml:space="preserve"> </w:t>
      </w:r>
    </w:p>
    <w:p w:rsidR="008F432E" w:rsidRDefault="00A47635">
      <w:pPr>
        <w:pStyle w:val="Heading2"/>
        <w:ind w:left="-5" w:right="45"/>
      </w:pPr>
      <w:bookmarkStart w:id="9" w:name="_Toc71484"/>
      <w:r>
        <w:t xml:space="preserve">Клиническая картина заболевания или состояния (группы заболеваний или состояний) </w:t>
      </w:r>
      <w:bookmarkEnd w:id="9"/>
    </w:p>
    <w:p w:rsidR="008F432E" w:rsidRDefault="00A47635">
      <w:pPr>
        <w:spacing w:after="61" w:line="358" w:lineRule="auto"/>
        <w:ind w:left="-15" w:right="54" w:firstLine="720"/>
      </w:pPr>
      <w:r>
        <w:t>Основные клинические признаки: наличие видимого «искривления» (собственно «деформации») сегмента, конечности; укорочение; боль и ограничение подвижности в области смежных с</w:t>
      </w:r>
      <w:r>
        <w:t xml:space="preserve">уставов, нарушение функции конечности, снижение силы и атрофия мышц, хромота. Степень проявления этих признаков зависит от выраженности деформации и укорочения конечности.  </w:t>
      </w:r>
    </w:p>
    <w:p w:rsidR="008F432E" w:rsidRDefault="00A47635">
      <w:pPr>
        <w:spacing w:after="62" w:line="356" w:lineRule="auto"/>
        <w:ind w:left="-15" w:right="54" w:firstLine="720"/>
      </w:pPr>
      <w:r>
        <w:t xml:space="preserve">Клинически значимые деформации, в том числе многовершинные, могут иметь место и при отсутствии девиации общей механической оси. </w:t>
      </w:r>
    </w:p>
    <w:p w:rsidR="008F432E" w:rsidRDefault="00A47635">
      <w:pPr>
        <w:spacing w:line="357" w:lineRule="auto"/>
        <w:ind w:left="-15" w:right="54" w:firstLine="720"/>
      </w:pPr>
      <w:r>
        <w:t>Приобретенная деформация возникает вследствие того, что репозиция перелома не была обеспечена («посттравматические» деформации)</w:t>
      </w:r>
      <w:r>
        <w:t xml:space="preserve">, или в детском возрасте была повреждена зона роста при травме либо вследствие перенесенного инфекционного процесса. </w:t>
      </w:r>
    </w:p>
    <w:p w:rsidR="008F432E" w:rsidRDefault="00A47635">
      <w:pPr>
        <w:spacing w:line="357" w:lineRule="auto"/>
        <w:ind w:left="-15" w:right="54" w:firstLine="720"/>
      </w:pPr>
      <w:r>
        <w:t xml:space="preserve">Деформации могут быть «простыми» (однокомпонентные, одноплоскостные), «средней сложности» (одно- трикомпонентные и одно-двух плоскостные) </w:t>
      </w:r>
      <w:r>
        <w:t xml:space="preserve">и «сложные» (многокомпонентные многоплоскостные). Деформации с изменением значений анатомических (механических) углов до 15º могут быть долгое время быть бессимптомными. На фоне приобретенной деформации зачастую снижается опороспособность всей конечности, </w:t>
      </w:r>
      <w:r>
        <w:t xml:space="preserve">возникает вторичная деформация стопы. Приобретенные деформации могут быть самыми разнообразными: с варусным или вальгусным ее искривлением, антекурвацией или рекурвацией, многоплоскостные и многоуровневые, с изменением торсионного профиля. </w:t>
      </w:r>
    </w:p>
    <w:p w:rsidR="008F432E" w:rsidRDefault="00A47635">
      <w:pPr>
        <w:spacing w:line="357" w:lineRule="auto"/>
        <w:ind w:left="-15" w:right="54" w:firstLine="720"/>
      </w:pPr>
      <w:r>
        <w:t>Укорочение сегм</w:t>
      </w:r>
      <w:r>
        <w:t>ента конечности при приобретенной деформации также может быть различным. Приобретенная деформация и укорочение конечности определяют и основные функциональные нарушения: нарушение опорности, заставляющее пациента пользоваться дополнительными средствами опо</w:t>
      </w:r>
      <w:r>
        <w:t>ры (костылями, тростью, ортопедическими аппаратами), подбивкой к обуви, индивидуальными ортопедическими стельками [1-4]. В результате перенесенной травмы или инфекционного процесса, приведшего к приобретенной деформации конечности, оперативных вмешательств</w:t>
      </w:r>
      <w:r>
        <w:t xml:space="preserve"> по поводу перелома или деформации, возможных осложнений, изменений статики возникают физиологические и морфологические изменения во всех тканях измененной конечности, составляющие патологический симптомокомплекс (рубцовое изменение кожи и подлежащих мягки</w:t>
      </w:r>
      <w:r>
        <w:t xml:space="preserve">х тканей, дистрофическое изменение мышц, нервов, циркуляторные нарушения, в т.ч. стойкие отеки, спазм магистральных и мелких сосудов, вегетативно-трофические изменения, атрофия кости от бездействия, контрактуры и анкилозы суставов). </w:t>
      </w:r>
    </w:p>
    <w:p w:rsidR="008F432E" w:rsidRDefault="00A47635">
      <w:pPr>
        <w:spacing w:line="357" w:lineRule="auto"/>
        <w:ind w:left="-15" w:right="54" w:firstLine="566"/>
      </w:pPr>
      <w:r>
        <w:t>Рентгенологическое исс</w:t>
      </w:r>
      <w:r>
        <w:t xml:space="preserve">ледование позволяет проводить дифференциальную диагностику приобретенной деформации с ложным суставом, замедленным сращением перелома при некорректном расположении костных фрагментов.  </w:t>
      </w:r>
    </w:p>
    <w:p w:rsidR="008F432E" w:rsidRDefault="00A47635">
      <w:pPr>
        <w:spacing w:line="358" w:lineRule="auto"/>
        <w:ind w:left="-15" w:right="54" w:firstLine="566"/>
      </w:pPr>
      <w:r>
        <w:t>Ложные суставы могут сопровождаться наличием деформации, диагностика и</w:t>
      </w:r>
      <w:r>
        <w:t xml:space="preserve"> планирование которых также должно осуществляться на основе РЛУ. </w:t>
      </w:r>
    </w:p>
    <w:p w:rsidR="008F432E" w:rsidRDefault="00A47635">
      <w:pPr>
        <w:spacing w:line="357" w:lineRule="auto"/>
        <w:ind w:left="-15" w:right="54" w:firstLine="566"/>
      </w:pPr>
      <w:r>
        <w:t>Основными рентгенологическими признаками приобретенной деформации нижней конечности являются: отличие от референтных значений девиации общей механической оси, механических (анатомических), «</w:t>
      </w:r>
      <w:r>
        <w:t xml:space="preserve">торсионных» углов, укорочение кости. При длительно существующей деформации будут иметься признаки артроза смежных суставов, а при укорочении – деформация и дегенеративные изменения в позвоночнике. </w:t>
      </w:r>
    </w:p>
    <w:p w:rsidR="008F432E" w:rsidRDefault="00A47635">
      <w:pPr>
        <w:spacing w:after="151" w:line="259" w:lineRule="auto"/>
        <w:ind w:left="566" w:firstLine="0"/>
        <w:jc w:val="left"/>
      </w:pPr>
      <w:r>
        <w:t xml:space="preserve"> </w:t>
      </w:r>
    </w:p>
    <w:p w:rsidR="008F432E" w:rsidRDefault="00A47635">
      <w:pPr>
        <w:pStyle w:val="Heading1"/>
        <w:spacing w:after="0" w:line="358" w:lineRule="auto"/>
        <w:ind w:left="10"/>
      </w:pPr>
      <w:bookmarkStart w:id="10" w:name="_Toc71485"/>
      <w:r>
        <w:rPr>
          <w:sz w:val="28"/>
        </w:rPr>
        <w:t>Диагностика заболевания или состояния (группы заболевани</w:t>
      </w:r>
      <w:r>
        <w:rPr>
          <w:sz w:val="28"/>
        </w:rPr>
        <w:t xml:space="preserve">й или состояний), медицинские показания и противопоказания к применению методов диагностики </w:t>
      </w:r>
      <w:bookmarkEnd w:id="10"/>
    </w:p>
    <w:p w:rsidR="008F432E" w:rsidRDefault="00A47635">
      <w:pPr>
        <w:ind w:left="718" w:right="54"/>
      </w:pPr>
      <w:r>
        <w:t xml:space="preserve">Критерии установления заболевания или состояния: </w:t>
      </w:r>
    </w:p>
    <w:p w:rsidR="008F432E" w:rsidRDefault="00A47635">
      <w:pPr>
        <w:spacing w:line="357" w:lineRule="auto"/>
        <w:ind w:left="-15" w:right="54" w:firstLine="708"/>
      </w:pPr>
      <w:r>
        <w:t>Диагноз ставят на основании анамнестических данных и клинических проявлений (искривление оси конечности, ее укоро</w:t>
      </w:r>
      <w:r>
        <w:t>чение, болезненность в области суставов при нагрузке). Однако все эти симптомы не обязательны и у ряда пациентов могут отсутствовать. Наиболее информативным диагностическим приемом является рентгеновское исследование, при отсутствии состояний, требующих ко</w:t>
      </w:r>
      <w:r>
        <w:t xml:space="preserve">дирования другими кодами МКБ-10 (см. раздел 1.4). </w:t>
      </w:r>
    </w:p>
    <w:p w:rsidR="008F432E" w:rsidRDefault="00A47635">
      <w:pPr>
        <w:spacing w:line="357" w:lineRule="auto"/>
        <w:ind w:left="-15" w:right="54" w:firstLine="708"/>
      </w:pPr>
      <w:r>
        <w:t>В настоящее время приняты определения неприемлемого выравнивания бедренной кости включают ангуляцию или мальротацию &gt;10° или укорочение &gt;2 см [19], хотя определение неприемлемого выравнивания большеберцово</w:t>
      </w:r>
      <w:r>
        <w:t xml:space="preserve">й кости остается труднодостижимым и описывается в литературе по-разному. В литературе описаны рекомендации по коррекции, которые включают варусную/вальгусную ангуляцию &gt;5°, передняя/задняя ангуляция &gt;10°, внутренняя ротация &gt;5°, наружная ротация &gt;10°, или </w:t>
      </w:r>
      <w:r>
        <w:t xml:space="preserve">укорочение &gt;1 см [20]. Изменения в походке, включая хромоту, были зарегистрированы при несоответствии длины ног на 1,5 см или более [21]. </w:t>
      </w:r>
    </w:p>
    <w:p w:rsidR="008F432E" w:rsidRDefault="00A47635">
      <w:pPr>
        <w:spacing w:line="357" w:lineRule="auto"/>
        <w:ind w:left="-15" w:right="54" w:firstLine="566"/>
      </w:pPr>
      <w:r>
        <w:t>Особый интерес в плане решения экспертных вопросов и определения показаний к хирургической коррекции представляет сво</w:t>
      </w:r>
      <w:r>
        <w:t>д норм, регламентирующих годность призывников к службе в Вооруженных Силах Российской Федерации: положения о военно-врачебной экспертизе [22]: статья 69 «Приобретенные и врожденные деформации конечностей, вызывающие нарушение функции и (или) затрудняющие н</w:t>
      </w:r>
      <w:r>
        <w:t xml:space="preserve">ошение военной формы одежды, обуви или снаряжения» выделяет следующие виды деформаций и укорочений травматического генеза: </w:t>
      </w:r>
    </w:p>
    <w:p w:rsidR="008F432E" w:rsidRDefault="00A47635">
      <w:pPr>
        <w:numPr>
          <w:ilvl w:val="0"/>
          <w:numId w:val="3"/>
        </w:numPr>
        <w:spacing w:line="358" w:lineRule="auto"/>
        <w:ind w:right="54" w:firstLine="852"/>
      </w:pPr>
      <w:r>
        <w:t>пункт «а»: О-образное искривление ног при расстоянии между выступами внутренних мыщелков бедренных костей более 20 см или Х-образное искривление при расстоянии между внутренними лодыжками голеней более 15 см; осевое укорочение руки или ноги более 8 см, а т</w:t>
      </w:r>
      <w:r>
        <w:t xml:space="preserve">акже его ротационная деформация более 30 градусов; </w:t>
      </w:r>
    </w:p>
    <w:p w:rsidR="008F432E" w:rsidRDefault="00A47635">
      <w:pPr>
        <w:numPr>
          <w:ilvl w:val="0"/>
          <w:numId w:val="3"/>
        </w:numPr>
        <w:spacing w:line="357" w:lineRule="auto"/>
        <w:ind w:right="54" w:firstLine="852"/>
      </w:pPr>
      <w:r>
        <w:t>пункт «б»: О-образное искривление ног при расстоянии между выступами внутренних мыщелков бедренных костей от 12 до 20 см или Х-образное искривление при расстоянии между внутренними лодыжками голеней от 12</w:t>
      </w:r>
      <w:r>
        <w:t xml:space="preserve"> до 15 см; осевое укорочение руки или ноги от 5 до 8 см включительно, а также его ротационная деформация от 15 до 30 градусов; </w:t>
      </w:r>
    </w:p>
    <w:p w:rsidR="008F432E" w:rsidRDefault="00A47635">
      <w:pPr>
        <w:numPr>
          <w:ilvl w:val="0"/>
          <w:numId w:val="3"/>
        </w:numPr>
        <w:spacing w:line="356" w:lineRule="auto"/>
        <w:ind w:right="54" w:firstLine="852"/>
      </w:pPr>
      <w:r>
        <w:t xml:space="preserve">пункт «в»: осевое укорочение ноги от 2 до 5 см включительно, ротационная деформация периферического сегмента (голени, стопы) от </w:t>
      </w:r>
      <w:r>
        <w:t xml:space="preserve">5 до 15 градусов; </w:t>
      </w:r>
    </w:p>
    <w:p w:rsidR="008F432E" w:rsidRDefault="00A47635">
      <w:pPr>
        <w:numPr>
          <w:ilvl w:val="0"/>
          <w:numId w:val="3"/>
        </w:numPr>
        <w:spacing w:after="2" w:line="356" w:lineRule="auto"/>
        <w:ind w:right="54" w:firstLine="852"/>
      </w:pPr>
      <w:r>
        <w:t xml:space="preserve">пункт «г»: осевое укорочение руки до 5 см или ноги до 2 см, ротационная деформация периферического сегмента (голени, стопы) менее 5 градусов. </w:t>
      </w:r>
    </w:p>
    <w:p w:rsidR="008F432E" w:rsidRDefault="00A47635">
      <w:pPr>
        <w:spacing w:after="0" w:line="357" w:lineRule="auto"/>
        <w:ind w:left="-15" w:right="54" w:firstLine="852"/>
      </w:pPr>
      <w:r>
        <w:t>Важна формулировка: «При укорочении ноги, для ликвидации угловых и ротационных деформаций руки или ноги освидетельствуемым по графам I, II, III расписания болезней при наличии показаний предлагается лечение с использованием остеосинтеза. При отказе от лече</w:t>
      </w:r>
      <w:r>
        <w:t xml:space="preserve">ния или его неудовлетворительных результатах заключение о годности к военной службе выносится по соответствующим пунктам этой статьи». </w:t>
      </w:r>
    </w:p>
    <w:p w:rsidR="008F432E" w:rsidRDefault="00A47635">
      <w:pPr>
        <w:spacing w:after="0" w:line="358" w:lineRule="auto"/>
        <w:ind w:left="-15" w:right="54" w:firstLine="708"/>
      </w:pPr>
      <w:r>
        <w:t>Фактически это единственный официальный экспертный документ, подробно регламентирующий показания к хирургическому лечени</w:t>
      </w:r>
      <w:r>
        <w:t xml:space="preserve">ю. </w:t>
      </w:r>
    </w:p>
    <w:p w:rsidR="008F432E" w:rsidRDefault="00A47635">
      <w:pPr>
        <w:pStyle w:val="Heading2"/>
        <w:ind w:left="345" w:right="45" w:hanging="360"/>
      </w:pPr>
      <w:bookmarkStart w:id="11" w:name="_Toc71486"/>
      <w:r>
        <w:t xml:space="preserve">Жалобы и анамнез </w:t>
      </w:r>
      <w:bookmarkEnd w:id="11"/>
    </w:p>
    <w:p w:rsidR="008F432E" w:rsidRDefault="00A47635">
      <w:pPr>
        <w:spacing w:after="0" w:line="357" w:lineRule="auto"/>
        <w:ind w:left="-15" w:right="54" w:firstLine="708"/>
      </w:pPr>
      <w:r>
        <w:t>Рекомендуется</w:t>
      </w:r>
      <w:r>
        <w:t xml:space="preserve"> сбор анамнеза и жалоб при патологии костной системы при диагностике и лечении пациентов с приобретенными деформациями длинных трубчатых костей с целью выявления обстоятельств травмы, механизма повреждения, срока, прошедш</w:t>
      </w:r>
      <w:r>
        <w:t xml:space="preserve">его с момента получения травмы, проводимого ранее лечения, наличия возможных хронических заболеваний и факта приема лекарственных препаратов [2, 4, 24].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pStyle w:val="Heading2"/>
        <w:ind w:left="345" w:right="45" w:hanging="360"/>
      </w:pPr>
      <w:bookmarkStart w:id="12" w:name="_Toc71487"/>
      <w:r>
        <w:t>Физикальное обследов</w:t>
      </w:r>
      <w:r>
        <w:t xml:space="preserve">ание </w:t>
      </w:r>
      <w:bookmarkEnd w:id="12"/>
    </w:p>
    <w:p w:rsidR="008F432E" w:rsidRDefault="00A47635">
      <w:pPr>
        <w:spacing w:line="358" w:lineRule="auto"/>
        <w:ind w:left="-15" w:right="54" w:firstLine="708"/>
      </w:pPr>
      <w:r>
        <w:t xml:space="preserve">Всем пациентам с подозрением на приобретённую деформацию нижних конечностей </w:t>
      </w:r>
      <w:r>
        <w:t>рекомендуется</w:t>
      </w:r>
      <w:r>
        <w:t xml:space="preserve"> прием (осмотр, консультация) врача-травматолога-ортопеда первичный или прием (осмотр, консультация) врача-хирурга/врача-детского хирурга первичный с целью установления диагноза и определения тактики лечения </w:t>
      </w:r>
      <w:r>
        <w:rPr>
          <w:sz w:val="22"/>
        </w:rPr>
        <w:t xml:space="preserve">[2, 4, 24]. </w:t>
      </w:r>
    </w:p>
    <w:p w:rsidR="008F432E" w:rsidRDefault="00A47635">
      <w:pPr>
        <w:spacing w:after="0" w:line="362" w:lineRule="auto"/>
        <w:ind w:left="-15" w:right="45" w:firstLine="708"/>
      </w:pPr>
      <w:r>
        <w:t>Уровень убедительности рекомендаций</w:t>
      </w:r>
      <w:r>
        <w:t xml:space="preserve"> С (уровень достоверности доказательств – 5).</w:t>
      </w:r>
      <w:r>
        <w:t xml:space="preserve"> </w:t>
      </w:r>
    </w:p>
    <w:p w:rsidR="008F432E" w:rsidRDefault="00A47635">
      <w:pPr>
        <w:spacing w:after="3" w:line="357" w:lineRule="auto"/>
        <w:ind w:left="-15" w:right="49" w:firstLine="708"/>
      </w:pPr>
      <w:r>
        <w:t>Комментарии: визуальное исследование сегментов конечностей с целью оценки состояния кожных покровов, выявления деформации/ий и укорочения конечности, гипо- или атрофии мышц, нейротрофического статуса конечност</w:t>
      </w:r>
      <w:r>
        <w:t xml:space="preserve">и, уточнения локализации деформации и определения дальнейшей тактики диагностики и лечения [2, 4, 24]. </w:t>
      </w:r>
    </w:p>
    <w:p w:rsidR="008F432E" w:rsidRDefault="00A47635">
      <w:pPr>
        <w:spacing w:after="116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0" w:line="357" w:lineRule="auto"/>
        <w:ind w:left="-15" w:right="54" w:firstLine="708"/>
      </w:pPr>
      <w:r>
        <w:t>Рекомендуется</w:t>
      </w:r>
      <w:r>
        <w:t xml:space="preserve"> пальпация области деформации (пальпация костной системы, пальпация мышц,  пальпация суставов) пациентам всех групп с целью оценки уровня</w:t>
      </w:r>
      <w:r>
        <w:t xml:space="preserve"> боли в области повреждения, нарушения функции конечности, ограничения подвижности смежных суставов, снижение силы мышц, нарушения кровоснабжения конечности, уточнения локализации нарушения и определения дальнейшей тактики диагностики и лечения [2, 4, </w:t>
      </w:r>
    </w:p>
    <w:p w:rsidR="008F432E" w:rsidRDefault="00A47635">
      <w:pPr>
        <w:ind w:left="-5" w:right="54"/>
      </w:pPr>
      <w:r>
        <w:t>24]</w:t>
      </w:r>
      <w:r>
        <w:t xml:space="preserve">. 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2"/>
        <w:ind w:left="345" w:right="45" w:hanging="360"/>
      </w:pPr>
      <w:bookmarkStart w:id="13" w:name="_Toc71488"/>
      <w:r>
        <w:t xml:space="preserve">Лабораторные диагностические исследования </w:t>
      </w:r>
      <w:bookmarkEnd w:id="13"/>
    </w:p>
    <w:p w:rsidR="008F432E" w:rsidRDefault="00A47635">
      <w:pPr>
        <w:spacing w:after="59" w:line="357" w:lineRule="auto"/>
        <w:ind w:left="-15" w:right="54" w:firstLine="708"/>
      </w:pPr>
      <w:r>
        <w:t>Рекомендуется</w:t>
      </w:r>
      <w:r>
        <w:t xml:space="preserve"> пациентам с приобретенными деформациями конечности провести общий (клинический) анализ крови с исследованием ле</w:t>
      </w:r>
      <w:r>
        <w:t>йкоцитарной формулы (дифференцированный подсчет лейкоцитов (лейкоцитарная формула)), общий (клинический) анализ мочи, анализ крови биохимический общетерапевтический: исследование уровня общего белка в крови, исследование уровня альбумина в крови, исследова</w:t>
      </w:r>
      <w:r>
        <w:t>ние уровня мочевины в крови, исследование уровня креатинина в крови, определение активности аланинаминотрансферазы в крови, определение активности аспартатаминотрансферазы в крови, исследование электролитов крови (исследование уровня натрия в крови, исслед</w:t>
      </w:r>
      <w:r>
        <w:t>ование уровня калия в крови, исследование уровня хлоридов в крови, исследование общего уровня кальция в крови, исследование уровня неорганического фосфора в крови) с целью оценки общего состояния организма и возможности выполнения оперативного вмешательств</w:t>
      </w:r>
      <w:r>
        <w:t xml:space="preserve">а [2, 4, 24, 25]. 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spacing w:after="113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" w:line="357" w:lineRule="auto"/>
        <w:ind w:left="-15" w:right="54" w:firstLine="708"/>
      </w:pPr>
      <w:r>
        <w:t>Рекомендуется</w:t>
      </w:r>
      <w:r>
        <w:t xml:space="preserve"> перед оперативным лечением взрослым пациентам с целью диагностики проводить комплексное обследование, включая определение антигена D системы Резус (резус-фактор), показателей коагулограммы (ориентировочное исследование системы гемостаза), электролиты кров</w:t>
      </w:r>
      <w:r>
        <w:t xml:space="preserve">и, исследования на гепатиты (определение антигена (HbsAg) вируса гепатита B (Hepatitis B virus) в крови, определение антител к вирусу гепатита C </w:t>
      </w:r>
    </w:p>
    <w:p w:rsidR="008F432E" w:rsidRDefault="00A47635">
      <w:pPr>
        <w:spacing w:after="0" w:line="358" w:lineRule="auto"/>
        <w:ind w:left="-5" w:right="54"/>
      </w:pPr>
      <w:r>
        <w:t>(Hepatitis C virus) в крови, определение антител к бледной трепонеме (Treponema pallidum) в крови, исследовани</w:t>
      </w:r>
      <w:r>
        <w:t xml:space="preserve">е уровня антител классов M, G (IgM, IgG) к вирусу иммунодефицита человека ВИЧ-1/2 и антигена p24 (Human immunodeficiency virus HIV 1/2 + Agp24) в крови </w:t>
      </w:r>
    </w:p>
    <w:p w:rsidR="008F432E" w:rsidRDefault="00A47635">
      <w:pPr>
        <w:ind w:left="-5" w:right="54"/>
      </w:pPr>
      <w:r>
        <w:t>[2, 4, 24, 25].</w:t>
      </w:r>
      <w:r>
        <w:t xml:space="preserve">  </w:t>
      </w:r>
    </w:p>
    <w:p w:rsidR="008F432E" w:rsidRDefault="00A47635">
      <w:pPr>
        <w:spacing w:after="107" w:line="266" w:lineRule="auto"/>
        <w:ind w:left="-5" w:right="45"/>
      </w:pPr>
      <w:r>
        <w:t>Уровень убедительности рекомендаций С (уровень достоверности доказательств – 5).</w:t>
      </w:r>
      <w:r>
        <w:t xml:space="preserve"> </w:t>
      </w:r>
    </w:p>
    <w:p w:rsidR="008F432E" w:rsidRDefault="00A47635">
      <w:pPr>
        <w:spacing w:after="61" w:line="357" w:lineRule="auto"/>
        <w:ind w:left="-5" w:right="49"/>
      </w:pPr>
      <w:r>
        <w:t>Ком</w:t>
      </w:r>
      <w:r>
        <w:t xml:space="preserve">ментарии: анализы крови необходимо повторять согласно срока годности анализа (общий анализ крови 10 дней, б/х анализ крови – 1 месяц и т.д.), а также индивидуально по показаниям состояния больного.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2"/>
        <w:ind w:left="345" w:right="45" w:hanging="360"/>
      </w:pPr>
      <w:bookmarkStart w:id="14" w:name="_Toc71489"/>
      <w:r>
        <w:t xml:space="preserve">Инструментальные диагностические исследования </w:t>
      </w:r>
      <w:bookmarkEnd w:id="14"/>
    </w:p>
    <w:p w:rsidR="008F432E" w:rsidRDefault="00A47635">
      <w:pPr>
        <w:spacing w:after="0" w:line="358" w:lineRule="auto"/>
        <w:ind w:left="-15" w:right="291" w:firstLine="708"/>
      </w:pPr>
      <w:r>
        <w:t>Пациента</w:t>
      </w:r>
      <w:r>
        <w:t xml:space="preserve">м с приобретенными деформациями нижних конечностей </w:t>
      </w:r>
      <w:r>
        <w:t>рекомендуется</w:t>
      </w:r>
      <w:r>
        <w:t xml:space="preserve"> выполнение панорамной рентгенограммы («телерентгенограммы») (рентгенография нижней конечности) стоя с нагрузкой в прямой и боковой проекциях. [2, 26-31] </w:t>
      </w:r>
      <w:r>
        <w:t xml:space="preserve">Уровень убедительности рекомендаций С </w:t>
      </w:r>
      <w:r>
        <w:t xml:space="preserve">(уровень достоверности доказательств – </w:t>
      </w:r>
    </w:p>
    <w:p w:rsidR="008F432E" w:rsidRDefault="00A47635">
      <w:pPr>
        <w:spacing w:after="107" w:line="266" w:lineRule="auto"/>
        <w:ind w:left="-5" w:right="45"/>
      </w:pPr>
      <w:r>
        <w:t xml:space="preserve">5). </w:t>
      </w:r>
    </w:p>
    <w:p w:rsidR="008F432E" w:rsidRDefault="00A47635">
      <w:pPr>
        <w:spacing w:after="3" w:line="357" w:lineRule="auto"/>
        <w:ind w:left="-15" w:right="292" w:firstLine="708"/>
      </w:pPr>
      <w:r>
        <w:t>Комментарии:</w:t>
      </w:r>
      <w:r>
        <w:t xml:space="preserve"> в виде исключения допустимо выполнение рентгенограмм раздельно сегментов, но с обязательным захватом смежных суставов (рентгенография бедренной кости, рентгенография большой берцовой кости и малой берцовой кости, рентгенография коленного сустава, рентгено</w:t>
      </w:r>
      <w:r>
        <w:t xml:space="preserve">графия тазобедренного сустава, рентгенография голеностопного сустава). Также возможно выполнение специфических проекций (косая проекция, «функциональная» рентгенография и др.) [2, 26-31].  </w:t>
      </w:r>
    </w:p>
    <w:p w:rsidR="008F432E" w:rsidRDefault="00A47635">
      <w:pPr>
        <w:spacing w:after="119" w:line="357" w:lineRule="auto"/>
        <w:ind w:left="-5" w:right="49"/>
      </w:pPr>
      <w:r>
        <w:t>При деформациях нижней конечности только рентгенограмма на протяже</w:t>
      </w:r>
      <w:r>
        <w:t xml:space="preserve">нии от тазобедренного до голеностопного сустава («панорамная» рентгенография, «телерентгенограмма») (рентгенография нижней конечности) позволяет судить о прохождении общей механической оси. Неправильным является выполнять телерентгенограмму путем сложения </w:t>
      </w:r>
      <w:r>
        <w:t>3-4-х раздельно сделанных рентгенограмм, т.к. при этом возникают значительные искажения. Для выявления деформаций нижних конечностей исследуют референтные линии и углы (РЛУ)</w:t>
      </w:r>
      <w:r>
        <w:t xml:space="preserve"> </w:t>
      </w:r>
      <w:r>
        <w:t>(Приложение Г3) : девиацию механической оси, анатомические (механические) углы, уг</w:t>
      </w:r>
      <w:r>
        <w:t xml:space="preserve">лы торсионного профиля [31]. В норме референтные линии должны пересекаться между собой под определенными углами в определенных точках (рис. 1).  </w:t>
      </w:r>
    </w:p>
    <w:p w:rsidR="008F432E" w:rsidRDefault="00A47635">
      <w:pPr>
        <w:spacing w:after="5" w:line="358" w:lineRule="auto"/>
        <w:ind w:left="-15" w:right="54" w:firstLine="708"/>
      </w:pPr>
      <w:r>
        <w:t>При подозрении на наличие торсионного компонента деформации, сомнении в степени консолидации костных фрагменто</w:t>
      </w:r>
      <w:r>
        <w:t xml:space="preserve">в </w:t>
      </w:r>
      <w:r>
        <w:t>рекомендуется</w:t>
      </w:r>
      <w:r>
        <w:t xml:space="preserve"> выполнение компьютерной томографии нижней конечности (сегмента конечности) [2, 29, 32, 33].  </w:t>
      </w:r>
    </w:p>
    <w:p w:rsidR="008F432E" w:rsidRDefault="00A47635">
      <w:pPr>
        <w:spacing w:after="107" w:line="266" w:lineRule="auto"/>
        <w:ind w:left="-5" w:right="45"/>
      </w:pPr>
      <w:r>
        <w:t xml:space="preserve"> </w:t>
      </w: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spacing w:after="3" w:line="357" w:lineRule="auto"/>
        <w:ind w:left="-5" w:right="49"/>
      </w:pPr>
      <w:r>
        <w:t>Комментарии:</w:t>
      </w:r>
      <w:r>
        <w:t xml:space="preserve"> </w:t>
      </w:r>
      <w:r>
        <w:t>Целью компьютерной томографии нижней конечности яв</w:t>
      </w:r>
      <w:r>
        <w:t>ляется: уточнение формы и размеров кости (диаметр костномозговой полости, толщина кортикальных стенок, поперечные и продольные размеры в миллиметрах) для корректного подбора правильного типа и размера фиксатора, расположения вершины деформации кости, остео</w:t>
      </w:r>
      <w:r>
        <w:t>фитов, оссификатов и костных дефектов, определения степени консолидации костных фрагментов. Также данные компьютерной томографии позволяют оценить объем требующихся резекций и костнопластического материала, определить проекционные линии расположения фиксир</w:t>
      </w:r>
      <w:r>
        <w:t xml:space="preserve">ующих элементов имплантата (при их наличии) для правильного планирования оперативного доступа для удаления имплантата, установки нового и выполнения реконструктивно-пластического компонента вмешательства. [29, 23, 33].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2"/>
        <w:ind w:left="345" w:right="45" w:hanging="360"/>
      </w:pPr>
      <w:bookmarkStart w:id="15" w:name="_Toc71490"/>
      <w:r>
        <w:t xml:space="preserve">Иные диагностические исследования </w:t>
      </w:r>
      <w:r>
        <w:t xml:space="preserve"> </w:t>
      </w:r>
      <w:bookmarkEnd w:id="15"/>
    </w:p>
    <w:p w:rsidR="008F432E" w:rsidRDefault="00A47635">
      <w:pPr>
        <w:spacing w:after="0" w:line="357" w:lineRule="auto"/>
        <w:ind w:left="-15" w:right="54" w:firstLine="708"/>
      </w:pPr>
      <w:r>
        <w:t xml:space="preserve">Пациентам с приобретенной деформацией конечности, у которых в анамнезе есть данные за воспаление в области перелома как последствия открытой травмы или инфекционного осложнения ранее проведенного оперативного вмешательства, </w:t>
      </w:r>
      <w:r>
        <w:t>рекомендуется</w:t>
      </w:r>
      <w:r>
        <w:t xml:space="preserve"> пункция (пункция гнойного очага, микробиологическое (культуральное) исследование гнойного отделяемого на аэробные и факультативно-анаэробные микроорганизмы) с бактериологическим посевом области нарушения с целью исключения скрытой глубокой инфекции в пери</w:t>
      </w:r>
      <w:r>
        <w:t xml:space="preserve">од подготовки к оперативному вмешательству [34]. </w:t>
      </w:r>
    </w:p>
    <w:p w:rsidR="008F432E" w:rsidRDefault="00A47635">
      <w:pPr>
        <w:spacing w:after="266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 </w:t>
      </w:r>
    </w:p>
    <w:p w:rsidR="008F432E" w:rsidRDefault="00A47635">
      <w:pPr>
        <w:pStyle w:val="Heading1"/>
        <w:spacing w:after="202" w:line="356" w:lineRule="auto"/>
        <w:ind w:left="71" w:hanging="71"/>
      </w:pPr>
      <w:bookmarkStart w:id="16" w:name="_Toc71491"/>
      <w:r>
        <w:rPr>
          <w:sz w:val="28"/>
        </w:rPr>
        <w:t>Лечение, включая медикаментозную и немедикаментозную терапии, диетотерапию, обезболивание, медицинские показания и противоп</w:t>
      </w:r>
      <w:r>
        <w:rPr>
          <w:sz w:val="28"/>
        </w:rPr>
        <w:t xml:space="preserve">оказания к применению методов лечения </w:t>
      </w:r>
      <w:bookmarkEnd w:id="16"/>
    </w:p>
    <w:p w:rsidR="008F432E" w:rsidRDefault="00A47635">
      <w:pPr>
        <w:spacing w:after="0" w:line="359" w:lineRule="auto"/>
        <w:ind w:left="-15" w:right="54" w:firstLine="708"/>
      </w:pPr>
      <w:r>
        <w:t>Взрослым пациентам для лечения приобретенной деформацией нижней конечности в сочетание с ее укорочением</w:t>
      </w:r>
      <w:r>
        <w:t xml:space="preserve"> рекомендуется</w:t>
      </w:r>
      <w:r>
        <w:t xml:space="preserve"> применять несколько подходов:  </w:t>
      </w:r>
    </w:p>
    <w:p w:rsidR="008F432E" w:rsidRDefault="00A47635">
      <w:pPr>
        <w:spacing w:after="2" w:line="357" w:lineRule="auto"/>
        <w:ind w:left="-15" w:right="54" w:firstLine="708"/>
      </w:pPr>
      <w:r>
        <w:t>Первый подход</w:t>
      </w:r>
      <w:r>
        <w:t xml:space="preserve"> включает одномоментную коррекцию деформации и остеосинтез костных фрагментов внутренним (например, 246140 Пластина накостная для фиксации переломов винтами, нерассасывающаяся, стерильная***, или 258670 Стержень интрамедуллярный бедренный, стерильный***) [</w:t>
      </w:r>
      <w:r>
        <w:t xml:space="preserve">35-43] или внешним фиксатором [44, 45] для достижения сращения с последующим плановым удлинением сегмента.  </w:t>
      </w:r>
    </w:p>
    <w:p w:rsidR="008F432E" w:rsidRDefault="00A47635">
      <w:pPr>
        <w:spacing w:after="2" w:line="356" w:lineRule="auto"/>
        <w:ind w:left="-15" w:right="54" w:firstLine="708"/>
      </w:pPr>
      <w:r>
        <w:t>Второй подход</w:t>
      </w:r>
      <w:r>
        <w:t xml:space="preserve"> - одновременная коррекция деформации и удлинение измененной конечности при помощи аппарата внешней фиксации (аппарат Илизарова, ортоп</w:t>
      </w:r>
      <w:r>
        <w:t xml:space="preserve">едический гексапод) [46-55]. Фиксация внешним фиксатором может быть продолжена до полной консолидации дистракционного регенерата или он может быть заменен на внутреннюю фиксацию [43-45, 52]. </w:t>
      </w:r>
    </w:p>
    <w:p w:rsidR="008F432E" w:rsidRDefault="00A47635">
      <w:pPr>
        <w:spacing w:after="2" w:line="357" w:lineRule="auto"/>
        <w:ind w:left="-15" w:right="54" w:firstLine="708"/>
      </w:pPr>
      <w:r>
        <w:t>Третий подход</w:t>
      </w:r>
      <w:r>
        <w:t xml:space="preserve"> – одномоментная коррекция деформации за счет резек</w:t>
      </w:r>
      <w:r>
        <w:t xml:space="preserve">ционной (укорачивающей) остеотомии с последующим удлинением сегмента с помощью удлиняющего электромагнитного стержня или удлинение «поверх» простого интрамедуллярного стержня с помощью внешнего фиксатора [37, 38, 40, 41]. </w:t>
      </w:r>
    </w:p>
    <w:p w:rsidR="008F432E" w:rsidRDefault="00A47635">
      <w:pPr>
        <w:spacing w:after="0" w:line="357" w:lineRule="auto"/>
        <w:ind w:left="-15" w:right="54" w:firstLine="708"/>
      </w:pPr>
      <w:r>
        <w:t>Важно отметить, что удлинение и к</w:t>
      </w:r>
      <w:r>
        <w:t xml:space="preserve">оррекция деформаций нижних конечностей с использованием наружной чрескостной фиксации, основанной на принципах метода Илизарова, является наиболее распространенной операцией [46-55].  </w:t>
      </w:r>
    </w:p>
    <w:p w:rsidR="008F432E" w:rsidRDefault="00A47635">
      <w:pPr>
        <w:spacing w:after="107" w:line="266" w:lineRule="auto"/>
        <w:ind w:left="-5" w:right="45"/>
      </w:pPr>
      <w:r>
        <w:t>Уровень убедительности рекомендаций С (уровень достоверности доказатель</w:t>
      </w:r>
      <w:r>
        <w:t xml:space="preserve">ств – 5). </w:t>
      </w:r>
    </w:p>
    <w:p w:rsidR="008F432E" w:rsidRDefault="00A47635">
      <w:pPr>
        <w:spacing w:line="357" w:lineRule="auto"/>
        <w:ind w:left="-15" w:right="54" w:firstLine="708"/>
      </w:pPr>
      <w:r>
        <w:t xml:space="preserve">Пациентам </w:t>
      </w:r>
      <w:r>
        <w:t>рекомендуется</w:t>
      </w:r>
      <w:r>
        <w:t xml:space="preserve"> одномоментная коррекция приобретенной деформации, методика чаще применяется для лечения изолированных угловых и ротационных деформаций с укорочением меньше 2 см [35-43]. Данный метод наиболее комфортен для пациентов, к то</w:t>
      </w:r>
      <w:r>
        <w:t>му же при этом, как правило, применяются погружные металлоконструкции [35-43].Так, например, коррекция изолированной торсионной деформации нижних конечностей может быть выполнена одномоментно с последующей фиксацией интрамедуллярным стержнем (111880 Стерже</w:t>
      </w:r>
      <w:r>
        <w:t>нь большеберцовый интрамедуллярный, стерильный*** и/или 111890 Стержень большеберцовый интрамедуллярный, нестерильный*** и/или 258660 Стержень интрамедуллярный бедренный, нестерильный*** и/или 258670 Стержень интрамедуллярный бедренный, стерильный***) [56]</w:t>
      </w:r>
      <w:r>
        <w:t xml:space="preserve">. 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рекомендаций С (уровень достоверности доказательств – 3).  Комментарии: Значительная часть публикаций посвященных одномоментной коррекции приобретенных одноплоскостных деформаций бедра и голени касаются вальгусной или варусной де</w:t>
      </w:r>
      <w:r>
        <w:t>формации коленного сустава. Единичные публикации, посвященные посттравматическим деформациям, носят очень низкий уровень достоверности [57-58].Однако одномоментная коррекция имеет ограниченные возможности коррекции. Величина угловой деформации, которую мож</w:t>
      </w:r>
      <w:r>
        <w:t xml:space="preserve">но одномоментно устранить не превышает 30°, а максимальное одномоментное удлинение для бедра не должно превышать 4 см [60]. При большей одномоментной коррекции возможны сосудистые и нейротрофические осложнения, для профилактики которых могут потребоваться </w:t>
      </w:r>
      <w:r>
        <w:t>дополнительные оперативные вмешательства на мягких тканях [29]. Деформации, сочетающие несколько компонентов, требуют очень точного и довольно сложного предоперационного планирования [41-42] оперативного вмешательства и операционной техники [35]. Возможнос</w:t>
      </w:r>
      <w:r>
        <w:t>ть одномоментной коррекции должна определяться индивидуально, приняв во внимание сегмент, тип и величину деформации, расположение магистральных сосудов и нервов, состояние мягких тканей, наличие хронического инфекционного процесса. При сомнениях в безопасн</w:t>
      </w:r>
      <w:r>
        <w:t xml:space="preserve">ости одномоментной коррекции и внутренней фиксации необходимо использовать дозированную во времени коррекцию при помощи АВФ.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2"/>
        <w:spacing w:after="3" w:line="356" w:lineRule="auto"/>
        <w:ind w:left="-5" w:right="45"/>
      </w:pPr>
      <w:bookmarkStart w:id="17" w:name="_Toc71492"/>
      <w:r>
        <w:t xml:space="preserve">Лечение пациентов с приобретенными деформациями нижних конечностей с применением аппарата и метода Илизарова. </w:t>
      </w:r>
      <w:bookmarkEnd w:id="17"/>
    </w:p>
    <w:p w:rsidR="008F432E" w:rsidRDefault="00A47635">
      <w:pPr>
        <w:spacing w:after="1" w:line="357" w:lineRule="auto"/>
        <w:ind w:left="-15" w:right="54" w:firstLine="708"/>
      </w:pPr>
      <w:r>
        <w:t xml:space="preserve">Пациентам с целью коррекции деформации и удлинения конечности </w:t>
      </w:r>
      <w:r>
        <w:t xml:space="preserve">рекомендуется </w:t>
      </w:r>
      <w:r>
        <w:t>использовать</w:t>
      </w:r>
      <w:r>
        <w:t xml:space="preserve"> </w:t>
      </w:r>
      <w:r>
        <w:t>Метод Илизарова  (Наложение наружных фиксирующих устройств с использованием компрессионно-дистракционного аппарата внешней фиксации, Система внешней ортопедической фик</w:t>
      </w:r>
      <w:r>
        <w:t xml:space="preserve">сации, многоразового использования, Проволока костная ортопедическая*** , Стержень костный ортопедический, нерассасывающийся***)[53, 62-83], см. Приложение А3.1 – А.3.4. </w:t>
      </w:r>
    </w:p>
    <w:p w:rsidR="008F432E" w:rsidRDefault="00A47635">
      <w:pPr>
        <w:spacing w:after="114" w:line="259" w:lineRule="auto"/>
        <w:ind w:right="45"/>
        <w:jc w:val="right"/>
      </w:pPr>
      <w:r>
        <w:t>Уровень убедительности рекомендаций С (уровень достоверности доказа-</w:t>
      </w:r>
    </w:p>
    <w:p w:rsidR="008F432E" w:rsidRDefault="00A47635">
      <w:pPr>
        <w:spacing w:after="107" w:line="266" w:lineRule="auto"/>
        <w:ind w:left="-5" w:right="45"/>
      </w:pPr>
      <w:r>
        <w:t xml:space="preserve">тельств – 4). </w:t>
      </w:r>
    </w:p>
    <w:p w:rsidR="008F432E" w:rsidRDefault="00A47635">
      <w:pPr>
        <w:spacing w:after="119" w:line="357" w:lineRule="auto"/>
        <w:ind w:left="-5" w:right="49"/>
      </w:pPr>
      <w:r>
        <w:t>К</w:t>
      </w:r>
      <w:r>
        <w:t>омментарии: в соответствии с действующим законодательством пациент должен быть ознакомлен не только с планом лечения, но и основами (особенностями) использования внешней фиксации в объеме, необходимом для его осознанного сотрудничества с врачом в послеопер</w:t>
      </w:r>
      <w:r>
        <w:t>ационном периоде. При использовании внешней фиксации у детей, аналогичная беседа должна быть проведена с родителями. Информированное соглашение подписывают обе стороны. Следует предупредить пациента о неудобствах, связанных с «ношением» чрескостного аппара</w:t>
      </w:r>
      <w:r>
        <w:t>та, обратить внимание на прохождение фиксирующих элементов через мягкие ткани и кость, что накладывает особые требования на соблюдение режима асептики и антисептики в послеоперационном периоде. Пациент должен знать и с пониманием относиться к манипуляциям,</w:t>
      </w:r>
      <w:r>
        <w:t xml:space="preserve"> которые предполагается производить в послеоперационном периоде для решения задач остеосинтеза: взаимное смещение внешних опор, замена, «перепроведение» чрескостных элементов и т.п. Пациент должен получить общие сведения о возможных осложнениях и мероприят</w:t>
      </w:r>
      <w:r>
        <w:t xml:space="preserve">иях по их профилактике и лечению. </w:t>
      </w:r>
    </w:p>
    <w:p w:rsidR="008F432E" w:rsidRDefault="00A47635">
      <w:pPr>
        <w:spacing w:after="228" w:line="266" w:lineRule="auto"/>
        <w:ind w:left="718" w:right="45"/>
      </w:pPr>
      <w:r>
        <w:t xml:space="preserve">Двухэтапное лечение деформаций </w:t>
      </w:r>
    </w:p>
    <w:p w:rsidR="008F432E" w:rsidRDefault="00A47635">
      <w:pPr>
        <w:spacing w:line="357" w:lineRule="auto"/>
        <w:ind w:left="-15" w:right="54" w:firstLine="708"/>
      </w:pPr>
      <w:r>
        <w:t xml:space="preserve">Пациентам </w:t>
      </w:r>
      <w:r>
        <w:t>рекомендуется</w:t>
      </w:r>
      <w:r>
        <w:t xml:space="preserve"> двухэтапное лечение деформаций («Аппарат - затем гвоздь/пластина»): устранение компонентов деформации, используя приемы чрескостного остеосинтеза, а затем - стабилиз</w:t>
      </w:r>
      <w:r>
        <w:t xml:space="preserve">ация фрагментов при помощи имплантата [19, 29, 37, 40, 81, 82], см. Приложение А3.1 – А.3.4. </w:t>
      </w:r>
    </w:p>
    <w:p w:rsidR="008F432E" w:rsidRDefault="00A47635">
      <w:pPr>
        <w:spacing w:after="228" w:line="266" w:lineRule="auto"/>
        <w:ind w:left="-5" w:right="45"/>
      </w:pPr>
      <w:r>
        <w:t xml:space="preserve">Уровень убедительности рекомендаций C (уровень достоверности доказательств – 5). </w:t>
      </w:r>
    </w:p>
    <w:p w:rsidR="008F432E" w:rsidRDefault="00A47635">
      <w:pPr>
        <w:spacing w:after="3" w:line="357" w:lineRule="auto"/>
        <w:ind w:left="-5" w:right="49"/>
      </w:pPr>
      <w:r>
        <w:t>Комментарии:</w:t>
      </w:r>
      <w:r>
        <w:t xml:space="preserve"> </w:t>
      </w:r>
      <w:r>
        <w:t>при последовательном применении чрескостного и погружного остеосинт</w:t>
      </w:r>
      <w:r>
        <w:t>еза внутренняя конструкция должна быть установлена при сохранении АВФ, при этом некоторые чрескостные элементы могут препятствовать проведению интрамедуллярного стержня и блокирующих винтов, а также установке накостной пластины. В этом случае потребуется ч</w:t>
      </w:r>
      <w:r>
        <w:t>астичный перемонтаж аппарата с проведением чрескостных элементов вне зон установки внутренней конструкции и удалением тех, которые могут создать конфликт. В данном случае для выбора позиций для проведения чрескостных элементов можно использовать «позиции д</w:t>
      </w:r>
      <w:r>
        <w:t xml:space="preserve">оступности», так как аппарат будет демонтирован по окончании операции. При интрамедуллярном остеосинтезе также эффективно использование экстракортикальных фиксаторов [80]. </w:t>
      </w:r>
    </w:p>
    <w:p w:rsidR="008F432E" w:rsidRDefault="00A47635">
      <w:pPr>
        <w:spacing w:after="112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pStyle w:val="Heading2"/>
        <w:spacing w:after="149"/>
        <w:ind w:left="345" w:right="45" w:hanging="360"/>
      </w:pPr>
      <w:bookmarkStart w:id="18" w:name="_Toc71493"/>
      <w:r>
        <w:t xml:space="preserve">Медикаментозная терапия </w:t>
      </w:r>
      <w:bookmarkEnd w:id="18"/>
    </w:p>
    <w:p w:rsidR="008F432E" w:rsidRDefault="00A47635">
      <w:pPr>
        <w:pStyle w:val="Heading3"/>
        <w:spacing w:after="345"/>
        <w:ind w:left="-5" w:right="45"/>
      </w:pPr>
      <w:bookmarkStart w:id="19" w:name="_Toc71494"/>
      <w:r>
        <w:t xml:space="preserve">Хирургическая антибиотикопрофилактика  </w:t>
      </w:r>
      <w:bookmarkEnd w:id="19"/>
    </w:p>
    <w:p w:rsidR="008F432E" w:rsidRDefault="00A47635">
      <w:pPr>
        <w:spacing w:after="0" w:line="357" w:lineRule="auto"/>
        <w:ind w:left="-15" w:right="54" w:firstLine="708"/>
      </w:pPr>
      <w:r>
        <w:t xml:space="preserve">При хирургическом лечении пациентов с приобретенными деформациями нижних конечностей </w:t>
      </w:r>
      <w:r>
        <w:t>рекомендуется</w:t>
      </w:r>
      <w:r>
        <w:t xml:space="preserve"> проводить хирургическую антибиотикопрофилактику (ХАП) инфекции области хирургического вмешательства однократным предоперационным введением антибактериального</w:t>
      </w:r>
      <w:r>
        <w:t xml:space="preserve"> препарата с целью снижения риска развития инфекционных осложнений [112]. </w:t>
      </w:r>
    </w:p>
    <w:p w:rsidR="008F432E" w:rsidRDefault="00A47635">
      <w:pPr>
        <w:spacing w:after="114" w:line="259" w:lineRule="auto"/>
        <w:ind w:right="45"/>
        <w:jc w:val="right"/>
      </w:pPr>
      <w:r>
        <w:t>Уровень убедительности рекомендации C (уровень достоверности доказа-</w:t>
      </w:r>
    </w:p>
    <w:p w:rsidR="008F432E" w:rsidRDefault="00A47635">
      <w:pPr>
        <w:spacing w:after="107" w:line="266" w:lineRule="auto"/>
        <w:ind w:left="-5" w:right="45"/>
      </w:pPr>
      <w:r>
        <w:t xml:space="preserve">тельств – 5). </w:t>
      </w:r>
    </w:p>
    <w:p w:rsidR="008F432E" w:rsidRDefault="00A47635">
      <w:pPr>
        <w:spacing w:after="3" w:line="357" w:lineRule="auto"/>
        <w:ind w:left="-5" w:right="49"/>
      </w:pPr>
      <w:r>
        <w:t xml:space="preserve">Комментарии: В соответствии с международными клиническими руководствами по профилактике инфекций </w:t>
      </w:r>
      <w:r>
        <w:t>области хирургического вмешательства [112,113] задачей ХАП является создание бактерицидных концентраций антибактериального препарата в тканях, подвергающихся микробной контаминации во время операции для профилактики инфекций области хирургического вмешател</w:t>
      </w:r>
      <w:r>
        <w:t>ьства. Необходимость проведения ХАП определяется классом хирургической раны предстоящей операции: ХАП не требуется для «чистых» операционных ран, не связанных с установкой имплантатов ортопедических и металлических конструкций. ХАП следует проводить: для у</w:t>
      </w:r>
      <w:r>
        <w:t xml:space="preserve">словно-чистых и контаминированных операционных ран; для «чистых» операционных ран, при которых устанавливаются импланты ортопедические и металлические конструкции. При инфицированных («грязных») ранах ХАП не показана, проводится антибиотикотерапия. </w:t>
      </w:r>
    </w:p>
    <w:p w:rsidR="008F432E" w:rsidRDefault="00A47635">
      <w:pPr>
        <w:spacing w:after="0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after="0" w:line="357" w:lineRule="auto"/>
        <w:ind w:left="-15" w:right="54" w:firstLine="708"/>
      </w:pPr>
      <w:r>
        <w:t>У па</w:t>
      </w:r>
      <w:r>
        <w:t>циентов с приобретенными деформациями нижних конечностей</w:t>
      </w:r>
      <w:r>
        <w:t xml:space="preserve"> рекомендуется</w:t>
      </w:r>
      <w:r>
        <w:t xml:space="preserve"> использовать в качестве основных препаратов с целью хирургической антибиотикопрофилактики при проведении оперативных вмешательств в травматологии и ортопедии цефалоспорины первого (J01D</w:t>
      </w:r>
      <w:r>
        <w:t>B)  и второго (J01DC) поколения (цефазолин**, цефуроксим**), в качестве альтернативы при непереносимости бета-лактамных антибактериальных препаратов – антибактериальные препараты гликопептидной структуры (ванкомицин**), линкозамиды (#клиндамицин** однократ</w:t>
      </w:r>
      <w:r>
        <w:t>но перед оперативным вмешательством: 900 мг для взрослых, 10 мг/кг для детей внутривенно в интервале от 30 до 60 минут до разреза кожи) [112]. Рекомендуемые разовые дозы основных антибактериальных препаратов для ХАП в травматологии и ортопедии представлены</w:t>
      </w:r>
      <w:r>
        <w:t xml:space="preserve"> в Таблице 1. </w:t>
      </w:r>
    </w:p>
    <w:p w:rsidR="008F432E" w:rsidRDefault="00A47635">
      <w:pPr>
        <w:spacing w:after="10" w:line="249" w:lineRule="auto"/>
        <w:ind w:left="409"/>
        <w:jc w:val="center"/>
      </w:pPr>
      <w:r>
        <w:t xml:space="preserve">Таблица 1. Рекомендуемые разовые дозы основных антибактериальных препаратов для ХАП в травматологии и ортопедии [112,115,116] </w:t>
      </w:r>
    </w:p>
    <w:tbl>
      <w:tblPr>
        <w:tblStyle w:val="TableGrid"/>
        <w:tblW w:w="8662" w:type="dxa"/>
        <w:tblInd w:w="715" w:type="dxa"/>
        <w:tblCellMar>
          <w:top w:w="62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2885"/>
        <w:gridCol w:w="2890"/>
        <w:gridCol w:w="2887"/>
      </w:tblGrid>
      <w:tr w:rsidR="008F432E">
        <w:trPr>
          <w:trHeight w:val="83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Антибактериальные препараты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Взрослые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Дети† </w:t>
            </w:r>
          </w:p>
        </w:tc>
      </w:tr>
      <w:tr w:rsidR="008F432E">
        <w:trPr>
          <w:trHeight w:val="84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цефазолин**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112" w:line="259" w:lineRule="auto"/>
              <w:ind w:left="3" w:firstLine="0"/>
              <w:jc w:val="left"/>
            </w:pPr>
            <w:r>
              <w:t xml:space="preserve">2 г (при весе пациента </w:t>
            </w:r>
          </w:p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≥120 кг — 3 г)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30 мг/кг </w:t>
            </w:r>
          </w:p>
        </w:tc>
      </w:tr>
      <w:tr w:rsidR="008F432E">
        <w:trPr>
          <w:trHeight w:val="42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цефуроксим**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t xml:space="preserve">1,5 г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t xml:space="preserve">50 мг/кг </w:t>
            </w:r>
          </w:p>
        </w:tc>
      </w:tr>
      <w:tr w:rsidR="008F432E">
        <w:trPr>
          <w:trHeight w:val="425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#клиндамицин**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900 мг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t xml:space="preserve">10 мг/кг </w:t>
            </w:r>
          </w:p>
        </w:tc>
      </w:tr>
      <w:tr w:rsidR="008F432E">
        <w:trPr>
          <w:trHeight w:val="425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ванкомицин**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t xml:space="preserve">15 мг/кг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t xml:space="preserve">15 мг/кг </w:t>
            </w:r>
          </w:p>
        </w:tc>
      </w:tr>
    </w:tbl>
    <w:p w:rsidR="008F432E" w:rsidRDefault="00A47635">
      <w:pPr>
        <w:spacing w:after="3" w:line="357" w:lineRule="auto"/>
        <w:ind w:left="718" w:right="49"/>
      </w:pPr>
      <w:r>
        <w:t xml:space="preserve">Примечания: </w:t>
      </w:r>
      <w:r>
        <w:t xml:space="preserve">† </w:t>
      </w:r>
      <w:r>
        <w:t>учитывать возрастные ограничения в инструкции по медицинскому применению</w:t>
      </w:r>
      <w:r>
        <w:t xml:space="preserve"> </w:t>
      </w:r>
    </w:p>
    <w:p w:rsidR="008F432E" w:rsidRDefault="00A47635">
      <w:pPr>
        <w:spacing w:after="241" w:line="357" w:lineRule="auto"/>
        <w:ind w:left="-5" w:right="49"/>
      </w:pPr>
      <w:r>
        <w:t xml:space="preserve">Уровень убедительности рекомендации С (уровень достоверности доказательств – 5). Комментарии: Для пациентов с неотягощенным аллергоанамнезом и без значимых факторов риска носительства метициллин-резистентных стафилококков для профилактики ХАП используются </w:t>
      </w:r>
      <w:r>
        <w:t>цефалоспорины первого (J01DB) и второго (J01DC) поколения (цефазолин**, цефуроксим**), которые вводятся внутривенно в интервале от 30 до 60 минут до разреза кожи. При непереносимости бета-лактамных антибактериальных препаратов следует назначить ванкомицин*</w:t>
      </w:r>
      <w:r>
        <w:t xml:space="preserve">*, который вводится в течение минимум 60 мин с началом внутривенной инфузии за 2 ч до разреза, либо #клиндамицин**. При значимых факторах риска носительства метициллин-резистентных стафилококков (MRS) схема ХАП должна включать </w:t>
      </w:r>
      <w:r>
        <w:t>а</w:t>
      </w:r>
      <w:r>
        <w:t>нтибактериальные препараты с</w:t>
      </w:r>
      <w:r>
        <w:t>истемного действия</w:t>
      </w:r>
      <w:r>
        <w:t xml:space="preserve"> (АТХ: </w:t>
      </w:r>
      <w:r>
        <w:t>J01</w:t>
      </w:r>
      <w:r>
        <w:t>)</w:t>
      </w:r>
      <w:r>
        <w:t xml:space="preserve"> с анти-MRSактивностью (ванкомицин**). В большинстве случаев для эффективной профилактики достаточно одной предоперационной дозы антибактериального препарата системного действия. При длительных вмешательствах (более 3 ч) или ма</w:t>
      </w:r>
      <w:r>
        <w:t xml:space="preserve">ссивной кровопотере следует назначать дополнительную интраоперационную дозу </w:t>
      </w:r>
      <w:r>
        <w:t>а</w:t>
      </w:r>
      <w:r>
        <w:t>нтибактериального препарата системного действия (АТХ: J01) (ориентировочный срок интраоперационного введения – через 2 периода полувыведения после предоперационной дозы). Введение</w:t>
      </w:r>
      <w:r>
        <w:t xml:space="preserve"> </w:t>
      </w:r>
      <w:r>
        <w:t>а</w:t>
      </w:r>
      <w:r>
        <w:t xml:space="preserve">нтибактериальных препаратов системного действия (АТХ: J01) после закрытия раны в операционной нецелесообразно даже при наличии установленных дренажей. </w:t>
      </w:r>
    </w:p>
    <w:p w:rsidR="008F432E" w:rsidRDefault="00A47635">
      <w:pPr>
        <w:spacing w:after="0" w:line="358" w:lineRule="auto"/>
        <w:ind w:left="-15" w:right="54" w:firstLine="708"/>
      </w:pPr>
      <w:r>
        <w:t>При хирургическом лечении пациентов с приобретенными деформациями нижних конечностей</w:t>
      </w:r>
      <w:r>
        <w:t xml:space="preserve"> рекомендуется</w:t>
      </w:r>
      <w:r>
        <w:t xml:space="preserve"> про</w:t>
      </w:r>
      <w:r>
        <w:t xml:space="preserve">водить антибиотикопрофилактику инфекции области хирургического вмешательства продолжительностью не более 24 часов [117].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рекомендации C (уровень достоверности доказательств – 5). </w:t>
      </w:r>
    </w:p>
    <w:p w:rsidR="008F432E" w:rsidRDefault="00A47635">
      <w:pPr>
        <w:spacing w:after="3" w:line="357" w:lineRule="auto"/>
        <w:ind w:left="-5" w:right="49"/>
      </w:pPr>
      <w:r>
        <w:t>Комментарии: В соответствии с действующей в РФ норма</w:t>
      </w:r>
      <w:r>
        <w:t>тивной документацией (СанПиН 3.3686-21) и клиническими рекомендациями [117] с целью достижения эффективной концентрации антибактериального препарата в тканях и сыворотке крови в момент разреза кожи, антибиотики для профилактики инфекции области хирургическ</w:t>
      </w:r>
      <w:r>
        <w:t>ого вмешательства следует вводить внутривенно в интервале от 30 до 60 минут до разреза кожи, при применении ванкомицина** в течение 2 часов до разреза. Максимальная продолжительность профилактического введения антибактериального препарата системного примен</w:t>
      </w:r>
      <w:r>
        <w:t>ения не должна превышать 24 часов после окончания операции. В большинстве случаев для эффективной профилактики достаточно одной дозы антибактериального препарат системного применения. Дополнительные дозы следует вводить при длительных операциях, когда от м</w:t>
      </w:r>
      <w:r>
        <w:t>омента предоперационного введения антибактериального препарата системного применения проходит время периода полувыведения примененного антибактериального препарата системного применения и возникает риск снижения концентрации антибактериального препарата си</w:t>
      </w:r>
      <w:r>
        <w:t xml:space="preserve">стемного применения ниже бактерицидной и повышение риска ИОХВ. </w:t>
      </w:r>
    </w:p>
    <w:p w:rsidR="008F432E" w:rsidRDefault="00A47635">
      <w:pPr>
        <w:spacing w:after="156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pStyle w:val="Heading3"/>
        <w:spacing w:after="345"/>
        <w:ind w:left="718" w:right="45"/>
      </w:pPr>
      <w:bookmarkStart w:id="20" w:name="_Toc71495"/>
      <w:r>
        <w:t xml:space="preserve">Послеоперационное обезболивание </w:t>
      </w:r>
      <w:bookmarkEnd w:id="20"/>
    </w:p>
    <w:p w:rsidR="008F432E" w:rsidRDefault="00A47635">
      <w:pPr>
        <w:spacing w:after="1" w:line="357" w:lineRule="auto"/>
        <w:ind w:left="-15" w:right="54" w:firstLine="708"/>
      </w:pPr>
      <w:r>
        <w:t xml:space="preserve">С целью адекватного обезболивания пациентов с приобретенными деформациями нижних конечностей </w:t>
      </w:r>
      <w:r>
        <w:t>рекомендуется</w:t>
      </w:r>
      <w:r>
        <w:t xml:space="preserve"> использовать мультимодальную анальгезию для взросл</w:t>
      </w:r>
      <w:r>
        <w:t xml:space="preserve">ых и детей с учетом возрастных ограничений в инструкциях по медицинскому применению, при невозможности её назначения – мономодальную [118,119,120,121].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рекомендаций A (уровень достоверности доказательств – 2). Комментарии: при прове</w:t>
      </w:r>
      <w:r>
        <w:t xml:space="preserve">дении обезболивания в стационаре необходимо учесть назначения, выполненные на этапе оказания неотложной медицинской помощи. В остром периоде травмы с целью обезболивания необходимо обеспечить пациенту надлежащую иммобилизацию отломков при помощи вакуумной </w:t>
      </w:r>
      <w:r>
        <w:t xml:space="preserve">шины, вакуумного матраса или аппарате внешней фиксации. </w:t>
      </w:r>
    </w:p>
    <w:p w:rsidR="008F432E" w:rsidRDefault="00A47635">
      <w:pPr>
        <w:spacing w:after="3" w:line="357" w:lineRule="auto"/>
        <w:ind w:left="-15" w:right="49" w:firstLine="708"/>
      </w:pPr>
      <w:r>
        <w:t>Из фармакологических стратегий в настоящее время общепринятым является применение мультимодальной анальгезии (ММА), представляющей собой использование нескольких анальгетиков (опиоидных и неопиоидных</w:t>
      </w:r>
      <w:r>
        <w:t>) из группы N02 Анальгетики с разным механизмом действия и нефармакологических вмешательств, направленных на воздействие на периферические и/или центральные участки нервной системы [122]. Послеоперационная ММА может включать психотерапию, физиотерапию, НПВ</w:t>
      </w:r>
      <w:r>
        <w:t>П, парацетамол**, габапентиноиды (АТХ код группы N02BF), регионарную анестезию (однократное введение или установка катетеров для периферических нервов), местные инъекции и опиоиды [119,123]. В современной научной литературе авторы акцентируют внимание на и</w:t>
      </w:r>
      <w:r>
        <w:t xml:space="preserve">спользовании самых низких эффективных доз опиоидов в течение, как можно более короткого периода времени, не используют опиоиды с пролонгированным высвобождением.  </w:t>
      </w:r>
    </w:p>
    <w:p w:rsidR="008F432E" w:rsidRDefault="00A47635">
      <w:pPr>
        <w:spacing w:after="3" w:line="357" w:lineRule="auto"/>
        <w:ind w:left="-15" w:right="49" w:firstLine="708"/>
      </w:pPr>
      <w:r>
        <w:t>При назначении обезболивающей терапии детям следует выбирать разовую дозу с учетом веса и во</w:t>
      </w:r>
      <w:r>
        <w:t xml:space="preserve">зраста ребенка. Предпочтение следует отдавать анальгетикам с пероральным или ректальным путем введения, избегать внутримышечных инъекций. </w:t>
      </w:r>
    </w:p>
    <w:p w:rsidR="008F432E" w:rsidRDefault="00A47635">
      <w:pPr>
        <w:spacing w:after="352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after="1" w:line="357" w:lineRule="auto"/>
        <w:ind w:left="-15" w:right="54" w:firstLine="708"/>
      </w:pPr>
      <w:r>
        <w:t xml:space="preserve">При большой мышечно-скелетной травме взрослым пациентам в составе мультимодальной анальгезии </w:t>
      </w:r>
      <w:r>
        <w:t>рекомендуется</w:t>
      </w:r>
      <w:r>
        <w:t xml:space="preserve"> применен</w:t>
      </w:r>
      <w:r>
        <w:t>ие комбинации опиоидных анальгетиков группы N02A, НПВП и габапентина в зависимости от интенсивности болевого синдрома, риска развития нейропатической боли [122]. Рекомендуемые лекарственные препараты, применяемые для послеоперационного обезболивания предст</w:t>
      </w:r>
      <w:r>
        <w:t xml:space="preserve">авлены в Таблице 2. </w:t>
      </w:r>
    </w:p>
    <w:p w:rsidR="008F432E" w:rsidRDefault="00A47635">
      <w:pPr>
        <w:spacing w:after="2" w:line="356" w:lineRule="auto"/>
        <w:ind w:left="375"/>
        <w:jc w:val="center"/>
      </w:pPr>
      <w:r>
        <w:t>Таблица 2 Рекомендации по обезболиванию при большой мышечно-скелетной травме (оперативные вмешательства по фиксации переломов длинных труб-</w:t>
      </w:r>
    </w:p>
    <w:p w:rsidR="008F432E" w:rsidRDefault="00A47635">
      <w:pPr>
        <w:spacing w:after="1" w:line="357" w:lineRule="auto"/>
        <w:ind w:left="-15" w:right="54" w:firstLine="905"/>
      </w:pPr>
      <w:r>
        <w:t xml:space="preserve">чатых костей или сложного суставного перелома, обширная травма мягких тканей, обширное оперативное вмешательство и др.) у взрослых </w:t>
      </w:r>
      <w:r>
        <w:t>В таблице представлены обезболивающие лекарственные препараты в режимах дозирования в соответствии с Клиническим руководством</w:t>
      </w:r>
      <w:r>
        <w:t xml:space="preserve"> по обезболиванию при острой мышечноскелетной травме [122]. Представленные в таблице лекарственные препараты не являются исчерпывающим списком допустимых к применению лекарственных препаратов, используемых для анальгезии, и могут быть заменены на другие в </w:t>
      </w:r>
      <w:r>
        <w:t xml:space="preserve">рамках кодов группы АТХ (N02A, M01A) в соответствии с инструкциями по медицинскому применению.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8F432E">
      <w:pPr>
        <w:spacing w:after="0" w:line="259" w:lineRule="auto"/>
        <w:ind w:left="-1418" w:right="90" w:firstLine="0"/>
        <w:jc w:val="left"/>
      </w:pPr>
    </w:p>
    <w:tbl>
      <w:tblPr>
        <w:tblStyle w:val="TableGrid"/>
        <w:tblW w:w="9350" w:type="dxa"/>
        <w:tblInd w:w="5" w:type="dxa"/>
        <w:tblCellMar>
          <w:top w:w="62" w:type="dxa"/>
          <w:left w:w="107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1838"/>
        <w:gridCol w:w="3401"/>
        <w:gridCol w:w="4111"/>
      </w:tblGrid>
      <w:tr w:rsidR="008F432E">
        <w:trPr>
          <w:trHeight w:val="80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Этап лечения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1" w:hanging="1"/>
              <w:jc w:val="left"/>
            </w:pPr>
            <w:r>
              <w:t xml:space="preserve">Анальгетики из группы опиоды (N02A)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Неопиоидные анальгетики и габапентин </w:t>
            </w:r>
          </w:p>
        </w:tc>
      </w:tr>
      <w:tr w:rsidR="008F432E">
        <w:trPr>
          <w:trHeight w:val="1114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Стационар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1"/>
              <w:jc w:val="left"/>
            </w:pPr>
            <w:r>
              <w:t xml:space="preserve">Тримеперидин** 25-50 мг перорально. Максимальная разовая доза 50 мг, максимальная суточная доза 200 мг.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Кеторолак** 15 мг в/в каждые 6 часов х 5 доз (за 2 дня), затем ибупрофен 600 мг перорально каждые 8 часов [122] </w:t>
            </w:r>
          </w:p>
        </w:tc>
      </w:tr>
      <w:tr w:rsidR="008F432E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>ИЛИ Тримеперидин** 10-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40 мг (от 1 мл раствора с концентрацией 10мг/мл до 2 мл раствора с концентрацией 20 мг/мл) в/м, п/к или в/в. Максимальная разовая доза 40 мг, суточная – 160 мг.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Габапентин по 300 мг 3 раза в день  [122] </w:t>
            </w:r>
          </w:p>
        </w:tc>
      </w:tr>
      <w:tr w:rsidR="008F432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right="1" w:firstLine="0"/>
              <w:jc w:val="left"/>
            </w:pPr>
            <w:r>
              <w:t>Морфин** 10-30 мг в/м или п/к по требованию при с</w:t>
            </w:r>
            <w:r>
              <w:t xml:space="preserve">ильных прорывных болях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</w:pPr>
            <w:r>
              <w:t xml:space="preserve">Парацетамол** 500 мг перорально каждые 12 часов </w:t>
            </w:r>
          </w:p>
        </w:tc>
      </w:tr>
      <w:tr w:rsidR="008F432E">
        <w:trPr>
          <w:trHeight w:val="286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Амбулаторный этап </w:t>
            </w:r>
          </w:p>
        </w:tc>
      </w:tr>
      <w:tr w:rsidR="008F432E">
        <w:trPr>
          <w:trHeight w:val="562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Первая неделя (после выписки)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Трамадол** разовая доза 100 мг перорально по требованию, при недостаточном обезболивании через 30-60 минут повторно 100 мг. Максимальная суточная доза 400 мг.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Ибупрофен** 600 мг перорально каждые 8 часов 7 дней </w:t>
            </w:r>
          </w:p>
        </w:tc>
      </w:tr>
      <w:tr w:rsidR="008F432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>Габапентин 100 мг 1 таблетка перорально</w:t>
            </w:r>
            <w:r>
              <w:t xml:space="preserve"> 3 раза в день 7 дней [122] </w:t>
            </w:r>
          </w:p>
        </w:tc>
      </w:tr>
      <w:tr w:rsidR="008F432E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</w:pPr>
            <w:r>
              <w:t xml:space="preserve">Парацетамол** 500 мг перорально каждые 12 часов 7 дней </w:t>
            </w:r>
          </w:p>
        </w:tc>
      </w:tr>
      <w:tr w:rsidR="008F432E">
        <w:trPr>
          <w:trHeight w:val="2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Вторая неделя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Трамадол** разовая доза 50 мг перорально по требованию, при недостаточном обезболивании через 30-60 минут повторно 50 мг. Максимальная суточная доза 400 мг.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НПВП по требованию </w:t>
            </w:r>
          </w:p>
        </w:tc>
      </w:tr>
      <w:tr w:rsidR="008F432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Габапентин по 300 мг 3 раза в день (при необходимости постепенно увеличить до максимальной суточной дозы: 3600 мг/сут) </w:t>
            </w:r>
          </w:p>
        </w:tc>
      </w:tr>
      <w:tr w:rsidR="008F432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Парацетамол** 500 мг перорально каждые 12 часов (доза может быть увеличена при уменьшении доз опиоидов)  </w:t>
            </w:r>
          </w:p>
        </w:tc>
      </w:tr>
      <w:tr w:rsidR="008F432E">
        <w:trPr>
          <w:trHeight w:val="2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Третья неделя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hanging="1"/>
              <w:jc w:val="left"/>
            </w:pPr>
            <w:r>
              <w:t xml:space="preserve">Трамадол** разовая доза 50 мг перорально по требованию, при недостаточном обезболивании через 30-60 минут повторно 50 мг. Максимальная суточная доза 400 мг.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НПВП по требованию </w:t>
            </w:r>
          </w:p>
        </w:tc>
      </w:tr>
      <w:tr w:rsidR="008F432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Габапентин по требованию (макс. 3600 мг/сут) </w:t>
            </w:r>
          </w:p>
        </w:tc>
      </w:tr>
      <w:tr w:rsidR="008F432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Парацетамол** 1000 мг перорально каждые 12 часов (доза может быть увеличена при уменьшении доз опиоидов) </w:t>
            </w:r>
          </w:p>
        </w:tc>
      </w:tr>
      <w:tr w:rsidR="008F432E">
        <w:trPr>
          <w:trHeight w:val="288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Четвёртая неделя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Трамадол** разовая доза 50 мг перорально по требованию, при недостаточном обезболивании через 30-60 минут повторно 50 мг. Максимальная суточная доза 400 мг.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НПВП по требованию </w:t>
            </w:r>
          </w:p>
        </w:tc>
      </w:tr>
      <w:tr w:rsidR="008F432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Габапентин по требованию (макс. 3600 мг/сут) </w:t>
            </w:r>
          </w:p>
        </w:tc>
      </w:tr>
      <w:tr w:rsidR="008F432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Парацетамол** 1000 мг перорально каждые 8 часов (доза может быть увеличена при уменьшении доз опиоидов) </w:t>
            </w:r>
          </w:p>
        </w:tc>
      </w:tr>
      <w:tr w:rsidR="008F432E">
        <w:trPr>
          <w:trHeight w:val="2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Пятая неделя и более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-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НПВП по требованию </w:t>
            </w:r>
          </w:p>
        </w:tc>
      </w:tr>
      <w:tr w:rsidR="008F432E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Парацетамол** по требованию </w:t>
            </w:r>
          </w:p>
        </w:tc>
      </w:tr>
      <w:tr w:rsidR="008F432E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Габапентин по требованию, затем отменить.  </w:t>
            </w:r>
          </w:p>
        </w:tc>
      </w:tr>
    </w:tbl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spacing w:after="35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" w:line="357" w:lineRule="auto"/>
        <w:ind w:left="-15" w:right="54" w:firstLine="708"/>
      </w:pPr>
      <w:r>
        <w:t xml:space="preserve">При мышечно-скелетной травме без оперативного вмешательства взрослым пациентам в составе мультимодальной анальгезии </w:t>
      </w:r>
      <w:r>
        <w:t>рекомендуется</w:t>
      </w:r>
      <w:r>
        <w:t xml:space="preserve"> применение комбинации анальгетиков группы </w:t>
      </w:r>
      <w:r>
        <w:t xml:space="preserve">опиоиды N02A, НПВП в зависимости от интенсивности болевого синдрома, риска развития нейропатической боли [122]. Рекомендуемые лекарственные препараты, применяемые для послеоперационного обезболивания представлены в Таблице 3. </w:t>
      </w:r>
    </w:p>
    <w:p w:rsidR="008F432E" w:rsidRDefault="00A47635">
      <w:pPr>
        <w:spacing w:after="0" w:line="259" w:lineRule="auto"/>
        <w:ind w:left="0" w:right="6" w:firstLine="0"/>
        <w:jc w:val="center"/>
      </w:pPr>
      <w:r>
        <w:t xml:space="preserve"> </w:t>
      </w:r>
    </w:p>
    <w:p w:rsidR="008F432E" w:rsidRDefault="00A47635">
      <w:pPr>
        <w:spacing w:after="0" w:line="249" w:lineRule="auto"/>
        <w:jc w:val="center"/>
      </w:pPr>
      <w:r>
        <w:t xml:space="preserve">Таблица 3. Рекомендации по </w:t>
      </w:r>
      <w:r>
        <w:t xml:space="preserve">обезболиванию при мышечно-скелетной травме без оперативного вмешательства (закрытые переломы, поверхностные ранения и др.) у взрослых </w:t>
      </w:r>
    </w:p>
    <w:p w:rsidR="008F432E" w:rsidRDefault="00A47635">
      <w:pPr>
        <w:spacing w:after="0"/>
        <w:ind w:left="-15" w:right="54" w:firstLine="708"/>
      </w:pPr>
      <w:r>
        <w:t>В таблице представлены обезболивающие лекарственные препараты в режимах дозирования в соответствии с Клиническим руководством по обезболиванию при острой мышечно-скелетной травме [122]. Представленные в таблице лекарственные препараты не являются исчерпыва</w:t>
      </w:r>
      <w:r>
        <w:t>ющим списком допустимых к применению лекарственных препаратов, используемых для анальгезии, и могут быть заменены на другие в рамках кодов группы АТХ (N02A, M01A) в соответствии с инструкциями по медицинскому применению.</w:t>
      </w:r>
      <w:r>
        <w:t xml:space="preserve"> </w:t>
      </w:r>
    </w:p>
    <w:tbl>
      <w:tblPr>
        <w:tblStyle w:val="TableGrid"/>
        <w:tblW w:w="9490" w:type="dxa"/>
        <w:tblInd w:w="5" w:type="dxa"/>
        <w:tblCellMar>
          <w:top w:w="62" w:type="dxa"/>
          <w:left w:w="108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2405"/>
        <w:gridCol w:w="3970"/>
        <w:gridCol w:w="3115"/>
      </w:tblGrid>
      <w:tr w:rsidR="008F432E">
        <w:trPr>
          <w:trHeight w:val="56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Вид травмы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Анальгетики из группы </w:t>
            </w:r>
            <w:r>
              <w:t xml:space="preserve">опиоды (N02A)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Неопиоидные анальгетики  </w:t>
            </w:r>
          </w:p>
        </w:tc>
      </w:tr>
      <w:tr w:rsidR="008F432E">
        <w:trPr>
          <w:trHeight w:val="13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2" w:firstLine="0"/>
              <w:jc w:val="left"/>
            </w:pPr>
            <w:r>
              <w:t xml:space="preserve">Малая травма (переломы небольших костей, растяжения, поверхностные раны)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>Трамадол** разовая доза 50 мг перорально по требованию, при недостаточном обезболивании через 3060 минут повторно 50 мг. Максимальная суточн</w:t>
            </w:r>
            <w:r>
              <w:t xml:space="preserve">ая доза 400 мг. </w:t>
            </w:r>
          </w:p>
        </w:tc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38" w:lineRule="auto"/>
              <w:ind w:left="0" w:firstLine="0"/>
              <w:jc w:val="left"/>
            </w:pPr>
            <w:r>
              <w:t xml:space="preserve">НПВП по требованию, парацетамол** 1000 мг перорально каждые 8 часов,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затем по требованию </w:t>
            </w:r>
          </w:p>
          <w:p w:rsidR="008F432E" w:rsidRDefault="00A47635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8F432E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ИЛИ трамадол** разовая доза 50 мг в/в по требованию, при недостаточном обезболивании через 30-60 минут повторно 50 мг. Максимальная суточная доза 400 мг.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13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Большая травма (переломы крупных костей, разрывы)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Трамадол** разовая доза 50 мг перорально по требованию, при недостаточном обезболивании через 3060 минут повторно 50 мг. Максимальная суточная доза 400 мг. </w:t>
            </w:r>
          </w:p>
        </w:tc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38" w:lineRule="auto"/>
              <w:ind w:left="0" w:firstLine="0"/>
              <w:jc w:val="left"/>
            </w:pPr>
            <w:r>
              <w:t xml:space="preserve">НПВП по требованию, парацетамол** 1000 мг перорально каждые 12 часов,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затем по требованию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F432E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ИЛИ Трамадол** разовая доза 50 мг в/в по требованию, при недостаточном обезболивании через 30-60 минут повторно 50 мг. Максимальная суточная доза 400 мг.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" w:line="357" w:lineRule="auto"/>
        <w:ind w:left="-5" w:right="54"/>
      </w:pPr>
      <w:r>
        <w:t xml:space="preserve">При обезболивании детей в послеоперационном периоде </w:t>
      </w:r>
      <w:r>
        <w:t>рекомендуется</w:t>
      </w:r>
      <w:r>
        <w:t xml:space="preserve"> мультимодальная анальгезия  с применением комбинаций парацетамола**, НПВП, опиоидных и опиоидоподобных анальгетиков в соответствии с возрастными ограничениями в инструкциях по медицинскому п</w:t>
      </w:r>
      <w:r>
        <w:t xml:space="preserve">рименению [121]. Рекомендуемые лекарственные препараты, применяемые для послеоперационного обезболивания у детей представлены в Таблице 4. </w:t>
      </w:r>
    </w:p>
    <w:p w:rsidR="008F432E" w:rsidRDefault="00A47635">
      <w:pPr>
        <w:spacing w:after="3" w:line="238" w:lineRule="auto"/>
        <w:ind w:left="-15" w:right="9" w:firstLine="826"/>
        <w:jc w:val="left"/>
      </w:pPr>
      <w:r>
        <w:t xml:space="preserve">Таблица 4. Режим дозирования обезболивающих препаратов для детей </w:t>
      </w:r>
      <w:r>
        <w:t>Представленные в таблице лекарственные препараты не</w:t>
      </w:r>
      <w:r>
        <w:t xml:space="preserve"> являются исчерпывающим списком допустимых к применению лекарственных препаратов, используемых для анальгезии, и могут быть заменены на другие в рамках кодов группы АТХ в соответствии с инструкциями по медицинскому применению.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354" w:type="dxa"/>
        <w:tblInd w:w="5" w:type="dxa"/>
        <w:tblCellMar>
          <w:top w:w="54" w:type="dxa"/>
          <w:left w:w="105" w:type="dxa"/>
          <w:bottom w:w="0" w:type="dxa"/>
          <w:right w:w="71" w:type="dxa"/>
        </w:tblCellMar>
        <w:tblLook w:val="04A0" w:firstRow="1" w:lastRow="0" w:firstColumn="1" w:lastColumn="0" w:noHBand="0" w:noVBand="1"/>
      </w:tblPr>
      <w:tblGrid>
        <w:gridCol w:w="1783"/>
        <w:gridCol w:w="2465"/>
        <w:gridCol w:w="1702"/>
        <w:gridCol w:w="1740"/>
        <w:gridCol w:w="1664"/>
      </w:tblGrid>
      <w:tr w:rsidR="008F432E">
        <w:trPr>
          <w:trHeight w:val="701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Лекарственные препараты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Разовая доза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Режим дозирования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Максимальная суточная доза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Максимальная длительность применения </w:t>
            </w:r>
          </w:p>
        </w:tc>
      </w:tr>
      <w:tr w:rsidR="008F432E">
        <w:trPr>
          <w:trHeight w:val="389"/>
        </w:trPr>
        <w:tc>
          <w:tcPr>
            <w:tcW w:w="9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2"/>
              </w:rPr>
              <w:t xml:space="preserve">Ненаркотический анальгетик из группы анилиды (АТХ: N02BE) </w:t>
            </w: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Парацетамол**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Суппозитории ректальные: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3-6 мес (6-8 кг): 50 мг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ректально с интервалом не менее 4-6 часов 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100 мг/сут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-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7-12 мес (8-11 кг): 100 мг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200 мг/сут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1-4 года (12-16 кг): 100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400 мг/сут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5-9 лет (17-30 кг): 250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1000 мг/сут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10-14 лет: 500 мг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2000 мг/сут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старше 15 лет: 500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4000 мг/сут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В\в инфузия: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10 кг и менее: 7,5 мг/кг.( 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0.75 мл/кг)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 не более 4 р\сут, интервал между инфузиями не менее 4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не более 30 мг/кг/сут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- </w:t>
            </w:r>
          </w:p>
        </w:tc>
      </w:tr>
      <w:tr w:rsidR="008F432E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от 10 кг до 33 кг включительно: 15 мг/кг (1,5 мл/кг)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right="34" w:firstLine="0"/>
              <w:jc w:val="left"/>
            </w:pPr>
            <w:r>
              <w:rPr>
                <w:sz w:val="20"/>
              </w:rPr>
              <w:t xml:space="preserve">менее 60 мг/кг включительно, но не более 2 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от 33 до 50 кг включительно: 15 мг/кг (1,5 мл/кг)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right="34" w:firstLine="0"/>
              <w:jc w:val="left"/>
            </w:pPr>
            <w:r>
              <w:rPr>
                <w:sz w:val="20"/>
              </w:rPr>
              <w:t xml:space="preserve">менее 60 мг/кг включительно, но не более 3 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более 50 кг: 1г (100 мл)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не более 4г/сут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Таблетки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3-5 лет: 200 мг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1"/>
              <w:jc w:val="left"/>
            </w:pPr>
            <w:r>
              <w:rPr>
                <w:sz w:val="20"/>
              </w:rPr>
              <w:t xml:space="preserve">Каждые 4-6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не более 4 раз в сутки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8F432E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6-8 лет: 250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не более 4 раз в сутки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9-11 лет: 500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не более 4 раз в сутки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Старше 12 лет: 500-1000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не более 4 г/сут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8F432E">
        <w:trPr>
          <w:trHeight w:val="264"/>
        </w:trPr>
        <w:tc>
          <w:tcPr>
            <w:tcW w:w="9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2"/>
              </w:rPr>
              <w:t>Нестероидные противовоспалительные препараты</w:t>
            </w:r>
            <w:r>
              <w:rPr>
                <w:sz w:val="20"/>
              </w:rPr>
              <w:t xml:space="preserve"> </w:t>
            </w: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Диклофенак**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Порошок для приготовления раствора для приёма внутрь </w:t>
            </w:r>
          </w:p>
        </w:tc>
      </w:tr>
      <w:tr w:rsidR="008F432E">
        <w:trPr>
          <w:trHeight w:val="11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14-18 лет: 50-100 мг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0,5-2 мг/кг в сутки внутрь, суточная доза делится на 2-3 разовые дозы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150 мг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Таблетки: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6-14 лет: 25 мг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0,5-2 мг/кг в сутки внутрь, суточная доза делится на 2-3 разовые дозы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150 мг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9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14-18 лет: 25-50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firstLine="0"/>
              <w:jc w:val="left"/>
            </w:pPr>
            <w:r>
              <w:rPr>
                <w:sz w:val="20"/>
              </w:rPr>
              <w:t xml:space="preserve">Ибупрофен**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Суспензия (100мг/5мл): </w:t>
            </w:r>
          </w:p>
        </w:tc>
      </w:tr>
    </w:tbl>
    <w:p w:rsidR="008F432E" w:rsidRDefault="008F432E">
      <w:pPr>
        <w:spacing w:after="0" w:line="259" w:lineRule="auto"/>
        <w:ind w:left="-1418" w:right="86" w:firstLine="0"/>
        <w:jc w:val="left"/>
      </w:pPr>
    </w:p>
    <w:tbl>
      <w:tblPr>
        <w:tblStyle w:val="TableGrid"/>
        <w:tblW w:w="9354" w:type="dxa"/>
        <w:tblInd w:w="5" w:type="dxa"/>
        <w:tblCellMar>
          <w:top w:w="5" w:type="dxa"/>
          <w:left w:w="106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1783"/>
        <w:gridCol w:w="2465"/>
        <w:gridCol w:w="1702"/>
        <w:gridCol w:w="1740"/>
        <w:gridCol w:w="1664"/>
      </w:tblGrid>
      <w:tr w:rsidR="008F432E">
        <w:trPr>
          <w:trHeight w:val="701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Лекарственные препараты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Разовая доза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Режим дозирования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Максимальная суточная доза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Максимальная длительность применения </w:t>
            </w:r>
          </w:p>
        </w:tc>
      </w:tr>
      <w:tr w:rsidR="008F432E">
        <w:trPr>
          <w:trHeight w:val="701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3-6 мес (5-7,6 кг): 2,5 мл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(50 мг)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внутрь до 3 р/сут с интервалом 6-8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7,5 мл (150 мг)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Не более 5 дней </w:t>
            </w:r>
          </w:p>
        </w:tc>
      </w:tr>
      <w:tr w:rsidR="008F432E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6-12 мес (7,7-9 кг): 2,5 мл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(50 мг)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0"/>
              </w:rPr>
              <w:t xml:space="preserve">внутрь 3-4 р/сут с интервалом 6-8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10 мл (200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1-</w:t>
            </w:r>
            <w:r>
              <w:rPr>
                <w:sz w:val="20"/>
              </w:rPr>
              <w:t xml:space="preserve">3 года (10-16 кг): 5 мл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внутрь до 3 р/сут с интервалом 6-8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15 мл (300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4-6 лет (17-20 кг): 7,5 мл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22,5 мл (450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7-9 лет (21-30 кг): 10 мл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30 мл (600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38" w:firstLine="0"/>
              <w:jc w:val="left"/>
            </w:pPr>
            <w:r>
              <w:rPr>
                <w:sz w:val="20"/>
              </w:rPr>
              <w:t xml:space="preserve">10-12 лет (31-40 кг): 15 мл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45 мл (900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Суспензия (200мг/5мл):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1-3 года (10-16 кг): 2,5 мл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(100 мг)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внутрь до 3 р/сут с интервалом 6-8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7,5 мл (300 мг)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Не более 3 дней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4-6 лет (17-20 кг): 3,75 мл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(150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11,25 мл (450мг)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7-9 лет (21-30 кг): 5 мл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(200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15 мл (600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10-12 лет (31-40 кг): 7,5 мл (300 мг)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22,5 мл (900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старше 12 лет (более 40 кг): 7,5 - 10 мл (300-400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30 мл (1200 мг)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Таблетки: </w:t>
            </w:r>
          </w:p>
        </w:tc>
      </w:tr>
      <w:tr w:rsidR="008F432E">
        <w:trPr>
          <w:trHeight w:val="9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165" w:firstLine="0"/>
              <w:jc w:val="left"/>
            </w:pPr>
            <w:r>
              <w:rPr>
                <w:sz w:val="20"/>
              </w:rPr>
              <w:t xml:space="preserve">от 6 до 12 лет (при массе тела больше 20 кг): 200 мг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внутрь до 4 р/сут с интервалом не менее 6 часов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800 мг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hanging="1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160" w:firstLine="0"/>
              <w:jc w:val="left"/>
            </w:pPr>
            <w:r>
              <w:rPr>
                <w:sz w:val="20"/>
              </w:rPr>
              <w:t xml:space="preserve">детям старше 12 лет: 200 мг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0"/>
              </w:rPr>
              <w:t xml:space="preserve">внутрь 3-4 р/сут с интервалом не менее 6 часов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суппозитории ректальные, [ДЛЯ ДЕТЕЙ] </w:t>
            </w:r>
          </w:p>
        </w:tc>
      </w:tr>
      <w:tr w:rsidR="008F432E">
        <w:trPr>
          <w:trHeight w:val="9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1" w:firstLine="0"/>
              <w:jc w:val="left"/>
            </w:pPr>
            <w:r>
              <w:rPr>
                <w:sz w:val="20"/>
              </w:rPr>
              <w:t xml:space="preserve">3-9 мес (6,0 кг – 8,0 кг): по 1 суппозиторию (60 мг)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До 3 раз в течение 24 ч, не более 180 мг в сутки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30 мг/кг с интервалами между приемами препарата 6-8 ч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Не более 3 дней </w:t>
            </w:r>
          </w:p>
        </w:tc>
      </w:tr>
      <w:tr w:rsidR="008F432E">
        <w:trPr>
          <w:trHeight w:val="9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9 мес – 2 года (8,0 кг – 12,0 кг): по 1 суппозиторию (60 мг)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До 4 раз в течение 24 ч, не более 240 мг в сутки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Кеторолак**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Таблетки: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дети старше 16 лет: 10 мг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внутрь до 4 р/сут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40 мг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5 дней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Раствор для парентерального введения </w:t>
            </w:r>
          </w:p>
        </w:tc>
      </w:tr>
      <w:tr w:rsidR="008F432E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старше 16 лет: 10-30 мг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в/в, в/м с интервалом не менее 6 часов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90 мг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2 дня </w:t>
            </w:r>
          </w:p>
        </w:tc>
      </w:tr>
      <w:tr w:rsidR="008F432E">
        <w:trPr>
          <w:trHeight w:val="240"/>
        </w:trPr>
        <w:tc>
          <w:tcPr>
            <w:tcW w:w="9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0"/>
              </w:rPr>
              <w:t xml:space="preserve">Опиоидные и опиоидоподобные анальгетики </w:t>
            </w: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>Морфин**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Раствор для приема внутрь, капли для приема внутрь, таблетки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от 3 до 7 лет: 5 мг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внутрь, каждые 6 часов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20 мг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от 7 до 17 лет при массе тела до 70 кг: 5 мг 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right="153" w:firstLine="0"/>
              <w:jc w:val="left"/>
            </w:pPr>
            <w:r>
              <w:rPr>
                <w:sz w:val="20"/>
              </w:rPr>
              <w:t xml:space="preserve">внутрь,  каждые 4 часа 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30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от 7 до 17 лет при массе тела от 70 кг и более: 10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60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17 лет и старше: 5-10 мг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1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Раствор для подкожного введения:  </w:t>
            </w:r>
          </w:p>
        </w:tc>
      </w:tr>
      <w:tr w:rsidR="008F432E">
        <w:trPr>
          <w:trHeight w:val="701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Лекарственные препараты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Разовая доза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Режим дозирования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Максимальная суточная доза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Максимальная длительность применения </w:t>
            </w:r>
          </w:p>
        </w:tc>
      </w:tr>
      <w:tr w:rsidR="008F432E">
        <w:trPr>
          <w:trHeight w:val="701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 рождения до 2-х лет: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100-200 мкг/кг массы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(0.1-0.2 мг/кг)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п/к, при необходимости каждые 4-6 часов.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15 мг 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старше 2-х лет: 100-200 мкг/кг массы (0.1-0.2 мг/кг)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п/к при необходимости каждые 4-6 часов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>Трамадол**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tabs>
                <w:tab w:val="center" w:pos="5909"/>
              </w:tabs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Раствор для инъекций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 xml:space="preserve"> </w:t>
            </w:r>
          </w:p>
        </w:tc>
      </w:tr>
      <w:tr w:rsidR="008F432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от 1 до 12 лет*: 1-2 мг/кг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в/в, в/м, п/к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right="31" w:firstLine="0"/>
              <w:jc w:val="left"/>
            </w:pPr>
            <w:r>
              <w:rPr>
                <w:sz w:val="20"/>
              </w:rPr>
              <w:t xml:space="preserve">8 мг/кг/сут или не более 400 мг/сут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23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от 12 лет: 50–100 мг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39" w:lineRule="auto"/>
              <w:ind w:left="2" w:firstLine="1"/>
              <w:jc w:val="left"/>
            </w:pPr>
            <w:r>
              <w:rPr>
                <w:sz w:val="20"/>
              </w:rPr>
              <w:t xml:space="preserve">в/в, в/м, п/к, если через 30–60 минут после первого введения не наступила удовлетворительная анальгезия, повторно может быть назначено </w:t>
            </w:r>
          </w:p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50 мг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400 мг/сут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3" w:hanging="1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Таблетки:  </w:t>
            </w:r>
          </w:p>
        </w:tc>
      </w:tr>
      <w:tr w:rsidR="008F432E">
        <w:trPr>
          <w:trHeight w:val="23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дети старше 14 лет: 50-100 мг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39" w:lineRule="auto"/>
              <w:ind w:left="2" w:firstLine="0"/>
              <w:jc w:val="left"/>
            </w:pPr>
            <w:r>
              <w:rPr>
                <w:sz w:val="20"/>
              </w:rPr>
              <w:t xml:space="preserve">внутрь, если через 30–60 минут после первого введения не наступила удовлетворительная анальгезия, повторно может быть назначено </w:t>
            </w:r>
          </w:p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50 мг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400 мг/сут 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1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>Тримеперидин**</w:t>
            </w:r>
            <w:r>
              <w:rPr>
                <w:sz w:val="20"/>
                <w:vertAlign w:val="superscript"/>
              </w:rPr>
              <w:t xml:space="preserve">2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Раствор для инъекций </w:t>
            </w:r>
          </w:p>
        </w:tc>
      </w:tr>
      <w:tr w:rsidR="008F432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4169" w:hanging="4169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3747516</wp:posOffset>
                      </wp:positionH>
                      <wp:positionV relativeFrom="paragraph">
                        <wp:posOffset>-31016</wp:posOffset>
                      </wp:positionV>
                      <wp:extent cx="6096" cy="292608"/>
                      <wp:effectExtent l="0" t="0" r="0" b="0"/>
                      <wp:wrapSquare wrapText="bothSides"/>
                      <wp:docPr id="56668" name="Group 566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92608"/>
                                <a:chOff x="0" y="0"/>
                                <a:chExt cx="6096" cy="292608"/>
                              </a:xfrm>
                            </wpg:grpSpPr>
                            <wps:wsp>
                              <wps:cNvPr id="72486" name="Shape 72486"/>
                              <wps:cNvSpPr/>
                              <wps:spPr>
                                <a:xfrm>
                                  <a:off x="0" y="0"/>
                                  <a:ext cx="9144" cy="2926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926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92608"/>
                                      </a:lnTo>
                                      <a:lnTo>
                                        <a:pt x="0" y="2926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56668" style="width:0.47998pt;height:23.04pt;position:absolute;mso-position-horizontal-relative:text;mso-position-horizontal:absolute;margin-left:295.08pt;mso-position-vertical-relative:text;margin-top:-2.44229pt;" coordsize="60,2926">
                      <v:shape id="Shape 72487" style="position:absolute;width:91;height:2926;left:0;top:0;" coordsize="9144,292608" path="m0,0l9144,0l9144,292608l0,292608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2642616</wp:posOffset>
                      </wp:positionH>
                      <wp:positionV relativeFrom="paragraph">
                        <wp:posOffset>-31016</wp:posOffset>
                      </wp:positionV>
                      <wp:extent cx="6096" cy="292608"/>
                      <wp:effectExtent l="0" t="0" r="0" b="0"/>
                      <wp:wrapSquare wrapText="bothSides"/>
                      <wp:docPr id="56669" name="Group 566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92608"/>
                                <a:chOff x="0" y="0"/>
                                <a:chExt cx="6096" cy="292608"/>
                              </a:xfrm>
                            </wpg:grpSpPr>
                            <wps:wsp>
                              <wps:cNvPr id="72488" name="Shape 72488"/>
                              <wps:cNvSpPr/>
                              <wps:spPr>
                                <a:xfrm>
                                  <a:off x="0" y="0"/>
                                  <a:ext cx="9144" cy="2926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926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92608"/>
                                      </a:lnTo>
                                      <a:lnTo>
                                        <a:pt x="0" y="2926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56669" style="width:0.47998pt;height:23.04pt;position:absolute;mso-position-horizontal-relative:text;mso-position-horizontal:absolute;margin-left:208.08pt;mso-position-vertical-relative:text;margin-top:-2.44229pt;" coordsize="60,2926">
                      <v:shape id="Shape 72489" style="position:absolute;width:91;height:2926;left:0;top:0;" coordsize="9144,292608" path="m0,0l9144,0l9144,292608l0,292608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-31016</wp:posOffset>
                      </wp:positionV>
                      <wp:extent cx="6096" cy="292608"/>
                      <wp:effectExtent l="0" t="0" r="0" b="0"/>
                      <wp:wrapSquare wrapText="bothSides"/>
                      <wp:docPr id="56670" name="Group 566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92608"/>
                                <a:chOff x="0" y="0"/>
                                <a:chExt cx="6096" cy="292608"/>
                              </a:xfrm>
                            </wpg:grpSpPr>
                            <wps:wsp>
                              <wps:cNvPr id="72490" name="Shape 72490"/>
                              <wps:cNvSpPr/>
                              <wps:spPr>
                                <a:xfrm>
                                  <a:off x="0" y="0"/>
                                  <a:ext cx="9144" cy="2926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926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92608"/>
                                      </a:lnTo>
                                      <a:lnTo>
                                        <a:pt x="0" y="2926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56670" style="width:0.47998pt;height:23.04pt;position:absolute;mso-position-horizontal-relative:text;mso-position-horizontal:absolute;margin-left:123pt;mso-position-vertical-relative:text;margin-top:-2.44229pt;" coordsize="60,2926">
                      <v:shape id="Shape 72491" style="position:absolute;width:91;height:2926;left:0;top:0;" coordsize="9144,292608" path="m0,0l9144,0l9144,292608l0,292608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sz w:val="20"/>
              </w:rPr>
              <w:t>Дети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от 2 лет: 3-10 мг в/в, в/м, п/к В инструкции не В инструкции не указана указана </w:t>
            </w:r>
          </w:p>
        </w:tc>
      </w:tr>
      <w:tr w:rsidR="008F432E">
        <w:trPr>
          <w:trHeight w:val="240"/>
        </w:trPr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Фентанил**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Раствор для внутривенного и внутримышечного введения </w:t>
            </w:r>
          </w:p>
        </w:tc>
      </w:tr>
      <w:tr w:rsidR="008F432E">
        <w:trPr>
          <w:trHeight w:val="9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дети от 1 года при спонтанном дыхании начальная доза 3-5 мкг/кг, дополнительная 1 мкг/кг.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в/в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  <w:tr w:rsidR="008F432E">
        <w:trPr>
          <w:trHeight w:val="9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117" w:firstLine="0"/>
              <w:jc w:val="left"/>
            </w:pPr>
            <w:r>
              <w:rPr>
                <w:sz w:val="20"/>
              </w:rPr>
              <w:t xml:space="preserve">дети от 1 года при ИВЛ начальная доза 15 мкг/кг, дополнительная 13 мкг/кг.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в/в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В инструкции не указана </w:t>
            </w:r>
          </w:p>
        </w:tc>
      </w:tr>
    </w:tbl>
    <w:p w:rsidR="008F432E" w:rsidRDefault="00A47635">
      <w:pPr>
        <w:numPr>
          <w:ilvl w:val="0"/>
          <w:numId w:val="4"/>
        </w:numPr>
        <w:spacing w:after="87" w:line="258" w:lineRule="auto"/>
        <w:ind w:right="31"/>
        <w:jc w:val="left"/>
      </w:pPr>
      <w:r>
        <w:t xml:space="preserve">Детям до 12 лет предпочтительно применять морфин** при необходимости назначения опиоидных анальгетиков, так как применение трамадола** ассоциировано с большим риском нежелательных реакций [125,126]. </w:t>
      </w:r>
    </w:p>
    <w:p w:rsidR="008F432E" w:rsidRDefault="00A47635">
      <w:pPr>
        <w:numPr>
          <w:ilvl w:val="0"/>
          <w:numId w:val="4"/>
        </w:numPr>
        <w:spacing w:after="8"/>
        <w:ind w:right="31"/>
        <w:jc w:val="left"/>
      </w:pPr>
      <w:r>
        <w:t>Тримеперидин** не следует применять у детей, так как его</w:t>
      </w:r>
      <w:r>
        <w:t xml:space="preserve"> метаболит накапливается в организме и при повторном применении провоцирует судороги [127]. </w:t>
      </w:r>
    </w:p>
    <w:p w:rsidR="008F432E" w:rsidRDefault="00A47635">
      <w:pPr>
        <w:spacing w:after="225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– 5). </w:t>
      </w:r>
    </w:p>
    <w:p w:rsidR="008F432E" w:rsidRDefault="00A47635">
      <w:pPr>
        <w:spacing w:after="216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line="358" w:lineRule="auto"/>
        <w:ind w:left="-15" w:right="54" w:firstLine="708"/>
      </w:pPr>
      <w:r>
        <w:t>Рекомендуется</w:t>
      </w:r>
      <w:r>
        <w:t xml:space="preserve"> выполнение местной блокады или регионарной анестезии, как части послеоперационного мультимодального режима [119, 124]. 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А (уровень достоверности доказательств – 2). </w:t>
      </w:r>
    </w:p>
    <w:p w:rsidR="008F432E" w:rsidRDefault="00A47635">
      <w:pPr>
        <w:spacing w:after="153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pStyle w:val="Heading3"/>
        <w:spacing w:after="348"/>
        <w:ind w:left="718" w:right="45"/>
      </w:pPr>
      <w:bookmarkStart w:id="21" w:name="_Toc71496"/>
      <w:r>
        <w:t>Профилактика венозных тромбоэмболических осложнени</w:t>
      </w:r>
      <w:r>
        <w:t xml:space="preserve">й </w:t>
      </w:r>
      <w:bookmarkEnd w:id="21"/>
    </w:p>
    <w:p w:rsidR="008F432E" w:rsidRDefault="00A47635">
      <w:pPr>
        <w:spacing w:after="0" w:line="357" w:lineRule="auto"/>
        <w:ind w:left="-15" w:right="54" w:firstLine="708"/>
      </w:pPr>
      <w:r>
        <w:t xml:space="preserve">Всем пациентам, которым планируется проведение оперативного вмешательства, </w:t>
      </w:r>
      <w:r>
        <w:t>рекомендуется</w:t>
      </w:r>
      <w:r>
        <w:t xml:space="preserve"> проводить оценку риска и профилактику венозных тромбоэмболических осложнений (ВТЭО) и кровотечений с учетом индивидуальных особенностей пациента и хирургических фак</w:t>
      </w:r>
      <w:r>
        <w:t>торов с целью выбора тактики профилактики ВТЭО [128, 129, 130, 131]. Рекомендуемые дозы, кратность и способ введения антикоагулянтов для профилактики при высокой степени риска развития ВТЭО при консервативном лечении и в предоперационном периоде для пациен</w:t>
      </w:r>
      <w:r>
        <w:t xml:space="preserve">тов старше 18 лет представлены в Таблице 5. </w:t>
      </w:r>
    </w:p>
    <w:p w:rsidR="008F432E" w:rsidRDefault="00A47635">
      <w:pPr>
        <w:spacing w:after="0" w:line="249" w:lineRule="auto"/>
        <w:ind w:left="611"/>
        <w:jc w:val="center"/>
      </w:pPr>
      <w:r>
        <w:t>Таблица 5. Рекомендуемый режим дозирования нефракционированного гепаина и низкомолекулярных гепаринов для профилактики ВТЭО высокой сте-</w:t>
      </w:r>
    </w:p>
    <w:p w:rsidR="008F432E" w:rsidRDefault="00A47635">
      <w:pPr>
        <w:spacing w:after="0" w:line="259" w:lineRule="auto"/>
        <w:ind w:right="218"/>
        <w:jc w:val="right"/>
      </w:pPr>
      <w:r>
        <w:t xml:space="preserve">пени риска при консервативном лечении и при ортопедических операциях у </w:t>
      </w:r>
    </w:p>
    <w:p w:rsidR="008F432E" w:rsidRDefault="00A47635">
      <w:pPr>
        <w:spacing w:after="0" w:line="266" w:lineRule="auto"/>
        <w:ind w:left="2446" w:right="45"/>
      </w:pPr>
      <w:r>
        <w:t>па</w:t>
      </w:r>
      <w:r>
        <w:t xml:space="preserve">циентов с высоким риском ВТЭО у взрослых </w:t>
      </w:r>
    </w:p>
    <w:tbl>
      <w:tblPr>
        <w:tblStyle w:val="TableGrid"/>
        <w:tblW w:w="9346" w:type="dxa"/>
        <w:tblInd w:w="5" w:type="dxa"/>
        <w:tblCellMar>
          <w:top w:w="95" w:type="dxa"/>
          <w:left w:w="0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2839"/>
        <w:gridCol w:w="833"/>
        <w:gridCol w:w="5673"/>
        <w:gridCol w:w="1"/>
      </w:tblGrid>
      <w:tr w:rsidR="008F432E">
        <w:trPr>
          <w:trHeight w:val="401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50" w:firstLine="0"/>
              <w:jc w:val="center"/>
            </w:pPr>
            <w:r>
              <w:t xml:space="preserve">Препарат </w:t>
            </w:r>
          </w:p>
        </w:tc>
        <w:tc>
          <w:tcPr>
            <w:tcW w:w="6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28" w:firstLine="0"/>
              <w:jc w:val="center"/>
            </w:pPr>
            <w:r>
              <w:t xml:space="preserve">Рекомендуемые дозы, кратность и способ введения </w:t>
            </w:r>
          </w:p>
        </w:tc>
      </w:tr>
      <w:tr w:rsidR="008F432E">
        <w:trPr>
          <w:trHeight w:val="950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Гепарин натрия**  </w:t>
            </w:r>
          </w:p>
        </w:tc>
        <w:tc>
          <w:tcPr>
            <w:tcW w:w="6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Подкожно по 5000 МЕ 3 раза в сутки </w:t>
            </w:r>
          </w:p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При вмешательствах первая инъекция за 1-2 часа до начала операции  </w:t>
            </w:r>
            <w:r>
              <w:tab/>
              <w:t xml:space="preserve"> </w:t>
            </w:r>
          </w:p>
        </w:tc>
      </w:tr>
      <w:tr w:rsidR="008F432E">
        <w:trPr>
          <w:trHeight w:val="953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Бемипарин натрия </w:t>
            </w:r>
          </w:p>
        </w:tc>
        <w:tc>
          <w:tcPr>
            <w:tcW w:w="6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4" w:firstLine="0"/>
              <w:jc w:val="left"/>
            </w:pPr>
            <w:r>
              <w:t xml:space="preserve">Подкожно 3500 ME анти- Ха один раз в сутки </w:t>
            </w:r>
          </w:p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При вмешательствах за 2 часа до начала операции или через </w:t>
            </w:r>
          </w:p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6  часов после, в последующие дни каждые 24 часа   </w:t>
            </w:r>
          </w:p>
        </w:tc>
      </w:tr>
      <w:tr w:rsidR="008F432E">
        <w:trPr>
          <w:trHeight w:val="1539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Далтепарин натрия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F432E" w:rsidRDefault="00A47635">
            <w:pPr>
              <w:spacing w:after="0" w:line="259" w:lineRule="auto"/>
              <w:ind w:left="114" w:firstLine="0"/>
            </w:pPr>
            <w:r>
              <w:t>Выбра</w:t>
            </w:r>
          </w:p>
          <w:p w:rsidR="008F432E" w:rsidRDefault="00A47635">
            <w:pPr>
              <w:spacing w:after="0" w:line="259" w:lineRule="auto"/>
              <w:ind w:left="473" w:firstLine="0"/>
              <w:jc w:val="left"/>
            </w:pPr>
            <w:r>
              <w:t>а.</w:t>
            </w:r>
            <w:r>
              <w:t xml:space="preserve"> </w:t>
            </w:r>
          </w:p>
        </w:tc>
        <w:tc>
          <w:tcPr>
            <w:tcW w:w="567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159" w:hanging="53"/>
              <w:jc w:val="left"/>
            </w:pPr>
            <w:r>
              <w:t xml:space="preserve">ть один из режимов дозирования, приведенных ниже. при начале профилактики за день до операции: 5000 МЕ п/к вечером накануне операции, затем по 5000 МЕ п/к каждый вечер после операции. </w:t>
            </w:r>
          </w:p>
        </w:tc>
      </w:tr>
      <w:tr w:rsidR="008F432E">
        <w:trPr>
          <w:trHeight w:val="2070"/>
        </w:trPr>
        <w:tc>
          <w:tcPr>
            <w:tcW w:w="28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F432E" w:rsidRDefault="00A47635">
            <w:pPr>
              <w:spacing w:after="0" w:line="259" w:lineRule="auto"/>
              <w:ind w:left="473" w:firstLine="0"/>
              <w:jc w:val="left"/>
            </w:pPr>
            <w:r>
              <w:t>б.</w:t>
            </w:r>
            <w:r>
              <w:t xml:space="preserve"> 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48" w:firstLine="0"/>
              <w:jc w:val="left"/>
            </w:pPr>
            <w:r>
              <w:t xml:space="preserve">при начале профилактики в день проведения операции: 2500 МЕ п/к за 2 часа до операции и 2500 МЕ п/к через 8-12 часов, но не ранее, чем через 4 часа после окончания операции. Затем со следующего дня каждое утро по 5000 МЕ п/к. </w:t>
            </w:r>
          </w:p>
        </w:tc>
      </w:tr>
      <w:tr w:rsidR="008F432E">
        <w:trPr>
          <w:trHeight w:val="1758"/>
        </w:trPr>
        <w:tc>
          <w:tcPr>
            <w:tcW w:w="2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A47635">
            <w:pPr>
              <w:spacing w:after="0" w:line="259" w:lineRule="auto"/>
              <w:ind w:left="473" w:firstLine="0"/>
              <w:jc w:val="left"/>
            </w:pPr>
            <w:r>
              <w:t>в.</w:t>
            </w:r>
            <w:r>
              <w:t xml:space="preserve"> 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при начале профилактики после операции: 2500 МЕ п/к через 4-8 часов после операции, но не ранее, чем через 4 часа после окончания операции. Затем со следующего дня по 5000 МЕ п/к в сутки. </w:t>
            </w:r>
          </w:p>
        </w:tc>
      </w:tr>
      <w:tr w:rsidR="008F432E">
        <w:trPr>
          <w:trHeight w:val="1229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Надропарин кальция </w:t>
            </w:r>
          </w:p>
        </w:tc>
        <w:tc>
          <w:tcPr>
            <w:tcW w:w="6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Подкожно (стандартная дозировка: 9500 анти-Ха </w:t>
            </w:r>
            <w:r>
              <w:t xml:space="preserve">МЕ/мл):  </w:t>
            </w:r>
          </w:p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 </w:t>
            </w:r>
          </w:p>
          <w:p w:rsidR="008F432E" w:rsidRDefault="00A47635">
            <w:pPr>
              <w:spacing w:after="0" w:line="259" w:lineRule="auto"/>
              <w:ind w:left="113" w:firstLine="0"/>
              <w:jc w:val="left"/>
            </w:pPr>
            <w:r>
              <w:t xml:space="preserve">1. При профилактике ВТЭО у пациентов с высоким риском тромбообразования: </w:t>
            </w:r>
          </w:p>
        </w:tc>
      </w:tr>
      <w:tr w:rsidR="008F432E">
        <w:trPr>
          <w:gridAfter w:val="1"/>
          <w:trHeight w:val="5921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numPr>
                <w:ilvl w:val="0"/>
                <w:numId w:val="35"/>
              </w:numPr>
              <w:spacing w:after="0" w:line="259" w:lineRule="auto"/>
              <w:ind w:right="30" w:firstLine="0"/>
              <w:jc w:val="left"/>
            </w:pPr>
            <w:r>
              <w:t xml:space="preserve">при массе тела до 70 кг 0,4 мл один раз в сутки;  </w:t>
            </w:r>
          </w:p>
          <w:p w:rsidR="008F432E" w:rsidRDefault="00A47635">
            <w:pPr>
              <w:numPr>
                <w:ilvl w:val="0"/>
                <w:numId w:val="35"/>
              </w:numPr>
              <w:spacing w:after="0" w:line="238" w:lineRule="auto"/>
              <w:ind w:right="30" w:firstLine="0"/>
              <w:jc w:val="left"/>
            </w:pPr>
            <w:r>
              <w:t xml:space="preserve">при массе тела 70 кг и более 0,6 мл один раз в сутки;  3) для пожилых пациентов целесообразно снижение дозы до 0,3 мл. </w:t>
            </w:r>
          </w:p>
          <w:p w:rsidR="008F432E" w:rsidRDefault="00A47635">
            <w:pPr>
              <w:spacing w:after="0" w:line="259" w:lineRule="auto"/>
              <w:ind w:left="83" w:firstLine="0"/>
              <w:jc w:val="left"/>
            </w:pPr>
            <w:r>
              <w:t xml:space="preserve"> 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2. При ортопедических вмешательствах: </w:t>
            </w:r>
          </w:p>
          <w:p w:rsidR="008F432E" w:rsidRDefault="00A47635">
            <w:pPr>
              <w:numPr>
                <w:ilvl w:val="0"/>
                <w:numId w:val="36"/>
              </w:numPr>
              <w:spacing w:after="0" w:line="238" w:lineRule="auto"/>
              <w:ind w:firstLine="0"/>
              <w:jc w:val="left"/>
            </w:pPr>
            <w:r>
              <w:t xml:space="preserve">При массе тела до 50 кг 0,2 мл за 12 часов до и через 12 часов после операции, далее один раз в сутки до 3-го дня после операции; с 4-го дня после операции 0,3 мл один раз в сутки; 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:rsidR="008F432E" w:rsidRDefault="00A47635">
            <w:pPr>
              <w:numPr>
                <w:ilvl w:val="0"/>
                <w:numId w:val="36"/>
              </w:numPr>
              <w:spacing w:after="0" w:line="238" w:lineRule="auto"/>
              <w:ind w:firstLine="0"/>
              <w:jc w:val="left"/>
            </w:pPr>
            <w:r>
              <w:t xml:space="preserve">При массе тела до 50-69 кг 0,3 мл за 12 часов до и через 12 часов после </w:t>
            </w:r>
            <w:r>
              <w:t xml:space="preserve">операции, далее один раз в сутки до 3-го дня после операции; с 4-го дня после операции 0,4 мл один раз в сутки. 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:rsidR="008F432E" w:rsidRDefault="00A47635">
            <w:pPr>
              <w:numPr>
                <w:ilvl w:val="0"/>
                <w:numId w:val="36"/>
              </w:numPr>
              <w:spacing w:after="53" w:line="238" w:lineRule="auto"/>
              <w:ind w:firstLine="0"/>
              <w:jc w:val="left"/>
            </w:pPr>
            <w:r>
              <w:t>При массе тела до 70 кг и более 0,4 мл за 12 часов до и через 12 часов после операции, далее один раз в сутки до 3-го дня после операции; с 4</w:t>
            </w:r>
            <w:r>
              <w:t xml:space="preserve">-го дня после операции 0,6 мл один раз в сутки. </w:t>
            </w:r>
          </w:p>
          <w:p w:rsidR="008F432E" w:rsidRDefault="00A47635">
            <w:pPr>
              <w:spacing w:after="0" w:line="259" w:lineRule="auto"/>
              <w:ind w:left="83" w:firstLine="0"/>
              <w:jc w:val="left"/>
            </w:pPr>
            <w:r>
              <w:t xml:space="preserve">  </w:t>
            </w:r>
          </w:p>
        </w:tc>
      </w:tr>
      <w:tr w:rsidR="008F432E">
        <w:trPr>
          <w:gridAfter w:val="1"/>
          <w:trHeight w:val="1229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Эноксапарин натрия** 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Подкожно 40 мг один раз в сутки 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При вмешательствах за 12 часов до и через 12 часов после операции, далее один раз в сутки в течение послеоперационного периода </w:t>
            </w:r>
          </w:p>
        </w:tc>
      </w:tr>
      <w:tr w:rsidR="008F432E">
        <w:trPr>
          <w:gridAfter w:val="1"/>
          <w:trHeight w:val="1226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t xml:space="preserve">Парнапарин натрия** 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" w:right="36" w:firstLine="1"/>
              <w:jc w:val="left"/>
            </w:pPr>
            <w:r>
              <w:t xml:space="preserve">Подкожно 0,4 мл (4250 анти-Ха МЕ) один раз в сутки  При вмешательствах за 12 часов до и через 12 часов после операции, затем один раз в сутки в течение послеоперационного периода </w:t>
            </w:r>
          </w:p>
        </w:tc>
      </w:tr>
    </w:tbl>
    <w:p w:rsidR="008F432E" w:rsidRDefault="00A47635">
      <w:pPr>
        <w:spacing w:after="34" w:line="359" w:lineRule="auto"/>
        <w:ind w:left="0" w:right="60" w:firstLine="566"/>
      </w:pPr>
      <w:r>
        <w:rPr>
          <w:sz w:val="20"/>
        </w:rPr>
        <w:t>Примечение: Следует учесть, что проведение спинальной или эпидуральной анестезии возможно только спустя 12 часов после введения дозы низкомолекулярных гепаринов и не раньше, чем через 4-6 часов после введения нефракционированного гепарина (при этом показат</w:t>
      </w:r>
      <w:r>
        <w:rPr>
          <w:sz w:val="20"/>
        </w:rPr>
        <w:t xml:space="preserve">ели АЧТВ или АВСК должны соответствовать норме) [139,140].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рекомендации C (уровень достоверности доказательств – 5). Комментарии: Для оценки риска развития ВТЭО перед операцией целесообразно использовать шкалы балльной оценки степен</w:t>
      </w:r>
      <w:r>
        <w:t xml:space="preserve">и риска развития ВТЭО по Каприни (Caprini) (Приложение Г4). </w:t>
      </w:r>
    </w:p>
    <w:p w:rsidR="008F432E" w:rsidRDefault="00A47635">
      <w:pPr>
        <w:spacing w:after="3" w:line="357" w:lineRule="auto"/>
        <w:ind w:left="-15" w:right="49" w:firstLine="708"/>
      </w:pPr>
      <w:r>
        <w:t>Всем пациентам с ограниченной двигательной активностью (мобильностью) вне зависимости от степени риска развития ВТЭО следует проводить профилактику ВТЭО механическими методами [129]. Всем пациент</w:t>
      </w:r>
      <w:r>
        <w:t xml:space="preserve">ам при умеренном или высоком риске развития ВТЭО необходимо проводить профилактику ВТЭО медикаментозными (фармакологическими) методами, как правило, до восстановления обычной или ожидаемой двигательной активности. </w:t>
      </w:r>
    </w:p>
    <w:p w:rsidR="008F432E" w:rsidRDefault="00A47635">
      <w:pPr>
        <w:spacing w:after="3" w:line="357" w:lineRule="auto"/>
        <w:ind w:left="-15" w:right="49" w:firstLine="708"/>
      </w:pPr>
      <w:r>
        <w:t>Следует рассмотреть возможность назначени</w:t>
      </w:r>
      <w:r>
        <w:t xml:space="preserve">я фармакологической профилактики ВТЭО при плановых оперативных вмешательствах в случаях, когда риск ВТЭО превышает риск кровотечения. </w:t>
      </w:r>
    </w:p>
    <w:p w:rsidR="008F432E" w:rsidRDefault="00A47635">
      <w:pPr>
        <w:spacing w:after="112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after="355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after="0" w:line="357" w:lineRule="auto"/>
        <w:ind w:left="-15" w:right="54" w:firstLine="708"/>
      </w:pPr>
      <w:r>
        <w:t xml:space="preserve">Всем пациентам, которым проводятся нейраксиальные вмешательства, </w:t>
      </w:r>
      <w:r>
        <w:t>рекомендуется</w:t>
      </w:r>
      <w:r>
        <w:t xml:space="preserve"> соблюдать минимальный временной интерв</w:t>
      </w:r>
      <w:r>
        <w:t>ал между последним применением антикоагулянта перед нейраксиальной процедурой, минимальный срок возобновления применения антикоагулянта после установки или удаления эпидурального катетера для профилактики геморрагических осложнений (Таблица 6) [140].</w:t>
      </w:r>
      <w:r>
        <w:t xml:space="preserve"> </w:t>
      </w:r>
    </w:p>
    <w:p w:rsidR="008F432E" w:rsidRDefault="00A47635">
      <w:pPr>
        <w:spacing w:after="10" w:line="249" w:lineRule="auto"/>
        <w:ind w:left="667" w:right="12"/>
        <w:jc w:val="center"/>
      </w:pPr>
      <w:r>
        <w:t xml:space="preserve">Таблица 6. Рекомендуемые интервалы между профилактическим применением антикоагулянтов и нейроаксиальными вмешательствами </w:t>
      </w:r>
    </w:p>
    <w:tbl>
      <w:tblPr>
        <w:tblStyle w:val="TableGrid"/>
        <w:tblW w:w="10080" w:type="dxa"/>
        <w:tblInd w:w="-566" w:type="dxa"/>
        <w:tblCellMar>
          <w:top w:w="34" w:type="dxa"/>
          <w:left w:w="111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3844"/>
        <w:gridCol w:w="2410"/>
        <w:gridCol w:w="2081"/>
        <w:gridCol w:w="1745"/>
      </w:tblGrid>
      <w:tr w:rsidR="008F432E">
        <w:trPr>
          <w:trHeight w:val="1860"/>
        </w:trPr>
        <w:tc>
          <w:tcPr>
            <w:tcW w:w="3844" w:type="dxa"/>
            <w:tcBorders>
              <w:top w:val="single" w:sz="53" w:space="0" w:color="000000"/>
              <w:left w:val="single" w:sz="8" w:space="0" w:color="000000"/>
              <w:bottom w:val="single" w:sz="51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Антикоагулянт </w:t>
            </w:r>
          </w:p>
        </w:tc>
        <w:tc>
          <w:tcPr>
            <w:tcW w:w="2410" w:type="dxa"/>
            <w:tcBorders>
              <w:top w:val="single" w:sz="53" w:space="0" w:color="000000"/>
              <w:left w:val="single" w:sz="6" w:space="0" w:color="000000"/>
              <w:bottom w:val="single" w:sz="51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2" w:line="237" w:lineRule="auto"/>
              <w:ind w:left="0" w:firstLine="0"/>
              <w:jc w:val="center"/>
            </w:pPr>
            <w:r>
              <w:rPr>
                <w:sz w:val="20"/>
              </w:rPr>
              <w:t xml:space="preserve">Перед нейраксиальным вмешательством </w:t>
            </w:r>
          </w:p>
          <w:p w:rsidR="008F432E" w:rsidRDefault="00A47635">
            <w:pPr>
              <w:spacing w:after="0" w:line="240" w:lineRule="auto"/>
              <w:ind w:left="0" w:firstLine="16"/>
              <w:jc w:val="center"/>
            </w:pPr>
            <w:r>
              <w:rPr>
                <w:sz w:val="20"/>
              </w:rPr>
              <w:t xml:space="preserve">(минимальное время между последним применением антикоагулянта </w:t>
            </w:r>
          </w:p>
          <w:p w:rsidR="008F432E" w:rsidRDefault="00A47635">
            <w:pPr>
              <w:spacing w:after="0" w:line="259" w:lineRule="auto"/>
              <w:ind w:left="41" w:firstLine="0"/>
              <w:jc w:val="left"/>
            </w:pPr>
            <w:r>
              <w:rPr>
                <w:sz w:val="20"/>
              </w:rPr>
              <w:t>и нейраксиальной пр</w:t>
            </w:r>
            <w:r>
              <w:rPr>
                <w:sz w:val="20"/>
              </w:rPr>
              <w:t>оце-</w:t>
            </w:r>
          </w:p>
          <w:p w:rsidR="008F432E" w:rsidRDefault="00A47635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дурой) </w:t>
            </w:r>
          </w:p>
        </w:tc>
        <w:tc>
          <w:tcPr>
            <w:tcW w:w="2081" w:type="dxa"/>
            <w:tcBorders>
              <w:top w:val="single" w:sz="53" w:space="0" w:color="000000"/>
              <w:left w:val="single" w:sz="6" w:space="0" w:color="000000"/>
              <w:bottom w:val="single" w:sz="51" w:space="0" w:color="000000"/>
              <w:right w:val="single" w:sz="6" w:space="0" w:color="000000"/>
            </w:tcBorders>
          </w:tcPr>
          <w:p w:rsidR="008F432E" w:rsidRDefault="00A47635">
            <w:pPr>
              <w:spacing w:after="2" w:line="237" w:lineRule="auto"/>
              <w:ind w:left="0" w:firstLine="0"/>
              <w:jc w:val="center"/>
            </w:pPr>
            <w:r>
              <w:rPr>
                <w:sz w:val="20"/>
              </w:rPr>
              <w:t>При установленном эпидуральном кате-</w:t>
            </w:r>
          </w:p>
          <w:p w:rsidR="008F432E" w:rsidRDefault="00A47635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тере </w:t>
            </w:r>
          </w:p>
        </w:tc>
        <w:tc>
          <w:tcPr>
            <w:tcW w:w="1745" w:type="dxa"/>
            <w:tcBorders>
              <w:top w:val="single" w:sz="53" w:space="0" w:color="000000"/>
              <w:left w:val="single" w:sz="6" w:space="0" w:color="000000"/>
              <w:bottom w:val="single" w:sz="51" w:space="0" w:color="000000"/>
              <w:right w:val="single" w:sz="8" w:space="0" w:color="000000"/>
            </w:tcBorders>
          </w:tcPr>
          <w:p w:rsidR="008F432E" w:rsidRDefault="00A47635">
            <w:pPr>
              <w:spacing w:after="1" w:line="238" w:lineRule="auto"/>
              <w:ind w:left="0" w:firstLine="0"/>
              <w:jc w:val="center"/>
            </w:pPr>
            <w:r>
              <w:rPr>
                <w:sz w:val="20"/>
              </w:rPr>
              <w:t xml:space="preserve">После удаления эпидурального катетера </w:t>
            </w:r>
          </w:p>
          <w:p w:rsidR="008F432E" w:rsidRDefault="00A47635">
            <w:pPr>
              <w:spacing w:after="0" w:line="259" w:lineRule="auto"/>
              <w:ind w:left="0" w:firstLine="3"/>
              <w:jc w:val="center"/>
            </w:pPr>
            <w:r>
              <w:rPr>
                <w:sz w:val="20"/>
              </w:rPr>
              <w:t xml:space="preserve">(сроки возобновления применения антикоауглянта) </w:t>
            </w:r>
          </w:p>
        </w:tc>
      </w:tr>
      <w:tr w:rsidR="008F432E">
        <w:trPr>
          <w:trHeight w:val="725"/>
        </w:trPr>
        <w:tc>
          <w:tcPr>
            <w:tcW w:w="3844" w:type="dxa"/>
            <w:tcBorders>
              <w:top w:val="single" w:sz="51" w:space="0" w:color="000000"/>
              <w:left w:val="single" w:sz="8" w:space="0" w:color="000000"/>
              <w:bottom w:val="single" w:sz="51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Гепарин натрия** </w:t>
            </w:r>
          </w:p>
        </w:tc>
        <w:tc>
          <w:tcPr>
            <w:tcW w:w="2410" w:type="dxa"/>
            <w:tcBorders>
              <w:top w:val="single" w:sz="51" w:space="0" w:color="000000"/>
              <w:left w:val="single" w:sz="6" w:space="0" w:color="000000"/>
              <w:bottom w:val="single" w:sz="51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4-6 ч </w:t>
            </w:r>
          </w:p>
        </w:tc>
        <w:tc>
          <w:tcPr>
            <w:tcW w:w="2081" w:type="dxa"/>
            <w:tcBorders>
              <w:top w:val="single" w:sz="51" w:space="0" w:color="000000"/>
              <w:left w:val="single" w:sz="6" w:space="0" w:color="000000"/>
              <w:bottom w:val="single" w:sz="51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Предпочтительный антикоагулянт </w:t>
            </w:r>
          </w:p>
        </w:tc>
        <w:tc>
          <w:tcPr>
            <w:tcW w:w="1745" w:type="dxa"/>
            <w:tcBorders>
              <w:top w:val="single" w:sz="51" w:space="0" w:color="000000"/>
              <w:left w:val="single" w:sz="6" w:space="0" w:color="000000"/>
              <w:bottom w:val="single" w:sz="51" w:space="0" w:color="000000"/>
              <w:right w:val="single" w:sz="8" w:space="0" w:color="000000"/>
            </w:tcBorders>
          </w:tcPr>
          <w:p w:rsidR="008F432E" w:rsidRDefault="00A47635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1 ч </w:t>
            </w:r>
          </w:p>
        </w:tc>
      </w:tr>
      <w:tr w:rsidR="008F432E">
        <w:trPr>
          <w:trHeight w:val="2770"/>
        </w:trPr>
        <w:tc>
          <w:tcPr>
            <w:tcW w:w="3844" w:type="dxa"/>
            <w:tcBorders>
              <w:top w:val="single" w:sz="51" w:space="0" w:color="000000"/>
              <w:left w:val="single" w:sz="8" w:space="0" w:color="000000"/>
              <w:bottom w:val="single" w:sz="51" w:space="0" w:color="000000"/>
              <w:right w:val="single" w:sz="6" w:space="0" w:color="000000"/>
            </w:tcBorders>
          </w:tcPr>
          <w:p w:rsidR="008F432E" w:rsidRDefault="00A47635">
            <w:pPr>
              <w:spacing w:after="26" w:line="332" w:lineRule="auto"/>
              <w:ind w:left="2" w:right="226" w:firstLine="0"/>
              <w:jc w:val="left"/>
            </w:pPr>
            <w:r>
              <w:rPr>
                <w:sz w:val="20"/>
              </w:rPr>
              <w:t xml:space="preserve">НМГ B01AB в профилактической дозе </w:t>
            </w:r>
            <w:r>
              <w:rPr>
                <w:sz w:val="22"/>
              </w:rPr>
              <w:t xml:space="preserve">- </w:t>
            </w:r>
            <w:r>
              <w:rPr>
                <w:sz w:val="20"/>
              </w:rPr>
              <w:t xml:space="preserve">эноксапарин натрия** 40 мг 1 раз в день п/к (при нормальной функции почек); </w:t>
            </w:r>
          </w:p>
          <w:p w:rsidR="008F432E" w:rsidRDefault="00A47635">
            <w:pPr>
              <w:spacing w:after="29" w:line="259" w:lineRule="auto"/>
              <w:ind w:left="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376" w:lineRule="auto"/>
              <w:ind w:left="2" w:firstLine="0"/>
            </w:pPr>
            <w:r>
              <w:rPr>
                <w:sz w:val="22"/>
              </w:rPr>
              <w:t xml:space="preserve">- </w:t>
            </w:r>
            <w:r>
              <w:rPr>
                <w:sz w:val="20"/>
              </w:rPr>
              <w:t xml:space="preserve">эноксапарин натрия** 20 мг 1 раз в день п/к </w:t>
            </w:r>
          </w:p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(при клиренсе креатинина &lt;30 мл/мин) </w:t>
            </w:r>
          </w:p>
        </w:tc>
        <w:tc>
          <w:tcPr>
            <w:tcW w:w="2410" w:type="dxa"/>
            <w:tcBorders>
              <w:top w:val="single" w:sz="51" w:space="0" w:color="000000"/>
              <w:left w:val="single" w:sz="6" w:space="0" w:color="000000"/>
              <w:bottom w:val="single" w:sz="51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≥12 ч </w:t>
            </w:r>
          </w:p>
          <w:p w:rsidR="008F432E" w:rsidRDefault="00A47635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≥24 ч </w:t>
            </w:r>
          </w:p>
          <w:p w:rsidR="008F432E" w:rsidRDefault="00A47635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(при клиренсе креатинина &lt;30 мл/мин) </w:t>
            </w:r>
          </w:p>
        </w:tc>
        <w:tc>
          <w:tcPr>
            <w:tcW w:w="2081" w:type="dxa"/>
            <w:tcBorders>
              <w:top w:val="single" w:sz="51" w:space="0" w:color="000000"/>
              <w:left w:val="single" w:sz="6" w:space="0" w:color="000000"/>
              <w:bottom w:val="single" w:sz="51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1" w:line="239" w:lineRule="auto"/>
              <w:ind w:left="0" w:right="8" w:firstLine="0"/>
              <w:jc w:val="left"/>
            </w:pPr>
            <w:r>
              <w:rPr>
                <w:sz w:val="20"/>
              </w:rPr>
              <w:t xml:space="preserve">После установки катетера должно пройти не менее 8 ч перед подкожной инъекцией НМГ.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Удалять катетер следует не ранее, чем через 12 ч после подкожной инъекции НМГ. </w:t>
            </w:r>
          </w:p>
        </w:tc>
        <w:tc>
          <w:tcPr>
            <w:tcW w:w="1745" w:type="dxa"/>
            <w:tcBorders>
              <w:top w:val="single" w:sz="51" w:space="0" w:color="000000"/>
              <w:left w:val="single" w:sz="6" w:space="0" w:color="000000"/>
              <w:bottom w:val="single" w:sz="51" w:space="0" w:color="000000"/>
              <w:right w:val="single" w:sz="8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4 ч </w:t>
            </w:r>
          </w:p>
        </w:tc>
      </w:tr>
      <w:tr w:rsidR="008F432E">
        <w:trPr>
          <w:trHeight w:val="424"/>
        </w:trPr>
        <w:tc>
          <w:tcPr>
            <w:tcW w:w="3844" w:type="dxa"/>
            <w:tcBorders>
              <w:top w:val="single" w:sz="51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фондапаринукс натрия </w:t>
            </w:r>
          </w:p>
        </w:tc>
        <w:tc>
          <w:tcPr>
            <w:tcW w:w="2410" w:type="dxa"/>
            <w:tcBorders>
              <w:top w:val="single" w:sz="5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36-72 ч </w:t>
            </w:r>
          </w:p>
        </w:tc>
        <w:tc>
          <w:tcPr>
            <w:tcW w:w="2081" w:type="dxa"/>
            <w:vMerge w:val="restart"/>
            <w:tcBorders>
              <w:top w:val="single" w:sz="51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Противопоказаны </w:t>
            </w:r>
          </w:p>
        </w:tc>
        <w:tc>
          <w:tcPr>
            <w:tcW w:w="1745" w:type="dxa"/>
            <w:vMerge w:val="restart"/>
            <w:tcBorders>
              <w:top w:val="single" w:sz="51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8F432E" w:rsidRDefault="00A47635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6 ч </w:t>
            </w:r>
          </w:p>
        </w:tc>
      </w:tr>
      <w:tr w:rsidR="008F432E">
        <w:trPr>
          <w:trHeight w:val="135"/>
        </w:trPr>
        <w:tc>
          <w:tcPr>
            <w:tcW w:w="3844" w:type="dxa"/>
            <w:tcBorders>
              <w:top w:val="single" w:sz="6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343"/>
        </w:trPr>
        <w:tc>
          <w:tcPr>
            <w:tcW w:w="3844" w:type="dxa"/>
            <w:tcBorders>
              <w:top w:val="nil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дабигатрана этексилат** 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3-5 дней 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5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478"/>
        </w:trPr>
        <w:tc>
          <w:tcPr>
            <w:tcW w:w="384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ривароксабан**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3 дня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  <w:tr w:rsidR="008F432E">
        <w:trPr>
          <w:trHeight w:val="438"/>
        </w:trPr>
        <w:tc>
          <w:tcPr>
            <w:tcW w:w="384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апиксабан**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F432E" w:rsidRDefault="00A47635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3 дня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рекомендации C (уровень достоверности доказательств – 5). </w:t>
      </w:r>
    </w:p>
    <w:p w:rsidR="008F432E" w:rsidRDefault="00A47635">
      <w:pPr>
        <w:spacing w:after="353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after="1" w:line="357" w:lineRule="auto"/>
        <w:ind w:left="-15" w:right="54" w:firstLine="708"/>
      </w:pPr>
      <w:r>
        <w:t xml:space="preserve">При выборе фармакопрофилактики ВТЭО у детей </w:t>
      </w:r>
      <w:r>
        <w:t>рекомендуется</w:t>
      </w:r>
      <w:r>
        <w:t xml:space="preserve"> рассмотреть возможность применения #эноксапарина натрия** по 0,5 мг/кг п/к каждые 12 часов, но не более 60 (указан режим дозирования для детей с нормальной функцией почек весом менее 60 кг) с учетом функции почек и веса ребенка</w:t>
      </w:r>
      <w:r>
        <w:rPr>
          <w:sz w:val="22"/>
        </w:rPr>
        <w:t xml:space="preserve"> [138]</w:t>
      </w:r>
      <w:r>
        <w:t>. Режим дозирования ан</w:t>
      </w:r>
      <w:r>
        <w:t xml:space="preserve">тикоагулянтов для фармакопрофилактики ВТЭО у пациентов от 6 месяцев до 18 лет с высоким риском ВТЭО представлен в Таблице 7. [130, 132, 133, 134, 135, 136, 137]. </w:t>
      </w:r>
    </w:p>
    <w:p w:rsidR="008F432E" w:rsidRDefault="00A47635">
      <w:pPr>
        <w:spacing w:after="0" w:line="259" w:lineRule="auto"/>
        <w:ind w:right="179"/>
        <w:jc w:val="right"/>
      </w:pPr>
      <w:r>
        <w:t xml:space="preserve">Таблица 7. Режим дозирования антикоагулянтов для фармакопрофилактики </w:t>
      </w:r>
    </w:p>
    <w:p w:rsidR="008F432E" w:rsidRDefault="00A47635">
      <w:pPr>
        <w:spacing w:after="10" w:line="249" w:lineRule="auto"/>
        <w:ind w:left="676"/>
        <w:jc w:val="center"/>
      </w:pPr>
      <w:r>
        <w:t xml:space="preserve">ВТЭО у пациентов от 6 месяцев до 18 лет с высоким риском ВТЭО [133, 134, 135, 130, 136, 137, 138, 141, 142] </w:t>
      </w:r>
    </w:p>
    <w:tbl>
      <w:tblPr>
        <w:tblStyle w:val="TableGrid"/>
        <w:tblW w:w="9209" w:type="dxa"/>
        <w:tblInd w:w="5" w:type="dxa"/>
        <w:tblCellMar>
          <w:top w:w="56" w:type="dxa"/>
          <w:left w:w="107" w:type="dxa"/>
          <w:bottom w:w="0" w:type="dxa"/>
          <w:right w:w="85" w:type="dxa"/>
        </w:tblCellMar>
        <w:tblLook w:val="04A0" w:firstRow="1" w:lastRow="0" w:firstColumn="1" w:lastColumn="0" w:noHBand="0" w:noVBand="1"/>
      </w:tblPr>
      <w:tblGrid>
        <w:gridCol w:w="2122"/>
        <w:gridCol w:w="1560"/>
        <w:gridCol w:w="5527"/>
      </w:tblGrid>
      <w:tr w:rsidR="008F432E">
        <w:trPr>
          <w:trHeight w:val="526"/>
        </w:trPr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Популяция пациентов 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вес </w:t>
            </w:r>
          </w:p>
        </w:tc>
        <w:tc>
          <w:tcPr>
            <w:tcW w:w="552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Схемы профилактики ВТЭО </w:t>
            </w:r>
          </w:p>
        </w:tc>
      </w:tr>
      <w:tr w:rsidR="008F432E">
        <w:trPr>
          <w:trHeight w:val="557"/>
        </w:trPr>
        <w:tc>
          <w:tcPr>
            <w:tcW w:w="2122" w:type="dxa"/>
            <w:vMerge w:val="restart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39" w:lineRule="auto"/>
              <w:ind w:left="1" w:firstLine="0"/>
            </w:pPr>
            <w:r>
              <w:rPr>
                <w:sz w:val="22"/>
              </w:rPr>
              <w:t xml:space="preserve">Нормальная функция почек </w:t>
            </w:r>
          </w:p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&lt;60 кг </w:t>
            </w:r>
          </w:p>
        </w:tc>
        <w:tc>
          <w:tcPr>
            <w:tcW w:w="5527" w:type="dxa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hanging="1"/>
              <w:jc w:val="left"/>
            </w:pPr>
            <w:r>
              <w:rPr>
                <w:sz w:val="22"/>
              </w:rPr>
              <w:t xml:space="preserve">• #эноксапарин натрия** 0,5 мг/кг п/к каждые 12 часов (макс. 60 мг/день) [138] </w:t>
            </w:r>
          </w:p>
        </w:tc>
      </w:tr>
      <w:tr w:rsidR="008F432E">
        <w:trPr>
          <w:trHeight w:val="1190"/>
        </w:trPr>
        <w:tc>
          <w:tcPr>
            <w:tcW w:w="0" w:type="auto"/>
            <w:vMerge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≥60 кг </w:t>
            </w:r>
          </w:p>
        </w:tc>
        <w:tc>
          <w:tcPr>
            <w:tcW w:w="55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right="38" w:firstLine="0"/>
              <w:jc w:val="left"/>
            </w:pPr>
            <w:r>
              <w:rPr>
                <w:sz w:val="22"/>
              </w:rPr>
              <w:t>• #эноксапарин натрия** 40 мг п/к каждые 24 часа (рассмотрите вариант 30 мг п/к каждые 12 часов для тотального эндопротезирования коленного сустава) [138] • гепарин н</w:t>
            </w:r>
            <w:r>
              <w:rPr>
                <w:sz w:val="22"/>
              </w:rPr>
              <w:t xml:space="preserve">атрия** 5000 МЕ п/к каждые 12 часов [138] </w:t>
            </w:r>
          </w:p>
        </w:tc>
      </w:tr>
      <w:tr w:rsidR="008F432E">
        <w:trPr>
          <w:trHeight w:val="569"/>
        </w:trPr>
        <w:tc>
          <w:tcPr>
            <w:tcW w:w="212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right="54" w:firstLine="0"/>
              <w:jc w:val="left"/>
            </w:pPr>
            <w:r>
              <w:rPr>
                <w:sz w:val="22"/>
              </w:rPr>
              <w:t xml:space="preserve">Почечная недостаточность (*СКФ &lt;30 мл/мин/1,73м²) 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&lt;60 кг </w:t>
            </w:r>
          </w:p>
        </w:tc>
        <w:tc>
          <w:tcPr>
            <w:tcW w:w="55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hanging="1"/>
              <w:jc w:val="left"/>
            </w:pPr>
            <w:r>
              <w:rPr>
                <w:sz w:val="22"/>
              </w:rPr>
              <w:t xml:space="preserve">• #эноксапарин натрия** 0,5 мг/кг п/к каждые 24 часа [138] </w:t>
            </w:r>
          </w:p>
        </w:tc>
      </w:tr>
      <w:tr w:rsidR="008F432E">
        <w:trPr>
          <w:trHeight w:val="569"/>
        </w:trPr>
        <w:tc>
          <w:tcPr>
            <w:tcW w:w="0" w:type="auto"/>
            <w:vMerge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≥60 кг </w:t>
            </w:r>
          </w:p>
        </w:tc>
        <w:tc>
          <w:tcPr>
            <w:tcW w:w="55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F432E" w:rsidRDefault="00A47635">
            <w:pPr>
              <w:numPr>
                <w:ilvl w:val="0"/>
                <w:numId w:val="37"/>
              </w:numPr>
              <w:spacing w:after="0" w:line="259" w:lineRule="auto"/>
              <w:ind w:hanging="133"/>
              <w:jc w:val="left"/>
            </w:pPr>
            <w:r>
              <w:rPr>
                <w:sz w:val="22"/>
              </w:rPr>
              <w:t xml:space="preserve">#эноксапарин натрия** 30 мг п/к каждые 24 часа [138] </w:t>
            </w:r>
          </w:p>
          <w:p w:rsidR="008F432E" w:rsidRDefault="00A47635">
            <w:pPr>
              <w:numPr>
                <w:ilvl w:val="0"/>
                <w:numId w:val="37"/>
              </w:numPr>
              <w:spacing w:after="0" w:line="259" w:lineRule="auto"/>
              <w:ind w:hanging="133"/>
              <w:jc w:val="left"/>
            </w:pPr>
            <w:r>
              <w:rPr>
                <w:sz w:val="22"/>
              </w:rPr>
              <w:t xml:space="preserve">гепарин натрия** 5000 МЕ п/к каждые 12 часов [138] </w:t>
            </w:r>
          </w:p>
        </w:tc>
      </w:tr>
    </w:tbl>
    <w:p w:rsidR="008F432E" w:rsidRDefault="00A47635">
      <w:pPr>
        <w:spacing w:after="3" w:line="357" w:lineRule="auto"/>
        <w:ind w:left="-5" w:right="49"/>
      </w:pPr>
      <w:r>
        <w:t xml:space="preserve">Уровень убедительности рекомендации C (уровень достоверности доказательств – 5). </w:t>
      </w:r>
      <w:r>
        <w:t>Комментарии: В педиатрической практике не существует стандартизированного и валидированного инструмента оценки риска тромбопрофилактики [138]. Подробно вопросы профилактики ВТЭО у пациентов травматолого-ортопедического профиля рассмотрены в методических ре</w:t>
      </w:r>
      <w:r>
        <w:t xml:space="preserve">комендациях 2022 г. [128] и рекомендациях российских экспертов </w:t>
      </w:r>
    </w:p>
    <w:p w:rsidR="008F432E" w:rsidRDefault="00A47635">
      <w:pPr>
        <w:spacing w:after="115" w:line="259" w:lineRule="auto"/>
        <w:ind w:left="-5" w:right="49"/>
      </w:pPr>
      <w:r>
        <w:t xml:space="preserve">2023 г. [129]. </w:t>
      </w:r>
    </w:p>
    <w:p w:rsidR="008F432E" w:rsidRDefault="00A47635">
      <w:pPr>
        <w:spacing w:after="11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19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pStyle w:val="Heading2"/>
        <w:ind w:left="345" w:right="45" w:hanging="360"/>
      </w:pPr>
      <w:bookmarkStart w:id="22" w:name="_Toc71497"/>
      <w:r>
        <w:t>Диетотерапия</w:t>
      </w:r>
      <w:r>
        <w:t xml:space="preserve"> </w:t>
      </w:r>
      <w:bookmarkEnd w:id="22"/>
    </w:p>
    <w:p w:rsidR="008F432E" w:rsidRDefault="00A47635">
      <w:pPr>
        <w:ind w:left="718" w:right="54"/>
      </w:pPr>
      <w:r>
        <w:t xml:space="preserve">Только при наличии сопутствующей патологии. </w:t>
      </w:r>
    </w:p>
    <w:p w:rsidR="008F432E" w:rsidRDefault="00A47635">
      <w:pPr>
        <w:pStyle w:val="Heading2"/>
        <w:ind w:left="345" w:right="45" w:hanging="360"/>
      </w:pPr>
      <w:bookmarkStart w:id="23" w:name="_Toc71498"/>
      <w:r>
        <w:t>Иное лечение</w:t>
      </w:r>
      <w:r>
        <w:t xml:space="preserve"> </w:t>
      </w:r>
      <w:bookmarkEnd w:id="23"/>
    </w:p>
    <w:p w:rsidR="008F432E" w:rsidRDefault="00A47635">
      <w:pPr>
        <w:spacing w:after="0" w:line="358" w:lineRule="auto"/>
        <w:ind w:left="-15" w:right="54" w:firstLine="708"/>
      </w:pPr>
      <w:r>
        <w:t xml:space="preserve">Рекомендуется </w:t>
      </w:r>
      <w:r>
        <w:t>физиотерапия в послеоперационном периоде при оперативном лечении пациентов с приобретенными деформациями нижних конечностей. Цель физиотерапевтических процедур – стимуляция процессов репаративной регенерации костной ткани, улучшение трофики тканей, нормали</w:t>
      </w:r>
      <w:r>
        <w:t xml:space="preserve">зация микроциркуляции, уменьшение отека мягких тканей, рассасывание гематом, обезболивание. Роль физиотерапии значительно повышается в восстановительном периоде после прекращения иммобилизации конечности </w:t>
      </w:r>
    </w:p>
    <w:p w:rsidR="008F432E" w:rsidRDefault="00A47635">
      <w:pPr>
        <w:ind w:left="-5" w:right="54"/>
      </w:pPr>
      <w:r>
        <w:t xml:space="preserve">[2, 87-88].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C </w:t>
      </w:r>
      <w:r>
        <w:t xml:space="preserve">(уровень достоверности доказательств – 5). </w:t>
      </w:r>
    </w:p>
    <w:p w:rsidR="008F432E" w:rsidRDefault="00A47635">
      <w:pPr>
        <w:spacing w:after="3" w:line="357" w:lineRule="auto"/>
        <w:ind w:left="-5" w:right="49"/>
      </w:pPr>
      <w:r>
        <w:t>Комментарии</w:t>
      </w:r>
      <w:r>
        <w:t xml:space="preserve">: </w:t>
      </w:r>
      <w:r>
        <w:t>Современная физиотерапия широко использует несколько десятков физических и природных факторов: электрический ток высокого и низкого напряжений, постоянного и переменного направлений, электрические, м</w:t>
      </w:r>
      <w:r>
        <w:t>агнитные и электромагнитные поля, ультразвуковые колебания, различные разновидности света, ионы воздуха и воды, кислород под повышенным давлением, ингаляции лекарственных веществ, природные и искусственные минеральные воды, тепловые методы воздействия с ис</w:t>
      </w:r>
      <w:r>
        <w:t>пользованием парафина, озокерита и лечебной грязи. Выбор физического фактора и метода физиотерапевтического лечения зависит от стадии репаративной регенерации костной ткани, уровня оперативного вмешательства, способа фиксации отломков, возможности или нево</w:t>
      </w:r>
      <w:r>
        <w:t xml:space="preserve">зможности посещения больным физиотерапевтического отделения, его оснащения [89-90]. </w:t>
      </w:r>
    </w:p>
    <w:p w:rsidR="008F432E" w:rsidRDefault="00A47635">
      <w:pPr>
        <w:spacing w:after="35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spacing w:after="239" w:line="357" w:lineRule="auto"/>
        <w:ind w:left="-15" w:firstLine="490"/>
        <w:jc w:val="left"/>
      </w:pPr>
      <w:bookmarkStart w:id="24" w:name="_Toc71499"/>
      <w:r>
        <w:t>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основанных на</w:t>
      </w:r>
      <w:r>
        <w:t xml:space="preserve"> использовании природных лечебных факторов </w:t>
      </w:r>
      <w:bookmarkEnd w:id="24"/>
    </w:p>
    <w:p w:rsidR="008F432E" w:rsidRDefault="00A47635">
      <w:pPr>
        <w:spacing w:after="1" w:line="357" w:lineRule="auto"/>
        <w:ind w:left="-15" w:right="54" w:firstLine="708"/>
      </w:pPr>
      <w:r>
        <w:t>Приобретенная деформация нижней конечности является сложным состоянием, которое может оказать значительное влияние на качество жизни человека. При соблюдении рекомендаций по реабилитации можно значительно улучшит</w:t>
      </w:r>
      <w:r>
        <w:t xml:space="preserve">ь результаты лечения данных больных, добиться улучшения функции и восстановить качество жизни, что позволит вернуться к своей повседневной деятельности [88, 91-92] (Приложения Г1 и Г2). </w:t>
      </w:r>
    </w:p>
    <w:p w:rsidR="008F432E" w:rsidRDefault="00A47635">
      <w:pPr>
        <w:spacing w:after="0" w:line="357" w:lineRule="auto"/>
        <w:ind w:left="-15" w:right="54" w:firstLine="708"/>
      </w:pPr>
      <w:r>
        <w:t xml:space="preserve">В литературе представлены рекомендации по реабилитации, предлагаемые </w:t>
      </w:r>
      <w:r>
        <w:t xml:space="preserve">отдельными авторами без доказательности их эффективности, причем в основном по использованию физиотерапевтических факторов. Поэтому основанием для выбора средств и методов реабилитации служат общие знания о негативных последствиях длительной иммобилизации </w:t>
      </w:r>
      <w:r>
        <w:t xml:space="preserve">и общих принципах восстановления функции сустава на основании механизмов действия различных средств лечебной физической культуры (ЛФК) и физиотерапевтических факторов [93]. </w:t>
      </w:r>
    </w:p>
    <w:p w:rsidR="008F432E" w:rsidRDefault="00A47635">
      <w:pPr>
        <w:spacing w:after="0" w:line="358" w:lineRule="auto"/>
        <w:ind w:left="-15" w:right="54" w:firstLine="708"/>
      </w:pPr>
      <w:r>
        <w:t>Необходимы дальнейшие высококачественные исследования для изучения эффективности р</w:t>
      </w:r>
      <w:r>
        <w:t xml:space="preserve">азличных концепций реабилитации. </w:t>
      </w:r>
    </w:p>
    <w:p w:rsidR="008F432E" w:rsidRDefault="00A47635">
      <w:pPr>
        <w:spacing w:line="358" w:lineRule="auto"/>
        <w:ind w:left="-15" w:right="54" w:firstLine="708"/>
      </w:pPr>
      <w:r>
        <w:t xml:space="preserve">Рекомендуется </w:t>
      </w:r>
      <w:r>
        <w:t>при консервативном и оперативном лечении пациентов с приобретенными деформациями нижних конечностей этапная реабилитация с целью стимуляции репаративной регенерации костной ткани, профилактики осложнений, вызванных гипокинезией и длительным ограничением дв</w:t>
      </w:r>
      <w:r>
        <w:t xml:space="preserve">игательной активности, восстановления нарушенных функций поврежденной конечности, социально-бытового и профессионального восстановления [91-93]. 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рекомендаций C (уровень достоверности доказательств – 5). Комментарии: реабилитация пр</w:t>
      </w:r>
      <w:r>
        <w:t>оводится МДРК и начинается в первые 48 часов после поступления в стационар и оперативного лечения по индивидуальным программам, с конкретными целями и задачами в соответствии с методом и этапом ортопедического лечения, возрастом пациента и состоянием его з</w:t>
      </w:r>
      <w:r>
        <w:t>доровья. В основе программ реабилитации лежит дифференцированное применение физиотерапевтических факторов и методов и средств лечебной физкультуры, решающих общие задачи профилактики развития осложнений и сохранения двигательной активности пациента, и лока</w:t>
      </w:r>
      <w:r>
        <w:t>льные задачи по профилактике функциональных нарушений в конечности и восстановлению ее функции. Улучшают результаты лечения и реабилитации правильное питание с обязательным включением в рацион творога, молочных продуктов, твердых сортов сыра, трески, лосос</w:t>
      </w:r>
      <w:r>
        <w:t>я, фасоли, печени, злаков [91-94]</w:t>
      </w:r>
      <w:r>
        <w:t>.</w:t>
      </w:r>
      <w:r>
        <w:t xml:space="preserve"> </w:t>
      </w:r>
    </w:p>
    <w:p w:rsidR="008F432E" w:rsidRDefault="00A47635">
      <w:pPr>
        <w:spacing w:after="200" w:line="357" w:lineRule="auto"/>
        <w:ind w:left="-15" w:right="54" w:firstLine="708"/>
      </w:pPr>
      <w:r>
        <w:t>Рекомендуется</w:t>
      </w:r>
      <w:r>
        <w:t xml:space="preserve"> на всех этапах лечения индивидуальная программа реабилитации, которую составляет</w:t>
      </w:r>
      <w:r>
        <w:t xml:space="preserve"> </w:t>
      </w:r>
      <w:r>
        <w:t>врач ФРМ (Прием (осмотр, консультация) врача по лечебной физкультуре и/или Осмотр (консультация) врача-физиотерапевта) для па</w:t>
      </w:r>
      <w:r>
        <w:t xml:space="preserve">циентов с приобретенной деформацией конечности в соответствии с задачами, обусловленными клинической симптоматикой конкретного периода лечения [91-94].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рекомендаций C (уровень достоверности доказательств – 5). Комментарии: ранний эт</w:t>
      </w:r>
      <w:r>
        <w:t>ап</w:t>
      </w:r>
      <w:r>
        <w:t xml:space="preserve"> </w:t>
      </w:r>
      <w:r>
        <w:t>реабилитации начинается в стационаре и продолжается в среднем до 2 недель после операции. Амбулаторный этап проводится после снятия иммобилизации в дневном стационаре или специализированных реабилитационных центрах. По показаниям, при выраженных функцио</w:t>
      </w:r>
      <w:r>
        <w:t xml:space="preserve">нальных изменениях и в связи с длительностью процесса регенерации, следует продолжить реабилитацию в специализированных лечебницах восстановительного лечения или санаторно-курортных учреждениях. </w:t>
      </w:r>
    </w:p>
    <w:p w:rsidR="008F432E" w:rsidRDefault="00A47635">
      <w:pPr>
        <w:spacing w:after="0" w:line="357" w:lineRule="auto"/>
        <w:ind w:left="-15" w:right="54" w:firstLine="708"/>
      </w:pPr>
      <w:r>
        <w:t>Показания и противопоказания к назначению определенных средс</w:t>
      </w:r>
      <w:r>
        <w:t xml:space="preserve">тв медицинской реабилитации, определяются индивидуально с учетом локализации повреждения, методом хирургической стабилизации костных фрагментов или консервативной иммобилизации, а также возраста, общего состояния пациента и наличия сопутствующей патологии </w:t>
      </w:r>
      <w:r>
        <w:t xml:space="preserve">внутренних органов. </w:t>
      </w:r>
    </w:p>
    <w:p w:rsidR="008F432E" w:rsidRDefault="00A47635">
      <w:pPr>
        <w:spacing w:after="1" w:line="357" w:lineRule="auto"/>
        <w:ind w:left="-15" w:right="54" w:firstLine="708"/>
      </w:pPr>
      <w:r>
        <w:t xml:space="preserve">Рекомендуется </w:t>
      </w:r>
      <w:r>
        <w:t xml:space="preserve">ранняя, и стационарная реабилитации, которая проводится МДРК по индивидуальным программа с дифференцированным выбором средств и методов в зависимости от локализации деформации или метода лечения [91-94]. </w:t>
      </w:r>
    </w:p>
    <w:p w:rsidR="008F432E" w:rsidRDefault="00A47635">
      <w:pPr>
        <w:spacing w:after="107" w:line="358" w:lineRule="auto"/>
        <w:ind w:left="-5" w:right="45"/>
      </w:pPr>
      <w:r>
        <w:t>Уровень убедител</w:t>
      </w:r>
      <w:r>
        <w:t>ьности рекомендаций C (уровень достоверности доказательств – 5). Комментарии:</w:t>
      </w:r>
      <w:r>
        <w:t xml:space="preserve"> </w:t>
      </w:r>
      <w:r>
        <w:t>Программа реабилитации направлена прежде всего на улучшение кровообращения в конечности.</w:t>
      </w:r>
      <w:r>
        <w:t xml:space="preserve"> </w:t>
      </w:r>
    </w:p>
    <w:p w:rsidR="008F432E" w:rsidRDefault="00A47635">
      <w:pPr>
        <w:spacing w:after="107" w:line="266" w:lineRule="auto"/>
        <w:ind w:left="718" w:right="45"/>
      </w:pPr>
      <w:r>
        <w:t xml:space="preserve">4.1 Физиотерапевтическое лечение. </w:t>
      </w:r>
    </w:p>
    <w:p w:rsidR="008F432E" w:rsidRDefault="00A47635">
      <w:pPr>
        <w:spacing w:after="5" w:line="357" w:lineRule="auto"/>
        <w:ind w:left="-15" w:right="54" w:firstLine="708"/>
      </w:pPr>
      <w:r>
        <w:t xml:space="preserve"> В период иммобилизации или ранний период после операции </w:t>
      </w:r>
      <w:r>
        <w:t>рекомендуется</w:t>
      </w:r>
      <w:r>
        <w:t xml:space="preserve"> физиотерапевтическое лечение (Воздействие высокочастотными электромагнитными полями (индуктотермия, Общая магнитотерапия, Воздействие переменным магнитным полем (ПеМП), Воздействие сину</w:t>
      </w:r>
      <w:r>
        <w:t>соидальными модулированными токами (СМТ-терапия), Ультрафиолетовое облучение кожи, Воздействие интерференционными токами, Электрофорез лекарственных препаратов при костной патологии, Массаж нижней конечности медицинский, Воздействие низкочастотным импульсн</w:t>
      </w:r>
      <w:r>
        <w:t>ым электростатическим полем, Лечебная физкультура при заболеваниях и травмах суставов, Индивидуальное занятие лечебной физкультурой при заболеваниях и травмах суставов, Дыхательные упражнения дренирующие, Лечебная гимнастика при заболеваниях опорно-двигате</w:t>
      </w:r>
      <w:r>
        <w:t>льного аппарата у детей, Механотерапия на простейших механотерапевтических аппаратах при переломе костей, Роботизированная механотерапия, Обучение пациента самопомощи при перемещении с помощью дополнительной опоры) с целью снижения боли, уменьшения отеков,</w:t>
      </w:r>
      <w:r>
        <w:t xml:space="preserve"> улучшения микроциркуляции и трофики тканей [91-94]. </w:t>
      </w:r>
    </w:p>
    <w:p w:rsidR="008F432E" w:rsidRDefault="00A47635">
      <w:pPr>
        <w:spacing w:after="107" w:line="266" w:lineRule="auto"/>
        <w:ind w:left="-5" w:right="45"/>
      </w:pPr>
      <w:r>
        <w:t>Уровень убедительности рекомендаций C (уровень достоверности доказательств – 5).</w:t>
      </w:r>
      <w:r>
        <w:t xml:space="preserve"> </w:t>
      </w:r>
    </w:p>
    <w:p w:rsidR="008F432E" w:rsidRDefault="00A47635">
      <w:pPr>
        <w:spacing w:after="1" w:line="358" w:lineRule="auto"/>
        <w:ind w:left="0" w:right="4" w:firstLine="708"/>
      </w:pPr>
      <w:r>
        <w:t xml:space="preserve">Больным </w:t>
      </w:r>
      <w:r>
        <w:t xml:space="preserve">рекомендуется </w:t>
      </w:r>
      <w:r>
        <w:t>амбулаторная реабилитация п</w:t>
      </w:r>
      <w:r>
        <w:rPr>
          <w:color w:val="333333"/>
        </w:rPr>
        <w:t>осле снятия иммобилизации или в позднем послеоперационном периоде, которая проводится МДРК с целью восстановления функции конечности, социальной и бытовой адаптации (Прием (осмотр, консультация) врача по лечебной физкультуре и/или Осмотр (консультация) вра</w:t>
      </w:r>
      <w:r>
        <w:rPr>
          <w:color w:val="333333"/>
        </w:rPr>
        <w:t xml:space="preserve">ча-физиотерапевта), Лечебная физкультура при заболеваниях и травмах суставов, Лечебная гимнастика при заболеваниях опорно-двигательного аппарата у детей,  Индивидуальное занятие лечебной физкультурой при заболеваниях позвоночника, Массаж нижней конечности </w:t>
      </w:r>
      <w:r>
        <w:rPr>
          <w:color w:val="333333"/>
        </w:rPr>
        <w:t xml:space="preserve">медицинский,  Массаж нижней конечности и поясницы,  Вакуумное воздействие, Гидрокинезотерапия при переломах костей,  Электростимуляция с использованием биологической обратной связи,  Воздействие интерференционными токами, Сочетанное воздействие импульсных </w:t>
      </w:r>
      <w:r>
        <w:rPr>
          <w:color w:val="333333"/>
        </w:rPr>
        <w:t>токов и ультразвуковой терапии,</w:t>
      </w:r>
      <w:r>
        <w:rPr>
          <w:sz w:val="22"/>
        </w:rPr>
        <w:t xml:space="preserve"> </w:t>
      </w:r>
      <w:r>
        <w:rPr>
          <w:color w:val="333333"/>
        </w:rPr>
        <w:t xml:space="preserve">Роботизированная механотерапия, Тренировка с биологической обратной связью по динамографическим показателям (по силе) при заболеваниях и травмах суставов) </w:t>
      </w:r>
      <w:r>
        <w:t>[91-94].</w:t>
      </w:r>
      <w:r>
        <w:rPr>
          <w:color w:val="333333"/>
        </w:rPr>
        <w:t xml:space="preserve"> 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рекомендаций C (уровень достовернос</w:t>
      </w:r>
      <w:r>
        <w:t>ти доказательств – 5). Комментарии</w:t>
      </w:r>
      <w:r>
        <w:t xml:space="preserve">: </w:t>
      </w:r>
      <w:r>
        <w:t xml:space="preserve"> ультразвуковую терапию (Сочетанное воздействие импульсных токов и ультразвуковой терапии), основной задачей которой является стимуляция кровоснабжения тканей вокруг суставов, необходимо с особой осторожностью применять </w:t>
      </w:r>
      <w:r>
        <w:t xml:space="preserve">при наличии металлических конструкций, которые могут быть использованы для репозиции отломков. </w:t>
      </w:r>
    </w:p>
    <w:p w:rsidR="008F432E" w:rsidRDefault="00A47635">
      <w:pPr>
        <w:spacing w:after="0" w:line="358" w:lineRule="auto"/>
        <w:ind w:right="58"/>
        <w:jc w:val="right"/>
      </w:pPr>
      <w:r>
        <w:t>Рекомендуется</w:t>
      </w:r>
      <w:r>
        <w:t xml:space="preserve"> при замедленном сращении области остеотомии после коррекции приобретенной деформации нижней конечности для</w:t>
      </w:r>
      <w:r>
        <w:t xml:space="preserve"> </w:t>
      </w:r>
      <w:r>
        <w:t>ускорения формирования костной мозоли и</w:t>
      </w:r>
      <w:r>
        <w:t>спользовать новый метод ударно-волновой терапии (Ударно-волновая терапия) [95-</w:t>
      </w:r>
    </w:p>
    <w:p w:rsidR="008F432E" w:rsidRDefault="00A47635">
      <w:pPr>
        <w:ind w:left="-5" w:right="54"/>
      </w:pPr>
      <w:r>
        <w:t xml:space="preserve">98]. </w:t>
      </w:r>
    </w:p>
    <w:p w:rsidR="008F432E" w:rsidRDefault="00A47635">
      <w:pPr>
        <w:spacing w:after="3" w:line="357" w:lineRule="auto"/>
        <w:ind w:left="-5" w:right="49"/>
      </w:pPr>
      <w:r>
        <w:t>Уровень убедительности рекомендаций В (уровень достоверности доказательств – 2). Комментарии</w:t>
      </w:r>
      <w:r>
        <w:t xml:space="preserve">: </w:t>
      </w:r>
      <w:r>
        <w:t>УВТ это метод лечения с использованием акустических (ударных) волн, которые в</w:t>
      </w:r>
      <w:r>
        <w:t xml:space="preserve"> отличие от звуковых волн характеризуются более высокими амплитудами энергии и малой длительностью импульса. Под воздействием УВТ включается ремоделирование поврежденных тканей за счет стимулирующего воздействия на фибробласты и теноциты, приводяшее к прол</w:t>
      </w:r>
      <w:r>
        <w:t>иферации компонентов внеклеточного матрикса, включая коллаген и глюкозаминогликаны. Ударные волны усиливают микроциркуляцию и ангиогенез, способствуя заживлению тканей, усиливают экспрессию ангиогенных факторов, таких как фактор роста эндотелия сосудов (VE</w:t>
      </w:r>
      <w:r>
        <w:t xml:space="preserve">GF) и фактор роста фибробластов (FGF), что приводит к образованию сосудов и улучшению доставки кислорода к поврежденным тканям [95-98]. В случаях воздействия над областью перелома УВТ вызывает [95-98]: </w:t>
      </w:r>
    </w:p>
    <w:p w:rsidR="008F432E" w:rsidRDefault="00A47635">
      <w:pPr>
        <w:numPr>
          <w:ilvl w:val="0"/>
          <w:numId w:val="5"/>
        </w:numPr>
        <w:spacing w:after="115" w:line="259" w:lineRule="auto"/>
        <w:ind w:right="49" w:firstLine="708"/>
      </w:pPr>
      <w:r>
        <w:t>рост остеобластов посредством остеогенных факторов (р</w:t>
      </w:r>
      <w:r>
        <w:t xml:space="preserve">ост эндотелия сосудов </w:t>
      </w:r>
    </w:p>
    <w:p w:rsidR="008F432E" w:rsidRDefault="00A47635">
      <w:pPr>
        <w:spacing w:after="113" w:line="259" w:lineRule="auto"/>
        <w:ind w:left="-5" w:right="49"/>
      </w:pPr>
      <w:r>
        <w:t xml:space="preserve">А(VEGF-A) и фактора индуцируемый гипоксией Ia, </w:t>
      </w:r>
    </w:p>
    <w:p w:rsidR="008F432E" w:rsidRDefault="00A47635">
      <w:pPr>
        <w:numPr>
          <w:ilvl w:val="0"/>
          <w:numId w:val="5"/>
        </w:numPr>
        <w:spacing w:after="3" w:line="357" w:lineRule="auto"/>
        <w:ind w:right="49" w:firstLine="708"/>
      </w:pPr>
      <w:r>
        <w:t xml:space="preserve">регуляцию и стимуляцию хондрогенеза и регенерацию костной ткани через механизм мезенхимальных стволовых клеток, </w:t>
      </w:r>
    </w:p>
    <w:p w:rsidR="008F432E" w:rsidRDefault="00A47635">
      <w:pPr>
        <w:numPr>
          <w:ilvl w:val="0"/>
          <w:numId w:val="5"/>
        </w:numPr>
        <w:spacing w:after="115" w:line="259" w:lineRule="auto"/>
        <w:ind w:right="49" w:firstLine="708"/>
      </w:pPr>
      <w:r>
        <w:t xml:space="preserve">стимуляцию надкостницы с уменьшением активности остеокластов </w:t>
      </w:r>
    </w:p>
    <w:p w:rsidR="008F432E" w:rsidRDefault="00A47635">
      <w:pPr>
        <w:numPr>
          <w:ilvl w:val="0"/>
          <w:numId w:val="5"/>
        </w:numPr>
        <w:spacing w:after="3" w:line="357" w:lineRule="auto"/>
        <w:ind w:right="49" w:firstLine="708"/>
      </w:pPr>
      <w:r>
        <w:t>пролиферац</w:t>
      </w:r>
      <w:r>
        <w:t xml:space="preserve">ию остеобластов за счет регуляции оксида азота, протеинкиназы В, костно-морфологического белка и др. </w:t>
      </w:r>
    </w:p>
    <w:p w:rsidR="008F432E" w:rsidRDefault="00A47635">
      <w:pPr>
        <w:spacing w:after="239" w:line="357" w:lineRule="auto"/>
        <w:ind w:left="-15" w:right="49" w:firstLine="708"/>
      </w:pPr>
      <w:r>
        <w:t>Таким образом, основываясь на изученных механизмах действия и данных доказательной литературы, УВТ является неинвазивным, безопасным и эффективным методом</w:t>
      </w:r>
      <w:r>
        <w:t xml:space="preserve"> лечения многих заболеваний ОДА, в том числе и в случаях после проведенного реконструктивного лечения. Это ценный и быстро развивающийся метод лечения, который благодаря постоянным исследованиям, будет обладать большим потенциалом для повышения эффективнос</w:t>
      </w:r>
      <w:r>
        <w:t xml:space="preserve">ти лечения многих мышечно-скелетных заболеваний и в первую очередь после проведенного реконструктивного лечения. </w:t>
      </w:r>
    </w:p>
    <w:p w:rsidR="008F432E" w:rsidRDefault="00A47635">
      <w:pPr>
        <w:pStyle w:val="Heading1"/>
        <w:spacing w:after="125"/>
        <w:ind w:left="10" w:right="64"/>
      </w:pPr>
      <w:bookmarkStart w:id="25" w:name="_Toc71500"/>
      <w:r>
        <w:t xml:space="preserve">Профилактика и диспансерное наблюдение, медицинские показания и противопоказания к применению методов профилактики </w:t>
      </w:r>
      <w:bookmarkEnd w:id="25"/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0" w:line="357" w:lineRule="auto"/>
        <w:ind w:left="-15" w:right="54" w:firstLine="708"/>
      </w:pPr>
      <w:r>
        <w:t>Рекомендуется</w:t>
      </w:r>
      <w:r>
        <w:t xml:space="preserve"> профилактика различных осложнений: инфекционных осложнений, нарушений процессов консолидации дистракционного регенерата, формирования стойких контрактур смежных суставов у пациентов после оперативного и консервативного лечения приобретенной деформации кон</w:t>
      </w:r>
      <w:r>
        <w:t>ечности с целью повышения качества жизни и предотвращения осложнений. Профилактикой осложнений является точное выполнение технологии, правильная диагностика противопоказаний к внутренней фиксации, корректное проведение операции и послеоперационного периода</w:t>
      </w:r>
      <w:r>
        <w:t xml:space="preserve">, применение кратковременной иммобилизации, ранняя активная разработка движений в суставах оперированной конечности, и своевременная нагрузка на оперированную конечность [2, 5, 65, 66, 99-100]. </w:t>
      </w:r>
      <w:r>
        <w:t xml:space="preserve"> </w:t>
      </w:r>
    </w:p>
    <w:p w:rsidR="008F432E" w:rsidRDefault="00A47635">
      <w:pPr>
        <w:spacing w:after="348" w:line="266" w:lineRule="auto"/>
        <w:ind w:left="-5" w:right="45"/>
      </w:pPr>
      <w:r>
        <w:t>Уровень убедительности рекомендаций C (уровень достоверности</w:t>
      </w:r>
      <w:r>
        <w:t xml:space="preserve"> доказательств – 5). </w:t>
      </w:r>
    </w:p>
    <w:p w:rsidR="008F432E" w:rsidRDefault="00A47635">
      <w:pPr>
        <w:spacing w:after="3" w:line="357" w:lineRule="auto"/>
        <w:ind w:left="-5" w:right="49"/>
      </w:pPr>
      <w:r>
        <w:t>Комментарии:</w:t>
      </w:r>
      <w:r>
        <w:t xml:space="preserve"> </w:t>
      </w:r>
      <w:r>
        <w:t>Профилактикой инфекционных осложнений является точное выполнение технологии, правильная диагностика противопоказаний к внутренней фиксации (с исключением вмешательств при некупированных местных воспалениях и недиагностиро</w:t>
      </w:r>
      <w:r>
        <w:t>ванных общих хронических инфекциях, а также лабораторно доказанной аллергии к металлам), корректное проведение операции и послеоперационного периода, применение кратковременной иммобилизации, ранняя активная разработка движений в оперированном суставе, и с</w:t>
      </w:r>
      <w:r>
        <w:t>воевременная нагрузка на оперированную конечность, строгое соблюдение правил асептики, выполнение периоперационной антибиотикопрофилактики. С целью профилактики металлоза целесообразно применение винтов и пластины из однородного металла и из одного набора.</w:t>
      </w:r>
      <w:r>
        <w:t xml:space="preserve"> Случайное применение винтов из разного металла может приводить к металлозу и позднему нагноению вследствие электрохимического конфликта контактирующих элементов [99-100].  </w:t>
      </w:r>
    </w:p>
    <w:p w:rsidR="008F432E" w:rsidRDefault="00A47635">
      <w:pPr>
        <w:spacing w:after="11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2" w:line="358" w:lineRule="auto"/>
        <w:ind w:left="-15" w:right="288" w:firstLine="708"/>
      </w:pPr>
      <w:r>
        <w:t>Диспансерный прием (осмотр, консультация) врача-травматолога-ортопеда (диспансер</w:t>
      </w:r>
      <w:r>
        <w:t xml:space="preserve">ный прием (осмотр, консультация) врача – хирурга / диспансерный прием (осмотр, консультация) врача - детского хирурга) </w:t>
      </w:r>
      <w:r>
        <w:t>рекомендуется</w:t>
      </w:r>
      <w:r>
        <w:t xml:space="preserve"> всем пациентам после оперативного и консервативного стационарного лечения после коррекции приобретенной деформации в сочета</w:t>
      </w:r>
      <w:r>
        <w:t xml:space="preserve">ние с удлинением конечности с целью контроля консолидации и процесса восстановления функции конечности [2, 94].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</w:t>
      </w:r>
      <w:r>
        <w:t>–</w:t>
      </w:r>
      <w:r>
        <w:t xml:space="preserve"> </w:t>
      </w:r>
    </w:p>
    <w:p w:rsidR="008F432E" w:rsidRDefault="00A47635">
      <w:pPr>
        <w:spacing w:after="107" w:line="266" w:lineRule="auto"/>
        <w:ind w:left="-5" w:right="45"/>
      </w:pPr>
      <w:r>
        <w:t xml:space="preserve">5). </w:t>
      </w:r>
    </w:p>
    <w:p w:rsidR="008F432E" w:rsidRDefault="00A47635">
      <w:pPr>
        <w:spacing w:after="1" w:line="358" w:lineRule="auto"/>
        <w:ind w:left="-15" w:right="54" w:firstLine="708"/>
      </w:pPr>
      <w:r>
        <w:t xml:space="preserve">Диспансерный прием </w:t>
      </w:r>
      <w:r>
        <w:t>рекомендуется</w:t>
      </w:r>
      <w:r>
        <w:t xml:space="preserve"> проводить в период 3, 6 и 1</w:t>
      </w:r>
      <w:r>
        <w:t xml:space="preserve">2 месяцев после лечения, а также в отдаленный период более 1 года после операции [2, 94]. </w:t>
      </w:r>
    </w:p>
    <w:p w:rsidR="008F432E" w:rsidRDefault="00A47635">
      <w:pPr>
        <w:spacing w:after="107" w:line="266" w:lineRule="auto"/>
        <w:ind w:left="-5" w:right="45"/>
      </w:pPr>
      <w:r>
        <w:t xml:space="preserve">Уровень убедительности рекомендаций С (уровень достоверности доказательств </w:t>
      </w:r>
      <w:r>
        <w:t>–</w:t>
      </w:r>
      <w:r>
        <w:t xml:space="preserve"> </w:t>
      </w:r>
    </w:p>
    <w:p w:rsidR="008F432E" w:rsidRDefault="00A47635">
      <w:pPr>
        <w:spacing w:after="107" w:line="266" w:lineRule="auto"/>
        <w:ind w:left="-5" w:right="45"/>
      </w:pPr>
      <w:r>
        <w:t xml:space="preserve">5). </w:t>
      </w:r>
    </w:p>
    <w:p w:rsidR="008F432E" w:rsidRDefault="00A47635">
      <w:pPr>
        <w:spacing w:after="200" w:line="357" w:lineRule="auto"/>
        <w:ind w:left="-5" w:right="290"/>
      </w:pPr>
      <w:r>
        <w:t>Комментарии:</w:t>
      </w:r>
      <w:r>
        <w:t xml:space="preserve"> </w:t>
      </w:r>
      <w:r>
        <w:t>Пациентам необходимонаблюдаться в поликлинике (травмпункте) у врача-травматолога-ортопеда до достижения полной консолидации и принятия решения об удалении (или оставлении) имплантата. По достижении консолидации и восстановления функции оперированного сегме</w:t>
      </w:r>
      <w:r>
        <w:t>нта пациент с наблюдения снимается [2, 94].</w:t>
      </w:r>
      <w:r>
        <w:t xml:space="preserve"> </w:t>
      </w:r>
    </w:p>
    <w:p w:rsidR="008F432E" w:rsidRDefault="00A47635">
      <w:pPr>
        <w:pStyle w:val="Heading1"/>
        <w:spacing w:after="10"/>
        <w:ind w:left="240" w:right="69" w:hanging="240"/>
      </w:pPr>
      <w:bookmarkStart w:id="26" w:name="_Toc71501"/>
      <w:r>
        <w:t xml:space="preserve">Организация оказания медицинской помощи </w:t>
      </w:r>
      <w:bookmarkEnd w:id="26"/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32" w:line="356" w:lineRule="auto"/>
        <w:ind w:left="-15" w:right="54" w:firstLine="720"/>
      </w:pPr>
      <w:r>
        <w:t xml:space="preserve">Этапы оказания медицинской помощи у пациентов с приобретенными деформациями нижних конечностей: </w:t>
      </w:r>
    </w:p>
    <w:p w:rsidR="008F432E" w:rsidRDefault="00A47635">
      <w:pPr>
        <w:numPr>
          <w:ilvl w:val="0"/>
          <w:numId w:val="6"/>
        </w:numPr>
        <w:ind w:right="54" w:hanging="365"/>
      </w:pPr>
      <w:r>
        <w:t xml:space="preserve">первичная доврачебная медико-санитарная помощь; </w:t>
      </w:r>
    </w:p>
    <w:p w:rsidR="008F432E" w:rsidRDefault="00A47635">
      <w:pPr>
        <w:numPr>
          <w:ilvl w:val="0"/>
          <w:numId w:val="6"/>
        </w:numPr>
        <w:ind w:right="54" w:hanging="365"/>
      </w:pPr>
      <w:r>
        <w:t xml:space="preserve">первичная врачебная медико-санитарная помощь; </w:t>
      </w:r>
    </w:p>
    <w:p w:rsidR="008F432E" w:rsidRDefault="00A47635">
      <w:pPr>
        <w:numPr>
          <w:ilvl w:val="0"/>
          <w:numId w:val="6"/>
        </w:numPr>
        <w:ind w:right="54" w:hanging="365"/>
      </w:pPr>
      <w:r>
        <w:t xml:space="preserve">первичная специализированная медико-санитарная помощь; </w:t>
      </w:r>
    </w:p>
    <w:p w:rsidR="008F432E" w:rsidRDefault="00A47635">
      <w:pPr>
        <w:numPr>
          <w:ilvl w:val="0"/>
          <w:numId w:val="6"/>
        </w:numPr>
        <w:ind w:right="54" w:hanging="365"/>
      </w:pPr>
      <w:r>
        <w:t xml:space="preserve">скорая, в том числе скорая специализированная, медицинская помощь; </w:t>
      </w:r>
    </w:p>
    <w:p w:rsidR="008F432E" w:rsidRDefault="00A47635">
      <w:pPr>
        <w:numPr>
          <w:ilvl w:val="0"/>
          <w:numId w:val="6"/>
        </w:numPr>
        <w:ind w:right="54" w:hanging="365"/>
      </w:pPr>
      <w:r>
        <w:t xml:space="preserve">специализированная, в том числе высокотехнологичная, медицинская помощь. </w:t>
      </w:r>
    </w:p>
    <w:p w:rsidR="008F432E" w:rsidRDefault="00A47635">
      <w:pPr>
        <w:spacing w:after="247" w:line="259" w:lineRule="auto"/>
        <w:ind w:left="0" w:right="6" w:firstLine="0"/>
        <w:jc w:val="center"/>
      </w:pPr>
      <w:r>
        <w:t xml:space="preserve"> </w:t>
      </w:r>
    </w:p>
    <w:p w:rsidR="008F432E" w:rsidRDefault="00A47635">
      <w:pPr>
        <w:pStyle w:val="Heading1"/>
        <w:spacing w:after="114" w:line="259" w:lineRule="auto"/>
        <w:ind w:left="360" w:right="45" w:hanging="360"/>
        <w:jc w:val="right"/>
      </w:pPr>
      <w:bookmarkStart w:id="27" w:name="_Toc71502"/>
      <w:r>
        <w:t>Дополните</w:t>
      </w:r>
      <w:r>
        <w:t>льная информация (в том числе факторы, влияющие на исход забо-</w:t>
      </w:r>
      <w:bookmarkEnd w:id="27"/>
    </w:p>
    <w:p w:rsidR="008F432E" w:rsidRDefault="00A47635">
      <w:pPr>
        <w:pStyle w:val="Heading1"/>
        <w:numPr>
          <w:ilvl w:val="0"/>
          <w:numId w:val="0"/>
        </w:numPr>
        <w:spacing w:after="125"/>
        <w:ind w:left="668"/>
      </w:pPr>
      <w:bookmarkStart w:id="28" w:name="_Toc71503"/>
      <w:r>
        <w:t xml:space="preserve">левания или состояния) </w:t>
      </w:r>
      <w:bookmarkEnd w:id="28"/>
    </w:p>
    <w:p w:rsidR="008F432E" w:rsidRDefault="00A47635">
      <w:pPr>
        <w:spacing w:line="357" w:lineRule="auto"/>
        <w:ind w:left="-15" w:right="54" w:firstLine="708"/>
      </w:pPr>
      <w:r>
        <w:t xml:space="preserve">Для оценки исходов лечения у пациентов с приобретенными деформациями нижних конечностей разработаны вопросники, позволяющие оценить (а) функциональный результат лечения и (б) качество жизни пациента, связанное со здоровьем: </w:t>
      </w:r>
    </w:p>
    <w:p w:rsidR="008F432E" w:rsidRDefault="00A47635">
      <w:pPr>
        <w:numPr>
          <w:ilvl w:val="0"/>
          <w:numId w:val="7"/>
        </w:numPr>
        <w:spacing w:after="6" w:line="358" w:lineRule="auto"/>
        <w:ind w:right="54"/>
      </w:pPr>
      <w:r>
        <w:t>Опросник SF-36 [101] – оценка к</w:t>
      </w:r>
      <w:r>
        <w:t xml:space="preserve">ачества жизни, связанного со здоровьем, у взрослых. </w:t>
      </w:r>
    </w:p>
    <w:p w:rsidR="008F432E" w:rsidRDefault="00A47635">
      <w:pPr>
        <w:numPr>
          <w:ilvl w:val="0"/>
          <w:numId w:val="7"/>
        </w:numPr>
        <w:spacing w:after="0" w:line="358" w:lineRule="auto"/>
        <w:ind w:right="54"/>
      </w:pPr>
      <w:r>
        <w:t xml:space="preserve">Опросники PedsQL 4.0 Generic Core Scales [102] – оценка качества жизни, связанногосо здоровьем детей (в рамках данных ФКР возраст от 13 до 18 лет). </w:t>
      </w:r>
    </w:p>
    <w:p w:rsidR="008F432E" w:rsidRDefault="00A47635">
      <w:pPr>
        <w:spacing w:line="356" w:lineRule="auto"/>
        <w:ind w:left="-15" w:right="54" w:firstLine="708"/>
      </w:pPr>
      <w:r>
        <w:t>Данные вопросники переведены на русский язык, опублико</w:t>
      </w:r>
      <w:r>
        <w:t xml:space="preserve">ваны исследования по валидации переводов (см. Приложение Г1-ГN).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spacing w:after="130"/>
        <w:ind w:left="10" w:right="69"/>
      </w:pPr>
      <w:bookmarkStart w:id="29" w:name="_Toc71504"/>
      <w:r>
        <w:t>Критерии оценки качества медицинской помощи</w:t>
      </w:r>
      <w:r>
        <w:rPr>
          <w:sz w:val="22"/>
        </w:rPr>
        <w:t xml:space="preserve"> </w:t>
      </w:r>
      <w:bookmarkEnd w:id="29"/>
    </w:p>
    <w:p w:rsidR="008F432E" w:rsidRDefault="00A47635">
      <w:pPr>
        <w:spacing w:after="0"/>
        <w:ind w:left="-15" w:right="54" w:firstLine="708"/>
      </w:pPr>
      <w:r>
        <w:t>Критерии оценки качества медицинской помощи пациентов с приобретенными деформациями нижних конечностей (коды по МКБ-10 M21, М95.8, М99.9 и др.)</w:t>
      </w:r>
      <w:r>
        <w:t xml:space="preserve">. </w:t>
      </w:r>
    </w:p>
    <w:tbl>
      <w:tblPr>
        <w:tblStyle w:val="TableGrid"/>
        <w:tblW w:w="9125" w:type="dxa"/>
        <w:tblInd w:w="-264" w:type="dxa"/>
        <w:tblCellMar>
          <w:top w:w="76" w:type="dxa"/>
          <w:left w:w="14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1010"/>
        <w:gridCol w:w="6341"/>
        <w:gridCol w:w="1774"/>
      </w:tblGrid>
      <w:tr w:rsidR="008F432E">
        <w:trPr>
          <w:trHeight w:val="593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7" w:firstLine="0"/>
              <w:jc w:val="center"/>
            </w:pPr>
            <w:r>
              <w:t xml:space="preserve">№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8" w:firstLine="0"/>
              <w:jc w:val="center"/>
            </w:pPr>
            <w:r>
              <w:t xml:space="preserve">Критерии качества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348" w:hanging="142"/>
              <w:jc w:val="left"/>
            </w:pPr>
            <w:r>
              <w:t xml:space="preserve"> Оценка выполнения</w:t>
            </w:r>
            <w:r>
              <w:t xml:space="preserve"> </w:t>
            </w:r>
          </w:p>
        </w:tc>
      </w:tr>
      <w:tr w:rsidR="008F432E">
        <w:trPr>
          <w:trHeight w:val="869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Выполнен прием (осмотр, консультация) врача-травматолога-ортопеда первичный или прием (осмотр, консультация) врача-хирурга/врача-детского хирурга первичный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1421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Выполнена панорамная рентгенограмма («телерентгенорамма») (рентгенография нижней конечности) стоя с нагрузкой в прямой и боковой проекциях (при технической невозможности выполнения - допустимо выполнение рентгенограмм сегментарно)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593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>Выполнено об</w:t>
            </w:r>
            <w:r>
              <w:t xml:space="preserve">езболивание (при отсутствии медицинских противопоказаний)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1142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При подозрении на наличие торсионного компонента деформации, при сомнении в степени консолидации костных фрагментов выполнена компьютерная томография нижней конечности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1697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Выполнена реконструктивная операция со стабильным остеосинтезом конечности АВФ, интрамедуллярным стержнем или пластиной и винтами или выполнено открытое хирургическое вмешательство с костной пластикой и стабильным остеосинтезом кости АВФ, интрамедуллярным </w:t>
            </w:r>
            <w:r>
              <w:t xml:space="preserve">стержнем или пластиной и винтами.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317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Проведена хирургическая антибиотикопрофилактика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866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34" w:firstLine="0"/>
            </w:pPr>
            <w:r>
              <w:t xml:space="preserve">Проведена оценка риска венозных тромбоэмболических осложнений и при наличии показаний профилактика тромбоэмболии легочной артерии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  <w:tr w:rsidR="008F432E">
        <w:trPr>
          <w:trHeight w:val="593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Выполнены услуги индивидуальной программы реабилитации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t xml:space="preserve">Да/нет </w:t>
            </w:r>
          </w:p>
        </w:tc>
      </w:tr>
    </w:tbl>
    <w:p w:rsidR="008F432E" w:rsidRDefault="00A47635">
      <w:pPr>
        <w:spacing w:after="0" w:line="259" w:lineRule="auto"/>
        <w:ind w:left="0" w:firstLine="0"/>
      </w:pPr>
      <w:r>
        <w:rPr>
          <w:color w:val="0070C0"/>
        </w:rPr>
        <w:t xml:space="preserve"> </w:t>
      </w:r>
      <w:r>
        <w:br w:type="page"/>
      </w:r>
    </w:p>
    <w:p w:rsidR="008F432E" w:rsidRDefault="00A47635">
      <w:pPr>
        <w:pStyle w:val="Heading1"/>
        <w:numPr>
          <w:ilvl w:val="0"/>
          <w:numId w:val="0"/>
        </w:numPr>
        <w:ind w:left="10" w:right="65"/>
      </w:pPr>
      <w:bookmarkStart w:id="30" w:name="_Toc71505"/>
      <w:r>
        <w:t xml:space="preserve">Список литературы </w:t>
      </w:r>
      <w:bookmarkEnd w:id="30"/>
    </w:p>
    <w:p w:rsidR="008F432E" w:rsidRDefault="00A47635">
      <w:pPr>
        <w:numPr>
          <w:ilvl w:val="0"/>
          <w:numId w:val="8"/>
        </w:numPr>
        <w:spacing w:after="11"/>
        <w:ind w:right="54"/>
      </w:pPr>
      <w:r>
        <w:t xml:space="preserve">Корнилов Н.В. Организация и совершенствование травматолого-ортопедической службы России / Н.В. Корнилов, К.И. Шапиро// Анналы травматологии и ортопедии. -1996. - № 3(9). – С. 5-7. </w:t>
      </w:r>
    </w:p>
    <w:p w:rsidR="008F432E" w:rsidRDefault="00A47635">
      <w:pPr>
        <w:numPr>
          <w:ilvl w:val="0"/>
          <w:numId w:val="8"/>
        </w:numPr>
        <w:spacing w:after="14"/>
        <w:ind w:right="54"/>
      </w:pPr>
      <w:r>
        <w:t>Травматология: Национальное руководство / Г.П. Котельников, С.П. Миронов, р</w:t>
      </w:r>
      <w:r>
        <w:t xml:space="preserve">ед. – М.: ГЭОТАР-Медиа; 2008. – 820 с. </w:t>
      </w:r>
    </w:p>
    <w:p w:rsidR="008F432E" w:rsidRDefault="00A47635">
      <w:pPr>
        <w:numPr>
          <w:ilvl w:val="0"/>
          <w:numId w:val="8"/>
        </w:numPr>
        <w:spacing w:after="12"/>
        <w:ind w:right="54"/>
      </w:pPr>
      <w:r>
        <w:t xml:space="preserve">Миронов С.П., Какорина Е.П., Андреева Т.М., Огрызко Е.В. Состояние травматолого-ортопедической помощи населению Российской Федерации // Вестник травматологии и ортопедии им. Н.Н. Приорова 2007;(3):3-10. </w:t>
      </w:r>
    </w:p>
    <w:p w:rsidR="008F432E" w:rsidRDefault="00A47635">
      <w:pPr>
        <w:numPr>
          <w:ilvl w:val="0"/>
          <w:numId w:val="8"/>
        </w:numPr>
        <w:spacing w:after="11"/>
        <w:ind w:right="54"/>
      </w:pPr>
      <w:r>
        <w:t>Травматологи</w:t>
      </w:r>
      <w:r>
        <w:t xml:space="preserve">я и ортопедия детского и подросткового возраста. Клинические рекомендации / под ред. С. П. Миронова. - М. : ГЭОТАР-Медиа, 2017. -416 с. </w:t>
      </w:r>
    </w:p>
    <w:p w:rsidR="008F432E" w:rsidRDefault="00A47635">
      <w:pPr>
        <w:numPr>
          <w:ilvl w:val="0"/>
          <w:numId w:val="8"/>
        </w:numPr>
        <w:spacing w:after="12"/>
        <w:ind w:right="54"/>
      </w:pPr>
      <w:r>
        <w:t xml:space="preserve">Шаповалов В.М. Военная травматология и ортопедия: Учебник / В.М. Шаповалов. – СПб, 2004. – 672 с. </w:t>
      </w:r>
    </w:p>
    <w:p w:rsidR="008F432E" w:rsidRDefault="00A47635">
      <w:pPr>
        <w:numPr>
          <w:ilvl w:val="0"/>
          <w:numId w:val="8"/>
        </w:numPr>
        <w:spacing w:after="11"/>
        <w:ind w:right="54"/>
      </w:pPr>
      <w:r>
        <w:t>Yeo A., Ramachandran</w:t>
      </w:r>
      <w:r>
        <w:t xml:space="preserve"> M. Acute haematogenous osteomyelitis in children //Bmj. – 2014. – Т. 348. 7.</w:t>
      </w:r>
      <w:r>
        <w:t xml:space="preserve"> </w:t>
      </w:r>
      <w:r>
        <w:t xml:space="preserve">Arnold J. C., Bradley J. S. Osteoarticular infections in children //Infectious Disease Clinics. – 2015. – Т. 29. – №. 3. – С. 557-574. </w:t>
      </w:r>
    </w:p>
    <w:p w:rsidR="008F432E" w:rsidRDefault="00A47635">
      <w:pPr>
        <w:numPr>
          <w:ilvl w:val="0"/>
          <w:numId w:val="9"/>
        </w:numPr>
        <w:spacing w:after="11"/>
        <w:ind w:right="54" w:hanging="708"/>
      </w:pPr>
      <w:r>
        <w:t>Зырянов С.Я. Критерии оценки результатов л</w:t>
      </w:r>
      <w:r>
        <w:t xml:space="preserve">ечения больных с множественными деформациями нижних конечностей при одновременной коррекции оси аппаратом Илизарова // Гений ортопедии. – 2000; 2: 117–8. </w:t>
      </w:r>
    </w:p>
    <w:p w:rsidR="008F432E" w:rsidRDefault="00A47635">
      <w:pPr>
        <w:numPr>
          <w:ilvl w:val="0"/>
          <w:numId w:val="9"/>
        </w:numPr>
        <w:spacing w:after="6"/>
        <w:ind w:right="54" w:hanging="708"/>
      </w:pPr>
      <w:r>
        <w:t xml:space="preserve">Тропин Д.В., Тропин В.И., Чертищев А.А., Гвоздев Н.С., Попков Д.А. Влияние эластичного интрамедуллярного армирования на удлинение нижних конечностей при приобретенных укорочениях: проспективное исследование. Гений ортопедии. 2024;30(4):522-532. doi: </w:t>
      </w:r>
    </w:p>
    <w:p w:rsidR="008F432E" w:rsidRDefault="00A47635">
      <w:pPr>
        <w:spacing w:after="14"/>
        <w:ind w:left="-5" w:right="54"/>
      </w:pPr>
      <w:r>
        <w:t>10.18</w:t>
      </w:r>
      <w:r>
        <w:t xml:space="preserve">019/1028-4427-2024-30-4-522-532 </w:t>
      </w:r>
    </w:p>
    <w:p w:rsidR="008F432E" w:rsidRDefault="00A47635">
      <w:pPr>
        <w:numPr>
          <w:ilvl w:val="0"/>
          <w:numId w:val="9"/>
        </w:numPr>
        <w:spacing w:after="12"/>
        <w:ind w:right="54" w:hanging="708"/>
      </w:pPr>
      <w:r>
        <w:t xml:space="preserve">Ceroni D, Valaikaite R, Grumetz C, et al. Corrective surgery for lower limb length discrepancy and malalignment in paediatric orthopaedics. Rev Med Suisse. 2017;13(550):427-432. (In French) </w:t>
      </w:r>
    </w:p>
    <w:p w:rsidR="008F432E" w:rsidRDefault="00A47635">
      <w:pPr>
        <w:numPr>
          <w:ilvl w:val="0"/>
          <w:numId w:val="9"/>
        </w:numPr>
        <w:spacing w:after="33"/>
        <w:ind w:right="54" w:hanging="708"/>
      </w:pPr>
      <w:r>
        <w:t>McClure PK, Herzenberg JE. The N</w:t>
      </w:r>
      <w:r>
        <w:t xml:space="preserve">atural History of Lower Extremity Malalignment. J Pediatr Orthop. 2019;39(Issue 6, Supplement 1 Suppl 1):S14-S19. doi: 10.1097/BPO.0000000000001361 </w:t>
      </w:r>
    </w:p>
    <w:p w:rsidR="008F432E" w:rsidRDefault="00A47635">
      <w:pPr>
        <w:numPr>
          <w:ilvl w:val="0"/>
          <w:numId w:val="9"/>
        </w:numPr>
        <w:spacing w:after="12"/>
        <w:ind w:right="54" w:hanging="708"/>
      </w:pPr>
      <w:r>
        <w:t xml:space="preserve">Walter N. et al. The epidemiology of osteomyelitis in children //Children. – 2021. – Т. 8. – №. </w:t>
      </w:r>
    </w:p>
    <w:p w:rsidR="008F432E" w:rsidRDefault="00A47635">
      <w:pPr>
        <w:spacing w:after="16"/>
        <w:ind w:left="-5" w:right="54"/>
      </w:pPr>
      <w:r>
        <w:t>11. – С. 1</w:t>
      </w:r>
      <w:r>
        <w:t xml:space="preserve">000. </w:t>
      </w:r>
    </w:p>
    <w:p w:rsidR="008F432E" w:rsidRDefault="00A47635">
      <w:pPr>
        <w:numPr>
          <w:ilvl w:val="0"/>
          <w:numId w:val="10"/>
        </w:numPr>
        <w:spacing w:after="12"/>
        <w:ind w:right="54"/>
      </w:pPr>
      <w:r>
        <w:t xml:space="preserve">Ceroni D. et al. Primary epiphyseal or apophyseal subacute osteomyelitis in the pediatric population: a report of fourteen cases and a systematic review of the literature //JBJS. – 2014. – Т. 96. – №. 18. – С. 1570-1575. </w:t>
      </w:r>
    </w:p>
    <w:p w:rsidR="008F432E" w:rsidRDefault="00A47635">
      <w:pPr>
        <w:numPr>
          <w:ilvl w:val="0"/>
          <w:numId w:val="10"/>
        </w:numPr>
        <w:spacing w:after="32"/>
        <w:ind w:right="54"/>
      </w:pPr>
      <w:r>
        <w:t>Cochard B. et al. Transphyse</w:t>
      </w:r>
      <w:r>
        <w:t>al hematogenous osteomyelitis: an epidemiological, bacteriological, and radiological retrospective cohort analysis //Microorganisms. – 2023. – Т. 11. – №. 4. – С. 894. 15.</w:t>
      </w:r>
      <w:r>
        <w:t xml:space="preserve"> </w:t>
      </w:r>
      <w:r>
        <w:t>Weiss RJ, Montgomery SM, Al Dabbagh Z, Jansson KA. National data of 6409 Swedish inp</w:t>
      </w:r>
      <w:r>
        <w:t xml:space="preserve">atients with femoral shaft fractures: stable incidence between 1998 and 2004. Injury. 2009;40:304–8. </w:t>
      </w:r>
    </w:p>
    <w:p w:rsidR="008F432E" w:rsidRDefault="00A47635">
      <w:pPr>
        <w:numPr>
          <w:ilvl w:val="0"/>
          <w:numId w:val="11"/>
        </w:numPr>
        <w:spacing w:after="11"/>
        <w:ind w:right="54"/>
      </w:pPr>
      <w:r>
        <w:t xml:space="preserve">Court-Brown CM, McBirnie J. The epidemiology of tibial fractures. J Bone Joint Surg (Br). 1995;77:417–21. </w:t>
      </w:r>
    </w:p>
    <w:p w:rsidR="008F432E" w:rsidRDefault="00A47635">
      <w:pPr>
        <w:numPr>
          <w:ilvl w:val="0"/>
          <w:numId w:val="11"/>
        </w:numPr>
        <w:spacing w:after="12"/>
        <w:ind w:right="54"/>
      </w:pPr>
      <w:r>
        <w:t>Milner SA, Davis TR, Muir KR, Greenwood DC, Doh</w:t>
      </w:r>
      <w:r>
        <w:t xml:space="preserve">erty M. Long-term outcome after tibial shaft fracture: is malunion important? J Bone Joint Surg Am. 2002;84-A:971–80. </w:t>
      </w:r>
    </w:p>
    <w:p w:rsidR="008F432E" w:rsidRDefault="00A47635">
      <w:pPr>
        <w:numPr>
          <w:ilvl w:val="0"/>
          <w:numId w:val="11"/>
        </w:numPr>
        <w:ind w:right="54"/>
      </w:pPr>
      <w:r>
        <w:t>Ning P. et al. Prognosis of transphyseal hematogenous osteomyelitis in children: three case reports and a literature review //BMC Musculo</w:t>
      </w:r>
      <w:r>
        <w:t>skeletal Disorders. – 2025. – Т. 26. – №. 1. – С. 237. 19.</w:t>
      </w:r>
      <w:r>
        <w:t xml:space="preserve"> </w:t>
      </w:r>
      <w:r>
        <w:t xml:space="preserve">Wu, CC. Retrograde dynamic locked nailing for valgus knee correction: a revised technique / </w:t>
      </w:r>
    </w:p>
    <w:p w:rsidR="008F432E" w:rsidRDefault="00A47635">
      <w:pPr>
        <w:spacing w:after="37"/>
        <w:ind w:left="-5" w:right="54"/>
      </w:pPr>
      <w:r>
        <w:t xml:space="preserve">C.C. Wu // Int Orthop. – 2012. – Vol. 36, N 6. –P. 1191-1197 </w:t>
      </w:r>
    </w:p>
    <w:p w:rsidR="008F432E" w:rsidRDefault="00A47635">
      <w:pPr>
        <w:numPr>
          <w:ilvl w:val="0"/>
          <w:numId w:val="12"/>
        </w:numPr>
        <w:spacing w:after="32"/>
        <w:ind w:right="54"/>
      </w:pPr>
      <w:r>
        <w:t xml:space="preserve">Koval K, Zuckerman J. Handbook of Fractures. 3rd ed. Philadelphia: Lippincott Williams and Wilkins; 2006. p. 394. </w:t>
      </w:r>
    </w:p>
    <w:p w:rsidR="008F432E" w:rsidRDefault="00A47635">
      <w:pPr>
        <w:numPr>
          <w:ilvl w:val="0"/>
          <w:numId w:val="12"/>
        </w:numPr>
        <w:spacing w:after="13"/>
        <w:ind w:right="54"/>
      </w:pPr>
      <w:r>
        <w:t xml:space="preserve">Winguist RA. Closed intramedullary osteotomies of the femur. Clin Orthop. 1986;212:155–64. </w:t>
      </w:r>
    </w:p>
    <w:p w:rsidR="008F432E" w:rsidRDefault="00A47635">
      <w:pPr>
        <w:numPr>
          <w:ilvl w:val="0"/>
          <w:numId w:val="12"/>
        </w:numPr>
        <w:spacing w:after="12"/>
        <w:ind w:right="54"/>
      </w:pPr>
      <w:r>
        <w:t>Об утверждении Положения о военно-врачебной экспе</w:t>
      </w:r>
      <w:r>
        <w:t xml:space="preserve">ртизе: постановление Правительства РФ от 4 июля 2013 г. </w:t>
      </w:r>
    </w:p>
    <w:p w:rsidR="008F432E" w:rsidRDefault="00A47635">
      <w:pPr>
        <w:numPr>
          <w:ilvl w:val="0"/>
          <w:numId w:val="12"/>
        </w:numPr>
        <w:spacing w:after="11"/>
        <w:ind w:right="54"/>
      </w:pPr>
      <w:r>
        <w:t xml:space="preserve">Ключевский В.В. Хирургия повреждений: Руководство для хирургов и травматологов районных больниц / В.В. Ключевский. – Рыбинск: «ОАО Рыбинский дом печати», 2004. – 784 с. </w:t>
      </w:r>
    </w:p>
    <w:p w:rsidR="008F432E" w:rsidRDefault="00A47635">
      <w:pPr>
        <w:numPr>
          <w:ilvl w:val="0"/>
          <w:numId w:val="12"/>
        </w:numPr>
        <w:spacing w:after="12"/>
        <w:ind w:right="54"/>
      </w:pPr>
      <w:r>
        <w:t>Маркс В.О. Ортопедическая диа</w:t>
      </w:r>
      <w:r>
        <w:t xml:space="preserve">гностика: Руководство-справочник / В.О. Маркс. – Минск: Наука и техника, 1978. – 512 c. </w:t>
      </w:r>
    </w:p>
    <w:p w:rsidR="008F432E" w:rsidRDefault="00A47635">
      <w:pPr>
        <w:numPr>
          <w:ilvl w:val="0"/>
          <w:numId w:val="12"/>
        </w:numPr>
        <w:spacing w:after="11"/>
        <w:ind w:right="54"/>
      </w:pPr>
      <w:r>
        <w:t xml:space="preserve">Герасимов А.М. Биохимическая диагностика в травматологии и ортопедии / А.М. Герасимов, Л.Н. Фурцева. – М.: Медицина, 1986. – 234 с. </w:t>
      </w:r>
    </w:p>
    <w:p w:rsidR="008F432E" w:rsidRDefault="00A47635">
      <w:pPr>
        <w:numPr>
          <w:ilvl w:val="0"/>
          <w:numId w:val="12"/>
        </w:numPr>
        <w:spacing w:after="12"/>
        <w:ind w:right="54"/>
      </w:pPr>
      <w:r>
        <w:t xml:space="preserve">Рейнберг С.А. Рентгенодиагностика </w:t>
      </w:r>
      <w:r>
        <w:t xml:space="preserve">заболеваний костей и суставов: в 2-х т. / С.А. Рейнберг. – М.: Медицина, 1964. </w:t>
      </w:r>
    </w:p>
    <w:p w:rsidR="008F432E" w:rsidRDefault="00A47635">
      <w:pPr>
        <w:numPr>
          <w:ilvl w:val="0"/>
          <w:numId w:val="12"/>
        </w:numPr>
        <w:spacing w:after="11"/>
        <w:ind w:right="54"/>
      </w:pPr>
      <w:r>
        <w:t>Артемьев, А.А. Эстетическая и реконструктивная хирургия нижних конечностей / А.А.Артемьев, Д.М.Архипов, Ю.Г.Барановский; под ред. А.А.Артемьева. – М.: ГЭОТАР-Медиа, 2008. – 248</w:t>
      </w:r>
      <w:r>
        <w:t xml:space="preserve"> с. </w:t>
      </w:r>
    </w:p>
    <w:p w:rsidR="008F432E" w:rsidRDefault="00A47635">
      <w:pPr>
        <w:numPr>
          <w:ilvl w:val="0"/>
          <w:numId w:val="12"/>
        </w:numPr>
        <w:spacing w:after="11"/>
        <w:ind w:right="54"/>
      </w:pPr>
      <w:r>
        <w:t xml:space="preserve">Paley, D. Mechanical axis deviation of the lower limbs: Preoperative planning of uniapical angular deformities of the tibia or femur. / Paley D., Tetsworth K. // Clin. Orthop. – 1992. - 280. – Р. 48-64. </w:t>
      </w:r>
    </w:p>
    <w:p w:rsidR="008F432E" w:rsidRDefault="00A47635">
      <w:pPr>
        <w:numPr>
          <w:ilvl w:val="0"/>
          <w:numId w:val="12"/>
        </w:numPr>
        <w:spacing w:after="12"/>
        <w:ind w:right="54"/>
      </w:pPr>
      <w:r>
        <w:t>Paley, D. Principles of deformity correction. /</w:t>
      </w:r>
      <w:r>
        <w:t xml:space="preserve"> D. Paley. – New York : Springer-Verlag, 2005. – 806 p </w:t>
      </w:r>
    </w:p>
    <w:p w:rsidR="008F432E" w:rsidRDefault="00A47635">
      <w:pPr>
        <w:numPr>
          <w:ilvl w:val="0"/>
          <w:numId w:val="12"/>
        </w:numPr>
        <w:spacing w:after="14"/>
        <w:ind w:right="54"/>
      </w:pPr>
      <w:r>
        <w:t xml:space="preserve">Paley D., Herzenberg J.E., Tetsworth K. Deformity planning for frontal and sagital plane corrective osteotomies. Orthop Clin North Am. 1994; 25:425-466 </w:t>
      </w:r>
    </w:p>
    <w:p w:rsidR="008F432E" w:rsidRDefault="00A47635">
      <w:pPr>
        <w:numPr>
          <w:ilvl w:val="0"/>
          <w:numId w:val="12"/>
        </w:numPr>
        <w:spacing w:after="12"/>
        <w:ind w:right="54"/>
      </w:pPr>
      <w:r>
        <w:t>Определение референтных линий и углов длинных т</w:t>
      </w:r>
      <w:r>
        <w:t xml:space="preserve">рубчатых костей : пособие для врачей / РНИИТО им. Р.Р.Вредена ; сост.: Л.Н. Соломин, Е.А.  Щепкина, П.Н. Кулеш, К.Л. Корчагин, А.А. Лоздовский, П.В. Скоморошко. СПб, 2010. 48 с.  </w:t>
      </w:r>
    </w:p>
    <w:p w:rsidR="008F432E" w:rsidRDefault="00A47635">
      <w:pPr>
        <w:numPr>
          <w:ilvl w:val="0"/>
          <w:numId w:val="12"/>
        </w:numPr>
        <w:spacing w:after="11"/>
        <w:ind w:right="54"/>
      </w:pPr>
      <w:r>
        <w:t>Хофер М. Компьютерная томография: Руководство / М. Хофер. – М. Мед. литерату</w:t>
      </w:r>
      <w:r>
        <w:t xml:space="preserve">ра, 2011. – 232 с. </w:t>
      </w:r>
    </w:p>
    <w:p w:rsidR="008F432E" w:rsidRDefault="00A47635">
      <w:pPr>
        <w:numPr>
          <w:ilvl w:val="0"/>
          <w:numId w:val="12"/>
        </w:numPr>
        <w:spacing w:after="3"/>
        <w:ind w:right="54"/>
      </w:pPr>
      <w:r>
        <w:t xml:space="preserve">Головко М.И. Компьютерная томография заболеваний костей и суставов: учеб. пособие / М.И. Головко, А.М. Ходорович, В.В. Доценко, А.Н. Ремизов, Н.Г. Захарян. – М.: РУДН, 2008. </w:t>
      </w:r>
    </w:p>
    <w:p w:rsidR="008F432E" w:rsidRDefault="00A47635">
      <w:pPr>
        <w:spacing w:after="16"/>
        <w:ind w:left="-5" w:right="54"/>
      </w:pPr>
      <w:r>
        <w:t xml:space="preserve">– 159 с. </w:t>
      </w:r>
    </w:p>
    <w:p w:rsidR="008F432E" w:rsidRDefault="00A47635">
      <w:pPr>
        <w:numPr>
          <w:ilvl w:val="0"/>
          <w:numId w:val="13"/>
        </w:numPr>
        <w:spacing w:after="12"/>
        <w:ind w:right="54"/>
      </w:pPr>
      <w:r>
        <w:t xml:space="preserve">Шаповалов В.М., Хоминец В.В., Михайлов С.В., Шакун </w:t>
      </w:r>
      <w:r>
        <w:t xml:space="preserve">Д.А., Туракулов Ф.И. Ревизионные операции при ошибках и неинфекционных осложнениях стабильно-функционального остеосинтеза // Травматология и Ортопедия России 2009;(4):73-80. </w:t>
      </w:r>
    </w:p>
    <w:p w:rsidR="008F432E" w:rsidRDefault="00A47635">
      <w:pPr>
        <w:numPr>
          <w:ilvl w:val="0"/>
          <w:numId w:val="13"/>
        </w:numPr>
        <w:spacing w:after="11"/>
        <w:ind w:right="54"/>
      </w:pPr>
      <w:r>
        <w:t>Navadgi, B.C. A corrective osteotomy for post-traumatic malrotation and shortenin</w:t>
      </w:r>
      <w:r>
        <w:t xml:space="preserve">g of the femur / B.C. Navadgi, J.B. Richardson, V.N. Cassar-Pullicino, R.H. Wade // Injury. – 2004. – Vol. 35. – P. 1248–1254. </w:t>
      </w:r>
    </w:p>
    <w:p w:rsidR="008F432E" w:rsidRDefault="00A47635">
      <w:pPr>
        <w:numPr>
          <w:ilvl w:val="0"/>
          <w:numId w:val="13"/>
        </w:numPr>
        <w:spacing w:after="11"/>
        <w:ind w:right="54"/>
      </w:pPr>
      <w:r>
        <w:t xml:space="preserve">Bar-On, E. Corrective lower limb osteotomies in children using temporary external fixation and percutaneous locking plates / E. </w:t>
      </w:r>
      <w:r>
        <w:t xml:space="preserve">Bar-On, T. Becker, K. Katz, S. Velkes, M. Salai, D.M. Weigl // J Child Orthop. – 2009. – Vol. 3, N 2. P. 137–143 </w:t>
      </w:r>
    </w:p>
    <w:p w:rsidR="008F432E" w:rsidRDefault="00A47635">
      <w:pPr>
        <w:numPr>
          <w:ilvl w:val="0"/>
          <w:numId w:val="13"/>
        </w:numPr>
        <w:spacing w:after="30"/>
        <w:ind w:right="54"/>
      </w:pPr>
      <w:r>
        <w:t xml:space="preserve">Paley, D. Femoral lengthening over an intramedullary nail. A matched-case comparison with Ilizarov femoral lengthening / D. Paley, J.E. Herzenberg, G. Paremain, A. Bhave // J Bone Joint Surg. – 1997. – Vol. 79-A, N 10. – P. 1464-1480. </w:t>
      </w:r>
    </w:p>
    <w:p w:rsidR="008F432E" w:rsidRDefault="00A47635">
      <w:pPr>
        <w:numPr>
          <w:ilvl w:val="0"/>
          <w:numId w:val="13"/>
        </w:numPr>
        <w:spacing w:after="12"/>
        <w:ind w:right="54"/>
      </w:pPr>
      <w:r>
        <w:t>Kocaoglu, M. Complic</w:t>
      </w:r>
      <w:r>
        <w:t xml:space="preserve">ations encountered during lengthening over an intramedullary nail / M. Kocaoglu, L. Eralp, O. Kilicoglu, H. Burc, M. Cakmak // J Bone Joint Surg. – 2004. – Vol. 86-A, N11. – P. 2406-2411. </w:t>
      </w:r>
    </w:p>
    <w:p w:rsidR="008F432E" w:rsidRDefault="00A47635">
      <w:pPr>
        <w:numPr>
          <w:ilvl w:val="0"/>
          <w:numId w:val="13"/>
        </w:numPr>
        <w:spacing w:after="5"/>
        <w:ind w:right="54"/>
      </w:pPr>
      <w:r>
        <w:t>Chang-Wug, O. Minimally invasive plate osteosynthesis to prevent or</w:t>
      </w:r>
      <w:r>
        <w:t xml:space="preserve"> treat the deformity after distraction osteogenesis / O. Chang-Wug, P. Byung-Chul, P. IlHyung, K. Hee-Soo, M. Woo-Kie, B. </w:t>
      </w:r>
    </w:p>
    <w:p w:rsidR="008F432E" w:rsidRDefault="00A47635">
      <w:pPr>
        <w:spacing w:after="14"/>
        <w:ind w:left="-5" w:right="54"/>
      </w:pPr>
      <w:r>
        <w:t xml:space="preserve">Seung-Hoon, B. Seung-Kil // J Korean Orthop Assoc. – 2007. – Vol. 42(6). - P.764-771. [Korean]. </w:t>
      </w:r>
    </w:p>
    <w:p w:rsidR="008F432E" w:rsidRDefault="00A47635">
      <w:pPr>
        <w:numPr>
          <w:ilvl w:val="0"/>
          <w:numId w:val="13"/>
        </w:numPr>
        <w:spacing w:after="14"/>
        <w:ind w:right="54"/>
      </w:pPr>
      <w:r>
        <w:t xml:space="preserve">Limb Lengthening and Reconstruction Surgery / Edited by S. Robert Rozbruch, Svetlana Ilizarov/. – New York, USA: Boca Raton, 2007. - 696 p. </w:t>
      </w:r>
    </w:p>
    <w:p w:rsidR="008F432E" w:rsidRDefault="00A47635">
      <w:pPr>
        <w:numPr>
          <w:ilvl w:val="0"/>
          <w:numId w:val="13"/>
        </w:numPr>
        <w:spacing w:after="12"/>
        <w:ind w:right="54"/>
      </w:pPr>
      <w:r>
        <w:t>Cleber, A. A simplified way of determining the direction of a single-cut osteotomy to correct combined rotational a</w:t>
      </w:r>
      <w:r>
        <w:t xml:space="preserve">nd angular deformities of long bones / A. Cleber, P. Jansen // Ortop. – 2011. – Vol. 46(3). – P. 329-334 </w:t>
      </w:r>
    </w:p>
    <w:p w:rsidR="008F432E" w:rsidRDefault="00A47635">
      <w:pPr>
        <w:numPr>
          <w:ilvl w:val="0"/>
          <w:numId w:val="13"/>
        </w:numPr>
        <w:spacing w:after="11"/>
        <w:ind w:right="54"/>
      </w:pPr>
      <w:r>
        <w:t>Farquarson-Roberts, M.A. Corrective osteotomy for combined shortening and rotational malunion of the femur / M.A. Farquarson-Roberts // J Bone Joint S</w:t>
      </w:r>
      <w:r>
        <w:t>urg. – 1995. – Vol. 77-B. - P. 979–980 43.</w:t>
      </w:r>
      <w:r>
        <w:t xml:space="preserve"> </w:t>
      </w:r>
      <w:r>
        <w:t>Charla JN, Sharkey MS. Acute Correction of Multiplanar Proximal Tibial Deformity Utilizing Fixator-Assisted Intramedullary Nailing. JBJS Essent Surg Tech. 2022 Aug 31;12(3):e21.00045. doi: 10.2106/JBJS.ST.21.00045</w:t>
      </w:r>
      <w:r>
        <w:t>. PMID: 36816522; PMCID: PMC9931039 44.</w:t>
      </w:r>
      <w:r>
        <w:t xml:space="preserve"> </w:t>
      </w:r>
      <w:r>
        <w:t xml:space="preserve">Goodier WD, Calder PR. External fixation for the correction of adult post-traumatic deformities. Injury. 2019 Jun;50 Suppl 1:S36-S44. doi: 10.1016/j.injury.2019.03.040. Epub 2019 Mar 29. PMID: 31054864.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Motta DP, Fa</w:t>
      </w:r>
      <w:r>
        <w:t>ria J, Couto A, Aguiar DP, Amaral M, Kropf LL, Motta G, Cerqueira FS, Leonetti BD. Gradual Correction of Valgus Deformities of the Tibia Using a Monolateral External Fixator. Strategies Trauma Limb Reconstr. 2023 May-Aug;18(2):123-132. doi: 10.5005/jp-jour</w:t>
      </w:r>
      <w:r>
        <w:t xml:space="preserve">nals-10080-1585. PMID: 37942429; PMCID: PMC10628620. </w:t>
      </w:r>
    </w:p>
    <w:p w:rsidR="008F432E" w:rsidRDefault="00A47635">
      <w:pPr>
        <w:numPr>
          <w:ilvl w:val="0"/>
          <w:numId w:val="14"/>
        </w:numPr>
        <w:spacing w:after="14"/>
        <w:ind w:right="54"/>
      </w:pPr>
      <w:r>
        <w:t xml:space="preserve">Илизаров Г.А. Чрескостный компрессионный остеосинтез аппаратом автора. Дисс…докт.мед.наук., Москва, 1968г. </w:t>
      </w:r>
    </w:p>
    <w:p w:rsidR="008F432E" w:rsidRDefault="00A47635">
      <w:pPr>
        <w:numPr>
          <w:ilvl w:val="0"/>
          <w:numId w:val="14"/>
        </w:numPr>
        <w:spacing w:after="12"/>
        <w:ind w:right="54"/>
      </w:pPr>
      <w:r>
        <w:t>Девятов А.А. Оперативное удлинение голени по методике Г.А. Илизарова. Дисс….. канд.мед.наук. К</w:t>
      </w:r>
      <w:r>
        <w:t xml:space="preserve">урган, 1970г. </w:t>
      </w:r>
    </w:p>
    <w:p w:rsidR="008F432E" w:rsidRDefault="00A47635">
      <w:pPr>
        <w:numPr>
          <w:ilvl w:val="0"/>
          <w:numId w:val="14"/>
        </w:numPr>
        <w:spacing w:after="14"/>
        <w:ind w:right="54"/>
      </w:pPr>
      <w:r>
        <w:t xml:space="preserve">Калякина В.И. Уравнивание длины нижних конечностей при больших укорочениях удлинением бедра и голени по Илизарову. Дисс…. кан.мед.наук. 1979г.  </w:t>
      </w:r>
    </w:p>
    <w:p w:rsidR="008F432E" w:rsidRDefault="00A47635">
      <w:pPr>
        <w:numPr>
          <w:ilvl w:val="0"/>
          <w:numId w:val="14"/>
        </w:numPr>
        <w:spacing w:after="12"/>
        <w:ind w:right="54"/>
      </w:pPr>
      <w:r>
        <w:t xml:space="preserve">Аблакулов А.К., Унгабаев Т.Э. Аппаратно-хирургический метод лечения детей с дефектами бедренной </w:t>
      </w:r>
      <w:r>
        <w:t xml:space="preserve">кости после гематогенного остеомиелита // Акт. Проблемы гематогенного остеомиелита у детей : Тез. Докл. 2 респ. Конф.- Ташкент, 1989- с.125//.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Данильченко Г.В. Полилокальное удлинение нижней конечности при последствии гематогенного остеомиелита. / Тез. До</w:t>
      </w:r>
      <w:r>
        <w:t xml:space="preserve">кл. Конф. Крым- 1995г., с. 96. </w:t>
      </w:r>
    </w:p>
    <w:p w:rsidR="008F432E" w:rsidRDefault="00A47635">
      <w:pPr>
        <w:numPr>
          <w:ilvl w:val="0"/>
          <w:numId w:val="14"/>
        </w:numPr>
        <w:spacing w:after="12"/>
        <w:ind w:right="54"/>
      </w:pPr>
      <w:r>
        <w:t xml:space="preserve">Коркин А.Я. Устранение деформаций нижних конечностей у детей с последствием гематогенного остеомиелита. Дисс.... кан.мед. наук. Курган 2004г.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Jiao S, Qin S, Wang Z, Guo Y, Xu H, Liu Z, Chen J. [Correction of tibial multipla</w:t>
      </w:r>
      <w:r>
        <w:t xml:space="preserve">nar deformities using single Taylor external fixator combined with biplanar osteotomy]. Zhongguo Xiu Fu Chong Jian Wai Ke Za Zhi. 2023 Jul 15;37(7):839-845. Chinese. doi: 10.7507/10021892.202303121. PMID: 37460181; PMCID: PMC10352503.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Solomin LN. The basi</w:t>
      </w:r>
      <w:r>
        <w:t xml:space="preserve">c principles of external skeletal fixation using the Ilizarov and other devices, 2nd edn. Springer, Stürtz GmbH, Würzburg. 2012, 1593 p. </w:t>
      </w:r>
    </w:p>
    <w:p w:rsidR="008F432E" w:rsidRDefault="00A47635">
      <w:pPr>
        <w:numPr>
          <w:ilvl w:val="0"/>
          <w:numId w:val="14"/>
        </w:numPr>
        <w:spacing w:after="30"/>
        <w:ind w:right="54"/>
      </w:pPr>
      <w:r>
        <w:t xml:space="preserve">Horn J, Steen H, Huhnstock S, Hvid I, Gunderson RB. Limb lengthening and deformity correction of congenital and acquired deformities in children using the Taylor Spatial Frame. Acta Orthop. 2017;88(3):334–340. doi:10.1080/17453674.2017.1295706 </w:t>
      </w:r>
    </w:p>
    <w:p w:rsidR="008F432E" w:rsidRDefault="00A47635">
      <w:pPr>
        <w:numPr>
          <w:ilvl w:val="0"/>
          <w:numId w:val="14"/>
        </w:numPr>
        <w:spacing w:after="14"/>
        <w:ind w:right="54"/>
      </w:pPr>
      <w:r>
        <w:t>Skomoroshko</w:t>
      </w:r>
      <w:r>
        <w:t xml:space="preserve"> PV, Vilensky VA, Hammouda AI, Fletcher MD, Solomin LN. Mechanical rigidity of the Ortho-SUV frame compared to the Ilizarov frame in the correction of femoral deformity. Strategies Trauma Limb Reconstr. 2015 Apr;10(1):5-11. doi: 10.1007/s11751-015-02146. E</w:t>
      </w:r>
      <w:r>
        <w:t xml:space="preserve">pub 2015 Feb 26. </w:t>
      </w:r>
    </w:p>
    <w:p w:rsidR="008F432E" w:rsidRDefault="00A47635">
      <w:pPr>
        <w:numPr>
          <w:ilvl w:val="0"/>
          <w:numId w:val="14"/>
        </w:numPr>
        <w:spacing w:after="12"/>
        <w:ind w:right="54"/>
      </w:pPr>
      <w:r>
        <w:t xml:space="preserve">Stevens P. M., Gaffney C. J., Fillerup H. Percutaneous rotational osteotomy of the femur utilizing an intramedullary rod //Strategies in Trauma and Limb Reconstruction. – 2016. – Т. 11. – С. 129-134 </w:t>
      </w:r>
    </w:p>
    <w:p w:rsidR="008F432E" w:rsidRDefault="00A47635">
      <w:pPr>
        <w:numPr>
          <w:ilvl w:val="0"/>
          <w:numId w:val="14"/>
        </w:numPr>
        <w:spacing w:after="32"/>
        <w:ind w:right="54"/>
      </w:pPr>
      <w:r>
        <w:t>Miranda, Michael A., DeAngelis, Joseph</w:t>
      </w:r>
      <w:r>
        <w:t xml:space="preserve"> P., Canizares, George H., Mast, Jeffery W. Double Oblique Osteotomy: A Technique for Correction of Posttraumatic Deformities of the Distal Femur. </w:t>
      </w:r>
    </w:p>
    <w:p w:rsidR="008F432E" w:rsidRDefault="00A47635">
      <w:pPr>
        <w:spacing w:after="11"/>
        <w:ind w:left="-5" w:right="54"/>
      </w:pPr>
      <w:r>
        <w:t xml:space="preserve">Journal </w:t>
      </w:r>
      <w:r>
        <w:tab/>
        <w:t xml:space="preserve">of </w:t>
      </w:r>
      <w:r>
        <w:tab/>
        <w:t xml:space="preserve">Orthopaedic </w:t>
      </w:r>
      <w:r>
        <w:tab/>
        <w:t xml:space="preserve">Trauma </w:t>
      </w:r>
      <w:r>
        <w:tab/>
        <w:t xml:space="preserve">32():p </w:t>
      </w:r>
      <w:r>
        <w:tab/>
        <w:t xml:space="preserve">S60-S65, </w:t>
      </w:r>
      <w:r>
        <w:tab/>
        <w:t xml:space="preserve">February </w:t>
      </w:r>
      <w:r>
        <w:tab/>
        <w:t xml:space="preserve">2018. </w:t>
      </w:r>
      <w:r>
        <w:tab/>
        <w:t xml:space="preserve">| </w:t>
      </w:r>
      <w:r>
        <w:tab/>
        <w:t xml:space="preserve">DOI: 10.1097/BOT.0000000000001090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T</w:t>
      </w:r>
      <w:r>
        <w:t xml:space="preserve">akakura Y, Takaoka T, Tanaka Y, Yajima H, Tamai S. Results of opening-wedge osteotomy for the treatment of a post-traumatic varus deformity of the ankle. J Bone Joint Surg Am. 1998 Feb;80(2):213-8. doi: 10.2106/00004623-199802000-00008. PMID: 9486727.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Bru</w:t>
      </w:r>
      <w:r>
        <w:t>mat P, Mihalič R, Kovač S, Trebše R. Acute Femoral Lengthening in Adults Using StepCut Osteotomy, Traction Table, and Proximal Femoral Locking Plate Fixation: Surgical Technique and Report of Three Cases. Indian J Orthop. 2021 Oct 27;56(4):559-565. doi: 10</w:t>
      </w:r>
      <w:r>
        <w:t xml:space="preserve">.1007/s43465-02100547-7. PMID: 35342530; PMCID: PMC8921383.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>Kempf, I. Locked intramedullary nailing. Its application to femoral and tibial axial, rotational, lengthening, and shortening osteotomies / I. Kempf, A. Grosse, C. Abalo // Clin Orthop Relat Res.</w:t>
      </w:r>
      <w:r>
        <w:t xml:space="preserve"> – 1986. – Vol. 212. – P. 165-173. </w:t>
      </w:r>
    </w:p>
    <w:p w:rsidR="008F432E" w:rsidRDefault="00A47635">
      <w:pPr>
        <w:numPr>
          <w:ilvl w:val="0"/>
          <w:numId w:val="14"/>
        </w:numPr>
        <w:spacing w:after="12"/>
        <w:ind w:right="54"/>
      </w:pPr>
      <w:r>
        <w:t>Azimi A. et al. Comparative Efficacy and Safety of Intramedullary Lengthening Nails vs. Alternative Techniques for Femoral Limb Lengthening: A Systematic Review and Meta-Analysis //JBJS reviews. – 2024. – Т. 12. – №. 10.</w:t>
      </w:r>
      <w:r>
        <w:t xml:space="preserve"> – С. e24. </w:t>
      </w:r>
    </w:p>
    <w:p w:rsidR="008F432E" w:rsidRDefault="00A47635">
      <w:pPr>
        <w:numPr>
          <w:ilvl w:val="0"/>
          <w:numId w:val="14"/>
        </w:numPr>
        <w:spacing w:after="11"/>
        <w:ind w:right="54"/>
      </w:pPr>
      <w:r>
        <w:t xml:space="preserve">Шевцов В.И., Леончук С.С. Cтимуляция дистракционного остеогенеза при удлинении конечностей: наша концепция. Травматология и ортопедия России. 2021;27(1):75-85. </w:t>
      </w:r>
      <w:r>
        <w:rPr>
          <w:color w:val="0000FF"/>
          <w:u w:val="single" w:color="0000FF"/>
        </w:rPr>
        <w:t>https://doi.org/10.21823/2311-2905-2021-27-1-75-85</w:t>
      </w:r>
      <w:r>
        <w:t xml:space="preserve">. </w:t>
      </w:r>
    </w:p>
    <w:p w:rsidR="008F432E" w:rsidRDefault="00A47635">
      <w:pPr>
        <w:numPr>
          <w:ilvl w:val="0"/>
          <w:numId w:val="14"/>
        </w:numPr>
        <w:spacing w:after="13"/>
        <w:ind w:right="54"/>
      </w:pPr>
      <w:r>
        <w:t xml:space="preserve">Gubin AV, Borzunov DY, Malkova </w:t>
      </w:r>
      <w:r>
        <w:t>TA. Ilizarov method for bone lengthening and defect management: review of contemporary literature. Bull Hosp Jt Dis. 2016;74(2):145-54. 64.</w:t>
      </w:r>
      <w:r>
        <w:t xml:space="preserve"> </w:t>
      </w:r>
      <w:r>
        <w:t>Илизаров Г.А., Сойбельман С.М. Некоторые клинические и экспериментальные данные о бескровном удлинении нижних конечн</w:t>
      </w:r>
      <w:r>
        <w:t>остей. Эксп Хир Анестезиол 1969; 4: 27–32 65.</w:t>
      </w:r>
      <w:r>
        <w:t xml:space="preserve"> </w:t>
      </w:r>
      <w:r>
        <w:t xml:space="preserve">Илизаров Г.А. Основные принципы чрезкостного компрессионного и дистракционного остеосинтеза. Ортопедия, травматология и протезирование. 1971. № 11. С. 7-15. </w:t>
      </w:r>
    </w:p>
    <w:p w:rsidR="008F432E" w:rsidRDefault="00A47635">
      <w:pPr>
        <w:numPr>
          <w:ilvl w:val="0"/>
          <w:numId w:val="15"/>
        </w:numPr>
        <w:spacing w:after="12"/>
        <w:ind w:right="54" w:hanging="708"/>
      </w:pPr>
      <w:r>
        <w:t>Ilizarov G.A. Transosseus Osteosynthesis. Theoretica</w:t>
      </w:r>
      <w:r>
        <w:t xml:space="preserve">l and Clinical Aspects of the Regeneration and Growth of Tissue. – Berlin, Heidelberg: Springer-Verlag, 1992. – 800 p. </w:t>
      </w:r>
    </w:p>
    <w:p w:rsidR="008F432E" w:rsidRDefault="00A47635">
      <w:pPr>
        <w:numPr>
          <w:ilvl w:val="0"/>
          <w:numId w:val="15"/>
        </w:numPr>
        <w:spacing w:after="14"/>
        <w:ind w:right="54" w:hanging="708"/>
      </w:pPr>
      <w:r>
        <w:t xml:space="preserve">Шевцов В.И. Аппарат Илизарова. Биомеханика / В. И. Шевцов, В. А. Немков, Л. В. Скляр. – Курган : Периодика, 1995. – 165 с. </w:t>
      </w:r>
    </w:p>
    <w:p w:rsidR="008F432E" w:rsidRDefault="00A47635">
      <w:pPr>
        <w:numPr>
          <w:ilvl w:val="0"/>
          <w:numId w:val="15"/>
        </w:numPr>
        <w:spacing w:after="12"/>
        <w:ind w:right="54" w:hanging="708"/>
      </w:pPr>
      <w:r>
        <w:t xml:space="preserve">Shevtsov V, </w:t>
      </w:r>
      <w:r>
        <w:t xml:space="preserve">Popkov A, Popkov D, Prévot J. Reduction of the period of treatment for leg lengthening. Technique and advantages. Rev Chir Orthop 2001;87:248-56 </w:t>
      </w:r>
    </w:p>
    <w:p w:rsidR="008F432E" w:rsidRDefault="00A47635">
      <w:pPr>
        <w:numPr>
          <w:ilvl w:val="0"/>
          <w:numId w:val="15"/>
        </w:numPr>
        <w:spacing w:after="33"/>
        <w:ind w:right="54" w:hanging="708"/>
      </w:pPr>
      <w:r>
        <w:t>Шевцов В.И., Ерофеев С.А., Горбач Е.Н., Еманов А.А. Особенности костеобразования при удлинении голени автомати</w:t>
      </w:r>
      <w:r>
        <w:t xml:space="preserve">ческими дистракторами с темпом 3 мм за 180 приемов (экспериментальное исследование). Гений ортопедии. 2006. № 1. С. 10-16. </w:t>
      </w:r>
    </w:p>
    <w:p w:rsidR="008F432E" w:rsidRDefault="00A47635">
      <w:pPr>
        <w:numPr>
          <w:ilvl w:val="0"/>
          <w:numId w:val="15"/>
        </w:numPr>
        <w:spacing w:after="0"/>
        <w:ind w:right="54" w:hanging="708"/>
      </w:pPr>
      <w:r>
        <w:t xml:space="preserve">Popkov DA, Popkov AV, Kononovich NA, Barbier D, Ceroni D, Journeau P, Lascombes </w:t>
      </w:r>
    </w:p>
    <w:p w:rsidR="008F432E" w:rsidRDefault="00A47635">
      <w:pPr>
        <w:spacing w:after="11"/>
        <w:ind w:left="-5" w:right="54"/>
      </w:pPr>
      <w:r>
        <w:t xml:space="preserve">P. Experimental study of progressive tibial lengthening in dogs using the Ilizarov technique. Comparison with and without associated intramedullary K-wires. Orthop Traumatol Surg Res. 2014 Nov;100(7):809-14. Epub 2014 Oct 11. </w:t>
      </w:r>
    </w:p>
    <w:p w:rsidR="008F432E" w:rsidRDefault="00A47635">
      <w:pPr>
        <w:numPr>
          <w:ilvl w:val="0"/>
          <w:numId w:val="16"/>
        </w:numPr>
        <w:spacing w:after="33"/>
        <w:ind w:right="54" w:hanging="708"/>
      </w:pPr>
      <w:r>
        <w:t>Шевцов, В.И. Чрескостный осте</w:t>
      </w:r>
      <w:r>
        <w:t xml:space="preserve">осинтез по Илизарову: краткая история и современные технологии его использования / В.И. Шевцов, С.С. Леончук, К.И. Новиков. – К. : Дамми, 2025. – 368 с. </w:t>
      </w:r>
    </w:p>
    <w:p w:rsidR="008F432E" w:rsidRDefault="00A47635">
      <w:pPr>
        <w:numPr>
          <w:ilvl w:val="0"/>
          <w:numId w:val="16"/>
        </w:numPr>
        <w:spacing w:after="12"/>
        <w:ind w:right="54" w:hanging="708"/>
      </w:pPr>
      <w:r>
        <w:t xml:space="preserve">Соломин Л.Н., Виленский В.А., Торопов С.С., Майков С.В., Корчагин К.Л., Сорокин </w:t>
      </w:r>
    </w:p>
    <w:p w:rsidR="008F432E" w:rsidRDefault="00A47635">
      <w:pPr>
        <w:spacing w:after="6"/>
        <w:ind w:left="-5" w:right="54"/>
      </w:pPr>
      <w:r>
        <w:t>Е.П. МЕТОД КОМПОНОВОК</w:t>
      </w:r>
      <w:r>
        <w:t xml:space="preserve"> АППАРАТОВ ДЛЯ ЧРЕСКОСТНОГО ОСТЕОСИНТЕЗА </w:t>
      </w:r>
    </w:p>
    <w:p w:rsidR="008F432E" w:rsidRDefault="00A47635">
      <w:pPr>
        <w:spacing w:after="8"/>
        <w:ind w:left="-5" w:right="54"/>
      </w:pPr>
      <w:r>
        <w:t>(медицинская технология) ФС № 2009/120 // ФГУ «РНИИТО ИМ. Р. Р. ВРЕДЕНА РО-</w:t>
      </w:r>
    </w:p>
    <w:p w:rsidR="008F432E" w:rsidRDefault="00A47635">
      <w:pPr>
        <w:spacing w:after="14"/>
        <w:ind w:left="-5" w:right="54"/>
      </w:pPr>
      <w:r>
        <w:t xml:space="preserve">СМЕДТЕХНОЛОГИЙ», 2009. – 18 с. – ФС № 2009/120 </w:t>
      </w:r>
    </w:p>
    <w:p w:rsidR="008F432E" w:rsidRDefault="00A47635">
      <w:pPr>
        <w:numPr>
          <w:ilvl w:val="0"/>
          <w:numId w:val="16"/>
        </w:numPr>
        <w:spacing w:after="6"/>
        <w:ind w:right="54" w:hanging="708"/>
      </w:pPr>
      <w:r>
        <w:t>Гаврилов Д.В., Соломин Л.Н., Головёнкин Е.С., Утехин А.И. Сравнительный анализ жесткости о</w:t>
      </w:r>
      <w:r>
        <w:t xml:space="preserve">стеосинтеза ортопедического гексапода Орто-СУВ и его минимизированной («педиатрической») версии. Современные проблемы науки и образования. – 2023. – № 2. </w:t>
      </w:r>
    </w:p>
    <w:p w:rsidR="008F432E" w:rsidRDefault="00A47635">
      <w:pPr>
        <w:spacing w:after="14"/>
        <w:ind w:left="-5" w:right="54"/>
      </w:pPr>
      <w:r>
        <w:t xml:space="preserve">DOI: 10.17513/spno.32481\ </w:t>
      </w:r>
    </w:p>
    <w:p w:rsidR="008F432E" w:rsidRDefault="00A47635">
      <w:pPr>
        <w:numPr>
          <w:ilvl w:val="0"/>
          <w:numId w:val="16"/>
        </w:numPr>
        <w:spacing w:after="35"/>
        <w:ind w:right="54" w:hanging="708"/>
      </w:pPr>
      <w:r>
        <w:t>Метод исследования жесткости чрескостных модулей / Основы чрезкостного ост</w:t>
      </w:r>
      <w:r>
        <w:t xml:space="preserve">еосинтеза под. ред. Л.Н. Соломина. – М.: Издательство БИНОМ, 2015. – Т. 3. – 2-е издание. – стр. 1491-1504. </w:t>
      </w:r>
    </w:p>
    <w:p w:rsidR="008F432E" w:rsidRDefault="00A47635">
      <w:pPr>
        <w:numPr>
          <w:ilvl w:val="0"/>
          <w:numId w:val="16"/>
        </w:numPr>
        <w:spacing w:after="12"/>
        <w:ind w:right="54" w:hanging="708"/>
      </w:pPr>
      <w:r>
        <w:t xml:space="preserve">Основы чрезкостного остеосинтеза / Под ред. Л.Н. Соломина. - М.: БИНОМ, 2014. – </w:t>
      </w:r>
    </w:p>
    <w:p w:rsidR="008F432E" w:rsidRDefault="00A47635">
      <w:pPr>
        <w:spacing w:after="35"/>
        <w:ind w:left="-5" w:right="54"/>
      </w:pPr>
      <w:r>
        <w:t xml:space="preserve">Т. 1. – 2-е изд., перераб. и дополн. – 328 с. </w:t>
      </w:r>
    </w:p>
    <w:p w:rsidR="008F432E" w:rsidRDefault="00A47635">
      <w:pPr>
        <w:numPr>
          <w:ilvl w:val="0"/>
          <w:numId w:val="16"/>
        </w:numPr>
        <w:spacing w:after="12"/>
        <w:ind w:right="54" w:hanging="708"/>
      </w:pPr>
      <w:r>
        <w:t>Основы чрезкостного</w:t>
      </w:r>
      <w:r>
        <w:t xml:space="preserve"> остеосинтеза. / Под ред. Л.Н. Соломина. - М.: БИНОМ, 2015. – </w:t>
      </w:r>
    </w:p>
    <w:p w:rsidR="008F432E" w:rsidRDefault="00A47635">
      <w:pPr>
        <w:spacing w:after="16"/>
        <w:ind w:left="-5" w:right="54"/>
      </w:pPr>
      <w:r>
        <w:t xml:space="preserve">Т. 2. – 2-е изд., перераб. и дополн. – 696 с. </w:t>
      </w:r>
    </w:p>
    <w:p w:rsidR="008F432E" w:rsidRDefault="00A47635">
      <w:pPr>
        <w:numPr>
          <w:ilvl w:val="0"/>
          <w:numId w:val="16"/>
        </w:numPr>
        <w:spacing w:after="12"/>
        <w:ind w:right="54" w:hanging="708"/>
      </w:pPr>
      <w:r>
        <w:t xml:space="preserve">Основы чрезкостного остеосинтеза. / Под ред. Л.Н. Соломина. - М.: БИНОМ, 2015. – Т. 3. – 2-е изд., перераб. и дополн. – 560 с. </w:t>
      </w:r>
    </w:p>
    <w:p w:rsidR="008F432E" w:rsidRDefault="00A47635">
      <w:pPr>
        <w:numPr>
          <w:ilvl w:val="0"/>
          <w:numId w:val="16"/>
        </w:numPr>
        <w:spacing w:after="14"/>
        <w:ind w:right="54" w:hanging="708"/>
      </w:pPr>
      <w:r>
        <w:t xml:space="preserve">Соломин Л.Н., Воронцова Т.Н., Selvadurai Nayagam Чрескостный остеосинтез (пособие для пациентов) / СПб, ФГБУ "НМИЦ ТО им. Р.Р. Вредена" Минздрава России, 2024 – 67 с. УДК 616.71-001.5-089.84 </w:t>
      </w:r>
    </w:p>
    <w:p w:rsidR="008F432E" w:rsidRDefault="00A47635">
      <w:pPr>
        <w:numPr>
          <w:ilvl w:val="0"/>
          <w:numId w:val="16"/>
        </w:numPr>
        <w:spacing w:after="3"/>
        <w:ind w:right="54" w:hanging="708"/>
      </w:pPr>
      <w:r>
        <w:t>Sheridan, G.A. Integrated Limb Lengthening Is Superior to Classi</w:t>
      </w:r>
      <w:r>
        <w:t xml:space="preserve">cal Limb Lengthening: A Systematic Review and Meta-analysis of the Literature / G.A. Sheridan, A.T. Fragomen, S.R. Rozbruch // J. Am. Acad. Orthop. Surg. Glob. Res. Rev. – 2020. – Vol. 4, N 6. – P. e20.00054. </w:t>
      </w:r>
    </w:p>
    <w:p w:rsidR="008F432E" w:rsidRDefault="00A47635">
      <w:pPr>
        <w:spacing w:after="16"/>
        <w:ind w:left="-5" w:right="54"/>
      </w:pPr>
      <w:r>
        <w:t xml:space="preserve">DOI: 10.5435/JAAOSGlobal-D-20-00054. </w:t>
      </w:r>
    </w:p>
    <w:p w:rsidR="008F432E" w:rsidRDefault="00A47635">
      <w:pPr>
        <w:numPr>
          <w:ilvl w:val="0"/>
          <w:numId w:val="16"/>
        </w:numPr>
        <w:spacing w:after="14"/>
        <w:ind w:right="54" w:hanging="708"/>
      </w:pPr>
      <w:r>
        <w:t>Соломин,</w:t>
      </w:r>
      <w:r>
        <w:t xml:space="preserve"> Л.Н. Осложнения, связанные с применением экстракортикальных фиксаторов при комбинированном и последовательном использовании чрезкостного остеосинтеза и внутренней фиксации бедренной кости / Л.Н. Соломин, Ф.К. Сабиров // Травматология и ортопедия России. –</w:t>
      </w:r>
      <w:r>
        <w:t xml:space="preserve"> 2015. – № 4. – С. 103-110. </w:t>
      </w:r>
    </w:p>
    <w:p w:rsidR="008F432E" w:rsidRDefault="00A47635">
      <w:pPr>
        <w:numPr>
          <w:ilvl w:val="0"/>
          <w:numId w:val="16"/>
        </w:numPr>
        <w:spacing w:after="12"/>
        <w:ind w:right="54" w:hanging="708"/>
      </w:pPr>
      <w:r>
        <w:t xml:space="preserve">Farsetti, P. Lower limb lengthening over an intramedullary nail: a long-term follow-up study of 28 cases / P. Farsetti, F. De Maio, V. Potenza [et al.] // J. Orthop. Traumatol. – 2019. – Vol. 20, N 1. – P. 30 </w:t>
      </w:r>
    </w:p>
    <w:p w:rsidR="008F432E" w:rsidRDefault="00A47635">
      <w:pPr>
        <w:numPr>
          <w:ilvl w:val="0"/>
          <w:numId w:val="16"/>
        </w:numPr>
        <w:spacing w:after="4"/>
        <w:ind w:right="54" w:hanging="708"/>
      </w:pPr>
      <w:r>
        <w:t>Челноков, А.Н. По</w:t>
      </w:r>
      <w:r>
        <w:t xml:space="preserve">следовательное использование чрезкостного и блокируемого интрамедуллярного остеосинтеза (АЗГ) / А.Н. Челноков, Л.Н. Соломин // Основы чрезкостного остеосинтеза: в 3-х т. / под ред. Л.Н. Соломина. – Москва : Издательство БИНОМ, 2015. </w:t>
      </w:r>
    </w:p>
    <w:p w:rsidR="008F432E" w:rsidRDefault="00A47635">
      <w:pPr>
        <w:spacing w:after="35"/>
        <w:ind w:left="-5" w:right="54"/>
      </w:pPr>
      <w:r>
        <w:t xml:space="preserve">– Т. 3, гл. 2.18.3. – </w:t>
      </w:r>
      <w:r>
        <w:t xml:space="preserve">С. 1323-1342. </w:t>
      </w:r>
    </w:p>
    <w:p w:rsidR="008F432E" w:rsidRDefault="00A47635">
      <w:pPr>
        <w:numPr>
          <w:ilvl w:val="0"/>
          <w:numId w:val="17"/>
        </w:numPr>
        <w:spacing w:after="3" w:line="276" w:lineRule="auto"/>
        <w:ind w:right="54"/>
      </w:pPr>
      <w:r>
        <w:t xml:space="preserve">Щепкина Е. А., Лебедков И. В., Соломин Л. Н., Корчагин К. Л., Сабиров Ф. К., Парфеев Д. Г. Сравнительная оценка удлинения длинных костей нижних конечностей по Илизарову и «поверх» интрамедуллярного стержня // Ученые записки СПбГМУ им. акад. </w:t>
      </w:r>
      <w:r>
        <w:t xml:space="preserve">И. П. Павлова.– 2021, Т. 28.– №1 – С. 40–51. </w:t>
      </w:r>
    </w:p>
    <w:p w:rsidR="008F432E" w:rsidRDefault="00A47635">
      <w:pPr>
        <w:numPr>
          <w:ilvl w:val="0"/>
          <w:numId w:val="17"/>
        </w:numPr>
        <w:spacing w:after="11"/>
        <w:ind w:right="54"/>
      </w:pPr>
      <w:r>
        <w:t>Solomin L.N., Utekhin A.I., Vilenskiy V.A. Reference values of the femur and tibia mechanical axes and angles in the sagittal plane, determined on the basis of three-dimensional modeling. J Limb Lengthen Recons</w:t>
      </w:r>
      <w:r>
        <w:t xml:space="preserve">tr 2020;6:116-20 </w:t>
      </w:r>
    </w:p>
    <w:p w:rsidR="008F432E" w:rsidRDefault="00A47635">
      <w:pPr>
        <w:numPr>
          <w:ilvl w:val="0"/>
          <w:numId w:val="17"/>
        </w:numPr>
        <w:spacing w:after="14"/>
        <w:ind w:right="54"/>
      </w:pPr>
      <w:r>
        <w:t xml:space="preserve">Shawn C. Standard, John E. Herzenberg, Janet D. Conway. The Art of Limb Alignment, 10th Edition. – USA, Baltimore: Independently published, 2021. – 291 p </w:t>
      </w:r>
    </w:p>
    <w:p w:rsidR="008F432E" w:rsidRDefault="00A47635">
      <w:pPr>
        <w:numPr>
          <w:ilvl w:val="0"/>
          <w:numId w:val="17"/>
        </w:numPr>
        <w:spacing w:after="12"/>
        <w:ind w:right="54"/>
      </w:pPr>
      <w:r>
        <w:t>Catagni, M. (2002) Levels of the Anatomical Cuts of the Lower Extremity. In: Miaocc</w:t>
      </w:r>
      <w:r>
        <w:t xml:space="preserve">hi, A.B., Ed., Atlas for the Insertion of Transosseous Wires and Half Pins Ilizarov Method, Medi Surgical Video, Milan, 21-33. </w:t>
      </w:r>
    </w:p>
    <w:p w:rsidR="008F432E" w:rsidRDefault="00A47635">
      <w:pPr>
        <w:numPr>
          <w:ilvl w:val="0"/>
          <w:numId w:val="17"/>
        </w:numPr>
        <w:spacing w:after="11"/>
        <w:ind w:right="54"/>
      </w:pPr>
      <w:r>
        <w:t xml:space="preserve">Пономаренко Г.Н. Доказательная физиотерапия в травматологии и хирургии // Физиотерапевт 2006;(3):79-81. </w:t>
      </w:r>
    </w:p>
    <w:p w:rsidR="008F432E" w:rsidRDefault="00A47635">
      <w:pPr>
        <w:numPr>
          <w:ilvl w:val="0"/>
          <w:numId w:val="17"/>
        </w:numPr>
        <w:spacing w:after="12"/>
        <w:ind w:right="54"/>
      </w:pPr>
      <w:r>
        <w:t xml:space="preserve">Моторина И.Г. Физиотерапия в травматологии и ортопедии: Пособие для врачей / И.Г. Моторина, А.В. Машанская, А.А. Клямко. – Иркутск, Изд-во «ИМАГО», 2015. – 48 с. </w:t>
      </w:r>
    </w:p>
    <w:p w:rsidR="008F432E" w:rsidRDefault="00A47635">
      <w:pPr>
        <w:numPr>
          <w:ilvl w:val="0"/>
          <w:numId w:val="17"/>
        </w:numPr>
        <w:spacing w:after="11"/>
        <w:ind w:right="54"/>
      </w:pPr>
      <w:r>
        <w:t>Клинические рекомендации «Переломы проксимального отдела бедренной кости», 2021 - Текст : эле</w:t>
      </w:r>
      <w:r>
        <w:t xml:space="preserve">ктронный // Министерство здравоохранения Российской Федерации : официальный сайт. URL: https://cr.minzdrav.gov.ru/preview-cr/729_1 (дата обращения: 27.03.2025). </w:t>
      </w:r>
    </w:p>
    <w:p w:rsidR="008F432E" w:rsidRDefault="00A47635">
      <w:pPr>
        <w:numPr>
          <w:ilvl w:val="0"/>
          <w:numId w:val="17"/>
        </w:numPr>
        <w:spacing w:after="11"/>
        <w:ind w:right="54"/>
      </w:pPr>
      <w:r>
        <w:t xml:space="preserve">Nicholson JA, Makaram N, Simpson A, Keating JF. Fracture nonunion in long bones: A literature </w:t>
      </w:r>
      <w:r>
        <w:t xml:space="preserve">review of risk factors and surgical management. Injury. 2021 Jun;52 Suppl 2:S3-S11. doi: 10.1016/j.injury.2020.11.029. Epub 2020 Nov 11. PMID: 33221036. </w:t>
      </w:r>
    </w:p>
    <w:p w:rsidR="008F432E" w:rsidRDefault="00A47635">
      <w:pPr>
        <w:numPr>
          <w:ilvl w:val="0"/>
          <w:numId w:val="17"/>
        </w:numPr>
        <w:spacing w:after="6"/>
        <w:ind w:right="54"/>
      </w:pPr>
      <w:r>
        <w:t>Долгорукова О.А., Загребина Д.С., Мохамед М.З.М. Современные методы реабилитации после переломов и тра</w:t>
      </w:r>
      <w:r>
        <w:t xml:space="preserve">вм: как вернуться к активной жизни быстрее. Молодой ученый. </w:t>
      </w:r>
    </w:p>
    <w:p w:rsidR="008F432E" w:rsidRDefault="00A47635">
      <w:pPr>
        <w:spacing w:after="14"/>
        <w:ind w:left="-5" w:right="54"/>
      </w:pPr>
      <w:r>
        <w:t xml:space="preserve">2024. № 21 (520). С. 18-21. </w:t>
      </w:r>
    </w:p>
    <w:p w:rsidR="008F432E" w:rsidRDefault="00A47635">
      <w:pPr>
        <w:numPr>
          <w:ilvl w:val="0"/>
          <w:numId w:val="18"/>
        </w:numPr>
        <w:spacing w:after="12"/>
        <w:ind w:right="54" w:hanging="708"/>
      </w:pPr>
      <w:r>
        <w:t>Епифанов В. А., Епифанов А. В., Петрова М. С. [и др.]. Реабилитация в травматологии и ортопедии: руководство. 3-е издание, переработанное и дополненное. Москва: "ГЭОТ</w:t>
      </w:r>
      <w:r>
        <w:t xml:space="preserve">АР-Медиа", 2021. 560 с.  ISBN: 978-5-9704-6164-8 </w:t>
      </w:r>
    </w:p>
    <w:p w:rsidR="008F432E" w:rsidRDefault="00A47635">
      <w:pPr>
        <w:numPr>
          <w:ilvl w:val="0"/>
          <w:numId w:val="18"/>
        </w:numPr>
        <w:spacing w:after="11"/>
        <w:ind w:right="54" w:hanging="708"/>
      </w:pPr>
      <w:r>
        <w:t>Котенко К.В.  с соавт. Опыт применения комплексного подхода в реабилитации спортсменов с замедленной консолидацией переломов длинных трубчатых костей. Ж. Саратовский научно медицинский журнал, 2014 т.10, №4</w:t>
      </w:r>
      <w:r>
        <w:t xml:space="preserve">  УДК 615.8 https://sciup.org/14918075  IDR: 14918075 </w:t>
      </w:r>
    </w:p>
    <w:p w:rsidR="008F432E" w:rsidRDefault="00A47635">
      <w:pPr>
        <w:numPr>
          <w:ilvl w:val="0"/>
          <w:numId w:val="18"/>
        </w:numPr>
        <w:spacing w:after="11"/>
        <w:ind w:right="54" w:hanging="708"/>
      </w:pPr>
      <w:r>
        <w:t xml:space="preserve">Ерёмушкин М.А. Модели медицинской реабилитации: проблемы и их решения // Российский остеопатический журнал 2023;3(62):86-94. </w:t>
      </w:r>
    </w:p>
    <w:p w:rsidR="008F432E" w:rsidRDefault="00A47635">
      <w:pPr>
        <w:numPr>
          <w:ilvl w:val="0"/>
          <w:numId w:val="18"/>
        </w:numPr>
        <w:spacing w:after="35"/>
        <w:ind w:right="54" w:hanging="708"/>
      </w:pPr>
      <w:r>
        <w:t>Sansone V, Ravier D, Pascale V, Applefield R, Del Fabbro M, Martinelli N. E</w:t>
      </w:r>
      <w:r>
        <w:t xml:space="preserve">xtracorporeal Shockwave Therapy in the Treatment of Nonunion in Long Bones: A Systematic Review and MetaAnalysis. J Clin Med. 2022 Apr 1;11(7):1977. doi: 10.3390/jcm11071977. </w:t>
      </w:r>
    </w:p>
    <w:p w:rsidR="008F432E" w:rsidRDefault="00A47635">
      <w:pPr>
        <w:numPr>
          <w:ilvl w:val="0"/>
          <w:numId w:val="18"/>
        </w:numPr>
        <w:spacing w:after="12"/>
        <w:ind w:right="54" w:hanging="708"/>
      </w:pPr>
      <w:r>
        <w:t>Moya D, Ramón S, Schaden W, Wang CJ, Guiloff L, Cheng JH. The Role of Extracorpo</w:t>
      </w:r>
      <w:r>
        <w:t xml:space="preserve">real </w:t>
      </w:r>
    </w:p>
    <w:p w:rsidR="008F432E" w:rsidRDefault="00A47635">
      <w:pPr>
        <w:spacing w:after="12"/>
        <w:ind w:left="-5" w:right="54"/>
      </w:pPr>
      <w:r>
        <w:t xml:space="preserve">Shockwave Treatment in Musculoskeletal Disorders. J Bone Joint Surg Am. 2018 Feb 7;100(3):251263. doi: 10.2106/JBJS.17.00661 </w:t>
      </w:r>
    </w:p>
    <w:p w:rsidR="008F432E" w:rsidRDefault="00A47635">
      <w:pPr>
        <w:numPr>
          <w:ilvl w:val="0"/>
          <w:numId w:val="18"/>
        </w:numPr>
        <w:spacing w:after="11"/>
        <w:ind w:right="54" w:hanging="708"/>
      </w:pPr>
      <w:r>
        <w:t>Liu K, Zhang Q, Chen L, Zhang H, Xu X, Yuan Z, Dong J. Efficacy and safety of extracorporeal shockwave therapy in chronic lo</w:t>
      </w:r>
      <w:r>
        <w:t xml:space="preserve">w back pain: a systematic review and meta-analysis of 632 patients. J Orthop Surg Res. 2023 Jun 24;18(1):455. doi: 10.1186/s13018-023-03943-x. </w:t>
      </w:r>
    </w:p>
    <w:p w:rsidR="008F432E" w:rsidRDefault="00A47635">
      <w:pPr>
        <w:numPr>
          <w:ilvl w:val="0"/>
          <w:numId w:val="18"/>
        </w:numPr>
        <w:spacing w:after="11"/>
        <w:ind w:right="54" w:hanging="708"/>
      </w:pPr>
      <w:r>
        <w:t>Шевцов В.И, Новиков К.И., Меньщикова Т.И., Аранович А.М. Использование фармакологической коррекции в процессе уд</w:t>
      </w:r>
      <w:r>
        <w:t xml:space="preserve">линения конечностей у больных ахондроплазией. Гений ортопедии. 2002(1):15-18. </w:t>
      </w:r>
    </w:p>
    <w:p w:rsidR="008F432E" w:rsidRDefault="00A47635">
      <w:pPr>
        <w:numPr>
          <w:ilvl w:val="0"/>
          <w:numId w:val="18"/>
        </w:numPr>
        <w:spacing w:after="3"/>
        <w:ind w:right="54" w:hanging="708"/>
      </w:pPr>
      <w:r>
        <w:t xml:space="preserve">Ruedi Th.P. AO Principles of Fracture Management: second expanded edition / Th.P. Ruedi, R.E. Buckley, C.G. Moran. – AO Publishing, 2007 – 898 p. </w:t>
      </w:r>
    </w:p>
    <w:p w:rsidR="008F432E" w:rsidRDefault="00A47635">
      <w:pPr>
        <w:numPr>
          <w:ilvl w:val="0"/>
          <w:numId w:val="18"/>
        </w:numPr>
        <w:spacing w:after="14"/>
        <w:ind w:right="54" w:hanging="708"/>
      </w:pPr>
      <w:r>
        <w:t xml:space="preserve">Brodersen MP, Sim FH. Surgical management of delayed union and nonunion of the tibia. </w:t>
      </w:r>
    </w:p>
    <w:p w:rsidR="008F432E" w:rsidRDefault="00A47635">
      <w:pPr>
        <w:spacing w:after="35"/>
        <w:ind w:left="-5" w:right="54"/>
      </w:pPr>
      <w:r>
        <w:t xml:space="preserve">Orthopedics. 1981 Dec 1;4(12):1361-8. doi: 10.3928/0147-7447-19811201-06. </w:t>
      </w:r>
    </w:p>
    <w:p w:rsidR="008F432E" w:rsidRDefault="00A47635">
      <w:pPr>
        <w:numPr>
          <w:ilvl w:val="0"/>
          <w:numId w:val="18"/>
        </w:numPr>
        <w:spacing w:after="31" w:line="259" w:lineRule="auto"/>
        <w:ind w:right="54" w:hanging="708"/>
      </w:pPr>
      <w:r>
        <w:rPr>
          <w:color w:val="0000FF"/>
          <w:u w:val="single" w:color="0000FF"/>
        </w:rPr>
        <w:t>https://www.rand.org/health-care/surveys_tools/mos/36-item-short-form.html</w:t>
      </w:r>
      <w:r>
        <w:t xml:space="preserve"> </w:t>
      </w:r>
    </w:p>
    <w:p w:rsidR="008F432E" w:rsidRDefault="00A47635">
      <w:pPr>
        <w:numPr>
          <w:ilvl w:val="0"/>
          <w:numId w:val="18"/>
        </w:numPr>
        <w:spacing w:after="31" w:line="259" w:lineRule="auto"/>
        <w:ind w:right="54" w:hanging="708"/>
      </w:pPr>
      <w:r>
        <w:rPr>
          <w:color w:val="0000FF"/>
          <w:u w:val="single" w:color="0000FF"/>
        </w:rPr>
        <w:t>https://www.pedsql</w:t>
      </w:r>
      <w:r>
        <w:rPr>
          <w:color w:val="0000FF"/>
          <w:u w:val="single" w:color="0000FF"/>
        </w:rPr>
        <w:t>.org/</w:t>
      </w:r>
      <w:r>
        <w:t xml:space="preserve"> </w:t>
      </w:r>
    </w:p>
    <w:p w:rsidR="008F432E" w:rsidRDefault="00A47635">
      <w:pPr>
        <w:numPr>
          <w:ilvl w:val="0"/>
          <w:numId w:val="18"/>
        </w:numPr>
        <w:spacing w:after="11"/>
        <w:ind w:right="54" w:hanging="708"/>
      </w:pPr>
      <w:r>
        <w:t xml:space="preserve">Словарь русского языка: В 4-х т. / РАН, Ин-т лингвистических исследований; Под ред. А. П. Евгеньевой. — 4-е изд., стер. — М.: Рус. яз.; Полиграфресурсы, 1999. </w:t>
      </w:r>
    </w:p>
    <w:p w:rsidR="008F432E" w:rsidRDefault="00A47635">
      <w:pPr>
        <w:numPr>
          <w:ilvl w:val="0"/>
          <w:numId w:val="18"/>
        </w:numPr>
        <w:spacing w:after="11"/>
        <w:ind w:right="54" w:hanging="708"/>
      </w:pPr>
      <w:r>
        <w:t>Российские клинические рекомендации по диагностике, лечению и профилактике венозных тромб</w:t>
      </w:r>
      <w:r>
        <w:t>оэмболических осложнений (ВТЭО), 2015 /Флебология, 2015, № 4, выпуск 2 105.</w:t>
      </w:r>
      <w:r>
        <w:t xml:space="preserve"> </w:t>
      </w:r>
      <w:r>
        <w:t>Диагностика и  лечение тромбофлебита поверхностных вен конечностей. Рекомендации Ассоциации флебологов России, 2019 / Флебология, 2019, т. 13, № 2, с. 78-97. URL: https://doi.org/1</w:t>
      </w:r>
      <w:r>
        <w:t xml:space="preserve">0.17116/flebo20191302178 </w:t>
      </w:r>
    </w:p>
    <w:p w:rsidR="008F432E" w:rsidRDefault="00A47635">
      <w:pPr>
        <w:numPr>
          <w:ilvl w:val="0"/>
          <w:numId w:val="19"/>
        </w:numPr>
        <w:spacing w:after="11"/>
        <w:ind w:right="54" w:hanging="708"/>
      </w:pPr>
      <w:r>
        <w:t xml:space="preserve">Тромбоэмболия лёгочной артерии. Классическая диагностика, новейшие методы профилактики и лечения: руководство для врачей / под общей ред. академика РАН Л.С. Кокова. М.: РАН, 2022. – 378 с. </w:t>
      </w:r>
    </w:p>
    <w:p w:rsidR="008F432E" w:rsidRDefault="00A47635">
      <w:pPr>
        <w:numPr>
          <w:ilvl w:val="0"/>
          <w:numId w:val="19"/>
        </w:numPr>
        <w:spacing w:after="14"/>
        <w:ind w:right="54" w:hanging="708"/>
      </w:pPr>
      <w:r>
        <w:t>ESC Guidelines for the diagnosis and man</w:t>
      </w:r>
      <w:r>
        <w:t xml:space="preserve">agement of acute pulmonary embolism developed in collaboration with the European Respiratory Society (ERS) / European Heart Journal (2019) 00, 1-61. Doi:10.1093/eurheartj/ehz405 </w:t>
      </w:r>
    </w:p>
    <w:p w:rsidR="008F432E" w:rsidRDefault="00A47635">
      <w:pPr>
        <w:numPr>
          <w:ilvl w:val="0"/>
          <w:numId w:val="19"/>
        </w:numPr>
        <w:spacing w:after="14"/>
        <w:ind w:right="54" w:hanging="708"/>
      </w:pPr>
      <w:r>
        <w:t>Konstantinides S.V. Рекомендации ESC по диагностике и лечению острой легочной</w:t>
      </w:r>
      <w:r>
        <w:t xml:space="preserve"> эмболии, разработанные в сотрудничестве с Европейским респираторным обществом (ERS), 2019 / Российский кардиологический журнал. 2020; 25(8):3848. URL: https://doi.org/10.15829/1560-4071-2020-3848 </w:t>
      </w:r>
    </w:p>
    <w:p w:rsidR="008F432E" w:rsidRDefault="00A47635">
      <w:pPr>
        <w:numPr>
          <w:ilvl w:val="0"/>
          <w:numId w:val="19"/>
        </w:numPr>
        <w:spacing w:after="14"/>
        <w:ind w:right="54" w:hanging="708"/>
      </w:pPr>
      <w:r>
        <w:t xml:space="preserve">Панченко  Е.П., Балахонова  Т.В., Данилов  Н.М., Комаров  </w:t>
      </w:r>
      <w:r>
        <w:t>А.Л., Кропачёва  Е.С., Саидова  М.А., Шахматова  О.О., Явелов  И.С. Диагностика и лечение тромбоэмболии легочной артерии: клинические рекомендации для практических врачей Евразийской ассоциации кардиологов (2021). Евразийский кардиологический журнал. 2021;</w:t>
      </w:r>
      <w:r>
        <w:t xml:space="preserve"> (1):6-43, https://doi.org/10.38109/2225-1685-2021-1-6-43 </w:t>
      </w:r>
    </w:p>
    <w:p w:rsidR="008F432E" w:rsidRDefault="00A47635">
      <w:pPr>
        <w:numPr>
          <w:ilvl w:val="0"/>
          <w:numId w:val="19"/>
        </w:numPr>
        <w:spacing w:after="3"/>
        <w:ind w:right="54" w:hanging="708"/>
      </w:pPr>
      <w:r>
        <w:t xml:space="preserve">Executive Summary: Antithrombotic Therapy for VTE Disease: Second Update of the CHEST Guideline and Expert Panel Report. Chest. 2021 Dec; 160(6): 2247-2259. Doi: </w:t>
      </w:r>
    </w:p>
    <w:p w:rsidR="008F432E" w:rsidRDefault="00A47635">
      <w:pPr>
        <w:spacing w:after="14"/>
        <w:ind w:left="-5" w:right="54"/>
      </w:pPr>
      <w:r>
        <w:t xml:space="preserve">10.1016/j.chest.2021.07.056. </w:t>
      </w:r>
    </w:p>
    <w:p w:rsidR="008F432E" w:rsidRDefault="00A47635">
      <w:pPr>
        <w:numPr>
          <w:ilvl w:val="0"/>
          <w:numId w:val="19"/>
        </w:numPr>
        <w:spacing w:after="5"/>
        <w:ind w:right="54" w:hanging="708"/>
      </w:pPr>
      <w:r>
        <w:t>Amer</w:t>
      </w:r>
      <w:r>
        <w:t xml:space="preserve">ican Society of Hematology 2020 guidelines for management of venous thromboembolism: treatment of deep vein thrombosis and pulmonary embolism. Blood Adv 2020 Oct 13; </w:t>
      </w:r>
    </w:p>
    <w:p w:rsidR="008F432E" w:rsidRDefault="00A47635">
      <w:pPr>
        <w:spacing w:after="14"/>
        <w:ind w:left="-5" w:right="54"/>
      </w:pPr>
      <w:r>
        <w:t xml:space="preserve">4(19): 4693-4738. Doi: 10.1182/bloodadvances.2020001830 </w:t>
      </w:r>
    </w:p>
    <w:p w:rsidR="008F432E" w:rsidRDefault="00A47635">
      <w:pPr>
        <w:numPr>
          <w:ilvl w:val="0"/>
          <w:numId w:val="19"/>
        </w:numPr>
        <w:spacing w:after="35"/>
        <w:ind w:right="54" w:hanging="708"/>
      </w:pPr>
      <w:r>
        <w:t xml:space="preserve">Bratzler D.W., Dellinger E.P., Olsen K.M., et al. Clinical practice guidelines for antimicrobial prophylaxis in surgery // Am. J. Health. Syst. Pharm. 2013. Vol. 70, № 3. P. 195–283. </w:t>
      </w:r>
    </w:p>
    <w:p w:rsidR="008F432E" w:rsidRDefault="00A47635">
      <w:pPr>
        <w:numPr>
          <w:ilvl w:val="0"/>
          <w:numId w:val="19"/>
        </w:numPr>
        <w:spacing w:after="12"/>
        <w:ind w:right="54" w:hanging="708"/>
      </w:pPr>
      <w:r>
        <w:t>World Health Organization. Global guidelines for the prevention of surgi</w:t>
      </w:r>
      <w:r>
        <w:t xml:space="preserve">cal site infection. </w:t>
      </w:r>
    </w:p>
    <w:p w:rsidR="008F432E" w:rsidRDefault="00A47635">
      <w:pPr>
        <w:spacing w:after="14"/>
        <w:ind w:left="-5" w:right="54"/>
      </w:pPr>
      <w:r>
        <w:t xml:space="preserve">2nd ed. Geneva: World Health Organization, 2018. 184 p. </w:t>
      </w:r>
    </w:p>
    <w:p w:rsidR="008F432E" w:rsidRDefault="00A47635">
      <w:pPr>
        <w:numPr>
          <w:ilvl w:val="0"/>
          <w:numId w:val="19"/>
        </w:numPr>
        <w:spacing w:after="14"/>
        <w:ind w:right="54" w:hanging="708"/>
      </w:pPr>
      <w:r>
        <w:t xml:space="preserve">Akinyoola A.L., Adegbehingbe O.O., Odunsi A. Timing of Antibiotic Prophylaxis in Tourniquet Surgery // J. Foot Ankle Surg. 2011. Vol. 50, № 4. P. 374–376. </w:t>
      </w:r>
    </w:p>
    <w:p w:rsidR="008F432E" w:rsidRDefault="00A47635">
      <w:pPr>
        <w:numPr>
          <w:ilvl w:val="0"/>
          <w:numId w:val="19"/>
        </w:numPr>
        <w:spacing w:after="12"/>
        <w:ind w:right="54" w:hanging="708"/>
      </w:pPr>
      <w:r>
        <w:t xml:space="preserve">Opri F., Bianchini S., Nicoletti L., et al. Surgical Antimicrobial Prophylaxis in Patients of Neonatal and Pediatric Age Undergoing Orthopedic and Hand Surgery: A RAND/UCLA Appropriateness Method Consensus Study // Antibiotics. 2022. Vol. 11, № 3. P. 289. </w:t>
      </w:r>
    </w:p>
    <w:p w:rsidR="008F432E" w:rsidRDefault="00A47635">
      <w:pPr>
        <w:numPr>
          <w:ilvl w:val="0"/>
          <w:numId w:val="19"/>
        </w:numPr>
        <w:spacing w:after="4"/>
        <w:ind w:right="54" w:hanging="708"/>
      </w:pPr>
      <w:r>
        <w:t xml:space="preserve">Власова А. В., Смирнова Е. В., Теновская Т. А., et al. Протокол периоперационной и постэкспозиционной антибиотикопрофилактики в ГБУЗ «Морозовская ДГКБ ДЗМ» // Здоровье Мегаполиса. 2021. Vol. 2, № 2. P. 46–64. </w:t>
      </w:r>
    </w:p>
    <w:p w:rsidR="008F432E" w:rsidRDefault="00A47635">
      <w:pPr>
        <w:numPr>
          <w:ilvl w:val="0"/>
          <w:numId w:val="19"/>
        </w:numPr>
        <w:spacing w:after="14"/>
        <w:ind w:right="54" w:hanging="708"/>
      </w:pPr>
      <w:r>
        <w:t>Брико Н. И., Божкова С. А., Брусина Е. Б. и д</w:t>
      </w:r>
      <w:r>
        <w:t>р.; Национальная ассоциация специалистов по контролю инфекций, связанных с оказанием медицинской помощи (НАСКИ). Профилактика инфекций области хирургического вмешательства. Метод. рекомендации. М., 2022. 74 с. [Electronic resource]. URL: https: //www.nasci</w:t>
      </w:r>
      <w:r>
        <w:t xml:space="preserve">.ru/?id=102733&amp;download=1 (accessed: 27.04.2024). </w:t>
      </w:r>
    </w:p>
    <w:p w:rsidR="008F432E" w:rsidRDefault="00A47635">
      <w:pPr>
        <w:numPr>
          <w:ilvl w:val="0"/>
          <w:numId w:val="19"/>
        </w:numPr>
        <w:spacing w:after="33"/>
        <w:ind w:right="54" w:hanging="708"/>
      </w:pPr>
      <w:r>
        <w:t xml:space="preserve">Waldron N.H., Jones C.A., Gan T.J., et al. Impact of perioperative dexamethasone on postoperative analgesia and side-effects: systematic review and meta-analysis // Br. J. Anaesth. 2013. Vol. 110, № 2. P. </w:t>
      </w:r>
      <w:r>
        <w:t xml:space="preserve">191–200. </w:t>
      </w:r>
    </w:p>
    <w:p w:rsidR="008F432E" w:rsidRDefault="00A47635">
      <w:pPr>
        <w:numPr>
          <w:ilvl w:val="0"/>
          <w:numId w:val="19"/>
        </w:numPr>
        <w:spacing w:after="3" w:line="277" w:lineRule="auto"/>
        <w:ind w:right="54" w:hanging="708"/>
      </w:pPr>
      <w:r>
        <w:t xml:space="preserve">Wick E.C., Grant M.C., Wu C.L. Postoperative Multimodal Analgesia Pain Management With Nonopioid Analgesics and Techniques: A Review // JAMA Surg. 2017. Vol. 152, № 7. P. 691. </w:t>
      </w:r>
    </w:p>
    <w:p w:rsidR="008F432E" w:rsidRDefault="00A47635">
      <w:pPr>
        <w:numPr>
          <w:ilvl w:val="0"/>
          <w:numId w:val="19"/>
        </w:numPr>
        <w:spacing w:after="11"/>
        <w:ind w:right="54" w:hanging="708"/>
      </w:pPr>
      <w:r>
        <w:t>Doleman B., Mathiesen O., Sutton A.J., et al. Non-opioid analgesics f</w:t>
      </w:r>
      <w:r>
        <w:t xml:space="preserve">or the prevention of chronic postsurgical pain: a systematic review and network meta-analysis // Br. J. Anaesth. 2023. Vol. 130, № 6. P. 719–728. </w:t>
      </w:r>
    </w:p>
    <w:p w:rsidR="008F432E" w:rsidRDefault="00A47635">
      <w:pPr>
        <w:numPr>
          <w:ilvl w:val="0"/>
          <w:numId w:val="19"/>
        </w:numPr>
        <w:spacing w:after="12"/>
        <w:ind w:right="54" w:hanging="708"/>
      </w:pPr>
      <w:r>
        <w:t>Frizzell K.H., Cavanaugh P.K., Herman M.J. Pediatric Perioperative Pain Management // Orthop. Clin. North Am.</w:t>
      </w:r>
      <w:r>
        <w:t xml:space="preserve"> 2017. Vol. 48, № 4. P. 467–480. </w:t>
      </w:r>
    </w:p>
    <w:p w:rsidR="008F432E" w:rsidRDefault="00A47635">
      <w:pPr>
        <w:numPr>
          <w:ilvl w:val="0"/>
          <w:numId w:val="19"/>
        </w:numPr>
        <w:spacing w:after="11"/>
        <w:ind w:right="54" w:hanging="708"/>
      </w:pPr>
      <w:r>
        <w:t xml:space="preserve">Hsu J.R., Mir H., Wally M.K., et al. Clinical Practice Guidelines for Pain Management in Acute Musculoskeletal Injury // J. Orthop. Trauma. 2019. Vol. 33, № 5. P. e158–e182. </w:t>
      </w:r>
    </w:p>
    <w:p w:rsidR="008F432E" w:rsidRDefault="00A47635">
      <w:pPr>
        <w:numPr>
          <w:ilvl w:val="0"/>
          <w:numId w:val="19"/>
        </w:numPr>
        <w:spacing w:after="3"/>
        <w:ind w:right="54" w:hanging="708"/>
      </w:pPr>
      <w:r>
        <w:t>Lee S.K., Lee J.W., Choy W.S. Is multimodal ana</w:t>
      </w:r>
      <w:r>
        <w:t xml:space="preserve">lgesia as effective as postoperative patient-controlled analgesia following upper extremity surgery? // Orthop. Traumatol. Surg. Res. </w:t>
      </w:r>
    </w:p>
    <w:p w:rsidR="008F432E" w:rsidRDefault="00A47635">
      <w:pPr>
        <w:spacing w:after="16"/>
        <w:ind w:left="-5" w:right="54"/>
      </w:pPr>
      <w:r>
        <w:t xml:space="preserve">2013. Vol. 99, № 8. P. 895–901. </w:t>
      </w:r>
    </w:p>
    <w:p w:rsidR="008F432E" w:rsidRDefault="00A47635">
      <w:pPr>
        <w:numPr>
          <w:ilvl w:val="0"/>
          <w:numId w:val="20"/>
        </w:numPr>
        <w:spacing w:after="12"/>
        <w:ind w:right="54"/>
      </w:pPr>
      <w:r>
        <w:t xml:space="preserve">Richman J.M., Liu S.S., Courpas G., et al. Does Continuous Peripheral Nerve Block Provide Superior Pain Control to Opioids? A Meta-Analysis // Anesth. Analg. 2006. Vol. 102, № 1. P. 248–257. </w:t>
      </w:r>
    </w:p>
    <w:p w:rsidR="008F432E" w:rsidRDefault="00A47635">
      <w:pPr>
        <w:numPr>
          <w:ilvl w:val="0"/>
          <w:numId w:val="20"/>
        </w:numPr>
        <w:spacing w:after="14"/>
        <w:ind w:right="54"/>
      </w:pPr>
      <w:r>
        <w:t>Hauer J. Pain in children: Approach to pain assessment and overv</w:t>
      </w:r>
      <w:r>
        <w:t xml:space="preserve">iew of management principles // UpToDate. Poplack DG. Wolters Kluwer. </w:t>
      </w:r>
    </w:p>
    <w:p w:rsidR="008F432E" w:rsidRDefault="00A47635">
      <w:pPr>
        <w:numPr>
          <w:ilvl w:val="0"/>
          <w:numId w:val="20"/>
        </w:numPr>
        <w:spacing w:after="12"/>
        <w:ind w:right="54"/>
      </w:pPr>
      <w:r>
        <w:t>Orliaguet G., Hamza J., Couloigner V., et al. A Case of Respiratory Depression in a Child With Ultrarapid CYP2D6 Metabolism After Tramadol // Pediatrics. 2015. Vol. 135, № 3. P. e753– e</w:t>
      </w:r>
      <w:r>
        <w:t xml:space="preserve">755. </w:t>
      </w:r>
    </w:p>
    <w:p w:rsidR="008F432E" w:rsidRDefault="00A47635">
      <w:pPr>
        <w:numPr>
          <w:ilvl w:val="0"/>
          <w:numId w:val="20"/>
        </w:numPr>
        <w:spacing w:after="11"/>
        <w:ind w:right="54"/>
      </w:pPr>
      <w:r>
        <w:t xml:space="preserve">Schechter W. Pharmacologic management of acute perioperative pain in infants and children // UpToDate. Sun LS. Wolters Kluwer. </w:t>
      </w:r>
    </w:p>
    <w:p w:rsidR="008F432E" w:rsidRDefault="00A47635">
      <w:pPr>
        <w:numPr>
          <w:ilvl w:val="0"/>
          <w:numId w:val="20"/>
        </w:numPr>
        <w:spacing w:after="14"/>
        <w:ind w:right="54"/>
      </w:pPr>
      <w:r>
        <w:t>Божкова С.А., Тихилов Р.М., Андрияшкин В.В. Профилактика, диагностика и лечение тромбоэмболических осложнений в травматоло</w:t>
      </w:r>
      <w:r>
        <w:t xml:space="preserve">гии и ортопедии: методические рекомендации // Травматология И Ортопедия России. 2022. Vol. 28, № 3. P. 136–166. </w:t>
      </w:r>
    </w:p>
    <w:p w:rsidR="008F432E" w:rsidRDefault="00A47635">
      <w:pPr>
        <w:numPr>
          <w:ilvl w:val="0"/>
          <w:numId w:val="20"/>
        </w:numPr>
        <w:spacing w:after="12"/>
        <w:ind w:right="54"/>
      </w:pPr>
      <w:r>
        <w:t>Селиверстов Е.И., Лобастов К.В., Илюхин Е.А. Профилактика, диагностика и лечение тромбоза глубоких вен. Рекомендации российских экспертов // Фл</w:t>
      </w:r>
      <w:r>
        <w:t xml:space="preserve">ебология. 2023. Vol. 17, № 3. P. 152–296. </w:t>
      </w:r>
    </w:p>
    <w:p w:rsidR="008F432E" w:rsidRDefault="00A47635">
      <w:pPr>
        <w:numPr>
          <w:ilvl w:val="0"/>
          <w:numId w:val="20"/>
        </w:numPr>
        <w:spacing w:after="11"/>
        <w:ind w:right="54"/>
      </w:pPr>
      <w:r>
        <w:t>Monagle P., Chan A.K.C., Goldenberg N.A., et al. Antithrombotic Therapy in Neonates and Children // Chest. 2012. Vol. 141, № 2. P. e737S-e801S. doi: 10.1378/chest.11-2308. 131.</w:t>
      </w:r>
      <w:r>
        <w:t xml:space="preserve"> </w:t>
      </w:r>
      <w:r>
        <w:t xml:space="preserve">Gould M.K., Garcia D.A., Wren S.M., </w:t>
      </w:r>
      <w:r>
        <w:t xml:space="preserve">et al. Prevention of VTE in Nonorthopedic Surgical Patients // Chest. 2012. Vol. 141, № 2. P. e227S-e277S. </w:t>
      </w:r>
    </w:p>
    <w:p w:rsidR="008F432E" w:rsidRDefault="00A47635">
      <w:pPr>
        <w:numPr>
          <w:ilvl w:val="0"/>
          <w:numId w:val="21"/>
        </w:numPr>
        <w:spacing w:after="33"/>
        <w:ind w:right="54"/>
      </w:pPr>
      <w:r>
        <w:t>Lyle C.A., Sidonio R.F., Goldenberg N.A. New developments in pediatric venous thromboembolism and anticoagulation, including the target-specific ora</w:t>
      </w:r>
      <w:r>
        <w:t xml:space="preserve">l anticoagulants // Curr. Opin. Pediatr. 2015. Vol. 27, № 1. P. 18–25. doi: 10.1097/MOP.0000000000000173. </w:t>
      </w:r>
    </w:p>
    <w:p w:rsidR="008F432E" w:rsidRDefault="00A47635">
      <w:pPr>
        <w:numPr>
          <w:ilvl w:val="0"/>
          <w:numId w:val="21"/>
        </w:numPr>
        <w:spacing w:after="11"/>
        <w:ind w:right="54"/>
      </w:pPr>
      <w:r>
        <w:t>Mahajerin A., Webber E.C., Morris J., et al. Development and Implementation Results of a Venous Thromboembolism Prophylaxis Guideline in a Tertiary C</w:t>
      </w:r>
      <w:r>
        <w:t xml:space="preserve">are Pediatric Hospital // Hosp. Pediatr. 2015. Vol. 5, № 12. P. 630–636. doi: 10.1542/hpeds.2014-0241. </w:t>
      </w:r>
    </w:p>
    <w:p w:rsidR="008F432E" w:rsidRDefault="00A47635">
      <w:pPr>
        <w:numPr>
          <w:ilvl w:val="0"/>
          <w:numId w:val="21"/>
        </w:numPr>
        <w:spacing w:after="14"/>
        <w:ind w:right="54"/>
      </w:pPr>
      <w:r>
        <w:t>Raffini L., Trimarchi T., Beliveau J., et al. Thromboprophylaxis in a Pediatric Hospital: A Patient-Safety and Quality-Improvement Initiative // Pediatr</w:t>
      </w:r>
      <w:r>
        <w:t xml:space="preserve">ics. 2011. Vol. 127, № 5. P. e1326– e1332. doi: 10.1542/peds.2010-3282. </w:t>
      </w:r>
    </w:p>
    <w:p w:rsidR="008F432E" w:rsidRDefault="00A47635">
      <w:pPr>
        <w:numPr>
          <w:ilvl w:val="0"/>
          <w:numId w:val="21"/>
        </w:numPr>
        <w:spacing w:after="12"/>
        <w:ind w:right="54"/>
      </w:pPr>
      <w:r>
        <w:t>Dix D., Andrew M., Marzinotto V., et al. The use of low molecular weight heparin in pediatric patients: A prospective cohort study // J. Pediatr. 2000. Vol. 136, № 4. P. 439–445. doi:</w:t>
      </w:r>
      <w:r>
        <w:t xml:space="preserve"> 10.1016/S0022-3476(00)90005-2. </w:t>
      </w:r>
    </w:p>
    <w:p w:rsidR="008F432E" w:rsidRDefault="00A47635">
      <w:pPr>
        <w:numPr>
          <w:ilvl w:val="0"/>
          <w:numId w:val="21"/>
        </w:numPr>
        <w:spacing w:after="11"/>
        <w:ind w:right="54"/>
      </w:pPr>
      <w:r>
        <w:t xml:space="preserve">Faustino E.V.S., Raffini L.J. Prevention of Hospital-Acquired Venous Thromboembolism in Children: A Review of Published Guidelines // Front. Pediatr. 2017. Vol. 5. doi: 10.3389/fped.2017.00009. </w:t>
      </w:r>
    </w:p>
    <w:p w:rsidR="008F432E" w:rsidRDefault="00A47635">
      <w:pPr>
        <w:numPr>
          <w:ilvl w:val="0"/>
          <w:numId w:val="21"/>
        </w:numPr>
        <w:spacing w:after="11"/>
        <w:ind w:right="54"/>
      </w:pPr>
      <w:r>
        <w:t xml:space="preserve">Hanson S.J., Punzalan R.C., </w:t>
      </w:r>
      <w:r>
        <w:t>Arca M.J., et al. Effectiveness of clinical guidelines for deep vein thrombosis prophylaxis in reducing the incidence of venous thromboembolism in critically ill children after trauma // J. Trauma Acute Care Surg. 2012. Vol. 72, № 5. P. 1292–1297. doi: 10.</w:t>
      </w:r>
      <w:r>
        <w:t xml:space="preserve">1097/TA.0b013e31824964d1. </w:t>
      </w:r>
    </w:p>
    <w:p w:rsidR="008F432E" w:rsidRDefault="00A47635">
      <w:pPr>
        <w:numPr>
          <w:ilvl w:val="0"/>
          <w:numId w:val="21"/>
        </w:numPr>
        <w:spacing w:after="4"/>
        <w:ind w:right="54"/>
      </w:pPr>
      <w:r>
        <w:t>UW Health. Venous Thromboembolism Prophylaxis – Pediatric – Inpatient – Consensus Care Guideline [Electronic resource]. 2023. URL: https://www.uwhealth.org/cckm/cpg/hematology-and-coagulation/Pediatric-VTE-PPX-Consensus-Care-GL--</w:t>
      </w:r>
      <w:r>
        <w:t xml:space="preserve">-April-2023-Final.pdf (accessed: </w:t>
      </w:r>
    </w:p>
    <w:p w:rsidR="008F432E" w:rsidRDefault="00A47635">
      <w:pPr>
        <w:spacing w:after="14"/>
        <w:ind w:left="-5" w:right="54"/>
      </w:pPr>
      <w:r>
        <w:t xml:space="preserve">07.01.2024). </w:t>
      </w:r>
    </w:p>
    <w:p w:rsidR="008F432E" w:rsidRDefault="00A47635">
      <w:pPr>
        <w:numPr>
          <w:ilvl w:val="0"/>
          <w:numId w:val="21"/>
        </w:numPr>
        <w:spacing w:after="11"/>
        <w:ind w:right="54"/>
      </w:pPr>
      <w:r>
        <w:t>Zabolotskikh I.B., Kirov M.Yu., Afonchikov V.S., et al. Perioperative management of patients receiving long-term antithrombotic therapy. Russian Federation of anesthesiologists and reanimatologists guidelines // Ann. Crit. Care. 2019. № 1. P. 7–19. doi: 10</w:t>
      </w:r>
      <w:r>
        <w:t xml:space="preserve">.21320/1818-474X-20191-7-19. </w:t>
      </w:r>
    </w:p>
    <w:p w:rsidR="008F432E" w:rsidRDefault="00A47635">
      <w:pPr>
        <w:numPr>
          <w:ilvl w:val="0"/>
          <w:numId w:val="21"/>
        </w:numPr>
        <w:spacing w:after="3"/>
        <w:ind w:right="54"/>
      </w:pPr>
      <w:r>
        <w:t xml:space="preserve">Afshari A., Ageno W., Ahmed A., et al. European Guidelines on perioperative venous thromboembolism prophylaxis: Executive summary // Eur. J. Anaesthesiol. 2018. Vol. 35, № 2. P. </w:t>
      </w:r>
    </w:p>
    <w:p w:rsidR="008F432E" w:rsidRDefault="00A47635">
      <w:pPr>
        <w:spacing w:after="16"/>
        <w:ind w:left="-5" w:right="54"/>
      </w:pPr>
      <w:r>
        <w:t xml:space="preserve">77–83. doi: 10.1097/EJA.0000000000000729. </w:t>
      </w:r>
    </w:p>
    <w:p w:rsidR="008F432E" w:rsidRDefault="00A47635">
      <w:pPr>
        <w:numPr>
          <w:ilvl w:val="0"/>
          <w:numId w:val="21"/>
        </w:numPr>
        <w:spacing w:after="3"/>
        <w:ind w:right="54"/>
      </w:pPr>
      <w:r>
        <w:t>Newa</w:t>
      </w:r>
      <w:r>
        <w:t xml:space="preserve">ll F., Branchford B., Male C. Anticoagulant prophylaxis and therapy in children: current challenges and emerging issues // J. Thromb. Haemost. 2018. Vol. 16, № 2. P. 196–208. doi: </w:t>
      </w:r>
    </w:p>
    <w:p w:rsidR="008F432E" w:rsidRDefault="00A47635">
      <w:pPr>
        <w:spacing w:after="14"/>
        <w:ind w:left="-5" w:right="54"/>
      </w:pPr>
      <w:r>
        <w:t xml:space="preserve">10.1111/jth.13913. </w:t>
      </w:r>
    </w:p>
    <w:p w:rsidR="008F432E" w:rsidRDefault="00A47635">
      <w:pPr>
        <w:numPr>
          <w:ilvl w:val="0"/>
          <w:numId w:val="21"/>
        </w:numPr>
        <w:spacing w:after="5"/>
        <w:ind w:right="54"/>
      </w:pPr>
      <w:r>
        <w:t>Meier K.A., Clark E., Tarango C., et al. Venous Thrombo</w:t>
      </w:r>
      <w:r>
        <w:t xml:space="preserve">embolism in Hospitalized Adolescents: An Approach to Risk Assessment and Prophylaxis // Hosp. Pediatr. 2015. Vol. 5, № 1. P. </w:t>
      </w:r>
    </w:p>
    <w:p w:rsidR="008F432E" w:rsidRDefault="00A47635">
      <w:pPr>
        <w:spacing w:after="35"/>
        <w:ind w:left="-5" w:right="54"/>
      </w:pPr>
      <w:r>
        <w:t xml:space="preserve">44–51. doi: 10.1542/hpeds.2014-0044.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/>
      </w:pPr>
      <w:bookmarkStart w:id="31" w:name="_Toc71506"/>
      <w:r>
        <w:t>Приложение А1. Состав рабочей группы по разработке и пересмотру клинических рекомендаций</w:t>
      </w:r>
      <w:r>
        <w:t xml:space="preserve"> </w:t>
      </w:r>
      <w:bookmarkEnd w:id="31"/>
    </w:p>
    <w:p w:rsidR="008F432E" w:rsidRDefault="00A47635">
      <w:pPr>
        <w:spacing w:line="358" w:lineRule="auto"/>
        <w:ind w:left="-5" w:right="54"/>
      </w:pPr>
      <w:r>
        <w:t xml:space="preserve">Бурцев Александр Владимирович – </w:t>
      </w:r>
      <w:r>
        <w:t>д.м.н., директор ФГБУ "НМИЦ ТО имени академика Г.А. Илизарова" Минздрава России, г. Курган.</w:t>
      </w:r>
      <w:r>
        <w:t xml:space="preserve">  </w:t>
      </w:r>
    </w:p>
    <w:p w:rsidR="008F432E" w:rsidRDefault="00A47635">
      <w:pPr>
        <w:spacing w:line="358" w:lineRule="auto"/>
        <w:ind w:left="-5" w:right="54"/>
      </w:pPr>
      <w:r>
        <w:t>Воробьева Алена Николаевна</w:t>
      </w:r>
      <w:r>
        <w:t xml:space="preserve"> – травматолог-ортопед травматолого-ортопедического отделения №6, ФГБУ "НМИЦ ТО имени Академика Г.А. И</w:t>
      </w:r>
      <w:r>
        <w:t xml:space="preserve">лизарова" Минздрава России, г. Курган. </w:t>
      </w:r>
    </w:p>
    <w:p w:rsidR="008F432E" w:rsidRDefault="00A47635">
      <w:pPr>
        <w:spacing w:after="121" w:line="359" w:lineRule="auto"/>
        <w:ind w:left="-5" w:right="9"/>
        <w:jc w:val="left"/>
      </w:pPr>
      <w:r>
        <w:t>Горбач Евгений Сергеевич</w:t>
      </w:r>
      <w:r>
        <w:t xml:space="preserve"> – к.м.н., травматолог-ортопед травматолого-ортопедического отделения №6, ФГБУ "НМИЦ ТО имени Академика Г.А. Илизарова" Минздрава России, г. Курган. </w:t>
      </w:r>
    </w:p>
    <w:p w:rsidR="008F432E" w:rsidRDefault="00A47635">
      <w:pPr>
        <w:spacing w:line="356" w:lineRule="auto"/>
        <w:ind w:left="-5" w:right="54"/>
      </w:pPr>
      <w:r>
        <w:t>Имомов Шохбек Азаматович</w:t>
      </w:r>
      <w:r>
        <w:t xml:space="preserve"> – травматолог-орт</w:t>
      </w:r>
      <w:r>
        <w:t xml:space="preserve">опед травматолого-ортопедического отделения №6, ФГБУ "НМИЦ ТО имени Академика Г.А. Илизарова" Минздрава России, г. Курган. </w:t>
      </w:r>
    </w:p>
    <w:p w:rsidR="008F432E" w:rsidRDefault="00A47635">
      <w:pPr>
        <w:spacing w:line="357" w:lineRule="auto"/>
        <w:ind w:left="-5" w:right="54"/>
      </w:pPr>
      <w:r>
        <w:t>Каминский Андрей Владимирович</w:t>
      </w:r>
      <w:r>
        <w:t xml:space="preserve"> – к.м.н., Заслуженный врач РФ, заместитель директора по реализации федеральных проектов ФГБУ "НМИЦ ТО имени Академика Г.А. Илизарова" Минздрава России. </w:t>
      </w:r>
    </w:p>
    <w:p w:rsidR="008F432E" w:rsidRDefault="00A47635">
      <w:pPr>
        <w:spacing w:after="0" w:line="358" w:lineRule="auto"/>
        <w:ind w:left="-5" w:right="54"/>
      </w:pPr>
      <w:r>
        <w:t>Леончук Дарья Сергеевна</w:t>
      </w:r>
      <w:r>
        <w:t xml:space="preserve"> – травматолог-ортопед гнойного травматолого-ортопедического отделения №2, ФГБУ</w:t>
      </w:r>
      <w:r>
        <w:t xml:space="preserve"> "НМИЦ ТО имени Академика Г.А. Илизарова" Минздрава России, г. </w:t>
      </w:r>
    </w:p>
    <w:p w:rsidR="008F432E" w:rsidRDefault="00A47635">
      <w:pPr>
        <w:spacing w:after="225"/>
        <w:ind w:left="-5" w:right="54"/>
      </w:pPr>
      <w:r>
        <w:t xml:space="preserve">Курган. </w:t>
      </w:r>
    </w:p>
    <w:p w:rsidR="008F432E" w:rsidRDefault="00A47635">
      <w:pPr>
        <w:spacing w:line="357" w:lineRule="auto"/>
        <w:ind w:left="-5" w:right="54"/>
      </w:pPr>
      <w:r>
        <w:t>Леончук Сергей Сергеевич</w:t>
      </w:r>
      <w:r>
        <w:t xml:space="preserve"> – к.м.н., травматолог-ортопед, заведующий травматолого-ортопедическим отделением №6 ФГБУ "НМИЦ ТО имени Академика Г.А. Илизарова" Минздрава России, г. Курган, член Президиума ASAMI Россия. </w:t>
      </w:r>
    </w:p>
    <w:p w:rsidR="008F432E" w:rsidRDefault="00A47635">
      <w:pPr>
        <w:spacing w:line="358" w:lineRule="auto"/>
        <w:ind w:left="-5" w:right="54"/>
      </w:pPr>
      <w:r>
        <w:t>Недобоева Оксана Владимировна –</w:t>
      </w:r>
      <w:r>
        <w:t xml:space="preserve"> клинический фармаколог ФГБУ "НМИЦ</w:t>
      </w:r>
      <w:r>
        <w:t xml:space="preserve"> ТО имени Академика Г.А. Илизарова" Минздрава России, г. Курган. </w:t>
      </w:r>
    </w:p>
    <w:p w:rsidR="008F432E" w:rsidRDefault="00A47635">
      <w:pPr>
        <w:spacing w:line="357" w:lineRule="auto"/>
        <w:ind w:left="-5" w:right="54"/>
      </w:pPr>
      <w:r>
        <w:t>Соломин Леонид Николаевич</w:t>
      </w:r>
      <w:r>
        <w:t xml:space="preserve"> – д.м.н., профессор, травматолог-ортопед высшей категории, ФГБУ «НМИЦ ТО им. Р.Р. Вредена» Минздрава России, Почетный профессор Российского научного центра имени ак</w:t>
      </w:r>
      <w:r>
        <w:t xml:space="preserve">адемика Г.А. Илизарова. </w:t>
      </w:r>
    </w:p>
    <w:p w:rsidR="008F432E" w:rsidRDefault="00A47635">
      <w:pPr>
        <w:spacing w:line="357" w:lineRule="auto"/>
        <w:ind w:left="-5" w:right="54"/>
      </w:pPr>
      <w:r>
        <w:t>Кокорев Алексей Иванович</w:t>
      </w:r>
      <w:r>
        <w:t xml:space="preserve"> – к.м.н., врач-травматолог-ортопед 12 травматолого-ортопедического отделения, начальник отдела организации деятельности травматолого-ортопедической службы НМИЦ ФГБУ «НМИЦ ТО им. Н.Н.Приорова» Минздрава Росс</w:t>
      </w:r>
      <w:r>
        <w:t xml:space="preserve">ии, г. Москва. </w:t>
      </w:r>
    </w:p>
    <w:p w:rsidR="008F432E" w:rsidRDefault="00A47635">
      <w:pPr>
        <w:spacing w:line="358" w:lineRule="auto"/>
        <w:ind w:left="-15" w:right="54" w:firstLine="708"/>
      </w:pPr>
      <w:r>
        <w:t xml:space="preserve">При разработке клинической рекомендации приобретённые деформации нижних конечностей (кроме стопы) у рабочей группы конфликт интересов отсутствовал. 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 w:right="66"/>
      </w:pPr>
      <w:bookmarkStart w:id="32" w:name="_Toc71507"/>
      <w:r>
        <w:t xml:space="preserve">Приложение А2. Методология разработки клинических рекомендаций </w:t>
      </w:r>
      <w:bookmarkEnd w:id="32"/>
    </w:p>
    <w:p w:rsidR="008F432E" w:rsidRDefault="00A47635">
      <w:pPr>
        <w:spacing w:line="358" w:lineRule="auto"/>
        <w:ind w:left="-15" w:right="54" w:firstLine="708"/>
      </w:pPr>
      <w:r>
        <w:t>Клинические рекомендации</w:t>
      </w:r>
      <w:r>
        <w:t xml:space="preserve"> содержат описание технологии исправления приобретенных деформаций нижних конечностей у детей после завершения периода их активного роста (девочки старше 13 лет, мальчики – старше 14 лет) и взрослых как последствий травмы и гематогенного остеомиелита, пере</w:t>
      </w:r>
      <w:r>
        <w:t xml:space="preserve">несенного в детском возрасте.  </w:t>
      </w:r>
    </w:p>
    <w:p w:rsidR="008F432E" w:rsidRDefault="00A47635">
      <w:pPr>
        <w:spacing w:after="107" w:line="358" w:lineRule="auto"/>
        <w:ind w:left="-5" w:right="45"/>
      </w:pPr>
      <w:r>
        <w:t>Методы, используемые для сбора/селекции доказательств:</w:t>
      </w:r>
      <w:r>
        <w:t xml:space="preserve"> поиск в электронных базах данных. </w:t>
      </w:r>
    </w:p>
    <w:p w:rsidR="008F432E" w:rsidRDefault="00A47635">
      <w:pPr>
        <w:spacing w:line="357" w:lineRule="auto"/>
        <w:ind w:left="-15" w:right="54" w:firstLine="708"/>
      </w:pPr>
      <w:r>
        <w:t>Доказательной базой для написания настоящих клинических рекомендаций являются релевантные англоязычные и русскоязычные публикации в эл</w:t>
      </w:r>
      <w:r>
        <w:t xml:space="preserve">ектронных базах данных MEDLINE, PubMed, WOS, EMBASE и РИНЦ. Глубина поиска составляет 25 лет. </w:t>
      </w:r>
    </w:p>
    <w:p w:rsidR="008F432E" w:rsidRDefault="00A47635">
      <w:pPr>
        <w:spacing w:after="255" w:line="266" w:lineRule="auto"/>
        <w:ind w:left="-5" w:right="45"/>
      </w:pPr>
      <w:r>
        <w:t xml:space="preserve">Методы, используемые для формулирования рекомендаций: </w:t>
      </w:r>
    </w:p>
    <w:p w:rsidR="008F432E" w:rsidRDefault="00A47635">
      <w:pPr>
        <w:numPr>
          <w:ilvl w:val="0"/>
          <w:numId w:val="22"/>
        </w:numPr>
        <w:spacing w:after="230"/>
        <w:ind w:right="54" w:hanging="708"/>
      </w:pPr>
      <w:r>
        <w:t xml:space="preserve">консенсус экспертов </w:t>
      </w:r>
    </w:p>
    <w:p w:rsidR="008F432E" w:rsidRDefault="00A47635">
      <w:pPr>
        <w:spacing w:after="255" w:line="266" w:lineRule="auto"/>
        <w:ind w:left="-5" w:right="45"/>
      </w:pPr>
      <w:r>
        <w:t xml:space="preserve">Целевая аудитория клинических рекомендаций:  </w:t>
      </w:r>
    </w:p>
    <w:p w:rsidR="008F432E" w:rsidRDefault="00A47635">
      <w:pPr>
        <w:numPr>
          <w:ilvl w:val="1"/>
          <w:numId w:val="22"/>
        </w:numPr>
        <w:spacing w:after="239"/>
        <w:ind w:right="54" w:hanging="698"/>
      </w:pPr>
      <w:r>
        <w:t xml:space="preserve">Врачи ортопеды-травматологи с опытом работы более 3-х лет. </w:t>
      </w:r>
    </w:p>
    <w:p w:rsidR="008F432E" w:rsidRDefault="00A47635">
      <w:pPr>
        <w:numPr>
          <w:ilvl w:val="1"/>
          <w:numId w:val="22"/>
        </w:numPr>
        <w:spacing w:line="356" w:lineRule="auto"/>
        <w:ind w:right="54" w:hanging="698"/>
      </w:pPr>
      <w:r>
        <w:t xml:space="preserve">Аспиранты и докторанты, научная работа которых связана с коррекцией деформаций длинных костей. </w:t>
      </w:r>
    </w:p>
    <w:p w:rsidR="008F432E" w:rsidRDefault="00A47635">
      <w:pPr>
        <w:spacing w:after="225" w:line="266" w:lineRule="auto"/>
        <w:ind w:left="-5" w:right="45"/>
      </w:pPr>
      <w:r>
        <w:t xml:space="preserve">Методы, использованные для анализа доказательств: </w:t>
      </w:r>
    </w:p>
    <w:p w:rsidR="008F432E" w:rsidRDefault="00A47635">
      <w:pPr>
        <w:numPr>
          <w:ilvl w:val="0"/>
          <w:numId w:val="22"/>
        </w:numPr>
        <w:spacing w:after="224"/>
        <w:ind w:right="54" w:hanging="708"/>
      </w:pPr>
      <w:r>
        <w:t xml:space="preserve">обзоры опубликованных мета-анализов; </w:t>
      </w:r>
    </w:p>
    <w:p w:rsidR="008F432E" w:rsidRDefault="00A47635">
      <w:pPr>
        <w:numPr>
          <w:ilvl w:val="0"/>
          <w:numId w:val="22"/>
        </w:numPr>
        <w:spacing w:after="222"/>
        <w:ind w:right="54" w:hanging="708"/>
      </w:pPr>
      <w:r>
        <w:t>систематиче</w:t>
      </w:r>
      <w:r>
        <w:t xml:space="preserve">ские обзоры с таблицами доказательств. </w:t>
      </w:r>
    </w:p>
    <w:p w:rsidR="008F432E" w:rsidRDefault="00A47635">
      <w:pPr>
        <w:spacing w:after="228" w:line="266" w:lineRule="auto"/>
        <w:ind w:left="-5" w:right="45"/>
      </w:pPr>
      <w:r>
        <w:t xml:space="preserve">Описание методов, использованных для анализа доказательств </w:t>
      </w:r>
    </w:p>
    <w:p w:rsidR="008F432E" w:rsidRDefault="00A47635">
      <w:pPr>
        <w:spacing w:line="356" w:lineRule="auto"/>
        <w:ind w:left="-5" w:right="54"/>
      </w:pPr>
      <w:r>
        <w:t>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в ее</w:t>
      </w:r>
      <w:r>
        <w:t xml:space="preserve"> валидности. </w:t>
      </w:r>
    </w:p>
    <w:p w:rsidR="008F432E" w:rsidRDefault="00A47635">
      <w:pPr>
        <w:spacing w:line="356" w:lineRule="auto"/>
        <w:ind w:left="-5" w:right="54"/>
      </w:pPr>
      <w:r>
        <w:t xml:space="preserve">Результат изучения влияет на уровень доказательств, присваиваемый публикации, что в свою очередь, влияет на силу рекомендаций. </w:t>
      </w:r>
    </w:p>
    <w:p w:rsidR="008F432E" w:rsidRDefault="00A47635">
      <w:pPr>
        <w:spacing w:after="222"/>
        <w:ind w:left="-5" w:right="54"/>
      </w:pPr>
      <w:r>
        <w:t xml:space="preserve">Для минимизации потенциальных ошибок каждое исследование оценивалось независимо. </w:t>
      </w:r>
    </w:p>
    <w:p w:rsidR="008F432E" w:rsidRDefault="00A47635">
      <w:pPr>
        <w:spacing w:line="358" w:lineRule="auto"/>
        <w:ind w:left="-5" w:right="54"/>
      </w:pPr>
      <w:r>
        <w:t xml:space="preserve">Любые различия в оценках обсуждались всей группой авторов в полном составе. При невозможности достижения консенсуса привлекался независимый эксперт. </w:t>
      </w:r>
    </w:p>
    <w:p w:rsidR="008F432E" w:rsidRDefault="00A47635">
      <w:pPr>
        <w:spacing w:after="224"/>
        <w:ind w:left="-5" w:right="54"/>
      </w:pPr>
      <w:r>
        <w:t>Таблицы доказательств:</w:t>
      </w:r>
      <w:r>
        <w:t xml:space="preserve"> заполнялись авторами клинических рекомендаций. </w:t>
      </w:r>
    </w:p>
    <w:p w:rsidR="008F432E" w:rsidRDefault="00A47635">
      <w:pPr>
        <w:spacing w:line="356" w:lineRule="auto"/>
        <w:ind w:left="-5" w:right="54"/>
      </w:pPr>
      <w:r>
        <w:t xml:space="preserve">В данных клинических рекомендациях </w:t>
      </w:r>
      <w:r>
        <w:t xml:space="preserve">все сведения ранжированы по уровню достоверности (доказательности) в зависимости от количества и качества исследований по данной проблеме. </w:t>
      </w:r>
    </w:p>
    <w:p w:rsidR="008F432E" w:rsidRDefault="00A47635">
      <w:pPr>
        <w:spacing w:after="235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line="357" w:lineRule="auto"/>
        <w:ind w:left="-15" w:right="54" w:firstLine="708"/>
      </w:pPr>
      <w:r>
        <w:t>Убедительность научных доказательств в поддержку тезисов-рекомендаций оценивали согласно таблицам 1 и 2, а силу те</w:t>
      </w:r>
      <w:r>
        <w:t>зисов-рекомендаций определяли согласно таблице 3 (Приложение № 2 к Требованиям к структуре клинических рекомендаций, составу и научной обоснованности, включаемой в клинические рекомендации информации, утвержденным приказом Минздрава РФ от 28 февраля 2019 г</w:t>
      </w:r>
      <w:r>
        <w:t xml:space="preserve">. № 103н). </w:t>
      </w:r>
    </w:p>
    <w:p w:rsidR="008F432E" w:rsidRDefault="00A47635">
      <w:pPr>
        <w:spacing w:after="96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0" w:line="266" w:lineRule="auto"/>
        <w:ind w:left="-5" w:right="45"/>
      </w:pPr>
      <w:r>
        <w:t xml:space="preserve">Таблица 1. Шкала оценки уровней достоверности доказательств (УДД) для методов диагностики (диагностических вмешательств) </w:t>
      </w:r>
    </w:p>
    <w:tbl>
      <w:tblPr>
        <w:tblStyle w:val="TableGrid"/>
        <w:tblW w:w="9571" w:type="dxa"/>
        <w:tblInd w:w="5" w:type="dxa"/>
        <w:tblCellMar>
          <w:top w:w="56" w:type="dxa"/>
          <w:left w:w="108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1951"/>
        <w:gridCol w:w="7620"/>
      </w:tblGrid>
      <w:tr w:rsidR="008F432E">
        <w:trPr>
          <w:trHeight w:val="26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57" w:firstLine="0"/>
              <w:jc w:val="center"/>
            </w:pPr>
            <w:r>
              <w:rPr>
                <w:sz w:val="22"/>
              </w:rPr>
              <w:t xml:space="preserve">УДД 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53" w:firstLine="0"/>
              <w:jc w:val="center"/>
            </w:pPr>
            <w:r>
              <w:rPr>
                <w:sz w:val="22"/>
              </w:rPr>
              <w:t xml:space="preserve">Расшифровка </w:t>
            </w:r>
          </w:p>
        </w:tc>
      </w:tr>
      <w:tr w:rsidR="008F432E">
        <w:trPr>
          <w:trHeight w:val="76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11" w:firstLine="0"/>
              <w:jc w:val="left"/>
            </w:pPr>
            <w:r>
              <w:rPr>
                <w:sz w:val="22"/>
              </w:rPr>
              <w:t xml:space="preserve"> 1 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мета-анализа </w:t>
            </w:r>
          </w:p>
        </w:tc>
      </w:tr>
      <w:tr w:rsidR="008F432E">
        <w:trPr>
          <w:trHeight w:val="102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11" w:firstLine="0"/>
              <w:jc w:val="left"/>
            </w:pPr>
            <w:r>
              <w:rPr>
                <w:sz w:val="22"/>
              </w:rPr>
              <w:t xml:space="preserve"> 2 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>Отдельные исследования с контролем референсным методом или отдельные рандомизированные</w:t>
            </w:r>
            <w:r>
              <w:rPr>
                <w:sz w:val="22"/>
              </w:rPr>
              <w:t xml:space="preserve"> клинические исследования и систематические обзоры исследований любого дизайна, за исключением рандомизированных клинических исследований, с применением мета-анализа </w:t>
            </w:r>
          </w:p>
        </w:tc>
      </w:tr>
      <w:tr w:rsidR="008F432E">
        <w:trPr>
          <w:trHeight w:val="102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11" w:firstLine="0"/>
              <w:jc w:val="left"/>
            </w:pPr>
            <w:r>
              <w:rPr>
                <w:sz w:val="22"/>
              </w:rPr>
              <w:t xml:space="preserve"> 3 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Исследования без последовательного контроля референсным методом или исследования с референсным методом, не являющимся независимым от исследуемого метода или нерандомизированные сравнительные исследования, в том числе когортные исследования </w:t>
            </w:r>
          </w:p>
        </w:tc>
      </w:tr>
      <w:tr w:rsidR="008F432E">
        <w:trPr>
          <w:trHeight w:val="26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11" w:firstLine="0"/>
              <w:jc w:val="left"/>
            </w:pPr>
            <w:r>
              <w:rPr>
                <w:sz w:val="22"/>
              </w:rPr>
              <w:t xml:space="preserve"> 4 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Несравните</w:t>
            </w:r>
            <w:r>
              <w:rPr>
                <w:sz w:val="22"/>
              </w:rPr>
              <w:t xml:space="preserve">льные исследования, описание клинического случая </w:t>
            </w:r>
          </w:p>
        </w:tc>
      </w:tr>
      <w:tr w:rsidR="008F432E">
        <w:trPr>
          <w:trHeight w:val="26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11" w:firstLine="0"/>
              <w:jc w:val="left"/>
            </w:pPr>
            <w:r>
              <w:rPr>
                <w:sz w:val="22"/>
              </w:rPr>
              <w:t xml:space="preserve"> 5 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Имеется лишь обоснование механизма действия или мнение экспертов </w:t>
            </w:r>
          </w:p>
        </w:tc>
      </w:tr>
    </w:tbl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0" w:line="266" w:lineRule="auto"/>
        <w:ind w:left="-5" w:right="45"/>
      </w:pPr>
      <w:r>
        <w:t xml:space="preserve">Таблица 2. Шкала оценки уровней достоверности доказательств (УДД) для методов профилактики, лечения, медицинской реабилитации, в том числе основанных на использовании природных лечебных факторов (профилактических, лечебных, реабилитационных вмешательств) </w:t>
      </w:r>
    </w:p>
    <w:tbl>
      <w:tblPr>
        <w:tblStyle w:val="TableGrid"/>
        <w:tblW w:w="7728" w:type="dxa"/>
        <w:tblInd w:w="5" w:type="dxa"/>
        <w:tblCellMar>
          <w:top w:w="54" w:type="dxa"/>
          <w:left w:w="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869"/>
        <w:gridCol w:w="1082"/>
        <w:gridCol w:w="5777"/>
      </w:tblGrid>
      <w:tr w:rsidR="008F432E">
        <w:trPr>
          <w:trHeight w:val="24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УДД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266" w:firstLine="0"/>
              <w:jc w:val="center"/>
            </w:pPr>
            <w:r>
              <w:rPr>
                <w:sz w:val="20"/>
              </w:rPr>
              <w:t xml:space="preserve">Расшифровка </w:t>
            </w:r>
          </w:p>
        </w:tc>
      </w:tr>
      <w:tr w:rsidR="008F432E">
        <w:trPr>
          <w:trHeight w:val="47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A47635">
            <w:pPr>
              <w:spacing w:after="0" w:line="259" w:lineRule="auto"/>
              <w:ind w:left="0" w:right="23" w:firstLine="0"/>
              <w:jc w:val="center"/>
            </w:pPr>
            <w:r>
              <w:rPr>
                <w:sz w:val="20"/>
              </w:rPr>
              <w:t xml:space="preserve"> 1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08" w:hanging="1"/>
            </w:pPr>
            <w:r>
              <w:rPr>
                <w:sz w:val="20"/>
              </w:rPr>
              <w:t xml:space="preserve">Систематический обзор рандомизированных клинических исследований с применением мета-анализа </w:t>
            </w:r>
          </w:p>
        </w:tc>
      </w:tr>
      <w:tr w:rsidR="008F432E">
        <w:trPr>
          <w:trHeight w:val="92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A47635">
            <w:pPr>
              <w:spacing w:after="0" w:line="259" w:lineRule="auto"/>
              <w:ind w:left="0" w:right="23" w:firstLine="0"/>
              <w:jc w:val="center"/>
            </w:pPr>
            <w:r>
              <w:rPr>
                <w:sz w:val="20"/>
              </w:rPr>
              <w:t xml:space="preserve"> 2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08" w:right="51" w:hanging="1"/>
            </w:pPr>
            <w:r>
              <w:rPr>
                <w:sz w:val="20"/>
              </w:rPr>
              <w:t xml:space="preserve">Отдельные рандомизированные клинические исследования и систематические обзоры исследований любого дизайна, за исключением рандомизированных клинических исследований, с применением мета-анализа </w:t>
            </w:r>
          </w:p>
        </w:tc>
      </w:tr>
      <w:tr w:rsidR="008F432E">
        <w:trPr>
          <w:trHeight w:val="47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A47635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08" w:hanging="1"/>
            </w:pPr>
            <w:r>
              <w:rPr>
                <w:sz w:val="20"/>
              </w:rPr>
              <w:t xml:space="preserve">Нерандомизированные сравнительные исследования, в том числе когортные исследования </w:t>
            </w:r>
          </w:p>
        </w:tc>
      </w:tr>
      <w:tr w:rsidR="008F432E">
        <w:trPr>
          <w:trHeight w:val="47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A47635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08" w:hanging="1"/>
            </w:pPr>
            <w:r>
              <w:rPr>
                <w:sz w:val="20"/>
              </w:rPr>
              <w:t xml:space="preserve">Несравнительные исследования, описание клинического случая или серии случаев, исследование "случай-контроль" </w:t>
            </w:r>
          </w:p>
        </w:tc>
      </w:tr>
      <w:tr w:rsidR="008F432E">
        <w:trPr>
          <w:trHeight w:val="47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32E" w:rsidRDefault="00A47635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432E" w:rsidRDefault="008F43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108" w:hanging="1"/>
            </w:pPr>
            <w:r>
              <w:rPr>
                <w:sz w:val="20"/>
              </w:rPr>
              <w:t xml:space="preserve">Имеется лишь обоснование механизма действия вмешательства (доклинические исследования) или мнение экспертов </w:t>
            </w:r>
          </w:p>
        </w:tc>
      </w:tr>
    </w:tbl>
    <w:p w:rsidR="008F432E" w:rsidRDefault="00A47635">
      <w:pPr>
        <w:spacing w:after="119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07" w:line="358" w:lineRule="auto"/>
        <w:ind w:left="-5" w:right="45"/>
      </w:pPr>
      <w:r>
        <w:t>Таблица 3.</w:t>
      </w:r>
      <w:r>
        <w:t xml:space="preserve"> </w:t>
      </w:r>
      <w:r>
        <w:t>Шкала оценки уровней убедительности рекомендаций (УУР) для методов профилактики, диагностики, лечения, медицинской реабилитации, в том числе основанных на использовании природных лечебных факторов (профилактических, диагностических, лечебных, реабилитацион</w:t>
      </w:r>
      <w:r>
        <w:t>ных вмешательств)</w:t>
      </w:r>
      <w:r>
        <w:t xml:space="preserve"> </w:t>
      </w:r>
    </w:p>
    <w:tbl>
      <w:tblPr>
        <w:tblStyle w:val="TableGrid"/>
        <w:tblW w:w="9077" w:type="dxa"/>
        <w:tblInd w:w="-14" w:type="dxa"/>
        <w:tblCellMar>
          <w:top w:w="54" w:type="dxa"/>
          <w:left w:w="206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1500"/>
        <w:gridCol w:w="7577"/>
      </w:tblGrid>
      <w:tr w:rsidR="008F432E">
        <w:trPr>
          <w:trHeight w:val="425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07" w:firstLine="0"/>
              <w:jc w:val="center"/>
            </w:pPr>
            <w:r>
              <w:t xml:space="preserve">УУР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09" w:firstLine="0"/>
              <w:jc w:val="center"/>
            </w:pPr>
            <w:r>
              <w:t xml:space="preserve">Расшифровка </w:t>
            </w:r>
          </w:p>
        </w:tc>
      </w:tr>
      <w:tr w:rsidR="008F432E">
        <w:trPr>
          <w:trHeight w:val="139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08" w:firstLine="0"/>
              <w:jc w:val="center"/>
            </w:pPr>
            <w:r>
              <w:rPr>
                <w:sz w:val="20"/>
              </w:rPr>
              <w:t xml:space="preserve">A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1"/>
              <w:jc w:val="left"/>
            </w:pPr>
            <w:r>
              <w:rPr>
                <w:sz w:val="20"/>
              </w:rPr>
              <w:t xml:space="preserve"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</w:t>
            </w:r>
            <w:r>
              <w:rPr>
                <w:sz w:val="20"/>
              </w:rPr>
              <w:tab/>
              <w:t xml:space="preserve">качество, их выводы </w:t>
            </w:r>
            <w:r>
              <w:rPr>
                <w:sz w:val="20"/>
              </w:rPr>
              <w:tab/>
              <w:t xml:space="preserve">по интересующим исходам являются согласованными) </w:t>
            </w:r>
          </w:p>
        </w:tc>
      </w:tr>
      <w:tr w:rsidR="008F432E">
        <w:trPr>
          <w:trHeight w:val="139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09" w:firstLine="0"/>
              <w:jc w:val="center"/>
            </w:pPr>
            <w:r>
              <w:rPr>
                <w:sz w:val="20"/>
              </w:rPr>
              <w:t xml:space="preserve">B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1"/>
              <w:jc w:val="left"/>
            </w:pPr>
            <w:r>
              <w:rPr>
                <w:sz w:val="20"/>
              </w:rPr>
              <w:t>Условная рекоменд</w:t>
            </w:r>
            <w:r>
              <w:rPr>
                <w:sz w:val="20"/>
              </w:rPr>
              <w:t xml:space="preserve">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интересующим исходам не являются согласованными) </w:t>
            </w:r>
          </w:p>
        </w:tc>
      </w:tr>
      <w:tr w:rsidR="008F432E">
        <w:trPr>
          <w:trHeight w:val="139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09" w:firstLine="0"/>
              <w:jc w:val="center"/>
            </w:pPr>
            <w:r>
              <w:rPr>
                <w:sz w:val="20"/>
              </w:rPr>
              <w:t xml:space="preserve">C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firstLine="1"/>
              <w:jc w:val="left"/>
            </w:pPr>
            <w:r>
              <w:rPr>
                <w:sz w:val="20"/>
              </w:rPr>
              <w:t>Слабая рекомендация (</w:t>
            </w:r>
            <w:r>
              <w:rPr>
                <w:sz w:val="20"/>
              </w:rPr>
              <w:t xml:space="preserve">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согласованными) </w:t>
            </w:r>
          </w:p>
        </w:tc>
      </w:tr>
    </w:tbl>
    <w:p w:rsidR="008F432E" w:rsidRDefault="00A47635">
      <w:pPr>
        <w:spacing w:after="138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ind w:left="-5" w:right="54"/>
      </w:pPr>
      <w:r>
        <w:t>Экономический</w:t>
      </w:r>
      <w:r>
        <w:t xml:space="preserve"> анализ.</w:t>
      </w:r>
      <w:r>
        <w:t xml:space="preserve"> Анализ стоимости не проводился и публикации по фармакоэкономике не анализировались. </w:t>
      </w:r>
    </w:p>
    <w:p w:rsidR="008F432E" w:rsidRDefault="00A47635">
      <w:pPr>
        <w:spacing w:after="107" w:line="266" w:lineRule="auto"/>
        <w:ind w:left="-5" w:right="45"/>
      </w:pPr>
      <w:r>
        <w:t xml:space="preserve">Метод валидации рекомендаций: </w:t>
      </w:r>
    </w:p>
    <w:p w:rsidR="008F432E" w:rsidRDefault="00A47635">
      <w:pPr>
        <w:numPr>
          <w:ilvl w:val="0"/>
          <w:numId w:val="23"/>
        </w:numPr>
        <w:ind w:right="54" w:hanging="283"/>
      </w:pPr>
      <w:r>
        <w:t xml:space="preserve">внешняя экспертная оценка, </w:t>
      </w:r>
    </w:p>
    <w:p w:rsidR="008F432E" w:rsidRDefault="00A47635">
      <w:pPr>
        <w:numPr>
          <w:ilvl w:val="0"/>
          <w:numId w:val="23"/>
        </w:numPr>
        <w:ind w:right="54" w:hanging="283"/>
      </w:pPr>
      <w:r>
        <w:t xml:space="preserve">внутренняя экспертная оценка. </w:t>
      </w:r>
    </w:p>
    <w:p w:rsidR="008F432E" w:rsidRDefault="00A47635">
      <w:pPr>
        <w:spacing w:after="107" w:line="266" w:lineRule="auto"/>
        <w:ind w:left="-5" w:right="45"/>
      </w:pPr>
      <w:r>
        <w:t xml:space="preserve">Описание метода валидации рекомендаций </w:t>
      </w:r>
    </w:p>
    <w:p w:rsidR="008F432E" w:rsidRDefault="00A47635">
      <w:pPr>
        <w:ind w:left="-5" w:right="54"/>
      </w:pPr>
      <w:r>
        <w:t xml:space="preserve">Настоящие рекомендации в предварительной версии были рецензированы независимыми экспертами, которых, прежде всего, попросили прокомментировать, насколько доступна для понимания интерпретация доказательств, лежащая в основе рекомендаций. </w:t>
      </w:r>
    </w:p>
    <w:p w:rsidR="008F432E" w:rsidRDefault="00A47635">
      <w:pPr>
        <w:spacing w:after="59" w:line="326" w:lineRule="auto"/>
        <w:ind w:left="-5" w:right="54"/>
      </w:pPr>
      <w:r>
        <w:t>Все комментарии, п</w:t>
      </w:r>
      <w:r>
        <w:t xml:space="preserve">олученные от экспертов, тщательно систематизировались и обсуждались членами рабочей группы (авторами рекомендаций). Каждый пункт обсуждался в отдельности. </w:t>
      </w:r>
      <w:r>
        <w:t xml:space="preserve">Консультация и экспертная оценка. </w:t>
      </w:r>
    </w:p>
    <w:p w:rsidR="008F432E" w:rsidRDefault="00A47635">
      <w:pPr>
        <w:ind w:left="-5" w:right="54"/>
      </w:pPr>
      <w:r>
        <w:t>Проект рекомендаций был рецензирован независимыми экспертами, кото</w:t>
      </w:r>
      <w:r>
        <w:t xml:space="preserve">рых, прежде всего, попросили прокомментировать доходчивость и точность интерпретации доказательной базы, лежащей в основе рекомендаций. </w:t>
      </w:r>
    </w:p>
    <w:p w:rsidR="008F432E" w:rsidRDefault="00A47635">
      <w:pPr>
        <w:spacing w:after="107" w:line="266" w:lineRule="auto"/>
        <w:ind w:left="-5" w:right="45"/>
      </w:pPr>
      <w:r>
        <w:t xml:space="preserve">Рабочая группа </w:t>
      </w:r>
    </w:p>
    <w:p w:rsidR="008F432E" w:rsidRDefault="00A47635">
      <w:pPr>
        <w:ind w:left="-5" w:right="54"/>
      </w:pPr>
      <w:r>
        <w:t>Для окончательной редакции и контроля качества рекомендации были повторно проанализированы членами рабо</w:t>
      </w:r>
      <w:r>
        <w:t xml:space="preserve">чей группы, которые пришли к заключению, что все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8F432E" w:rsidRDefault="00A47635">
      <w:pPr>
        <w:spacing w:after="107" w:line="266" w:lineRule="auto"/>
        <w:ind w:left="-5" w:right="45"/>
      </w:pPr>
      <w:r>
        <w:t xml:space="preserve">Основные рекомендации </w:t>
      </w:r>
    </w:p>
    <w:p w:rsidR="008F432E" w:rsidRDefault="00A47635">
      <w:pPr>
        <w:ind w:left="-5" w:right="54"/>
      </w:pPr>
      <w:r>
        <w:t>Уровень убедительности (сила) рекомендаций на основан</w:t>
      </w:r>
      <w:r>
        <w:t xml:space="preserve">ии соответствующих степеней достоверности доказательств приводятся при изложении текста рекомендаций.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  <w:r>
        <w:t xml:space="preserve"> </w:t>
      </w:r>
    </w:p>
    <w:p w:rsidR="008F432E" w:rsidRDefault="00A47635">
      <w:pPr>
        <w:spacing w:line="357" w:lineRule="auto"/>
        <w:ind w:left="-15" w:right="54" w:firstLine="708"/>
      </w:pPr>
      <w:r>
        <w:t>Актуализация данных клинических рекомендаций будет проводиться не реже, чем один раз в три года. Принятие решения об обновлении будет принято на основ</w:t>
      </w:r>
      <w:r>
        <w:t xml:space="preserve">ании предложений, представленных медицинскими профессиональными некоммерческими организациями с учётом результатов комплексной оценки лекарственных препаратов, медицинских изделий, а также результатов клинической апробации. </w:t>
      </w:r>
    </w:p>
    <w:p w:rsidR="008F432E" w:rsidRDefault="00A47635">
      <w:pPr>
        <w:spacing w:after="16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/>
      </w:pPr>
      <w:bookmarkStart w:id="33" w:name="_Toc71508"/>
      <w:r>
        <w:t>Приложение А3. Справочные мат</w:t>
      </w:r>
      <w:r>
        <w:t xml:space="preserve">ериалы, включая соответствие показаний к применению и противопоказаний, способов применения и доз лекарственных препаратов инструкции по применению лекарственного препарата </w:t>
      </w:r>
      <w:bookmarkEnd w:id="33"/>
    </w:p>
    <w:p w:rsidR="008F432E" w:rsidRDefault="00A47635">
      <w:pPr>
        <w:spacing w:after="238" w:line="358" w:lineRule="auto"/>
        <w:ind w:left="-5" w:right="45"/>
      </w:pPr>
      <w:r>
        <w:t xml:space="preserve">Приложение A3.1 Предоперационная подготовка, техническое исполнение, остеотомия, послеоперационное ведение пациента, демонтаж АВФ. </w:t>
      </w:r>
    </w:p>
    <w:p w:rsidR="008F432E" w:rsidRDefault="00A47635">
      <w:pPr>
        <w:spacing w:after="3" w:line="259" w:lineRule="auto"/>
        <w:ind w:left="-5" w:right="49"/>
      </w:pPr>
      <w:r>
        <w:t xml:space="preserve">Предоперационная подготовка. </w:t>
      </w:r>
    </w:p>
    <w:p w:rsidR="008F432E" w:rsidRDefault="00A47635">
      <w:pPr>
        <w:spacing w:after="0" w:line="358" w:lineRule="auto"/>
        <w:ind w:left="-15" w:right="54" w:firstLine="852"/>
      </w:pPr>
      <w:r>
        <w:t>Предоперационная подготовка включает в себя комплекс известных мероприятий по изучению ортопед</w:t>
      </w:r>
      <w:r>
        <w:t xml:space="preserve">ического статуса пациента, включая определение референтных линий и углов (рис. 1), вершины/н деформации, величины укорочения, определение варианта остеотомии/кортикотомии, подбору деталей аппарата [53, 71, 72]. </w:t>
      </w:r>
    </w:p>
    <w:p w:rsidR="008F432E" w:rsidRDefault="00A47635">
      <w:pPr>
        <w:spacing w:after="1" w:line="357" w:lineRule="auto"/>
        <w:ind w:left="-15" w:right="54" w:firstLine="708"/>
      </w:pPr>
      <w:r>
        <w:t>Предоперационная подготовка больных, которым установлены показания к выполнению чрезкостного остеосинтеза, включает комплекс общеклинического обследования, направленного на оценку общего состояния и локального статуса. В комплекс диагностических лабораторн</w:t>
      </w:r>
      <w:r>
        <w:t xml:space="preserve">ых методов включают общие (клинические) анализы крови и мочи, определение основных групп по системе AB0 и определение антигена D системы Резус (резусфактор).  </w:t>
      </w:r>
    </w:p>
    <w:p w:rsidR="008F432E" w:rsidRDefault="00A47635">
      <w:pPr>
        <w:spacing w:after="1" w:line="357" w:lineRule="auto"/>
        <w:ind w:left="-15" w:right="54" w:firstLine="708"/>
      </w:pPr>
      <w:r>
        <w:t>Выраженные отек, напряжение мягких тканей поврежденной конечности (увеличение длины окружности н</w:t>
      </w:r>
      <w:r>
        <w:t>а любом из уровней более чем на 50—60 мм), изменение цвета кожных покровов, значение асимметрии реовазографического индекса свыше 40%, а также смещение показателей гемостаза в сторону гиперкоагуляции являются показанием к комплексу консервативного лечения.</w:t>
      </w:r>
      <w:r>
        <w:t xml:space="preserve"> В состав фармакотерапии включают адекватные дозировки спазмолитиков, антикоагулянтов, дезагрегантов. Целесообразны физиотерапевтическое лечение, рефлексотерапия. Лечение проводят в течение 3—7 дней с динамическим контролем за эффективностью и необходимой </w:t>
      </w:r>
      <w:r>
        <w:t xml:space="preserve">коррекцией. </w:t>
      </w:r>
    </w:p>
    <w:p w:rsidR="008F432E" w:rsidRDefault="00A47635">
      <w:pPr>
        <w:spacing w:after="2" w:line="356" w:lineRule="auto"/>
        <w:ind w:left="-15" w:right="54" w:firstLine="708"/>
      </w:pPr>
      <w:r>
        <w:t xml:space="preserve">Для уточнения диагноза у больных, поступивших на лечение с сопутствующими заболеваниями, привлекают консультантов различных специальностей:  </w:t>
      </w:r>
    </w:p>
    <w:p w:rsidR="008F432E" w:rsidRDefault="00A47635">
      <w:pPr>
        <w:spacing w:after="112" w:line="259" w:lineRule="auto"/>
        <w:ind w:left="171" w:right="448"/>
        <w:jc w:val="center"/>
      </w:pPr>
      <w:r>
        <w:t xml:space="preserve">Прием (осмотр, консультация) врача-терапевта/врача-педиатра первичный,  </w:t>
      </w:r>
    </w:p>
    <w:p w:rsidR="008F432E" w:rsidRDefault="00A47635">
      <w:pPr>
        <w:ind w:left="718" w:right="54"/>
      </w:pPr>
      <w:r>
        <w:t>Прием (осмотр, консультация)</w:t>
      </w:r>
      <w:r>
        <w:t xml:space="preserve"> врача-хирурга/врача-детского хирурга первичный,  </w:t>
      </w:r>
    </w:p>
    <w:p w:rsidR="008F432E" w:rsidRDefault="00A47635">
      <w:pPr>
        <w:ind w:left="718" w:right="54"/>
      </w:pPr>
      <w:r>
        <w:t xml:space="preserve">Прием (осмотр, консультация) врача-нейрохирурга первичный, </w:t>
      </w:r>
    </w:p>
    <w:p w:rsidR="008F432E" w:rsidRDefault="00A47635">
      <w:pPr>
        <w:ind w:left="718" w:right="54"/>
      </w:pPr>
      <w:r>
        <w:t xml:space="preserve">Прием (осмотр, консультация) врача-сердечно-сосудистого хирурга первичный,  </w:t>
      </w:r>
    </w:p>
    <w:p w:rsidR="008F432E" w:rsidRDefault="00A47635">
      <w:pPr>
        <w:spacing w:after="2" w:line="356" w:lineRule="auto"/>
        <w:ind w:left="-15" w:right="54" w:firstLine="708"/>
      </w:pPr>
      <w:r>
        <w:t>Прием (осмотр, консультация) врача-уролога/врача-детского уролога-ан</w:t>
      </w:r>
      <w:r>
        <w:t xml:space="preserve">дролога первичный,  </w:t>
      </w:r>
    </w:p>
    <w:p w:rsidR="008F432E" w:rsidRDefault="00A47635">
      <w:pPr>
        <w:spacing w:after="2" w:line="356" w:lineRule="auto"/>
        <w:ind w:left="-15" w:right="54" w:firstLine="708"/>
      </w:pPr>
      <w:r>
        <w:t xml:space="preserve">Прием (осмотр, консультация) врача-эндокринолога/врача-детского эндокринолога первичный и др.  </w:t>
      </w:r>
    </w:p>
    <w:p w:rsidR="008F432E" w:rsidRDefault="00A47635">
      <w:pPr>
        <w:spacing w:after="2" w:line="357" w:lineRule="auto"/>
        <w:ind w:left="-15" w:right="54" w:firstLine="708"/>
      </w:pPr>
      <w:r>
        <w:t>Временные параметры консультативного осмотра врача узкого профиля определяются индивидуально в зависимости от состояния больного. Обязатель</w:t>
      </w:r>
      <w:r>
        <w:t xml:space="preserve">ным в комплексе предоперационной подготовки является выявление, а при ортопедической патологии и санация очагов хронической инфекции. </w:t>
      </w:r>
    </w:p>
    <w:p w:rsidR="008F432E" w:rsidRDefault="00A47635">
      <w:pPr>
        <w:spacing w:after="0" w:line="357" w:lineRule="auto"/>
        <w:ind w:left="-15" w:right="54" w:firstLine="708"/>
      </w:pPr>
      <w:r>
        <w:t xml:space="preserve">Пациентам с патологией нижних конечностей заблаговременно подбирают костыли (трость) необходимого размера. В комплекс предоперационной подготовки входит подготовка не менее двух хлопчатобумажных чехлов для аппарата. </w:t>
      </w:r>
    </w:p>
    <w:p w:rsidR="008F432E" w:rsidRDefault="00A47635">
      <w:pPr>
        <w:spacing w:after="1" w:line="357" w:lineRule="auto"/>
        <w:ind w:left="-15" w:right="54" w:firstLine="708"/>
      </w:pPr>
      <w:r>
        <w:t>Хлопчатобумажный чехол не должен закрыв</w:t>
      </w:r>
      <w:r>
        <w:t xml:space="preserve">ать пальцы кисти (стопы). В зимнее время возникает необходимость использования дополнительного чехла с внешним влагоизолирующим и внутренним утепляющим слоями. </w:t>
      </w:r>
    </w:p>
    <w:p w:rsidR="008F432E" w:rsidRDefault="00A47635">
      <w:pPr>
        <w:spacing w:line="357" w:lineRule="auto"/>
        <w:ind w:left="-15" w:right="54" w:firstLine="708"/>
      </w:pPr>
      <w:r>
        <w:t>Кроме этого, больному необходимо заблаговременно позаботиться о специальной одежде с расширенны</w:t>
      </w:r>
      <w:r>
        <w:t xml:space="preserve">м рукавом (брючиной). Пациентам, которым предстоит выполнение чрезкостного остеосинтеза голени, необходим подстопник. </w:t>
      </w:r>
    </w:p>
    <w:p w:rsidR="008F432E" w:rsidRDefault="00A47635">
      <w:pPr>
        <w:spacing w:line="357" w:lineRule="auto"/>
        <w:ind w:left="-15" w:right="54" w:firstLine="708"/>
      </w:pPr>
      <w:r>
        <w:t>Пациент и врач должны представлять, что опасность возникновения инфекционных осложнений при чрескостном остеосинтезе выше, чем при остеос</w:t>
      </w:r>
      <w:r>
        <w:t xml:space="preserve">интезе погружными конструкциями. Однако ущерб здоровью пациента, время и усилия, необходимые для лечения возникшего инфекционного осложнения при чрескостном остеосинтезе, несравненно меньше, чем при инфекционном осложнении после остеосинтеза имплантатами. </w:t>
      </w:r>
    </w:p>
    <w:p w:rsidR="008F432E" w:rsidRDefault="00A47635">
      <w:pPr>
        <w:spacing w:after="0" w:line="357" w:lineRule="auto"/>
        <w:ind w:left="-15" w:right="54" w:firstLine="708"/>
      </w:pPr>
      <w:r>
        <w:t>Накануне операции (если она выполняется не по поводу острой травмы) пациент принимает гигиеническую ванну. Непосредственно перед операцией с области будущего операционного поля удаляется волосяной покров специальными триммерами (не допускается использован</w:t>
      </w:r>
      <w:r>
        <w:t xml:space="preserve">ие бритвенных станков, при котором возникает контакт лезвия с кожей пациента), производится обработка раствором для наружного применения спиртовым хлоргексидина (D08AC02) и обертывается стерильным бинтом. Пациент транспортируется в операционную. </w:t>
      </w:r>
    </w:p>
    <w:p w:rsidR="008F432E" w:rsidRDefault="00A47635">
      <w:pPr>
        <w:spacing w:after="96" w:line="259" w:lineRule="auto"/>
        <w:ind w:left="-5" w:right="49"/>
      </w:pPr>
      <w:r>
        <w:t>Техническ</w:t>
      </w:r>
      <w:r>
        <w:t xml:space="preserve">ое исполнение. </w:t>
      </w:r>
    </w:p>
    <w:p w:rsidR="008F432E" w:rsidRDefault="00A47635">
      <w:pPr>
        <w:spacing w:after="150" w:line="358" w:lineRule="auto"/>
        <w:ind w:left="-15" w:right="54" w:firstLine="708"/>
      </w:pPr>
      <w:r>
        <w:t>Для определения наличия деформации используют общую механическую ось конечности, а также линии суставов и анатомические (механические) оси сегментов. Если отклонение общей механической оси превышает рефератные значения, это подтверждает нал</w:t>
      </w:r>
      <w:r>
        <w:t>ичие деформации [53, 71, 75, 84-86]. Однако, «идеальное» прохождение общей механической оси во фронтальной плоскости, т.е. через центр коленного сустава, не исключает наличие деформаций бедренной и большеберцовой костей. Поэтому решающее значение имеет опр</w:t>
      </w:r>
      <w:r>
        <w:t>еделение механических (анатомических) углов бедренной и большеберцовой костей в двух плоскостях (рис. 1). Дополнительно оцениваются «торсионные» РЛУ и неравенство длин (сегментов) конечностей. Таким образом, алгоритм анализа наличия деформации во фронтальн</w:t>
      </w:r>
      <w:r>
        <w:t xml:space="preserve">ой плоскости включает: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Оценку наличия торсионного компонента деформации; </w:t>
      </w:r>
    </w:p>
    <w:p w:rsidR="008F432E" w:rsidRDefault="00A47635">
      <w:pPr>
        <w:numPr>
          <w:ilvl w:val="0"/>
          <w:numId w:val="24"/>
        </w:numPr>
        <w:spacing w:after="239"/>
        <w:ind w:right="54" w:hanging="360"/>
      </w:pPr>
      <w:r>
        <w:t xml:space="preserve">Оценку величины отклонения общей механической оси; </w:t>
      </w:r>
    </w:p>
    <w:p w:rsidR="008F432E" w:rsidRDefault="00A47635">
      <w:pPr>
        <w:numPr>
          <w:ilvl w:val="0"/>
          <w:numId w:val="24"/>
        </w:numPr>
        <w:spacing w:line="356" w:lineRule="auto"/>
        <w:ind w:right="54" w:hanging="360"/>
      </w:pPr>
      <w:r>
        <w:t xml:space="preserve">Оценку «состоятельности» связок: имеется ли их нестабильность (неравномерность суставной щели); </w:t>
      </w:r>
    </w:p>
    <w:p w:rsidR="008F432E" w:rsidRDefault="00A47635">
      <w:pPr>
        <w:numPr>
          <w:ilvl w:val="0"/>
          <w:numId w:val="24"/>
        </w:numPr>
        <w:spacing w:after="152" w:line="356" w:lineRule="auto"/>
        <w:ind w:right="54" w:hanging="360"/>
      </w:pPr>
      <w:r>
        <w:t>Оценку проксимального и дистальн</w:t>
      </w:r>
      <w:r>
        <w:t xml:space="preserve">ого механических углов бедренной и большеберцовой костей; </w:t>
      </w:r>
    </w:p>
    <w:p w:rsidR="008F432E" w:rsidRDefault="00A47635">
      <w:pPr>
        <w:numPr>
          <w:ilvl w:val="0"/>
          <w:numId w:val="24"/>
        </w:numPr>
        <w:spacing w:after="228"/>
        <w:ind w:right="54" w:hanging="360"/>
      </w:pPr>
      <w:r>
        <w:t xml:space="preserve">Оценка разницы в длинах сегментов конечностей. </w:t>
      </w:r>
    </w:p>
    <w:p w:rsidR="008F432E" w:rsidRDefault="00A47635">
      <w:pPr>
        <w:spacing w:after="253"/>
        <w:ind w:left="718" w:right="54"/>
      </w:pPr>
      <w:r>
        <w:t xml:space="preserve">Анализ наличия деформации в сагиттальной плоскости включает: </w:t>
      </w:r>
    </w:p>
    <w:p w:rsidR="008F432E" w:rsidRDefault="00A47635">
      <w:pPr>
        <w:numPr>
          <w:ilvl w:val="0"/>
          <w:numId w:val="24"/>
        </w:numPr>
        <w:spacing w:after="259"/>
        <w:ind w:right="54" w:hanging="360"/>
      </w:pPr>
      <w:r>
        <w:t xml:space="preserve">Оценку (подтверждение) наличия торсионного компонента деформации;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Оценку общей механической оси;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Оценка взаимоотношений в коленный суставе на наличие подвывиха;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Оценку механических (анатомических) углов бедренной и большеберцовой костей; </w:t>
      </w:r>
    </w:p>
    <w:p w:rsidR="008F432E" w:rsidRDefault="00A47635">
      <w:pPr>
        <w:numPr>
          <w:ilvl w:val="0"/>
          <w:numId w:val="24"/>
        </w:numPr>
        <w:spacing w:after="228"/>
        <w:ind w:right="54" w:hanging="360"/>
      </w:pPr>
      <w:r>
        <w:t xml:space="preserve">Оценку (подтверждение) разницы в длинах сегментов конечностей. </w:t>
      </w:r>
    </w:p>
    <w:p w:rsidR="008F432E" w:rsidRDefault="00A47635">
      <w:pPr>
        <w:spacing w:line="358" w:lineRule="auto"/>
        <w:ind w:left="-15" w:right="54" w:firstLine="708"/>
      </w:pPr>
      <w:r>
        <w:t>Только после подт</w:t>
      </w:r>
      <w:r>
        <w:t xml:space="preserve">верждения описанным выше способом наличия деформации приступают к планированию коррекции деформации.  </w:t>
      </w:r>
    </w:p>
    <w:p w:rsidR="008F432E" w:rsidRDefault="00A47635">
      <w:pPr>
        <w:spacing w:after="149" w:line="358" w:lineRule="auto"/>
        <w:ind w:left="-15" w:right="54" w:firstLine="708"/>
      </w:pPr>
      <w:r>
        <w:t>Этапы планирования коррекции деформаций во фронтальной плоскости</w:t>
      </w:r>
      <w:r>
        <w:t xml:space="preserve"> </w:t>
      </w:r>
      <w:r>
        <w:t xml:space="preserve">(если нет торсионного компонента деформации) включают: 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>Определение механической (анато</w:t>
      </w:r>
      <w:r>
        <w:t xml:space="preserve">мической) оси проксимального фрагмента;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Определение механической (анатомической) оси дистального фрагмента; </w:t>
      </w:r>
    </w:p>
    <w:p w:rsidR="008F432E" w:rsidRDefault="00A47635">
      <w:pPr>
        <w:numPr>
          <w:ilvl w:val="0"/>
          <w:numId w:val="24"/>
        </w:numPr>
        <w:spacing w:after="259"/>
        <w:ind w:right="54" w:hanging="360"/>
      </w:pPr>
      <w:r>
        <w:t xml:space="preserve">Определение вершины деформации; </w:t>
      </w:r>
    </w:p>
    <w:p w:rsidR="008F432E" w:rsidRDefault="00A47635">
      <w:pPr>
        <w:numPr>
          <w:ilvl w:val="0"/>
          <w:numId w:val="24"/>
        </w:numPr>
        <w:ind w:right="54" w:hanging="360"/>
      </w:pPr>
      <w:r>
        <w:t xml:space="preserve">Определение уровня остеотомии; </w:t>
      </w:r>
    </w:p>
    <w:p w:rsidR="008F432E" w:rsidRDefault="00A47635">
      <w:pPr>
        <w:numPr>
          <w:ilvl w:val="0"/>
          <w:numId w:val="24"/>
        </w:numPr>
        <w:spacing w:after="154" w:line="356" w:lineRule="auto"/>
        <w:ind w:right="54" w:hanging="360"/>
      </w:pPr>
      <w:r>
        <w:t>Определение типа остеотомии («открытый клин», «закрытый клин», «нейтральный клин»</w:t>
      </w:r>
      <w:r>
        <w:t xml:space="preserve">, шарнирная, иная);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Выполнение (виртуальной) остеотомии; </w:t>
      </w:r>
    </w:p>
    <w:p w:rsidR="008F432E" w:rsidRDefault="00A47635">
      <w:pPr>
        <w:numPr>
          <w:ilvl w:val="0"/>
          <w:numId w:val="24"/>
        </w:numPr>
        <w:spacing w:after="239"/>
        <w:ind w:right="54" w:hanging="360"/>
      </w:pPr>
      <w:r>
        <w:t xml:space="preserve">Виртуальную коррекцию, включая устранение неравенства длин конечностей; </w:t>
      </w:r>
    </w:p>
    <w:p w:rsidR="008F432E" w:rsidRDefault="00A47635">
      <w:pPr>
        <w:numPr>
          <w:ilvl w:val="0"/>
          <w:numId w:val="24"/>
        </w:numPr>
        <w:spacing w:line="356" w:lineRule="auto"/>
        <w:ind w:right="54" w:hanging="360"/>
      </w:pPr>
      <w:r>
        <w:t xml:space="preserve">Проверку имеющейся после коррекции отклонения общей механической оси и величин механических (анатомических) углов. </w:t>
      </w:r>
    </w:p>
    <w:p w:rsidR="008F432E" w:rsidRDefault="00A47635">
      <w:pPr>
        <w:spacing w:after="149" w:line="358" w:lineRule="auto"/>
        <w:ind w:left="-15" w:right="54" w:firstLine="708"/>
      </w:pPr>
      <w:r>
        <w:t xml:space="preserve">Этапы планирования коррекции деформаций в сагиттальной плоскости (если нет торсионного компонента деформации) включают: 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 xml:space="preserve">Определение анатомической (механической) оси проксимального фрагмента; </w:t>
      </w:r>
    </w:p>
    <w:p w:rsidR="008F432E" w:rsidRDefault="00A47635">
      <w:pPr>
        <w:numPr>
          <w:ilvl w:val="0"/>
          <w:numId w:val="24"/>
        </w:numPr>
        <w:spacing w:after="260"/>
        <w:ind w:right="54" w:hanging="360"/>
      </w:pPr>
      <w:r>
        <w:t>Определение анатомической (механической) оси дистального фрагм</w:t>
      </w:r>
      <w:r>
        <w:t xml:space="preserve">ента; </w:t>
      </w:r>
    </w:p>
    <w:p w:rsidR="008F432E" w:rsidRDefault="00A47635">
      <w:pPr>
        <w:numPr>
          <w:ilvl w:val="0"/>
          <w:numId w:val="24"/>
        </w:numPr>
        <w:spacing w:after="259"/>
        <w:ind w:right="54" w:hanging="360"/>
      </w:pPr>
      <w:r>
        <w:t xml:space="preserve">Определение вершины деформации; </w:t>
      </w:r>
    </w:p>
    <w:p w:rsidR="008F432E" w:rsidRDefault="00A47635">
      <w:pPr>
        <w:numPr>
          <w:ilvl w:val="0"/>
          <w:numId w:val="24"/>
        </w:numPr>
        <w:spacing w:after="239"/>
        <w:ind w:right="54" w:hanging="360"/>
      </w:pPr>
      <w:r>
        <w:t xml:space="preserve">Определение уровня остеотомии; </w:t>
      </w:r>
    </w:p>
    <w:p w:rsidR="008F432E" w:rsidRDefault="00A47635">
      <w:pPr>
        <w:numPr>
          <w:ilvl w:val="0"/>
          <w:numId w:val="24"/>
        </w:numPr>
        <w:spacing w:after="152" w:line="356" w:lineRule="auto"/>
        <w:ind w:right="54" w:hanging="360"/>
      </w:pPr>
      <w:r>
        <w:t xml:space="preserve">Определение типа остеотомии («открытый клин», «закрытый клин», «нейтральный клин», шарнирная, иная); </w:t>
      </w:r>
    </w:p>
    <w:p w:rsidR="008F432E" w:rsidRDefault="00A47635">
      <w:pPr>
        <w:numPr>
          <w:ilvl w:val="0"/>
          <w:numId w:val="24"/>
        </w:numPr>
        <w:spacing w:after="239"/>
        <w:ind w:right="54" w:hanging="360"/>
      </w:pPr>
      <w:r>
        <w:t xml:space="preserve">Виртуальную коррекцию, включая устранение неравенства длин конечностей; </w:t>
      </w:r>
    </w:p>
    <w:p w:rsidR="008F432E" w:rsidRDefault="00A47635">
      <w:pPr>
        <w:numPr>
          <w:ilvl w:val="0"/>
          <w:numId w:val="24"/>
        </w:numPr>
        <w:spacing w:line="356" w:lineRule="auto"/>
        <w:ind w:right="54" w:hanging="360"/>
      </w:pPr>
      <w:r>
        <w:t xml:space="preserve">Проверку </w:t>
      </w:r>
      <w:r>
        <w:t xml:space="preserve">имеющейся после коррекции отклонения общей механической оси и (анатомических) механических углов. </w:t>
      </w:r>
    </w:p>
    <w:p w:rsidR="008F432E" w:rsidRDefault="00A47635">
      <w:pPr>
        <w:spacing w:line="357" w:lineRule="auto"/>
        <w:ind w:left="-15" w:right="54" w:firstLine="708"/>
      </w:pPr>
      <w:r>
        <w:t>Остеотомию (при планировании – виртуальную) лучше выполнять на уровне вершины деформации (Правило остеотомий №1). В случае, если по любой из причин, например</w:t>
      </w:r>
      <w:r>
        <w:t>, вершина деформации располагается на уровне сустава или за пределами кости; на уровне вершины деформации имеются инородные тела, скомпрометированное состояние мягких тканей (рубцы, спаянность с костью, поверхностные раны и т.п.), остеотомию выполняют выше</w:t>
      </w:r>
      <w:r>
        <w:t xml:space="preserve"> или ниже уровня вершины деформации (Правило остеотомий №2). </w:t>
      </w:r>
    </w:p>
    <w:p w:rsidR="008F432E" w:rsidRDefault="00A47635">
      <w:pPr>
        <w:spacing w:after="224"/>
        <w:ind w:left="718" w:right="54"/>
      </w:pPr>
      <w:r>
        <w:t xml:space="preserve">Общий алгоритм метода компоновок чрескостных аппаратов включает [31, 71-75]: </w:t>
      </w:r>
    </w:p>
    <w:p w:rsidR="008F432E" w:rsidRDefault="00A47635">
      <w:pPr>
        <w:numPr>
          <w:ilvl w:val="1"/>
          <w:numId w:val="24"/>
        </w:numPr>
        <w:spacing w:after="222"/>
        <w:ind w:right="54" w:firstLine="708"/>
      </w:pPr>
      <w:r>
        <w:t xml:space="preserve">Определение задач использования чрезкостного аппарата; </w:t>
      </w:r>
    </w:p>
    <w:p w:rsidR="008F432E" w:rsidRDefault="00A47635">
      <w:pPr>
        <w:numPr>
          <w:ilvl w:val="1"/>
          <w:numId w:val="24"/>
        </w:numPr>
        <w:spacing w:after="235" w:line="259" w:lineRule="auto"/>
        <w:ind w:right="54" w:firstLine="708"/>
      </w:pPr>
      <w:r>
        <w:t xml:space="preserve">Определение уровней, оптимальных для проведения чрескостных элементов; </w:t>
      </w:r>
    </w:p>
    <w:p w:rsidR="008F432E" w:rsidRDefault="00A47635">
      <w:pPr>
        <w:numPr>
          <w:ilvl w:val="1"/>
          <w:numId w:val="24"/>
        </w:numPr>
        <w:spacing w:line="356" w:lineRule="auto"/>
        <w:ind w:right="54" w:firstLine="708"/>
      </w:pPr>
      <w:r>
        <w:t xml:space="preserve">Определение на основе «Позиций доступности», «Рекомендуемых позиций» чрескостных элементов, наиболее значимых для данной клинической ситуации; </w:t>
      </w:r>
    </w:p>
    <w:p w:rsidR="008F432E" w:rsidRDefault="00A47635">
      <w:pPr>
        <w:numPr>
          <w:ilvl w:val="1"/>
          <w:numId w:val="24"/>
        </w:numPr>
        <w:ind w:right="54" w:firstLine="708"/>
      </w:pPr>
      <w:r>
        <w:t>Определение оптимальных уровней располож</w:t>
      </w:r>
      <w:r>
        <w:t xml:space="preserve">ения внешних опор; </w:t>
      </w:r>
    </w:p>
    <w:p w:rsidR="008F432E" w:rsidRDefault="00A47635">
      <w:pPr>
        <w:numPr>
          <w:ilvl w:val="1"/>
          <w:numId w:val="24"/>
        </w:numPr>
        <w:spacing w:line="357" w:lineRule="auto"/>
        <w:ind w:right="54" w:firstLine="708"/>
      </w:pPr>
      <w:r>
        <w:t xml:space="preserve">Определение типов и размеров внешних опор, соответствующих выбранным чрескостным элементам и позволяющих выполнить модульную трансформацию АВФ (если она предполагается); </w:t>
      </w:r>
    </w:p>
    <w:p w:rsidR="008F432E" w:rsidRDefault="00A47635">
      <w:pPr>
        <w:numPr>
          <w:ilvl w:val="1"/>
          <w:numId w:val="24"/>
        </w:numPr>
        <w:spacing w:line="356" w:lineRule="auto"/>
        <w:ind w:right="54" w:firstLine="708"/>
      </w:pPr>
      <w:r>
        <w:t>Обозначение на сегменте выбранных уровней и позиций для проведени</w:t>
      </w:r>
      <w:r>
        <w:t xml:space="preserve">я чрескостных элементов;  </w:t>
      </w:r>
    </w:p>
    <w:p w:rsidR="008F432E" w:rsidRDefault="00A47635">
      <w:pPr>
        <w:numPr>
          <w:ilvl w:val="1"/>
          <w:numId w:val="24"/>
        </w:numPr>
        <w:spacing w:after="222"/>
        <w:ind w:right="54" w:firstLine="708"/>
      </w:pPr>
      <w:r>
        <w:t xml:space="preserve">Проведение чрескостных элементов и монтаж аппарата. </w:t>
      </w:r>
    </w:p>
    <w:p w:rsidR="008F432E" w:rsidRDefault="00A47635">
      <w:pPr>
        <w:spacing w:after="117" w:line="359" w:lineRule="auto"/>
        <w:ind w:left="-15" w:right="9" w:firstLine="708"/>
        <w:jc w:val="left"/>
      </w:pPr>
      <w:r>
        <w:t>Пункты 1-5 выполняют при предоперационном планировании. Выполнение пунктов 6 и 7 относится непосредственно к оперативному вмешательству. Ниже рассмотрены общие вопросы выполнен</w:t>
      </w:r>
      <w:r>
        <w:t xml:space="preserve">ия каждого из обозначенных этапов метода компоновок чрескостных аппаратов. </w:t>
      </w:r>
    </w:p>
    <w:p w:rsidR="008F432E" w:rsidRDefault="00A47635">
      <w:pPr>
        <w:spacing w:after="224"/>
        <w:ind w:left="718" w:right="54"/>
      </w:pPr>
      <w:r>
        <w:t xml:space="preserve">1. Определение задач использования чрезкостного аппарата. </w:t>
      </w:r>
    </w:p>
    <w:p w:rsidR="008F432E" w:rsidRDefault="00A47635">
      <w:pPr>
        <w:spacing w:line="357" w:lineRule="auto"/>
        <w:ind w:left="-15" w:right="54" w:firstLine="708"/>
      </w:pPr>
      <w:r>
        <w:t>Остеосинтез в травматологии и ортопедии служит средством для достижения общей цели — восстановления (улучшения) анатомии;</w:t>
      </w:r>
      <w:r>
        <w:t xml:space="preserve"> функции и физиологии поврежденной конечности. Наиболее типичными задачами для использования чрезкостного аппарата являются:  </w:t>
      </w:r>
    </w:p>
    <w:p w:rsidR="008F432E" w:rsidRDefault="00A47635">
      <w:pPr>
        <w:spacing w:after="222"/>
        <w:ind w:left="718" w:right="54"/>
      </w:pPr>
      <w:r>
        <w:t xml:space="preserve">а). Изменение пространственного расположения костных фрагментов. </w:t>
      </w:r>
    </w:p>
    <w:p w:rsidR="008F432E" w:rsidRDefault="00A47635">
      <w:pPr>
        <w:spacing w:line="357" w:lineRule="auto"/>
        <w:ind w:left="-15" w:right="54" w:firstLine="708"/>
      </w:pPr>
      <w:r>
        <w:t>Изменение положения фрагментов с использованием специфичных при</w:t>
      </w:r>
      <w:r>
        <w:t>емов чрезкостного остеосинтеза может быть, как «одномоментным» (в ходе выполнения операции), так и дискретным и производимым за определенный промежуток времени в послеоперационном периоде. Для решения только этой задачи предполагается, что аппарат будет де</w:t>
      </w:r>
      <w:r>
        <w:t>монтирован после достижения необходимой ориентации костных фрагментов. Данный прием используется при ассистирующей внешней фиксации, методике последовательного применения внешней и внутренней фиксации («коррекция-затем-гвоздь/пластина», «удлинениезатем-гво</w:t>
      </w:r>
      <w:r>
        <w:t xml:space="preserve">здь/пластина»).  </w:t>
      </w:r>
    </w:p>
    <w:p w:rsidR="008F432E" w:rsidRDefault="00A47635">
      <w:pPr>
        <w:spacing w:after="224"/>
        <w:ind w:left="718" w:right="54"/>
      </w:pPr>
      <w:r>
        <w:t xml:space="preserve">б). Фиксация костных фрагментов. </w:t>
      </w:r>
    </w:p>
    <w:p w:rsidR="008F432E" w:rsidRDefault="00A47635">
      <w:pPr>
        <w:spacing w:line="357" w:lineRule="auto"/>
        <w:ind w:left="-15" w:right="54" w:firstLine="708"/>
      </w:pPr>
      <w:r>
        <w:t>Предполагается, что чрескостный аппарат будет использован только как фиксирующее устройство, например, после открытой репозиции костных фрагментов, одномоментной коррекции деформации, обеспечения компресс</w:t>
      </w:r>
      <w:r>
        <w:t xml:space="preserve">ионного артродеза и т.п.  </w:t>
      </w:r>
    </w:p>
    <w:p w:rsidR="008F432E" w:rsidRDefault="00A47635">
      <w:pPr>
        <w:spacing w:after="224"/>
        <w:ind w:left="718" w:right="54"/>
      </w:pPr>
      <w:r>
        <w:t xml:space="preserve">в). Обеспечение (улучшение) функции конечности в послеоперационном периоде. </w:t>
      </w:r>
    </w:p>
    <w:p w:rsidR="008F432E" w:rsidRDefault="00A47635">
      <w:pPr>
        <w:spacing w:line="356" w:lineRule="auto"/>
        <w:ind w:left="-15" w:right="54" w:firstLine="708"/>
      </w:pPr>
      <w:r>
        <w:t xml:space="preserve"> Для возможности обеспечения функции опоры и движения конечности, чрескостный аппарат должен фиксировать костные фрагменты с достаточной для этого жесткостью. </w:t>
      </w:r>
    </w:p>
    <w:p w:rsidR="008F432E" w:rsidRDefault="00A47635">
      <w:pPr>
        <w:spacing w:line="358" w:lineRule="auto"/>
        <w:ind w:left="-5" w:right="54"/>
      </w:pPr>
      <w:r>
        <w:t>Кроме этого, чрескостные элементы должным быть проведены так, чтобы уменьшить опасность возникно</w:t>
      </w:r>
      <w:r>
        <w:t xml:space="preserve">вения трансфиксационных контрактур.  </w:t>
      </w:r>
    </w:p>
    <w:p w:rsidR="008F432E" w:rsidRDefault="00A47635">
      <w:pPr>
        <w:spacing w:line="358" w:lineRule="auto"/>
        <w:ind w:left="-15" w:right="54" w:firstLine="708"/>
      </w:pPr>
      <w:r>
        <w:t xml:space="preserve">В клинической практике использования внешней фиксации преобладают ситуации, когда использование чрезкостного аппарата должно отвечать требованию решения сочетания каких-либо двух из указанных задач или решения их всех </w:t>
      </w:r>
      <w:r>
        <w:t xml:space="preserve">в совокупности. Поэтому для конкретной клинической ситуации часто требуется использовать компромиссное решение для обеспечения максимально возможной эффективности работы всех составляющих чрезкостного аппарата. </w:t>
      </w:r>
    </w:p>
    <w:p w:rsidR="008F432E" w:rsidRDefault="00A47635">
      <w:pPr>
        <w:numPr>
          <w:ilvl w:val="0"/>
          <w:numId w:val="25"/>
        </w:numPr>
        <w:spacing w:after="0" w:line="358" w:lineRule="auto"/>
        <w:ind w:right="54" w:firstLine="708"/>
      </w:pPr>
      <w:r>
        <w:t>Определение уровней, оптимальных для располо</w:t>
      </w:r>
      <w:r>
        <w:t xml:space="preserve">жения внешних опор чрезкостного аппарата. </w:t>
      </w:r>
    </w:p>
    <w:p w:rsidR="008F432E" w:rsidRDefault="00A47635">
      <w:pPr>
        <w:spacing w:after="1" w:line="357" w:lineRule="auto"/>
        <w:ind w:left="-15" w:right="54" w:firstLine="566"/>
      </w:pPr>
      <w:r>
        <w:t>В основе этого этапа реализации метода компоновок чрескостных аппаратов должны лежать знания по биомеханике управления костными фрагментами и биомеханике жесткости остеосинтеза. Требованиям обеспечения оптимальных</w:t>
      </w:r>
      <w:r>
        <w:t xml:space="preserve"> условий как для коррекции положения, так и для фиксации костных фрагментов отвечают кольцевые аппарат Илизарова и ортопедические гексаподы. В случае, если при коррекции деформации планируется использовать изменение пространственного расположения костных ф</w:t>
      </w:r>
      <w:r>
        <w:t>рагментов за счет взаимного перемещения чрескостных модулей, фиксирующих каждый костный фрагмент для обеспечения адекватной жесткости остеосинтеза расстояние между базовыми и стабилизирующими чрескостными элементами должно быть максимальным. Для этого стаб</w:t>
      </w:r>
      <w:r>
        <w:t xml:space="preserve">илизирующие чрескостные элементы при применении однокольцевых модулей следует фиксировать при помощи консольной приставки на 4 отверстия. При использовании двухкольцевых модулей расстояние между кольцами должно быть максимально возможным. </w:t>
      </w:r>
    </w:p>
    <w:p w:rsidR="008F432E" w:rsidRDefault="00A47635">
      <w:pPr>
        <w:numPr>
          <w:ilvl w:val="0"/>
          <w:numId w:val="25"/>
        </w:numPr>
        <w:spacing w:line="356" w:lineRule="auto"/>
        <w:ind w:right="54" w:firstLine="708"/>
      </w:pPr>
      <w:r>
        <w:t>Определение на о</w:t>
      </w:r>
      <w:r>
        <w:t xml:space="preserve">снове «Позиций доступности», «Рекомендуемых позиций» чрескостных элементов, наиболее значимых для данной клинической ситуации </w:t>
      </w:r>
    </w:p>
    <w:p w:rsidR="008F432E" w:rsidRDefault="00A47635">
      <w:pPr>
        <w:spacing w:line="357" w:lineRule="auto"/>
        <w:ind w:left="-15" w:right="54" w:firstLine="708"/>
      </w:pPr>
      <w:r>
        <w:t>Реализация этого пункта зависит от задач остеосинтеза. Для безопасного и уменьшающего блокирование мягких тканей проведения чреск</w:t>
      </w:r>
      <w:r>
        <w:t xml:space="preserve">остных элементов разработаны специальные атласы для каждого сегмента с указанием «Рекомендуемых позиций - РП» для введения спиц и стержней-шурупов [71-75, 84-86]. Если РП расположены симметрично относительно кости, например, 2 и 8, 3 и 9, 6 и 12 и т.д., в </w:t>
      </w:r>
      <w:r>
        <w:t>проекции данных позиций возможно провести спицу. Возможно и проведение стержня-шурупа – со стороны любой из рекомендуемых позиций. В случае, если контралатеральной позиции на данном уровне нет, целесообразно использование стержней-шурупов. Базовые и стабил</w:t>
      </w:r>
      <w:r>
        <w:t xml:space="preserve">изирующие чрескостные элементы должны обеспечить максимальную жесткость остеосинтеза. Расстояние между ними в каждом модуле должно быть максимально возможным. Базовые чрескостные элементы вводят во фронтальной или сагиттальной плоскостях и перпендикулярно </w:t>
      </w:r>
      <w:r>
        <w:t>продольной оси костного фрагмента. Следует стремиться к тому, чтобы стабилизирующие чрескостные элементы были введены под углом перекреста α = 60º (75</w:t>
      </w:r>
      <w:r>
        <w:rPr>
          <w:u w:val="single" w:color="000000"/>
        </w:rPr>
        <w:t>+</w:t>
      </w:r>
      <w:r>
        <w:t xml:space="preserve">15º) по отношению к базовому чрескостному элементу. Количество чрескостных элементов, которые необходимо </w:t>
      </w:r>
      <w:r>
        <w:t>провести через костные фрагменты для обеспечения достаточной жесткости остеосинтеза зависит сегмента, веса пациента и состояния костной ткани. Для сегментов нижней конечности минимальное количество чрескостных элементов для проксимального фрагмента – 4, дл</w:t>
      </w:r>
      <w:r>
        <w:t>я дистального фрагмента – 3. Если у пациента избыточный вес и/или имеется остеопороз кости, количество чрескостных элементов может быть увеличена до 5 и 4 соответственно для проксимального и дистального фрагмента. Также необходимо отметить, что при выражен</w:t>
      </w:r>
      <w:r>
        <w:t xml:space="preserve">ном остеопорозе предпочтительно использовать спицы, а не стержни-шурупы. </w:t>
      </w:r>
    </w:p>
    <w:p w:rsidR="008F432E" w:rsidRDefault="00A47635">
      <w:pPr>
        <w:numPr>
          <w:ilvl w:val="0"/>
          <w:numId w:val="25"/>
        </w:numPr>
        <w:ind w:right="54" w:firstLine="708"/>
      </w:pPr>
      <w:r>
        <w:t xml:space="preserve">Определение оптимальных уровней расположения внешних опор </w:t>
      </w:r>
    </w:p>
    <w:p w:rsidR="008F432E" w:rsidRDefault="00A47635">
      <w:pPr>
        <w:spacing w:line="357" w:lineRule="auto"/>
        <w:ind w:left="-15" w:right="54" w:firstLine="566"/>
      </w:pPr>
      <w:r>
        <w:t xml:space="preserve">При коррекции деформаций базовые опоры также располагают в непосредственной близости от базовых чрескостных элементов. При </w:t>
      </w:r>
      <w:r>
        <w:t>использовании однокольцевых модулей расстояние от опоры до стабилизирующих стержней-шурупов должно быть 4-5 см (длина консольной приставки на 4 отверстия). Если для повышения жесткости остеосинтеза требуется использование дополнительных стабилизирующих чре</w:t>
      </w:r>
      <w:r>
        <w:t xml:space="preserve">скостных элементов на большем расстоянии от базовой опоры, то используют стабилизирующую опору, т.е. применяют двухколцевой модуль.  </w:t>
      </w:r>
    </w:p>
    <w:p w:rsidR="008F432E" w:rsidRDefault="00A47635">
      <w:pPr>
        <w:numPr>
          <w:ilvl w:val="0"/>
          <w:numId w:val="25"/>
        </w:numPr>
        <w:spacing w:line="357" w:lineRule="auto"/>
        <w:ind w:right="54" w:firstLine="708"/>
      </w:pPr>
      <w:r>
        <w:t xml:space="preserve">Определение типов и размеров внешних опор, соответствующих выбранным чрескостным элементам и позволяющих выполнить модульную трансформацию АВФ (если она предполагается). </w:t>
      </w:r>
    </w:p>
    <w:p w:rsidR="008F432E" w:rsidRDefault="00A47635">
      <w:pPr>
        <w:spacing w:line="357" w:lineRule="auto"/>
        <w:ind w:left="-15" w:right="54" w:firstLine="708"/>
      </w:pPr>
      <w:r>
        <w:t xml:space="preserve">Замкнутая внешняя опора обеспечивает большие возможности для увеличения стабильности </w:t>
      </w:r>
      <w:r>
        <w:t>фиксации костных фрагментов, фиксации коррекционных узлов. Однако нередки ситуации, когда применение колец невозможно. В этих случаях используют 2/3, 4/5 и 1/3 кольца. Преимущества секторных (арочных) и монолатеральных опор связаны с наименьшей громоздкост</w:t>
      </w:r>
      <w:r>
        <w:t>ью конструкции, относительной простотой монтажа аппарата. Однако при их применении следует учитывать ограничения, связанные с более низкими возможностями в обеспечении репозиции, жесткости остеосинтеза. Диаметр внешних опор подбирается с учетом длины окруж</w:t>
      </w:r>
      <w:r>
        <w:t>ности сегмента на каждом уровне введения чрескостных элементов. Выбор типоразмера должен учитывать вероятность возникновения отека мягких тканей, увеличивающих длину окружности на 4-6 см, а также перемещение мягких тканей, связанное с репозицией костных фр</w:t>
      </w:r>
      <w:r>
        <w:t xml:space="preserve">агментов. Вследствие анатомических и индивидуальных особенностей длина окружности сегмента на каждом уровне оказывается разной. Следовательно, диаметр опор на каждом уровне может быть разным.  </w:t>
      </w:r>
    </w:p>
    <w:p w:rsidR="008F432E" w:rsidRDefault="00A47635">
      <w:pPr>
        <w:numPr>
          <w:ilvl w:val="0"/>
          <w:numId w:val="25"/>
        </w:numPr>
        <w:spacing w:line="358" w:lineRule="auto"/>
        <w:ind w:right="54" w:firstLine="708"/>
      </w:pPr>
      <w:r>
        <w:t>Обозначение на сегменте выбранных уровней и позиций для провед</w:t>
      </w:r>
      <w:r>
        <w:t xml:space="preserve">ения чрескостных элементов, уровней для установки опор. </w:t>
      </w:r>
    </w:p>
    <w:p w:rsidR="008F432E" w:rsidRDefault="00A47635">
      <w:pPr>
        <w:spacing w:after="224"/>
        <w:ind w:left="718" w:right="54"/>
      </w:pPr>
      <w:r>
        <w:t xml:space="preserve">Для реализации этого этапа используют стерильный маркер.  </w:t>
      </w:r>
    </w:p>
    <w:p w:rsidR="008F432E" w:rsidRDefault="00A47635">
      <w:pPr>
        <w:numPr>
          <w:ilvl w:val="0"/>
          <w:numId w:val="25"/>
        </w:numPr>
        <w:spacing w:after="222"/>
        <w:ind w:right="54" w:firstLine="708"/>
      </w:pPr>
      <w:r>
        <w:t xml:space="preserve">Проведение чрескостных элементов и монтаж аппарата. </w:t>
      </w:r>
    </w:p>
    <w:p w:rsidR="008F432E" w:rsidRDefault="00A47635">
      <w:pPr>
        <w:spacing w:line="357" w:lineRule="auto"/>
        <w:ind w:left="-15" w:right="54" w:firstLine="708"/>
      </w:pPr>
      <w:r>
        <w:t xml:space="preserve">Порядок проведения чрескостных элементов и особенности монтажа внешних опор зависят от </w:t>
      </w:r>
      <w:r>
        <w:t xml:space="preserve">оперируемого сегмента, вида патологии и задач остеосинтеза. При коррекции деформаций алгоритм выполнения этого этапа следующий: </w:t>
      </w:r>
    </w:p>
    <w:p w:rsidR="008F432E" w:rsidRDefault="00A47635">
      <w:pPr>
        <w:numPr>
          <w:ilvl w:val="0"/>
          <w:numId w:val="26"/>
        </w:numPr>
        <w:spacing w:line="356" w:lineRule="auto"/>
        <w:ind w:right="54" w:firstLine="708"/>
      </w:pPr>
      <w:r>
        <w:t xml:space="preserve">Введение базовых и стабилизирующих чрескостных элементов в проксимальный костный фрагмент; </w:t>
      </w:r>
    </w:p>
    <w:p w:rsidR="008F432E" w:rsidRDefault="00A47635">
      <w:pPr>
        <w:numPr>
          <w:ilvl w:val="0"/>
          <w:numId w:val="26"/>
        </w:numPr>
        <w:spacing w:after="117" w:line="259" w:lineRule="auto"/>
        <w:ind w:right="54" w:firstLine="708"/>
      </w:pPr>
      <w:r>
        <w:t xml:space="preserve">Монтаж проксимального чрезкостного </w:t>
      </w:r>
      <w:r>
        <w:t xml:space="preserve">модуля на основе одной базовой или двух </w:t>
      </w:r>
    </w:p>
    <w:p w:rsidR="008F432E" w:rsidRDefault="00A47635">
      <w:pPr>
        <w:spacing w:after="224"/>
        <w:ind w:left="-5" w:right="54"/>
      </w:pPr>
      <w:r>
        <w:t xml:space="preserve">(базовой и стабилизирующей) опор; </w:t>
      </w:r>
    </w:p>
    <w:p w:rsidR="008F432E" w:rsidRDefault="00A47635">
      <w:pPr>
        <w:numPr>
          <w:ilvl w:val="0"/>
          <w:numId w:val="26"/>
        </w:numPr>
        <w:spacing w:after="222"/>
        <w:ind w:right="54" w:firstLine="708"/>
      </w:pPr>
      <w:r>
        <w:t xml:space="preserve">Аналогичный монтаж дистального модуля; </w:t>
      </w:r>
    </w:p>
    <w:p w:rsidR="008F432E" w:rsidRDefault="00A47635">
      <w:pPr>
        <w:numPr>
          <w:ilvl w:val="0"/>
          <w:numId w:val="26"/>
        </w:numPr>
        <w:spacing w:line="358" w:lineRule="auto"/>
        <w:ind w:right="54" w:firstLine="708"/>
      </w:pPr>
      <w:r>
        <w:t>Соединение проксимального и дистального чрескостных модулей при помощи унифицированного по Илизарову или универсального (страты гексапода) к</w:t>
      </w:r>
      <w:r>
        <w:t xml:space="preserve">оррекционного узла. </w:t>
      </w:r>
    </w:p>
    <w:p w:rsidR="008F432E" w:rsidRDefault="00A47635">
      <w:pPr>
        <w:numPr>
          <w:ilvl w:val="0"/>
          <w:numId w:val="26"/>
        </w:numPr>
        <w:spacing w:line="358" w:lineRule="auto"/>
        <w:ind w:right="54" w:firstLine="708"/>
      </w:pPr>
      <w:r>
        <w:t xml:space="preserve">Завершающий этап (при необходимости) – «костный»: остеотомии, кортикотомии, костная пластика и т.п. </w:t>
      </w:r>
    </w:p>
    <w:p w:rsidR="008F432E" w:rsidRDefault="00A47635">
      <w:pPr>
        <w:spacing w:line="357" w:lineRule="auto"/>
        <w:ind w:left="-15" w:right="54" w:firstLine="708"/>
      </w:pPr>
      <w:r>
        <w:t xml:space="preserve">Ориентации внешних опор относительно кости в горизонтальной плоскости (т. н. «центрация» внешних опор относительно мягких тканей) производится согласно индивидуальных особенностей каждого сегмента. При укорочении бедра вопрос о том, в соответствии с какой </w:t>
      </w:r>
      <w:r>
        <w:t>(анатомической или механической) осью необходимо удлинять бедро (а, следовательно, как монтировать опоры), решают индивидуально. При удлинении голени подобная ситуация не рассматривается, так как анатомическая и механическая оси большеберцовой кости распол</w:t>
      </w:r>
      <w:r>
        <w:t xml:space="preserve">агаются параллельно. </w:t>
      </w:r>
    </w:p>
    <w:p w:rsidR="008F432E" w:rsidRDefault="00A47635">
      <w:pPr>
        <w:spacing w:line="357" w:lineRule="auto"/>
        <w:ind w:left="-15" w:right="54" w:firstLine="708"/>
      </w:pPr>
      <w:r>
        <w:t>После завершения монтажа аппарата выполняют движения в смежных суставах с максимально возможной амплитудой. При наличии натяжения мягких тканей кожу, а при необходимости и фасцию, рассекают, перемещают относительно чрезкостного элемен</w:t>
      </w:r>
      <w:r>
        <w:t xml:space="preserve">та и накладывают швы. </w:t>
      </w:r>
    </w:p>
    <w:p w:rsidR="008F432E" w:rsidRDefault="00A47635">
      <w:pPr>
        <w:spacing w:after="1" w:line="357" w:lineRule="auto"/>
        <w:ind w:left="-15" w:right="54" w:firstLine="708"/>
      </w:pPr>
      <w:r>
        <w:t xml:space="preserve">Остеотомия. </w:t>
      </w:r>
      <w:r>
        <w:t>При одномоментном устранении угловой деформации из разреза-прокола 5 мм, сделанного с выпуклой стороны кривизны, узким кортикотомом разрушают прилежащую и «боковые» кортикальные пластинки. При этом каждый проход остеотома</w:t>
      </w:r>
      <w:r>
        <w:t xml:space="preserve"> через кортикальную пластинку завершают «сминающими» (вверх-вниз) движениями остеотома. После этого, используя скомпонованные внешние опоры, делают флексионную или ротационную остеоклазию оставшейся кортикальной пластинки. При наличии остеосклероза, деформ</w:t>
      </w:r>
      <w:r>
        <w:t>ации свыше 20° данный способ остеотомии не всегда приемлем, и следует отдать предпочтение клиновидной резекции (остеотомия «закрытый» или «нейтральный» клин). В тех случаях, когда в проекции уровня остеотомии располагаются магистральные сосуды и нервы, име</w:t>
      </w:r>
      <w:r>
        <w:t xml:space="preserve">ются рубцы, которые могут изменить топографию мягких тканей, этот этап операции выполняют под визуальным контролем. После одномоментного восстановления оси кости модули каждого из костных фрагментов соединяют и создают компрессирующее усилие. </w:t>
      </w:r>
    </w:p>
    <w:p w:rsidR="008F432E" w:rsidRDefault="00A47635">
      <w:pPr>
        <w:spacing w:after="1" w:line="357" w:lineRule="auto"/>
        <w:ind w:left="-15" w:right="54" w:firstLine="708"/>
      </w:pPr>
      <w:r>
        <w:t>Для дозирова</w:t>
      </w:r>
      <w:r>
        <w:t>нной коррекции используют кортикотомию с остеоклазией по Илизарову [53, 66, 67, 71]. Для этого сначала рассоединяют проксимальный и дистальный модули, фиксирующие проксимальный и дистальный костные фрагменты. После этого из разрезапрокола узким 5 мм остеот</w:t>
      </w:r>
      <w:r>
        <w:t xml:space="preserve">омом рассекают прилежащую и боковые кортикальные пластинки. Руками захватывают проксимальный и дистальный модули аппарата и встречной ротацией и сгибанием остеоклазируют оставшуюся часть кортикальной пластинки. </w:t>
      </w:r>
    </w:p>
    <w:p w:rsidR="008F432E" w:rsidRDefault="00A47635">
      <w:pPr>
        <w:spacing w:after="0" w:line="357" w:lineRule="auto"/>
        <w:ind w:left="-15" w:right="54" w:firstLine="708"/>
      </w:pPr>
      <w:r>
        <w:t xml:space="preserve">При склерозированной кости, во избежание ее </w:t>
      </w:r>
      <w:r>
        <w:t xml:space="preserve">раскалывания, кортикотомии должно предшествовать формирование пяти-шести 2-мм каналов, сделанных веерообразно из 1-2 доступов. На 5-7 сутки начинают коррекцию с темпом 0,25 мм 3-6 раз в день. </w:t>
      </w:r>
    </w:p>
    <w:p w:rsidR="008F432E" w:rsidRDefault="00A47635">
      <w:pPr>
        <w:spacing w:after="4" w:line="357" w:lineRule="auto"/>
        <w:ind w:left="-15" w:right="54" w:firstLine="708"/>
      </w:pPr>
      <w:r>
        <w:t>Кортикотомию с остеоклазией для удлинения бедра (голени) делают</w:t>
      </w:r>
      <w:r>
        <w:t xml:space="preserve"> вне зоны бывшего перелома и, как правило, более длинного фрагмента. При этом следует учитывать тот факт, что чем ближе к суставу проводится удлинение, тем выше опасность развития в нем контрактуры. Удлинять сегмент на величину свыше 5 см предпочтительно п</w:t>
      </w:r>
      <w:r>
        <w:t>ри помощи полилокального дистракционного остеосинтеза. Темпы дистракции на уровне проксимальной кортикотомии должны составлять в среднем 0,25 мм 3-4 раза в день. На дистальном уровне удлинения, во избежание формирования гипопластичного дистракционного реге</w:t>
      </w:r>
      <w:r>
        <w:t xml:space="preserve">нерата, дистракцию проводят в темпе 0,25 мм 2—3 раза в день. Темп дистракции может изменяться в зависимости от жалоб больного, состояния иннервации, кровообращения конечности и активности костеобразования.  </w:t>
      </w:r>
    </w:p>
    <w:p w:rsidR="008F432E" w:rsidRDefault="00A47635">
      <w:pPr>
        <w:spacing w:after="0" w:line="371" w:lineRule="auto"/>
        <w:ind w:left="-15" w:right="54" w:firstLine="708"/>
      </w:pPr>
      <w:r>
        <w:t>Кожу в области выхода чрескостных элементов прик</w:t>
      </w:r>
      <w:r>
        <w:t>рывают салфетками 4—6 см</w:t>
      </w:r>
      <w:r>
        <w:rPr>
          <w:vertAlign w:val="superscript"/>
        </w:rPr>
        <w:t>2</w:t>
      </w:r>
      <w:r>
        <w:t xml:space="preserve">, пропитанными 70% раствором этилового спирта или спиртовым раствором хлоргексидина. Контрольное рентгенологическое обследование в операционной является обязательным. </w:t>
      </w:r>
    </w:p>
    <w:p w:rsidR="008F432E" w:rsidRDefault="00A47635">
      <w:pPr>
        <w:spacing w:line="357" w:lineRule="auto"/>
        <w:ind w:left="-5" w:right="54"/>
      </w:pPr>
      <w:r>
        <w:t>Суставам, при помощи специальной укладки в постели или приставок к чрескостному аппарату, придают положение, специфичное для каждого сегмента, вида патологического состояния, по поводу которого произведено оперативное вмешательство. При чрескостном остеоси</w:t>
      </w:r>
      <w:r>
        <w:t>нтезе бедренной кости – это укладка со сгибанием в коленном суставе до прямого угла или максимального угла, который допускают внешние конструкции. При чрескостном остеосинтезе голени стопы фиксируется под углом 90° к оси голени подстопником на эластичной т</w:t>
      </w:r>
      <w:r>
        <w:t xml:space="preserve">яге. Внешнюю конструкцию закрывают хлопчатобумажным чехлом. </w:t>
      </w:r>
    </w:p>
    <w:p w:rsidR="008F432E" w:rsidRDefault="00A47635">
      <w:pPr>
        <w:spacing w:line="357" w:lineRule="auto"/>
        <w:ind w:left="-15" w:right="54" w:firstLine="708"/>
      </w:pPr>
      <w:r>
        <w:t xml:space="preserve">Послеоперационная работа с АВФ. </w:t>
      </w:r>
      <w:r>
        <w:t>Период дистракции. Через 7 дней от начала дистракции необходимо выполнить контрольную рентгенографию для определения соответствия темпа дистракции и первичного диа</w:t>
      </w:r>
      <w:r>
        <w:t>стаза. При недостаточном диастазе темп может быть увеличен до 0,25 мм 6-8 раз в день с последующим контрольным рентгенологическим обследованием и переходом к первоначальному темпу. В случаях удлинения сегментов нижних конечностей дистракция может быть прод</w:t>
      </w:r>
      <w:r>
        <w:t>олжена амбулаторно, если пациент освоил самостоятельное выполнение манипуляций. Контрольные рентгенограммы в периоде дистракции целесообразно выполнять через 10-15 дней для оценки формирующегося дистракционного регенерата. Как и на начальном этапе темп дис</w:t>
      </w:r>
      <w:r>
        <w:t>тракции снижается при: а) увеличении на рентгенограмме высоты "зоны роста" костного регенерата свыше 10 мм; б) появлении нейротрофических нарушений дистальных отделов конечности; в) сильных тракционных болях в оперированной конечности; в последних двух слу</w:t>
      </w:r>
      <w:r>
        <w:t>чаях темп может снижаться вплоть до полной остановки дистракции. Дистракцию возобновляют после купирования болей или ликвидации нейротрофических нарушений. По окончании дистракции необходимо выполнить панорамные рентгенограммы конечностей («телерентгеногра</w:t>
      </w:r>
      <w:r>
        <w:t xml:space="preserve">ммы») для оценки достигнутой коррекции длины и исключения деформации на уровне регенерата, которая должна быть устранена. После этого аппарат переводят в фазу фиксации. При выполнении коррекции деформации без значительного удлинения сегмента целесообразно </w:t>
      </w:r>
      <w:r>
        <w:t>выполнить всю процедуру в стационарных условиях. При последовательном использовании для коррекции унифицированных узлов рентгенограммы выполняют при каждой замене узла. При использовании ортопедического гексапода контрольная рентгенограмма выполняется по з</w:t>
      </w:r>
      <w:r>
        <w:t xml:space="preserve">авершении расчетной схемы коррекции. После завершения коррекции деформации также необходимо выполнить панорамные рентгенограммы конечностей для оценки достигнутого результата. После этого аппарат переводится в фазу фиксации.  </w:t>
      </w:r>
    </w:p>
    <w:p w:rsidR="008F432E" w:rsidRDefault="00A47635">
      <w:pPr>
        <w:spacing w:line="356" w:lineRule="auto"/>
        <w:ind w:left="-15" w:right="54" w:firstLine="708"/>
      </w:pPr>
      <w:r>
        <w:t>Период фиксации. Длительность</w:t>
      </w:r>
      <w:r>
        <w:t xml:space="preserve"> периода фиксации соответствует времени органотипической перестройки дистракционного регенерата и зависит от величины регенерата, исходного состояния костной ткани, возраста пациента и наличия сопутствующей патологии. В идеале время органо-типической перес</w:t>
      </w:r>
      <w:r>
        <w:t xml:space="preserve">тройки с формированием кортикальных пластинок можно предположить по расчету 1 месяц на 1 см удлинения. Но, в то же время, регенераты длиной до 3-4 см перестраиваются в сроки сращения перелома соответствующей локализации. В зависимости от состояния костной </w:t>
      </w:r>
      <w:r>
        <w:t>ткани, трофики сегмента, возраста пациента и сопутствующей патологии данный временной промежуток может быть больше. В период фиксации пациент наблюдается амбулаторно. Рентгенограммы выполняют с интервалом 1-2 месяца, при рентгенологической картине формиров</w:t>
      </w:r>
      <w:r>
        <w:t>ания кортикальных пластинок на 3/4 окружности регенерата на всем его протяжении (правило «трёх кортикальных пластинок») можно обсуждать вопрос о демонтаже АВФ. Разрешается дозированная нагрузка, которая постепенно увеличивается по мере перестройки регенера</w:t>
      </w:r>
      <w:r>
        <w:t xml:space="preserve">та. Перевязки чрескостных элементов выполняются с интервалом 10-14 дней. </w:t>
      </w:r>
    </w:p>
    <w:p w:rsidR="008F432E" w:rsidRDefault="00A47635">
      <w:pPr>
        <w:spacing w:after="0" w:line="357" w:lineRule="auto"/>
        <w:ind w:left="-15" w:right="54" w:firstLine="708"/>
      </w:pPr>
      <w:r>
        <w:t xml:space="preserve">Демонтаж АВФ. </w:t>
      </w:r>
      <w:r>
        <w:t>После формирования кортикальных пластинок на ¾ окружности регенерата на всем его протяжении (по данным рентгенограмм) необходимо выполнить клиническую пробу на сращение</w:t>
      </w:r>
      <w:r>
        <w:t>. Для этого соединяющие элементы между модулями демонтируют и проверяют наличие подвижности. Если подвижность выявлена, необходимо продолжить фиксацию. При наличии тугой амортизации может быть выполнена модульная трансформация или демонтаж аппарата с после</w:t>
      </w:r>
      <w:r>
        <w:t>дующей иммобилизацией гипсовой повязкой. При отсутствии подвижности выполняется динамическая проба. Соединительные элементы устанавливаются и фиксируются с одной стороны, с другой гайки отводятся на 2-3 мм, пациенту необходимоходить с прежней нагрузкой. Ди</w:t>
      </w:r>
      <w:r>
        <w:t xml:space="preserve">намическая проба проводится в течение 7-14 дней, после чего повторяют клиническую пробу. Если появилась подвижность или отмечалась в процессе динамической пробы боль, отек, ощущение нестабильности необходимо продолжить фиксацию. При отсутствии подвижности </w:t>
      </w:r>
      <w:r>
        <w:t>выполняется демонтаж АВФ. Анестезия для этой процедуры выбирается в зависимости от стабильности чрескостных элементов, эмоционального состояния пациента, наличия сопутствующей неврологической патологии: варианты от местной анестезии в области чрескостных э</w:t>
      </w:r>
      <w:r>
        <w:t xml:space="preserve">лементов до общей анестезии. После демонтажа аппарата накладывают асептические повязки, в дальнейшем раны ведут под сухими струпами. На 1-2 недели ограничивают нагрузку на конечность при использовании костылей с последующим рентгенологическим контролем.  </w:t>
      </w:r>
    </w:p>
    <w:p w:rsidR="008F432E" w:rsidRDefault="00A47635">
      <w:pPr>
        <w:spacing w:after="107" w:line="266" w:lineRule="auto"/>
        <w:ind w:left="-5" w:right="45"/>
      </w:pPr>
      <w:r>
        <w:t xml:space="preserve">Приложение A3.2 Материально-техническое обеспечение.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numPr>
          <w:ilvl w:val="0"/>
          <w:numId w:val="27"/>
        </w:numPr>
        <w:spacing w:line="357" w:lineRule="auto"/>
        <w:ind w:right="54" w:firstLine="708"/>
      </w:pPr>
      <w:r>
        <w:t>266550 Система внешней ортопедической фиксации, многоразового использования (комплект для чрезкостного остеосинтеза по Илизарову, регистрационное удостоверение № ФСР 2007/00756 от 27.09.2007, срок дей</w:t>
      </w:r>
      <w:r>
        <w:t xml:space="preserve">ствия: не ограничен. «Инструменты и приспособления для остеосинтеза по Г.А. Илизарову», зарегистрированный в Государственном реестре медицинских изделий (Г.Р.№81/823-5)),  </w:t>
      </w:r>
    </w:p>
    <w:p w:rsidR="008F432E" w:rsidRDefault="00A47635">
      <w:pPr>
        <w:numPr>
          <w:ilvl w:val="0"/>
          <w:numId w:val="27"/>
        </w:numPr>
        <w:spacing w:after="0" w:line="358" w:lineRule="auto"/>
        <w:ind w:right="54" w:firstLine="708"/>
      </w:pPr>
      <w:r>
        <w:t xml:space="preserve">Имплантаты для травматологии, ортопедии и нейрохирургии (329870 Пластина накостная </w:t>
      </w:r>
      <w:r>
        <w:t xml:space="preserve">для фиксации переломов винтами, нерассасывающаяся, нестерильная***; 332570 Скоба костная ортопедическая, нерегулируемая, стерильная***; 245510 Винт костный ортопедический, нерассасывающийся, нестерильный***). </w:t>
      </w:r>
    </w:p>
    <w:p w:rsidR="008F432E" w:rsidRDefault="00A47635">
      <w:pPr>
        <w:spacing w:after="115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spacing w:after="225" w:line="266" w:lineRule="auto"/>
        <w:ind w:left="-5" w:right="45"/>
      </w:pPr>
      <w:r>
        <w:t>Приложение A3.3 Возможные ошибки и осложнени</w:t>
      </w:r>
      <w:r>
        <w:t xml:space="preserve">я </w:t>
      </w:r>
    </w:p>
    <w:p w:rsidR="008F432E" w:rsidRDefault="00A47635">
      <w:pPr>
        <w:spacing w:line="357" w:lineRule="auto"/>
        <w:ind w:left="-15" w:right="54" w:firstLine="708"/>
      </w:pPr>
      <w:r>
        <w:t>По времени возникновения осложнений, возникающих при применении чрезкостного остеосинтеза, они могут быть разделены на присущие этапу непосредственно операции, а также возникающие после операции: в манипуляционном периоде, период фиксации и после демонт</w:t>
      </w:r>
      <w:r>
        <w:t xml:space="preserve">ажа аппарата. Основными из них при применении чрезкостного остеосинтеза являются: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Повреждение магистральных сосудов и нервов;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Воспаление тканей, окружающих чрескостные элементы;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Дерматит, некроз мягких тканей;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>Вырезывание, прорезывание чрескостных элем</w:t>
      </w:r>
      <w:r>
        <w:t xml:space="preserve">ентов, переломы в области чрескостных элементов;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Нейроваскулярные расстройства;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Контрактуры и подвывихи в суставах;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Поломка компонентов аппарата;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Вторичные смещения костных фрагментов на протяжении периода фиксации;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Проблемы костеообразования;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Постфиксационные переломы, вторичные деформации;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Связанные с отказом пациента от продолжения лечения с использованием АВФ. </w:t>
      </w:r>
    </w:p>
    <w:p w:rsidR="008F432E" w:rsidRDefault="00A47635">
      <w:pPr>
        <w:spacing w:line="356" w:lineRule="auto"/>
        <w:ind w:left="-15" w:right="54" w:firstLine="708"/>
      </w:pPr>
      <w:r>
        <w:t xml:space="preserve">Профилактика и лечение указанных осложнений подробна освящена в специальной литературе [77].  </w:t>
      </w:r>
    </w:p>
    <w:p w:rsidR="008F432E" w:rsidRDefault="00A47635">
      <w:pPr>
        <w:ind w:left="-5" w:right="54"/>
      </w:pPr>
      <w:r>
        <w:t>Осложнения, присущие использованию в</w:t>
      </w:r>
      <w:r>
        <w:t xml:space="preserve">нутренней фиксации: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деформация и переломы блокирующих винтов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вторичные деформации на фоне перелома блокирующих винтов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перелом интрамедуллярного стержня </w:t>
      </w:r>
    </w:p>
    <w:p w:rsidR="008F432E" w:rsidRDefault="00A47635">
      <w:pPr>
        <w:numPr>
          <w:ilvl w:val="0"/>
          <w:numId w:val="28"/>
        </w:numPr>
        <w:ind w:right="54" w:hanging="140"/>
      </w:pPr>
      <w:r>
        <w:t xml:space="preserve">глубокая инфекция в области хирургического вмешательства </w:t>
      </w:r>
    </w:p>
    <w:p w:rsidR="008F432E" w:rsidRDefault="00A47635">
      <w:pPr>
        <w:spacing w:after="0" w:line="358" w:lineRule="auto"/>
        <w:ind w:left="-15" w:right="54" w:firstLine="708"/>
      </w:pPr>
      <w:r>
        <w:t>При комбинированном использовании чрезкост</w:t>
      </w:r>
      <w:r>
        <w:t>ного и погружного остеосинтеза могут быть отмечены осложнения, характерные как для внешней, так и для внутренней фиксации. Вероятность осложнений, характерных для чрезкостного остеосинтеза, ниже, так как зависит от длительности периода чрезкостного остеоси</w:t>
      </w:r>
      <w:r>
        <w:t xml:space="preserve">нтеза. Но при удлинении «поверх» интрамедуллярного стержня увеличивается вероятность преждевременного сращения на уровне регенерата. </w:t>
      </w:r>
    </w:p>
    <w:p w:rsidR="008F432E" w:rsidRDefault="00A47635">
      <w:pPr>
        <w:spacing w:after="23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07" w:line="266" w:lineRule="auto"/>
        <w:ind w:left="718" w:right="45"/>
      </w:pPr>
      <w:r>
        <w:t xml:space="preserve">Приложение А3.4 Клинические рекомендации защищены патентами РФ: </w:t>
      </w:r>
    </w:p>
    <w:p w:rsidR="008F432E" w:rsidRDefault="00A47635">
      <w:pPr>
        <w:ind w:left="-15" w:right="54" w:firstLine="708"/>
      </w:pPr>
      <w:r>
        <w:t xml:space="preserve">Патент №42949 «Устройство для полилокального удлинения </w:t>
      </w:r>
      <w:r>
        <w:t xml:space="preserve">голени и устранения деформаций» </w:t>
      </w:r>
    </w:p>
    <w:p w:rsidR="008F432E" w:rsidRDefault="00A47635">
      <w:pPr>
        <w:ind w:left="-15" w:right="54" w:firstLine="708"/>
      </w:pPr>
      <w:r>
        <w:t xml:space="preserve">Патент №36207 «Устройство для коррекции деформации и удлинения длинных трубчатых костей» </w:t>
      </w:r>
    </w:p>
    <w:p w:rsidR="008F432E" w:rsidRDefault="00A47635">
      <w:pPr>
        <w:ind w:left="718" w:right="54"/>
      </w:pPr>
      <w:r>
        <w:t xml:space="preserve">Патент №2305510 «Способ увеличения продольных размеров конечностей». </w:t>
      </w:r>
    </w:p>
    <w:p w:rsidR="008F432E" w:rsidRDefault="00A47635">
      <w:pPr>
        <w:ind w:left="718" w:right="54"/>
      </w:pPr>
      <w:r>
        <w:t xml:space="preserve">Патент №2317034 «Способ лечения переломов длинных трубчатых костей». </w:t>
      </w:r>
    </w:p>
    <w:p w:rsidR="008F432E" w:rsidRDefault="00A47635">
      <w:pPr>
        <w:ind w:left="-15" w:right="54" w:firstLine="708"/>
      </w:pPr>
      <w:r>
        <w:t xml:space="preserve">Патент РФ№2324450 «Спица для интрамедуллярного армирования длинных трубчатых костей». </w:t>
      </w:r>
    </w:p>
    <w:p w:rsidR="008F432E" w:rsidRDefault="00A47635">
      <w:pPr>
        <w:ind w:left="718" w:right="54"/>
      </w:pPr>
      <w:r>
        <w:t xml:space="preserve">Патент на полезную модель РФ №116763 «Интрамедуллярная спица».  </w:t>
      </w:r>
    </w:p>
    <w:p w:rsidR="008F432E" w:rsidRDefault="00A47635">
      <w:pPr>
        <w:ind w:left="718" w:right="54"/>
      </w:pPr>
      <w:r>
        <w:t>Патент №2317034 «Способ лечения пе</w:t>
      </w:r>
      <w:r>
        <w:t xml:space="preserve">реломов длинных трубчатых костей».  </w:t>
      </w:r>
    </w:p>
    <w:p w:rsidR="008F432E" w:rsidRDefault="00A47635">
      <w:pPr>
        <w:ind w:left="-15" w:right="54" w:firstLine="708"/>
      </w:pPr>
      <w:r>
        <w:t xml:space="preserve">Патент №2324450 «Спица для интрамедуллярного армирования длинных трубчатых костей». </w:t>
      </w:r>
    </w:p>
    <w:p w:rsidR="008F432E" w:rsidRDefault="00A47635">
      <w:pPr>
        <w:ind w:left="718" w:right="54"/>
      </w:pPr>
      <w:r>
        <w:t xml:space="preserve">Патент №116763 «Интрамедуллярная спица».  </w:t>
      </w:r>
    </w:p>
    <w:p w:rsidR="008F432E" w:rsidRDefault="00A47635">
      <w:pPr>
        <w:ind w:left="-15" w:right="54" w:firstLine="708"/>
      </w:pPr>
      <w:r>
        <w:t>Патент № 2246139 «Способ исследования жесткости моделей чрезкостного остеосинтеза и устройс</w:t>
      </w:r>
      <w:r>
        <w:t xml:space="preserve">тво для его осуществления». </w:t>
      </w:r>
    </w:p>
    <w:p w:rsidR="008F432E" w:rsidRDefault="00A47635">
      <w:pPr>
        <w:ind w:left="-15" w:right="54" w:firstLine="708"/>
      </w:pPr>
      <w:r>
        <w:t xml:space="preserve">Патент № 2218083 «Способ определения смещения мягких тканей относитально кости и устройство для его осуществления» </w:t>
      </w:r>
    </w:p>
    <w:p w:rsidR="008F432E" w:rsidRDefault="00A47635">
      <w:pPr>
        <w:ind w:left="-15" w:right="54" w:firstLine="708"/>
      </w:pPr>
      <w:r>
        <w:t>Патент № 2299678 «Способ определения смещения мягких тканей относительно кости при ротации сегмента и устройств</w:t>
      </w:r>
      <w:r>
        <w:t xml:space="preserve">о для его осуществления» </w:t>
      </w:r>
    </w:p>
    <w:p w:rsidR="008F432E" w:rsidRDefault="00A47635">
      <w:pPr>
        <w:ind w:left="718" w:right="54"/>
      </w:pPr>
      <w:r>
        <w:t xml:space="preserve">Патент № 2257866 «Экстракортикальный фиксатор» </w:t>
      </w:r>
    </w:p>
    <w:p w:rsidR="008F432E" w:rsidRDefault="00A47635">
      <w:pPr>
        <w:ind w:left="718" w:right="54"/>
      </w:pPr>
      <w:r>
        <w:t xml:space="preserve">Патент № 2310408 «Способ модульного чрезкостного остеосинтеза костей голени» </w:t>
      </w:r>
    </w:p>
    <w:p w:rsidR="008F432E" w:rsidRDefault="00A47635">
      <w:pPr>
        <w:ind w:left="718" w:right="54"/>
      </w:pPr>
      <w:r>
        <w:t xml:space="preserve">Патент № 2336842 «Аппарат для чрезкостного остеосинтеза “SUV-Frame» </w:t>
      </w:r>
    </w:p>
    <w:p w:rsidR="008F432E" w:rsidRDefault="00A47635">
      <w:pPr>
        <w:ind w:left="718" w:right="54"/>
      </w:pPr>
      <w:r>
        <w:t>Патент № 2 640 999 «Способ коррекци</w:t>
      </w:r>
      <w:r>
        <w:t xml:space="preserve">и многоуровневых деформаций длинных костей» </w:t>
      </w:r>
    </w:p>
    <w:p w:rsidR="008F432E" w:rsidRDefault="00A47635">
      <w:pPr>
        <w:ind w:left="718" w:right="54"/>
      </w:pPr>
      <w:r>
        <w:t xml:space="preserve">Патент № 193832 «Телескопическая стойка для аппарата чрезкостного остеосинтеза» </w:t>
      </w:r>
    </w:p>
    <w:p w:rsidR="008F432E" w:rsidRDefault="00A47635">
      <w:pPr>
        <w:ind w:left="-15" w:right="54" w:firstLine="708"/>
      </w:pPr>
      <w:r>
        <w:t xml:space="preserve">Патент № 2744655 «Чрескостный аппарат, телескопическая стойка для чрезкостного аппарата, компьютерная система и способ для моделирования перемещения костного фрагмента с использованием чрезкостного аппарата» </w:t>
      </w:r>
    </w:p>
    <w:p w:rsidR="008F432E" w:rsidRDefault="00A47635">
      <w:pPr>
        <w:spacing w:after="0" w:line="358" w:lineRule="auto"/>
        <w:ind w:left="-5" w:right="54"/>
      </w:pPr>
      <w:r>
        <w:t>Патент № 2584555 «Способ удлинения бедренной ко</w:t>
      </w:r>
      <w:r>
        <w:t xml:space="preserve">сти поверх интрамедуллярного стержня» </w:t>
      </w:r>
    </w:p>
    <w:p w:rsidR="008F432E" w:rsidRDefault="00A47635">
      <w:pPr>
        <w:spacing w:after="239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07" w:line="266" w:lineRule="auto"/>
        <w:ind w:left="-5" w:right="45"/>
      </w:pPr>
      <w:r>
        <w:t>Приложение А3.5</w:t>
      </w:r>
      <w:r>
        <w:t xml:space="preserve"> </w:t>
      </w:r>
      <w:r>
        <w:t xml:space="preserve">Данные клинические рекомендации разработаны с учётом следующих нормативно-правовых документов: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Конституция Российской Федерации.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Постановление ВС РСФСР от 22.11.1991 N 1920-1 «О Декларации прав и свобод человека и гражданина».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«Уголовный кодекс Российской Федерации» от 13.06.1996 N 63-ФЗ (ред. от 09.04.2026). </w:t>
      </w:r>
    </w:p>
    <w:p w:rsidR="008F432E" w:rsidRDefault="00A47635">
      <w:pPr>
        <w:numPr>
          <w:ilvl w:val="0"/>
          <w:numId w:val="29"/>
        </w:numPr>
        <w:spacing w:after="8"/>
        <w:ind w:right="54" w:hanging="250"/>
      </w:pPr>
      <w:r>
        <w:t>Уголовно-процессуальный кодекс Российской Федерации от 18.12.2001 N 174-</w:t>
      </w:r>
      <w:r>
        <w:t xml:space="preserve">ФЗ (ред. от </w:t>
      </w:r>
    </w:p>
    <w:p w:rsidR="008F432E" w:rsidRDefault="00A47635">
      <w:pPr>
        <w:ind w:left="-5" w:right="54"/>
      </w:pPr>
      <w:r>
        <w:t xml:space="preserve">09.04.2026). 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Федеральный закон от 21 ноября 2011 г. № 323-ФЗ (ред. от 29.12.2025) «Об основах охраны здоровья граждан в Российской Федерации».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>Федеральный закон Российской Федерации от 22.12.92 № 4180-1 (ред. от 01.05.2022) «О трансплантаци</w:t>
      </w:r>
      <w:r>
        <w:t xml:space="preserve">и органов и (или) тканей человека».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Федеральный закон Российской Федерации от 20.06.2000 № 91-ФЗ «О внесении дополнений в закон Российской Федерации «О трансплантации органов и (или) тканей человека».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Федеральный закон от 12 апреля 2010 г. № 61-ФЗ (ред. </w:t>
      </w:r>
      <w:r>
        <w:t xml:space="preserve">от 29.12.2025) «Об обращении лекарственных средств». </w:t>
      </w:r>
    </w:p>
    <w:p w:rsidR="008F432E" w:rsidRDefault="00A47635">
      <w:pPr>
        <w:numPr>
          <w:ilvl w:val="0"/>
          <w:numId w:val="29"/>
        </w:numPr>
        <w:ind w:right="54" w:hanging="250"/>
      </w:pPr>
      <w:r>
        <w:t xml:space="preserve">Федеральный закон от 08 января 1998 г.  № 3-ФЗ (ред. от 27.10.2025) «О наркотических средствах и психотропных веществах». </w:t>
      </w:r>
    </w:p>
    <w:p w:rsidR="008F432E" w:rsidRDefault="00A47635">
      <w:pPr>
        <w:numPr>
          <w:ilvl w:val="0"/>
          <w:numId w:val="29"/>
        </w:numPr>
        <w:spacing w:after="6"/>
        <w:ind w:right="54" w:hanging="250"/>
      </w:pPr>
      <w:r>
        <w:t>Федеральный закон от 27 июля 2006 г. № 152-ФЗ (ред. от 24.06.2025) «О персональ</w:t>
      </w:r>
      <w:r>
        <w:t xml:space="preserve">ных данных». </w:t>
      </w:r>
    </w:p>
    <w:p w:rsidR="008F432E" w:rsidRDefault="00A47635">
      <w:pPr>
        <w:numPr>
          <w:ilvl w:val="0"/>
          <w:numId w:val="29"/>
        </w:numPr>
        <w:spacing w:after="3" w:line="359" w:lineRule="auto"/>
        <w:ind w:right="54" w:hanging="250"/>
      </w:pPr>
      <w:r>
        <w:t xml:space="preserve">Приказ Минздрава России от 12 ноября 2012г. № 901н (ред. от 21.02.2020) «Об утверждении Порядка оказания медицинской помощи населению по профилю «травматология и ортопедия».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spacing w:after="196"/>
        <w:ind w:left="10" w:right="62"/>
      </w:pPr>
      <w:bookmarkStart w:id="34" w:name="_Toc71509"/>
      <w:r>
        <w:t xml:space="preserve">Приложение Б. Алгоритмы действий врача </w:t>
      </w:r>
      <w:bookmarkEnd w:id="34"/>
    </w:p>
    <w:p w:rsidR="008F432E" w:rsidRDefault="00A47635">
      <w:pPr>
        <w:spacing w:after="35" w:line="259" w:lineRule="auto"/>
        <w:ind w:left="0" w:right="776" w:firstLine="0"/>
        <w:jc w:val="right"/>
      </w:pPr>
      <w:r>
        <w:rPr>
          <w:noProof/>
        </w:rPr>
        <w:drawing>
          <wp:inline distT="0" distB="0" distL="0" distR="0">
            <wp:extent cx="5236464" cy="3692652"/>
            <wp:effectExtent l="0" t="0" r="0" b="0"/>
            <wp:docPr id="6288" name="Picture 6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8" name="Picture 628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6464" cy="3692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 w:right="64"/>
      </w:pPr>
      <w:bookmarkStart w:id="35" w:name="_Toc71510"/>
      <w:r>
        <w:t xml:space="preserve">Приложение В. Информация для пациента </w:t>
      </w:r>
      <w:bookmarkEnd w:id="35"/>
    </w:p>
    <w:p w:rsidR="008F432E" w:rsidRDefault="00A47635">
      <w:pPr>
        <w:spacing w:after="0" w:line="357" w:lineRule="auto"/>
        <w:ind w:left="-15" w:right="54" w:firstLine="708"/>
      </w:pPr>
      <w:r>
        <w:t>Приобретенной деформацией конечности называют состояние, при котором имеется изменение формы и размера костей, которые подтверждаются клинически и рентгенологически. Лечение приобретенных деформаций, как правило, опер</w:t>
      </w:r>
      <w:r>
        <w:t>ативное. Лечение приобретенной деформации конечности – это длительный процесс, который зачастую длится дольше консолидации «свежего» перелома соответствующей локализации (до нескольких месяцев), и поэтому требует от пациента много терпения и абсолютного со</w:t>
      </w:r>
      <w:r>
        <w:t xml:space="preserve">блюдения всех рекомендаций врача. </w:t>
      </w:r>
    </w:p>
    <w:p w:rsidR="008F432E" w:rsidRDefault="00A47635">
      <w:pPr>
        <w:spacing w:after="0" w:line="358" w:lineRule="auto"/>
        <w:ind w:left="-15" w:right="54" w:firstLine="708"/>
      </w:pPr>
      <w:r>
        <w:t>Осложнения (нарушение заживления кости и мягких тканей, послеоперационной раны, нестабильность (смещение) установленной конструкции, воспаление, ограничение движений в суставах поврежденной конечности), которые могут возн</w:t>
      </w:r>
      <w:r>
        <w:t xml:space="preserve">икнуть у пациентов после оперативного лечения приобретенных деформаций длинных трубчатых костей, могут привести к увеличению срока лечения, необходимости повторной госпитализации в стационар.  </w:t>
      </w:r>
    </w:p>
    <w:p w:rsidR="008F432E" w:rsidRDefault="00A47635">
      <w:pPr>
        <w:spacing w:after="251"/>
        <w:ind w:left="718" w:right="54"/>
      </w:pPr>
      <w:r>
        <w:t xml:space="preserve">Признаки осложнений:  </w:t>
      </w:r>
    </w:p>
    <w:p w:rsidR="008F432E" w:rsidRDefault="00A47635">
      <w:pPr>
        <w:numPr>
          <w:ilvl w:val="0"/>
          <w:numId w:val="30"/>
        </w:numPr>
        <w:spacing w:after="31" w:line="355" w:lineRule="auto"/>
        <w:ind w:right="54" w:firstLine="566"/>
      </w:pPr>
      <w:r>
        <w:t>боль в области оперированного сегмента,</w:t>
      </w:r>
      <w:r>
        <w:t xml:space="preserve"> особенно появившаяся после «светлого промежутка»;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появление болезненной подвижности, хруста в области остеотомии;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снижение амплитуды движений или появление боли при движениях; </w:t>
      </w:r>
    </w:p>
    <w:p w:rsidR="008F432E" w:rsidRDefault="00A47635">
      <w:pPr>
        <w:numPr>
          <w:ilvl w:val="0"/>
          <w:numId w:val="30"/>
        </w:numPr>
        <w:spacing w:after="27" w:line="357" w:lineRule="auto"/>
        <w:ind w:right="54" w:firstLine="566"/>
      </w:pPr>
      <w:r>
        <w:t>рентгенологические данные, свидетельствующие о нарушении консолидации или см</w:t>
      </w:r>
      <w:r>
        <w:t xml:space="preserve">ещении отломков;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появление деформации или болезненного уплотнения в оперированном сегменте; </w:t>
      </w:r>
    </w:p>
    <w:p w:rsidR="008F432E" w:rsidRDefault="00A47635">
      <w:pPr>
        <w:numPr>
          <w:ilvl w:val="0"/>
          <w:numId w:val="30"/>
        </w:numPr>
        <w:spacing w:after="0" w:line="357" w:lineRule="auto"/>
        <w:ind w:right="54" w:firstLine="566"/>
      </w:pPr>
      <w:r>
        <w:t>отёк сегмента и изменение его окраски (покраснение или пигментация), боль после «светлого промежутка». Наиболее частыми причинами являются нарушение пациентом вра</w:t>
      </w:r>
      <w:r>
        <w:t xml:space="preserve">чебных рекомендаций, а также нарушение технологии операции, либо конструктивные дефекты имплантатов. </w:t>
      </w:r>
    </w:p>
    <w:p w:rsidR="008F432E" w:rsidRDefault="00A47635">
      <w:pPr>
        <w:spacing w:after="23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260" w:line="259" w:lineRule="auto"/>
        <w:ind w:right="58"/>
        <w:jc w:val="right"/>
      </w:pPr>
      <w:r>
        <w:t xml:space="preserve">Необходимо знать факторы, которые могут способствовать развитию осложнений: 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повторная травма оперированного сегмента в результате падения;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избыточный вес;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заболевания паращитовидных желёз;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сахарный диабет; </w:t>
      </w:r>
    </w:p>
    <w:p w:rsidR="008F432E" w:rsidRDefault="00A47635">
      <w:pPr>
        <w:numPr>
          <w:ilvl w:val="0"/>
          <w:numId w:val="30"/>
        </w:numPr>
        <w:spacing w:after="31" w:line="355" w:lineRule="auto"/>
        <w:ind w:right="54" w:firstLine="566"/>
      </w:pPr>
      <w:r>
        <w:t xml:space="preserve">неправильный подбор костылей, иммобилизирующих устройств, туторов и гипсовых повязок; </w:t>
      </w:r>
    </w:p>
    <w:p w:rsidR="008F432E" w:rsidRDefault="00A47635">
      <w:pPr>
        <w:numPr>
          <w:ilvl w:val="0"/>
          <w:numId w:val="30"/>
        </w:numPr>
        <w:spacing w:after="27" w:line="357" w:lineRule="auto"/>
        <w:ind w:right="54" w:firstLine="566"/>
      </w:pPr>
      <w:r>
        <w:t>системный и локальный остеопороз, в том числе связанный с системными заболеваниями (гормональные на</w:t>
      </w:r>
      <w:r>
        <w:t xml:space="preserve">рушения, длительное лечение кортикостероидами, истощение и использование патологических диет); </w:t>
      </w:r>
    </w:p>
    <w:p w:rsidR="008F432E" w:rsidRDefault="00A47635">
      <w:pPr>
        <w:numPr>
          <w:ilvl w:val="0"/>
          <w:numId w:val="30"/>
        </w:numPr>
        <w:ind w:right="54" w:firstLine="566"/>
      </w:pPr>
      <w:r>
        <w:t xml:space="preserve">генетическая предрасположенность к нарушению консолидации; </w:t>
      </w:r>
    </w:p>
    <w:p w:rsidR="008F432E" w:rsidRDefault="00A47635">
      <w:pPr>
        <w:numPr>
          <w:ilvl w:val="0"/>
          <w:numId w:val="30"/>
        </w:numPr>
        <w:spacing w:after="2" w:line="357" w:lineRule="auto"/>
        <w:ind w:right="54" w:firstLine="566"/>
      </w:pPr>
      <w:r>
        <w:t>последствиях политравмы с нарушением функции конечностей, затрудняющих соблюдение лечебно-охранитель</w:t>
      </w:r>
      <w:r>
        <w:t xml:space="preserve">ного режима, ограничения и дозировки нагрузок и проведению рациональной физиофункциональной терапии. </w:t>
      </w:r>
    </w:p>
    <w:p w:rsidR="008F432E" w:rsidRDefault="00A47635">
      <w:pPr>
        <w:spacing w:after="232" w:line="259" w:lineRule="auto"/>
        <w:ind w:left="852" w:firstLine="0"/>
        <w:jc w:val="left"/>
      </w:pPr>
      <w:r>
        <w:t xml:space="preserve"> </w:t>
      </w:r>
    </w:p>
    <w:p w:rsidR="008F432E" w:rsidRDefault="00A47635">
      <w:pPr>
        <w:spacing w:after="251"/>
        <w:ind w:left="862" w:right="54"/>
      </w:pPr>
      <w:r>
        <w:t xml:space="preserve">Для предупреждения и контроля осложнений необходимо: </w:t>
      </w:r>
    </w:p>
    <w:p w:rsidR="008F432E" w:rsidRDefault="00A47635">
      <w:pPr>
        <w:numPr>
          <w:ilvl w:val="0"/>
          <w:numId w:val="30"/>
        </w:numPr>
        <w:spacing w:after="29" w:line="357" w:lineRule="auto"/>
        <w:ind w:right="54" w:firstLine="566"/>
      </w:pPr>
      <w:r>
        <w:t xml:space="preserve">внимательно отнестись к врачебным рекомендациям, полученным после ортопедического вмешательства, особенно вопросам, касающимся нагрузок, сроков иммобилизации, начала и интенсивности разработки суставов, тренировки мышц конечности. В случае неуверенности в </w:t>
      </w:r>
      <w:r>
        <w:t xml:space="preserve">понимании инструкций переспросить оперировавшего хирурга, что и в какой последовательности можно и нельзя делать пациенту в послеоперационном периоде, и особенно после выписки из стационара; </w:t>
      </w:r>
    </w:p>
    <w:p w:rsidR="008F432E" w:rsidRDefault="00A47635">
      <w:pPr>
        <w:numPr>
          <w:ilvl w:val="0"/>
          <w:numId w:val="30"/>
        </w:numPr>
        <w:spacing w:after="25" w:line="357" w:lineRule="auto"/>
        <w:ind w:right="54" w:firstLine="566"/>
      </w:pPr>
      <w:r>
        <w:t xml:space="preserve">тщательно изучить технику и правила ходьбы на костылях, методику реабилитационного лечения (особенно правила безопасной разработки движений) и его этапности, то есть перехода от малых нагрузок и амплитуд движений к постепенному их увеличению; </w:t>
      </w:r>
    </w:p>
    <w:p w:rsidR="008F432E" w:rsidRDefault="00A47635">
      <w:pPr>
        <w:numPr>
          <w:ilvl w:val="0"/>
          <w:numId w:val="30"/>
        </w:numPr>
        <w:spacing w:after="29" w:line="357" w:lineRule="auto"/>
        <w:ind w:right="54" w:firstLine="566"/>
      </w:pPr>
      <w:r>
        <w:t>тщательно со</w:t>
      </w:r>
      <w:r>
        <w:t>блюдать сроки регулярных осмотров у врача-травматолога-ортопеда, в том числе оперирующего хирурга с выполнением контрольных рентгенологических исследований, предваряющих переход к очередному реабилитационному периоду, заключающемуся в смене нагрузок и опре</w:t>
      </w:r>
      <w:r>
        <w:t xml:space="preserve">делению их оптимальной интенсивности; </w:t>
      </w:r>
    </w:p>
    <w:p w:rsidR="008F432E" w:rsidRDefault="00A47635">
      <w:pPr>
        <w:numPr>
          <w:ilvl w:val="0"/>
          <w:numId w:val="30"/>
        </w:numPr>
        <w:spacing w:after="4" w:line="355" w:lineRule="auto"/>
        <w:ind w:right="54" w:firstLine="566"/>
      </w:pPr>
      <w:r>
        <w:t xml:space="preserve">применять реабилитационную терапию, только согласовав её интенсивность и характер с оперировавшим хирургом-ортопедом.  </w:t>
      </w:r>
    </w:p>
    <w:p w:rsidR="008F432E" w:rsidRDefault="00A47635">
      <w:pPr>
        <w:spacing w:after="11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/>
      </w:pPr>
      <w:bookmarkStart w:id="36" w:name="_Toc71511"/>
      <w:r>
        <w:t>Приложение Г1-ГN. Шкалы оценки, вопросники и другие оценочные инструменты состояния пациента, п</w:t>
      </w:r>
      <w:r>
        <w:t xml:space="preserve">риведенные в клинических рекомендациях. </w:t>
      </w:r>
      <w:bookmarkEnd w:id="36"/>
    </w:p>
    <w:p w:rsidR="008F432E" w:rsidRDefault="00A47635">
      <w:pPr>
        <w:pStyle w:val="Heading1"/>
        <w:numPr>
          <w:ilvl w:val="0"/>
          <w:numId w:val="0"/>
        </w:numPr>
        <w:ind w:left="10" w:right="66"/>
      </w:pPr>
      <w:bookmarkStart w:id="37" w:name="_Toc71512"/>
      <w:r>
        <w:t>Приложение Г1. Опросник SF-36.</w:t>
      </w:r>
      <w:r>
        <w:t xml:space="preserve"> </w:t>
      </w:r>
      <w:bookmarkEnd w:id="37"/>
    </w:p>
    <w:p w:rsidR="008F432E" w:rsidRDefault="00A47635">
      <w:pPr>
        <w:spacing w:after="224"/>
        <w:ind w:left="-5" w:right="54"/>
      </w:pPr>
      <w:r>
        <w:t xml:space="preserve">Название на русском языке: </w:t>
      </w:r>
      <w:r>
        <w:t>Опросник SF-36.</w:t>
      </w:r>
      <w:r>
        <w:t xml:space="preserve"> </w:t>
      </w:r>
    </w:p>
    <w:p w:rsidR="008F432E" w:rsidRDefault="00A47635">
      <w:pPr>
        <w:spacing w:line="357" w:lineRule="auto"/>
        <w:ind w:left="-5" w:right="54"/>
      </w:pPr>
      <w:r>
        <w:t>Оригинальное название (если есть): 36-Item Short Form Health Survey (SF-36). Источник: публикация с валидацией [87].  https://www.rand.org/</w:t>
      </w:r>
      <w:r>
        <w:t>health-care/surveys_tools/mos/36-itemshort-form.html</w:t>
      </w:r>
    </w:p>
    <w:p w:rsidR="008F432E" w:rsidRDefault="00A47635">
      <w:pPr>
        <w:spacing w:after="253"/>
        <w:ind w:left="-5" w:right="54"/>
      </w:pPr>
      <w:r>
        <w:t xml:space="preserve">Тип (подчеркнуть): </w:t>
      </w:r>
    </w:p>
    <w:p w:rsidR="008F432E" w:rsidRDefault="00A47635">
      <w:pPr>
        <w:numPr>
          <w:ilvl w:val="0"/>
          <w:numId w:val="31"/>
        </w:numPr>
        <w:ind w:right="54" w:hanging="994"/>
      </w:pPr>
      <w:r>
        <w:t xml:space="preserve">шкала оценки </w:t>
      </w:r>
    </w:p>
    <w:p w:rsidR="008F432E" w:rsidRDefault="00A47635">
      <w:pPr>
        <w:numPr>
          <w:ilvl w:val="0"/>
          <w:numId w:val="31"/>
        </w:numPr>
        <w:ind w:right="54" w:hanging="994"/>
      </w:pPr>
      <w:r>
        <w:t xml:space="preserve">индекс </w:t>
      </w:r>
    </w:p>
    <w:p w:rsidR="008F432E" w:rsidRDefault="00A47635">
      <w:pPr>
        <w:numPr>
          <w:ilvl w:val="0"/>
          <w:numId w:val="31"/>
        </w:numPr>
        <w:spacing w:after="127" w:line="259" w:lineRule="auto"/>
        <w:ind w:right="54" w:hanging="994"/>
      </w:pPr>
      <w:r>
        <w:rPr>
          <w:u w:val="single" w:color="000000"/>
        </w:rPr>
        <w:t>опросник</w:t>
      </w:r>
      <w:r>
        <w:t xml:space="preserve"> </w:t>
      </w:r>
    </w:p>
    <w:p w:rsidR="008F432E" w:rsidRDefault="00A47635">
      <w:pPr>
        <w:numPr>
          <w:ilvl w:val="0"/>
          <w:numId w:val="31"/>
        </w:numPr>
        <w:spacing w:line="358" w:lineRule="auto"/>
        <w:ind w:right="54" w:hanging="994"/>
      </w:pPr>
      <w:r>
        <w:t xml:space="preserve">другое (уточнить): _________________________________________________ Назначение: оценка качества жизни, связанного со здоровьем, у взрослых. </w:t>
      </w:r>
    </w:p>
    <w:p w:rsidR="008F432E" w:rsidRDefault="00A47635">
      <w:pPr>
        <w:spacing w:line="357" w:lineRule="auto"/>
        <w:ind w:left="-5" w:right="296"/>
      </w:pPr>
      <w:r>
        <w:t xml:space="preserve">Содержание (шаблон): Состоит из 36 вопросов с выбором единственного варианта ответа. Полный валидизированный русскоязычный шаблон вопросника доступен по ссылке: https://therapy.irkutsk.ru/doc/sf36.pdf </w:t>
      </w:r>
    </w:p>
    <w:p w:rsidR="008F432E" w:rsidRDefault="00A47635">
      <w:pPr>
        <w:spacing w:after="151" w:line="357" w:lineRule="auto"/>
        <w:ind w:left="-5" w:right="54"/>
      </w:pPr>
      <w:r>
        <w:t>Ключ (интерпретация): Оценка производится по 8 доменам</w:t>
      </w:r>
      <w:r>
        <w:t xml:space="preserve"> здоровья: физическое функционирование (Physical Functioning/PF); ролевое функционирование, обусловленное физическим состоянием (Role-Physical Functioning/RP); интенсивность боли (Bodily Pain/BP); общее состояние здоровья (General Health/GH); жизненная акт</w:t>
      </w:r>
      <w:r>
        <w:t>ивность (Vitality/VT); социальное функционирование (Social Functioning/SF); ролевое функционирование, обусловленное эмоциональным состоянием (Role-Emotional/RE); психическое здоровье (Mental Health/MH). Также возможен расчет 2 объединенных показателей: пси</w:t>
      </w:r>
      <w:r>
        <w:t>хологический компонент здоровья (Mental Component Score/MCS) и физический компонент здоровья (Physical Component Score/PCS); изучается возможность использования общего суммарного показателя здоровья (Total/Global/Overall Score). Каждый из указанных показат</w:t>
      </w:r>
      <w:r>
        <w:t xml:space="preserve">елей определен на интервале от 0 до 100 баллов (более высокие баллы соответствуют более высокому качеству жизни). Полный русскоязычный ключ вопросника доступен по ссылке: https://therapy.irkutsk.ru/doc/sf36a.pdf </w:t>
      </w:r>
    </w:p>
    <w:p w:rsidR="008F432E" w:rsidRDefault="00A47635">
      <w:pPr>
        <w:tabs>
          <w:tab w:val="center" w:pos="8222"/>
        </w:tabs>
        <w:spacing w:after="228"/>
        <w:ind w:left="-15" w:firstLine="0"/>
        <w:jc w:val="left"/>
      </w:pPr>
      <w:r>
        <w:t xml:space="preserve">Пояснения: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8F432E" w:rsidRDefault="00A47635">
      <w:pPr>
        <w:spacing w:after="11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 w:right="68"/>
      </w:pPr>
      <w:bookmarkStart w:id="38" w:name="_Toc71513"/>
      <w:r>
        <w:t>Приложение Г2 Опросники Pe</w:t>
      </w:r>
      <w:r>
        <w:t xml:space="preserve">dsQL 4.0 Generic Core Scales. </w:t>
      </w:r>
      <w:bookmarkEnd w:id="38"/>
    </w:p>
    <w:p w:rsidR="008F432E" w:rsidRDefault="00A47635">
      <w:pPr>
        <w:spacing w:line="357" w:lineRule="auto"/>
        <w:ind w:left="-5" w:right="139"/>
      </w:pPr>
      <w:r>
        <w:t xml:space="preserve">Название на русском языке: </w:t>
      </w:r>
      <w:r>
        <w:t>Опросники PedsQL 4.0 Generic Core Scales</w:t>
      </w:r>
      <w:r>
        <w:t xml:space="preserve">. Оригинальное название (если есть): Pediatric Quality of Life Inventory Generic Core Scales (PedsQL 4.0 GCS). </w:t>
      </w:r>
    </w:p>
    <w:p w:rsidR="008F432E" w:rsidRDefault="00A47635">
      <w:pPr>
        <w:spacing w:after="224"/>
        <w:ind w:left="-5" w:right="54"/>
      </w:pPr>
      <w:r>
        <w:t xml:space="preserve">Источник: публикация с валидацией [88]. </w:t>
      </w:r>
    </w:p>
    <w:p w:rsidR="008F432E" w:rsidRDefault="00A47635">
      <w:pPr>
        <w:spacing w:after="251"/>
        <w:ind w:left="-5" w:right="54"/>
      </w:pPr>
      <w:r>
        <w:t>Тип (</w:t>
      </w:r>
      <w:r>
        <w:t xml:space="preserve">подчеркнуть): </w:t>
      </w:r>
    </w:p>
    <w:p w:rsidR="008F432E" w:rsidRDefault="00A47635">
      <w:pPr>
        <w:numPr>
          <w:ilvl w:val="0"/>
          <w:numId w:val="32"/>
        </w:numPr>
        <w:ind w:right="54" w:hanging="852"/>
      </w:pPr>
      <w:r>
        <w:t xml:space="preserve">шкала оценки </w:t>
      </w:r>
    </w:p>
    <w:p w:rsidR="008F432E" w:rsidRDefault="00A47635">
      <w:pPr>
        <w:numPr>
          <w:ilvl w:val="0"/>
          <w:numId w:val="32"/>
        </w:numPr>
        <w:ind w:right="54" w:hanging="852"/>
      </w:pPr>
      <w:r>
        <w:t xml:space="preserve">индекс </w:t>
      </w:r>
    </w:p>
    <w:p w:rsidR="008F432E" w:rsidRDefault="00A47635">
      <w:pPr>
        <w:numPr>
          <w:ilvl w:val="0"/>
          <w:numId w:val="32"/>
        </w:numPr>
        <w:spacing w:after="127" w:line="259" w:lineRule="auto"/>
        <w:ind w:right="54" w:hanging="852"/>
      </w:pPr>
      <w:r>
        <w:rPr>
          <w:u w:val="single" w:color="000000"/>
        </w:rPr>
        <w:t>опросник</w:t>
      </w:r>
      <w:r>
        <w:t xml:space="preserve"> </w:t>
      </w:r>
    </w:p>
    <w:p w:rsidR="008F432E" w:rsidRDefault="00A47635">
      <w:pPr>
        <w:numPr>
          <w:ilvl w:val="0"/>
          <w:numId w:val="32"/>
        </w:numPr>
        <w:ind w:right="54" w:hanging="852"/>
      </w:pPr>
      <w:r>
        <w:t xml:space="preserve">другое (уточнить): _________________________________________________ </w:t>
      </w:r>
    </w:p>
    <w:p w:rsidR="008F432E" w:rsidRDefault="00A47635">
      <w:pPr>
        <w:spacing w:after="224"/>
        <w:ind w:left="-5" w:right="54"/>
      </w:pPr>
      <w:r>
        <w:t xml:space="preserve">Назначение: оценка качества жизни, связанного со здоровьем, у детей (от 13 до 18 лет) [88]. </w:t>
      </w:r>
    </w:p>
    <w:p w:rsidR="008F432E" w:rsidRDefault="00A47635">
      <w:pPr>
        <w:spacing w:line="357" w:lineRule="auto"/>
        <w:ind w:left="-5" w:right="54"/>
      </w:pPr>
      <w:r>
        <w:t>Содержание (шаблон): опросник для заполнения детьми возрастной группы 13-18 лет. Также существуют версии для заполнения родителями детей. Полный валидизированный русскоязычный шаблон детской версии вопросника для возрастной категории 13–18 лет доступен в П</w:t>
      </w:r>
      <w:r>
        <w:t xml:space="preserve">риложении Г3 к клинической рекомендации «ВИЧ-инфекция у детей» (ID 459), одобренной Научно-практическим Советом Минздрава РФ и утвержденной в 2020 г.: http://cr.rosminzdrav.ru/recomend/459 </w:t>
      </w:r>
    </w:p>
    <w:p w:rsidR="008F432E" w:rsidRDefault="00A47635">
      <w:pPr>
        <w:spacing w:line="357" w:lineRule="auto"/>
        <w:ind w:left="-5" w:right="54"/>
      </w:pPr>
      <w:r>
        <w:t>Ключ (интерпретация): Оценка производится по 4 доменам здоровья: ф</w:t>
      </w:r>
      <w:r>
        <w:t>изическое функционирование, эмоциональное функционирование, социальное функционирование, ролевое функционирование — школьное функционирование. Также возможен расчет 3 объединенных показателей: суммарный балл по всем шкалам опросника, суммарный балл психосо</w:t>
      </w:r>
      <w:r>
        <w:t xml:space="preserve">циального компонента качества жизни и суммарный балл физического компонента качества жизни. Каждый из 7 указанных показателей определен на интервале от 0 до 100 баллов (более высокие баллы соответствуют более высокому качеству жизни). Полный русскоязычный </w:t>
      </w:r>
      <w:r>
        <w:t>ключ детской версии вопросника для возрастной категории 13-18 лет доступен в Приложении Г3 к клинической рекомендации «ВИЧ-инфекция у детей» (ID 459), одобренной Научно-практическим Советом Минздрава РФ и утвержденной в 2020 г.: http://cr.rosminzdrav.ru/re</w:t>
      </w:r>
      <w:r>
        <w:t xml:space="preserve">comend/459 </w:t>
      </w:r>
    </w:p>
    <w:p w:rsidR="008F432E" w:rsidRDefault="00A47635">
      <w:pPr>
        <w:spacing w:after="26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tabs>
          <w:tab w:val="center" w:pos="8225"/>
        </w:tabs>
        <w:spacing w:after="269"/>
        <w:ind w:left="-15" w:firstLine="0"/>
        <w:jc w:val="left"/>
      </w:pPr>
      <w:r>
        <w:t xml:space="preserve">Пояснения: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8F432E" w:rsidRDefault="00A47635">
      <w:pPr>
        <w:spacing w:after="9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  <w:r>
        <w:rPr>
          <w:sz w:val="28"/>
        </w:rPr>
        <w:tab/>
        <w:t xml:space="preserve"> </w:t>
      </w:r>
      <w:r>
        <w:br w:type="page"/>
      </w:r>
    </w:p>
    <w:p w:rsidR="008F432E" w:rsidRDefault="00A47635">
      <w:pPr>
        <w:pStyle w:val="Heading1"/>
        <w:numPr>
          <w:ilvl w:val="0"/>
          <w:numId w:val="0"/>
        </w:numPr>
        <w:spacing w:after="247" w:line="266" w:lineRule="auto"/>
        <w:ind w:left="593" w:right="45"/>
        <w:jc w:val="both"/>
      </w:pPr>
      <w:bookmarkStart w:id="39" w:name="_Toc71514"/>
      <w:r>
        <w:t xml:space="preserve">Приложение Г3 Основные референтные линии и углы нижней конечности. </w:t>
      </w:r>
      <w:bookmarkEnd w:id="39"/>
    </w:p>
    <w:p w:rsidR="008F432E" w:rsidRDefault="00A47635">
      <w:pPr>
        <w:spacing w:after="0" w:line="259" w:lineRule="auto"/>
        <w:ind w:left="0" w:firstLine="0"/>
        <w:jc w:val="left"/>
      </w:pPr>
      <w:r>
        <w:rPr>
          <w:sz w:val="28"/>
        </w:rPr>
        <w:t xml:space="preserve">Рисунки </w:t>
      </w:r>
    </w:p>
    <w:p w:rsidR="008F432E" w:rsidRDefault="00A47635">
      <w:pPr>
        <w:spacing w:after="0"/>
        <w:ind w:left="-5" w:right="54"/>
      </w:pPr>
      <w:r>
        <w:t xml:space="preserve">Рис. 1. Основные референтные линии и углы нижней конечности во фронтальной плоскости: (a) Механические; (b,c) Анатомические; (d,e) Торсионного профиля [31, **]. </w:t>
      </w:r>
    </w:p>
    <w:p w:rsidR="008F432E" w:rsidRDefault="00A47635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372" w:type="dxa"/>
        <w:tblInd w:w="5" w:type="dxa"/>
        <w:tblCellMar>
          <w:top w:w="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372"/>
      </w:tblGrid>
      <w:tr w:rsidR="008F432E">
        <w:trPr>
          <w:trHeight w:val="4831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432E" w:rsidRDefault="00A47635">
            <w:pPr>
              <w:spacing w:after="0" w:line="259" w:lineRule="auto"/>
              <w:ind w:left="0" w:right="2647" w:firstLine="0"/>
              <w:jc w:val="center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4091940" cy="3094683"/>
                      <wp:effectExtent l="0" t="0" r="0" b="0"/>
                      <wp:docPr id="67236" name="Group 67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91940" cy="3094683"/>
                                <a:chOff x="0" y="0"/>
                                <a:chExt cx="4091940" cy="3094683"/>
                              </a:xfrm>
                            </wpg:grpSpPr>
                            <wps:wsp>
                              <wps:cNvPr id="6500" name="Rectangle 6500"/>
                              <wps:cNvSpPr/>
                              <wps:spPr>
                                <a:xfrm>
                                  <a:off x="1431036" y="2956044"/>
                                  <a:ext cx="50675" cy="18439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F432E" w:rsidRDefault="00A47635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01" name="Rectangle 6501"/>
                              <wps:cNvSpPr/>
                              <wps:spPr>
                                <a:xfrm>
                                  <a:off x="2790444" y="2956044"/>
                                  <a:ext cx="50675" cy="18439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F432E" w:rsidRDefault="00A47635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529" name="Picture 6529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2560" cy="30617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31" name="Picture 653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70660" y="120396"/>
                                  <a:ext cx="1321308" cy="2941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33" name="Picture 6533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30068" y="1272540"/>
                                  <a:ext cx="1261872" cy="17891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7236" style="width:322.2pt;height:243.676pt;mso-position-horizontal-relative:char;mso-position-vertical-relative:line" coordsize="40919,30946">
                      <v:rect id="Rectangle 6500" style="position:absolute;width:506;height:1843;left:14310;top:2956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501" style="position:absolute;width:506;height:1843;left:27904;top:2956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29" style="position:absolute;width:14325;height:30617;left:0;top:0;" filled="f">
                        <v:imagedata r:id="rId13"/>
                      </v:shape>
                      <v:shape id="Picture 6531" style="position:absolute;width:13213;height:29413;left:14706;top:1203;" filled="f">
                        <v:imagedata r:id="rId14"/>
                      </v:shape>
                      <v:shape id="Picture 6533" style="position:absolute;width:12618;height:17891;left:28300;top:12725;" filled="f">
                        <v:imagedata r:id="rId15"/>
                      </v:shape>
                    </v:group>
                  </w:pict>
                </mc:Fallback>
              </mc:AlternateContent>
            </w:r>
            <w:r>
              <w:t xml:space="preserve"> </w:t>
            </w:r>
          </w:p>
        </w:tc>
      </w:tr>
      <w:tr w:rsidR="008F432E">
        <w:trPr>
          <w:trHeight w:val="286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25" w:firstLine="0"/>
              <w:jc w:val="center"/>
            </w:pPr>
            <w:r>
              <w:t xml:space="preserve">A </w:t>
            </w:r>
          </w:p>
        </w:tc>
      </w:tr>
      <w:tr w:rsidR="008F432E">
        <w:trPr>
          <w:trHeight w:val="5441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432E" w:rsidRDefault="00A47635">
            <w:pPr>
              <w:spacing w:after="0" w:line="259" w:lineRule="auto"/>
              <w:ind w:left="0" w:right="1946" w:firstLine="0"/>
              <w:jc w:val="center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4538472" cy="3481779"/>
                      <wp:effectExtent l="0" t="0" r="0" b="0"/>
                      <wp:docPr id="67359" name="Group 673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38472" cy="3481779"/>
                                <a:chOff x="0" y="0"/>
                                <a:chExt cx="4538472" cy="3481779"/>
                              </a:xfrm>
                            </wpg:grpSpPr>
                            <wps:wsp>
                              <wps:cNvPr id="6513" name="Rectangle 6513"/>
                              <wps:cNvSpPr/>
                              <wps:spPr>
                                <a:xfrm>
                                  <a:off x="1767840" y="3343141"/>
                                  <a:ext cx="50675" cy="1843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F432E" w:rsidRDefault="00A47635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14" name="Rectangle 6514"/>
                              <wps:cNvSpPr/>
                              <wps:spPr>
                                <a:xfrm>
                                  <a:off x="3336036" y="3343141"/>
                                  <a:ext cx="50675" cy="1843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F432E" w:rsidRDefault="00A47635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535" name="Picture 653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0209"/>
                                  <a:ext cx="1769364" cy="33086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37" name="Picture 6537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07464" y="0"/>
                                  <a:ext cx="1530096" cy="3448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39" name="Picture 6539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75660" y="1699261"/>
                                  <a:ext cx="1162812" cy="17495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7359" style="width:357.36pt;height:274.156pt;mso-position-horizontal-relative:char;mso-position-vertical-relative:line" coordsize="45384,34817">
                      <v:rect id="Rectangle 6513" style="position:absolute;width:506;height:1843;left:17678;top:3343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514" style="position:absolute;width:506;height:1843;left:33360;top:3343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35" style="position:absolute;width:17693;height:33086;left:0;top:1402;" filled="f">
                        <v:imagedata r:id="rId19"/>
                      </v:shape>
                      <v:shape id="Picture 6537" style="position:absolute;width:15300;height:34488;left:18074;top:0;" filled="f">
                        <v:imagedata r:id="rId20"/>
                      </v:shape>
                      <v:shape id="Picture 6539" style="position:absolute;width:11628;height:17495;left:33756;top:16992;" filled="f">
                        <v:imagedata r:id="rId21"/>
                      </v:shape>
                    </v:group>
                  </w:pict>
                </mc:Fallback>
              </mc:AlternateContent>
            </w:r>
            <w:r>
              <w:t xml:space="preserve"> </w:t>
            </w:r>
          </w:p>
        </w:tc>
      </w:tr>
      <w:tr w:rsidR="008F432E">
        <w:trPr>
          <w:trHeight w:val="286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24" w:firstLine="0"/>
              <w:jc w:val="center"/>
            </w:pPr>
            <w:r>
              <w:t xml:space="preserve">B </w:t>
            </w:r>
          </w:p>
        </w:tc>
      </w:tr>
    </w:tbl>
    <w:p w:rsidR="008F432E" w:rsidRDefault="008F432E">
      <w:pPr>
        <w:spacing w:after="0" w:line="259" w:lineRule="auto"/>
        <w:ind w:left="-1418" w:right="884" w:firstLine="0"/>
        <w:jc w:val="left"/>
      </w:pPr>
    </w:p>
    <w:tbl>
      <w:tblPr>
        <w:tblStyle w:val="TableGrid"/>
        <w:tblW w:w="9372" w:type="dxa"/>
        <w:tblInd w:w="5" w:type="dxa"/>
        <w:tblCellMar>
          <w:top w:w="7" w:type="dxa"/>
          <w:left w:w="115" w:type="dxa"/>
          <w:bottom w:w="0" w:type="dxa"/>
          <w:right w:w="758" w:type="dxa"/>
        </w:tblCellMar>
        <w:tblLook w:val="04A0" w:firstRow="1" w:lastRow="0" w:firstColumn="1" w:lastColumn="0" w:noHBand="0" w:noVBand="1"/>
      </w:tblPr>
      <w:tblGrid>
        <w:gridCol w:w="9372"/>
      </w:tblGrid>
      <w:tr w:rsidR="008F432E">
        <w:trPr>
          <w:trHeight w:val="7711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432E" w:rsidRDefault="00A47635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5059681" cy="4890516"/>
                      <wp:effectExtent l="0" t="0" r="0" b="0"/>
                      <wp:docPr id="67515" name="Group 675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59681" cy="4890516"/>
                                <a:chOff x="0" y="0"/>
                                <a:chExt cx="5059681" cy="48905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62" name="Picture 6562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59681" cy="2446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64" name="Picture 6564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46020"/>
                                  <a:ext cx="5059681" cy="24444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7515" style="width:398.4pt;height:385.08pt;mso-position-horizontal-relative:char;mso-position-vertical-relative:line" coordsize="50596,48905">
                      <v:shape id="Picture 6562" style="position:absolute;width:50596;height:24460;left:0;top:0;" filled="f">
                        <v:imagedata r:id="rId24"/>
                      </v:shape>
                      <v:shape id="Picture 6564" style="position:absolute;width:50596;height:24444;left:0;top:24460;" filled="f">
                        <v:imagedata r:id="rId25"/>
                      </v:shape>
                    </v:group>
                  </w:pict>
                </mc:Fallback>
              </mc:AlternateContent>
            </w:r>
            <w:r>
              <w:t xml:space="preserve"> </w:t>
            </w:r>
          </w:p>
        </w:tc>
      </w:tr>
      <w:tr w:rsidR="008F432E">
        <w:trPr>
          <w:trHeight w:val="288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412" w:firstLine="0"/>
              <w:jc w:val="center"/>
            </w:pPr>
            <w:r>
              <w:t xml:space="preserve">C </w:t>
            </w:r>
          </w:p>
        </w:tc>
      </w:tr>
    </w:tbl>
    <w:p w:rsidR="008F432E" w:rsidRDefault="008F432E">
      <w:pPr>
        <w:spacing w:after="0" w:line="259" w:lineRule="auto"/>
        <w:ind w:left="-1418" w:right="1698" w:firstLine="0"/>
        <w:jc w:val="left"/>
      </w:pPr>
    </w:p>
    <w:tbl>
      <w:tblPr>
        <w:tblStyle w:val="TableGrid"/>
        <w:tblW w:w="9372" w:type="dxa"/>
        <w:tblInd w:w="5" w:type="dxa"/>
        <w:tblCellMar>
          <w:top w:w="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372"/>
      </w:tblGrid>
      <w:tr w:rsidR="008F432E">
        <w:trPr>
          <w:trHeight w:val="7618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026409" cy="2415540"/>
                  <wp:effectExtent l="0" t="0" r="0" b="0"/>
                  <wp:docPr id="6587" name="Picture 65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7" name="Picture 6587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6409" cy="241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432E" w:rsidRDefault="00A47635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029456" cy="2417064"/>
                  <wp:effectExtent l="0" t="0" r="0" b="0"/>
                  <wp:docPr id="69388" name="Picture 693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388" name="Picture 6938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456" cy="2417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8F432E">
        <w:trPr>
          <w:trHeight w:val="288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1519" w:firstLine="0"/>
              <w:jc w:val="center"/>
            </w:pPr>
            <w:r>
              <w:t xml:space="preserve">D </w:t>
            </w:r>
          </w:p>
        </w:tc>
      </w:tr>
      <w:tr w:rsidR="008F432E">
        <w:trPr>
          <w:trHeight w:val="7382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432E" w:rsidRDefault="00A47635">
            <w:pPr>
              <w:spacing w:after="0" w:line="259" w:lineRule="auto"/>
              <w:ind w:left="1922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3218688" cy="2340864"/>
                  <wp:effectExtent l="0" t="0" r="0" b="0"/>
                  <wp:docPr id="6646" name="Picture 66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6" name="Picture 664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688" cy="2340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432E" w:rsidRDefault="00A47635">
            <w:pPr>
              <w:spacing w:after="0" w:line="259" w:lineRule="auto"/>
              <w:ind w:left="0" w:right="17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221736" cy="2343912"/>
                  <wp:effectExtent l="0" t="0" r="0" b="0"/>
                  <wp:docPr id="69392" name="Picture 693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392" name="Picture 6939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736" cy="2343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8F432E">
        <w:trPr>
          <w:trHeight w:val="288"/>
        </w:trPr>
        <w:tc>
          <w:tcPr>
            <w:tcW w:w="9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2E" w:rsidRDefault="00A47635">
            <w:pPr>
              <w:spacing w:after="0" w:line="259" w:lineRule="auto"/>
              <w:ind w:left="0" w:right="230" w:firstLine="0"/>
              <w:jc w:val="center"/>
            </w:pPr>
            <w:r>
              <w:t xml:space="preserve">E </w:t>
            </w:r>
          </w:p>
        </w:tc>
      </w:tr>
    </w:tbl>
    <w:p w:rsidR="008F432E" w:rsidRDefault="00A47635">
      <w:pPr>
        <w:spacing w:after="112" w:line="259" w:lineRule="auto"/>
        <w:ind w:left="708" w:firstLine="0"/>
        <w:jc w:val="left"/>
      </w:pPr>
      <w:r>
        <w:t xml:space="preserve"> </w:t>
      </w:r>
    </w:p>
    <w:p w:rsidR="008F432E" w:rsidRDefault="00A47635">
      <w:pPr>
        <w:pStyle w:val="Heading1"/>
        <w:numPr>
          <w:ilvl w:val="0"/>
          <w:numId w:val="0"/>
        </w:numPr>
        <w:ind w:left="10"/>
      </w:pPr>
      <w:bookmarkStart w:id="40" w:name="_Toc71515"/>
      <w:r>
        <w:t>Приложение Г4. Шкала индивидуальной оценки риска развития венозных тромбоэмболических осложнений по Каприни</w:t>
      </w:r>
      <w:r>
        <w:t xml:space="preserve"> </w:t>
      </w:r>
      <w:bookmarkEnd w:id="40"/>
    </w:p>
    <w:p w:rsidR="008F432E" w:rsidRDefault="00A47635">
      <w:pPr>
        <w:spacing w:after="0" w:line="358" w:lineRule="auto"/>
        <w:ind w:left="-15" w:right="54" w:firstLine="427"/>
      </w:pPr>
      <w:r>
        <w:t>Название на русском языке</w:t>
      </w:r>
      <w:r>
        <w:t xml:space="preserve">: Шкала индивидуальной оценки риска развития венозных тромбоэмболических осложнений по Каприни.  </w:t>
      </w:r>
    </w:p>
    <w:p w:rsidR="008F432E" w:rsidRDefault="00A47635">
      <w:pPr>
        <w:ind w:left="437" w:right="54"/>
      </w:pPr>
      <w:r>
        <w:t>Оригинальное название</w:t>
      </w:r>
      <w:r>
        <w:t xml:space="preserve">: Caprini Score for Venous Thromboembolism </w:t>
      </w:r>
    </w:p>
    <w:p w:rsidR="008F432E" w:rsidRDefault="00A47635">
      <w:pPr>
        <w:spacing w:after="0" w:line="357" w:lineRule="auto"/>
        <w:ind w:left="-15" w:right="54" w:firstLine="427"/>
      </w:pPr>
      <w:r>
        <w:t>Источник</w:t>
      </w:r>
      <w:r>
        <w:t xml:space="preserve">: Bahl V., Hu H.M., Henke P.K., et al. A Validation Study of a Retrospective Venous Thromboembolism Risk Scoring Method // Annals of Surgery. 2010. Vol. 251, № 2. P. 344– 350. </w:t>
      </w:r>
    </w:p>
    <w:p w:rsidR="008F432E" w:rsidRDefault="00A47635">
      <w:pPr>
        <w:ind w:left="437" w:right="54"/>
      </w:pPr>
      <w:r>
        <w:t>Тип</w:t>
      </w:r>
      <w:r>
        <w:t xml:space="preserve">: шкала </w:t>
      </w:r>
    </w:p>
    <w:p w:rsidR="008F432E" w:rsidRDefault="00A47635">
      <w:pPr>
        <w:spacing w:after="102"/>
        <w:ind w:left="437" w:right="54"/>
      </w:pPr>
      <w:r>
        <w:t>Назначение: оце</w:t>
      </w:r>
      <w:r>
        <w:t xml:space="preserve">нка степени риска венозных тромбоэмболий </w:t>
      </w:r>
    </w:p>
    <w:p w:rsidR="008F432E" w:rsidRDefault="00A47635">
      <w:pPr>
        <w:spacing w:after="107" w:line="266" w:lineRule="auto"/>
        <w:ind w:left="437" w:right="45"/>
      </w:pPr>
      <w:r>
        <w:t xml:space="preserve">Содержание: </w:t>
      </w:r>
    </w:p>
    <w:p w:rsidR="008F432E" w:rsidRDefault="00A47635">
      <w:pPr>
        <w:spacing w:after="107" w:line="266" w:lineRule="auto"/>
        <w:ind w:left="437" w:right="45"/>
      </w:pPr>
      <w:r>
        <w:t xml:space="preserve">1 балл </w:t>
      </w:r>
    </w:p>
    <w:p w:rsidR="008F432E" w:rsidRDefault="00A47635">
      <w:pPr>
        <w:spacing w:after="102"/>
        <w:ind w:left="1004" w:right="54"/>
      </w:pPr>
      <w:r>
        <w:t xml:space="preserve">Возраст 41—60 лет </w:t>
      </w:r>
    </w:p>
    <w:p w:rsidR="008F432E" w:rsidRDefault="00A47635">
      <w:pPr>
        <w:ind w:left="1004" w:right="54"/>
      </w:pPr>
      <w:r>
        <w:t xml:space="preserve">Отек нижних конечностей </w:t>
      </w:r>
    </w:p>
    <w:p w:rsidR="008F432E" w:rsidRDefault="00A47635">
      <w:pPr>
        <w:ind w:left="1004" w:right="54"/>
      </w:pPr>
      <w:r>
        <w:t xml:space="preserve">Варикозные вены </w:t>
      </w:r>
    </w:p>
    <w:p w:rsidR="008F432E" w:rsidRDefault="00A47635">
      <w:pPr>
        <w:ind w:left="1004" w:right="54"/>
      </w:pPr>
      <w:r>
        <w:t xml:space="preserve">Индекс массы тела более 25 кг/м2 </w:t>
      </w:r>
    </w:p>
    <w:p w:rsidR="008F432E" w:rsidRDefault="00A47635">
      <w:pPr>
        <w:spacing w:after="102"/>
        <w:ind w:left="1004" w:right="54"/>
      </w:pPr>
      <w:r>
        <w:t xml:space="preserve">Малое хирургическое вмешательство </w:t>
      </w:r>
    </w:p>
    <w:p w:rsidR="008F432E" w:rsidRDefault="00A47635">
      <w:pPr>
        <w:ind w:left="1004" w:right="54"/>
      </w:pPr>
      <w:r>
        <w:t xml:space="preserve">Сепсис (давностью до 1 мес.) </w:t>
      </w:r>
    </w:p>
    <w:p w:rsidR="008F432E" w:rsidRDefault="00A47635">
      <w:pPr>
        <w:spacing w:after="102"/>
        <w:ind w:left="1004" w:right="54"/>
      </w:pPr>
      <w:r>
        <w:t>Серьезное заболевание легких (в т</w:t>
      </w:r>
      <w:r>
        <w:t xml:space="preserve">ом числе пневмония давностью до 1 мес.) </w:t>
      </w:r>
    </w:p>
    <w:p w:rsidR="008F432E" w:rsidRDefault="00A47635">
      <w:pPr>
        <w:ind w:left="1004" w:right="54"/>
      </w:pPr>
      <w:r>
        <w:t xml:space="preserve">Прием оральных контрацептивов, гормонозаместительная терапия </w:t>
      </w:r>
    </w:p>
    <w:p w:rsidR="008F432E" w:rsidRDefault="00A47635">
      <w:pPr>
        <w:spacing w:after="102"/>
        <w:ind w:left="1004" w:right="54"/>
      </w:pPr>
      <w:r>
        <w:t xml:space="preserve">Беременность и послеродовый период (до 1 мес.) </w:t>
      </w:r>
    </w:p>
    <w:p w:rsidR="008F432E" w:rsidRDefault="00A47635">
      <w:pPr>
        <w:ind w:left="1004" w:right="54"/>
      </w:pPr>
      <w:r>
        <w:t xml:space="preserve">В анамнезе: необъяснимые мертворождения, выкидыши (≥3), </w:t>
      </w:r>
    </w:p>
    <w:p w:rsidR="008F432E" w:rsidRDefault="00A47635">
      <w:pPr>
        <w:spacing w:after="102"/>
        <w:ind w:left="1004" w:right="54"/>
      </w:pPr>
      <w:r>
        <w:t>преждевременные роды с токсикозом или задержка в</w:t>
      </w:r>
      <w:r>
        <w:t xml:space="preserve">нутриутробного развития </w:t>
      </w:r>
    </w:p>
    <w:p w:rsidR="008F432E" w:rsidRDefault="00A47635">
      <w:pPr>
        <w:ind w:left="1004" w:right="54"/>
      </w:pPr>
      <w:r>
        <w:t xml:space="preserve">Острый инфаркт миокарда </w:t>
      </w:r>
    </w:p>
    <w:p w:rsidR="008F432E" w:rsidRDefault="00A47635">
      <w:pPr>
        <w:spacing w:after="102"/>
        <w:ind w:left="1004" w:right="54"/>
      </w:pPr>
      <w:r>
        <w:t xml:space="preserve">Хроническая сердечная недостаточность (давностью до 1 мес.) </w:t>
      </w:r>
    </w:p>
    <w:p w:rsidR="008F432E" w:rsidRDefault="00A47635">
      <w:pPr>
        <w:ind w:left="1004" w:right="54"/>
      </w:pPr>
      <w:r>
        <w:t xml:space="preserve">Постельный режим у нехирургического пациента </w:t>
      </w:r>
    </w:p>
    <w:p w:rsidR="008F432E" w:rsidRDefault="00A47635">
      <w:pPr>
        <w:spacing w:after="102"/>
        <w:ind w:left="1004" w:right="54"/>
      </w:pPr>
      <w:r>
        <w:t xml:space="preserve">Воспалительные заболевания толстой кишки в анамнезе </w:t>
      </w:r>
    </w:p>
    <w:p w:rsidR="008F432E" w:rsidRDefault="00A47635">
      <w:pPr>
        <w:ind w:left="1004" w:right="54"/>
      </w:pPr>
      <w:r>
        <w:t xml:space="preserve">Большое хирургическое вмешательство давностью до 1 мес. в анамнезе </w:t>
      </w:r>
    </w:p>
    <w:p w:rsidR="008F432E" w:rsidRDefault="00A47635">
      <w:pPr>
        <w:spacing w:after="102"/>
        <w:ind w:left="1004" w:right="54"/>
      </w:pPr>
      <w:r>
        <w:t xml:space="preserve">Хроническая обструктивная болезнь легких </w:t>
      </w:r>
    </w:p>
    <w:p w:rsidR="008F432E" w:rsidRDefault="00A47635">
      <w:pPr>
        <w:numPr>
          <w:ilvl w:val="0"/>
          <w:numId w:val="33"/>
        </w:numPr>
        <w:spacing w:after="107" w:line="266" w:lineRule="auto"/>
        <w:ind w:right="45" w:hanging="180"/>
      </w:pPr>
      <w:r>
        <w:t xml:space="preserve">балла </w:t>
      </w:r>
    </w:p>
    <w:p w:rsidR="008F432E" w:rsidRDefault="00A47635">
      <w:pPr>
        <w:spacing w:after="102"/>
        <w:ind w:left="1004" w:right="54"/>
      </w:pPr>
      <w:r>
        <w:t xml:space="preserve">Возраст 61—74 года </w:t>
      </w:r>
    </w:p>
    <w:p w:rsidR="008F432E" w:rsidRDefault="00A47635">
      <w:pPr>
        <w:ind w:left="1004" w:right="54"/>
      </w:pPr>
      <w:r>
        <w:t xml:space="preserve">Артроскопическая хирургия </w:t>
      </w:r>
    </w:p>
    <w:p w:rsidR="008F432E" w:rsidRDefault="00A47635">
      <w:pPr>
        <w:spacing w:after="102"/>
        <w:ind w:left="1004" w:right="54"/>
      </w:pPr>
      <w:r>
        <w:t xml:space="preserve">Злокачественное новообразование105 </w:t>
      </w:r>
    </w:p>
    <w:p w:rsidR="008F432E" w:rsidRDefault="00A47635">
      <w:pPr>
        <w:ind w:left="1004" w:right="54"/>
      </w:pPr>
      <w:r>
        <w:t xml:space="preserve">Лапароскопическое вмешательство (длительностью более 45 </w:t>
      </w:r>
      <w:r>
        <w:t xml:space="preserve">мин) </w:t>
      </w:r>
    </w:p>
    <w:p w:rsidR="008F432E" w:rsidRDefault="00A47635">
      <w:pPr>
        <w:spacing w:after="102"/>
        <w:ind w:left="1004" w:right="54"/>
      </w:pPr>
      <w:r>
        <w:t xml:space="preserve">Постельный режим более 72 ч </w:t>
      </w:r>
    </w:p>
    <w:p w:rsidR="008F432E" w:rsidRDefault="00A47635">
      <w:pPr>
        <w:ind w:left="1004" w:right="54"/>
      </w:pPr>
      <w:r>
        <w:t xml:space="preserve">Иммобилизация конечности (давностью до 1 мес.) </w:t>
      </w:r>
    </w:p>
    <w:p w:rsidR="008F432E" w:rsidRDefault="00A47635">
      <w:pPr>
        <w:spacing w:after="102"/>
        <w:ind w:left="1004" w:right="54"/>
      </w:pPr>
      <w:r>
        <w:t xml:space="preserve">Катетеризация центральных вен </w:t>
      </w:r>
    </w:p>
    <w:p w:rsidR="008F432E" w:rsidRDefault="00A47635">
      <w:pPr>
        <w:ind w:left="1004" w:right="54"/>
      </w:pPr>
      <w:r>
        <w:t xml:space="preserve">Большое хирургическое вмешательство (длительностью более 45 мин) </w:t>
      </w:r>
    </w:p>
    <w:p w:rsidR="008F432E" w:rsidRDefault="00A47635">
      <w:pPr>
        <w:numPr>
          <w:ilvl w:val="0"/>
          <w:numId w:val="33"/>
        </w:numPr>
        <w:spacing w:after="107" w:line="266" w:lineRule="auto"/>
        <w:ind w:right="45" w:hanging="180"/>
      </w:pPr>
      <w:r>
        <w:t xml:space="preserve">балла </w:t>
      </w:r>
    </w:p>
    <w:p w:rsidR="008F432E" w:rsidRDefault="00A47635">
      <w:pPr>
        <w:ind w:left="1004" w:right="54"/>
      </w:pPr>
      <w:r>
        <w:t xml:space="preserve">Возраст старше 75 лет </w:t>
      </w:r>
    </w:p>
    <w:p w:rsidR="008F432E" w:rsidRDefault="00A47635">
      <w:pPr>
        <w:spacing w:after="102"/>
        <w:ind w:left="1004" w:right="54"/>
      </w:pPr>
      <w:r>
        <w:t xml:space="preserve">Личный анамнез ВТЭО </w:t>
      </w:r>
    </w:p>
    <w:p w:rsidR="008F432E" w:rsidRDefault="00A47635">
      <w:pPr>
        <w:ind w:left="1004" w:right="54"/>
      </w:pPr>
      <w:r>
        <w:t xml:space="preserve">Семейный анамнез ВТЭО </w:t>
      </w:r>
    </w:p>
    <w:p w:rsidR="008F432E" w:rsidRDefault="00A47635">
      <w:pPr>
        <w:spacing w:after="102"/>
        <w:ind w:left="1004" w:right="54"/>
      </w:pPr>
      <w:r>
        <w:t>Му</w:t>
      </w:r>
      <w:r>
        <w:t xml:space="preserve">тация типа Лейден </w:t>
      </w:r>
    </w:p>
    <w:p w:rsidR="008F432E" w:rsidRDefault="00A47635">
      <w:pPr>
        <w:ind w:left="1004" w:right="54"/>
      </w:pPr>
      <w:r>
        <w:t xml:space="preserve">Мутация протромбина 20210А </w:t>
      </w:r>
    </w:p>
    <w:p w:rsidR="008F432E" w:rsidRDefault="00A47635">
      <w:pPr>
        <w:spacing w:after="102"/>
        <w:ind w:left="1004" w:right="54"/>
      </w:pPr>
      <w:r>
        <w:t xml:space="preserve">Гипергомоцистеинемия </w:t>
      </w:r>
    </w:p>
    <w:p w:rsidR="008F432E" w:rsidRDefault="00A47635">
      <w:pPr>
        <w:ind w:left="1004" w:right="54"/>
      </w:pPr>
      <w:r>
        <w:t xml:space="preserve">Гепарининдуцированная тромбоцитопения </w:t>
      </w:r>
    </w:p>
    <w:p w:rsidR="008F432E" w:rsidRDefault="00A47635">
      <w:pPr>
        <w:spacing w:after="102"/>
        <w:ind w:left="1004" w:right="54"/>
      </w:pPr>
      <w:r>
        <w:t xml:space="preserve">Повышенный уровень антител к кардиолипину </w:t>
      </w:r>
    </w:p>
    <w:p w:rsidR="008F432E" w:rsidRDefault="00A47635">
      <w:pPr>
        <w:ind w:left="1004" w:right="54"/>
      </w:pPr>
      <w:r>
        <w:t xml:space="preserve">Волчаночный антикоагулянт </w:t>
      </w:r>
    </w:p>
    <w:p w:rsidR="008F432E" w:rsidRDefault="00A47635">
      <w:pPr>
        <w:spacing w:after="107" w:line="266" w:lineRule="auto"/>
        <w:ind w:left="437" w:right="45"/>
      </w:pPr>
      <w:r>
        <w:t xml:space="preserve">5 баллов </w:t>
      </w:r>
    </w:p>
    <w:p w:rsidR="008F432E" w:rsidRDefault="00A47635">
      <w:pPr>
        <w:ind w:left="1004" w:right="54"/>
      </w:pPr>
      <w:r>
        <w:t xml:space="preserve">Инсульт (давностью до 1 мес.) </w:t>
      </w:r>
    </w:p>
    <w:p w:rsidR="008F432E" w:rsidRDefault="00A47635">
      <w:pPr>
        <w:ind w:left="1004" w:right="54"/>
      </w:pPr>
      <w:r>
        <w:t xml:space="preserve">Множественная травма (давностью до 1 мес.) </w:t>
      </w:r>
    </w:p>
    <w:p w:rsidR="008F432E" w:rsidRDefault="00A47635">
      <w:pPr>
        <w:spacing w:after="102"/>
        <w:ind w:left="1004" w:right="54"/>
      </w:pPr>
      <w:r>
        <w:t xml:space="preserve">Эндопротезирование крупных суставов </w:t>
      </w:r>
    </w:p>
    <w:p w:rsidR="008F432E" w:rsidRDefault="00A47635">
      <w:pPr>
        <w:ind w:left="1004" w:right="54"/>
      </w:pPr>
      <w:r>
        <w:t xml:space="preserve">Перелом костей бедра и голени (давностью до 1 мес.) </w:t>
      </w:r>
    </w:p>
    <w:p w:rsidR="008F432E" w:rsidRDefault="00A47635">
      <w:pPr>
        <w:spacing w:after="102"/>
        <w:ind w:left="1004" w:right="54"/>
      </w:pPr>
      <w:r>
        <w:t xml:space="preserve">Травма спинного мозга/паралич (давностью до 1 мес.) </w:t>
      </w:r>
    </w:p>
    <w:p w:rsidR="008F432E" w:rsidRDefault="00A47635">
      <w:pPr>
        <w:spacing w:after="27" w:line="358" w:lineRule="auto"/>
        <w:ind w:left="-15" w:right="54" w:firstLine="427"/>
      </w:pPr>
      <w:r>
        <w:t>Интерпретация:</w:t>
      </w:r>
      <w:r>
        <w:t xml:space="preserve"> В зависимости от суммы баллов, полученной при сборе ан</w:t>
      </w:r>
      <w:r>
        <w:t xml:space="preserve">амнеза и обследовании пациента, его относят к той или иной группе риска:  </w:t>
      </w:r>
    </w:p>
    <w:p w:rsidR="008F432E" w:rsidRDefault="00A47635">
      <w:pPr>
        <w:numPr>
          <w:ilvl w:val="0"/>
          <w:numId w:val="34"/>
        </w:numPr>
        <w:ind w:right="54" w:hanging="360"/>
      </w:pPr>
      <w:r>
        <w:t>низкий риск</w:t>
      </w:r>
      <w:r>
        <w:t xml:space="preserve">: 0 - 1 балл; </w:t>
      </w:r>
    </w:p>
    <w:p w:rsidR="008F432E" w:rsidRDefault="00A47635">
      <w:pPr>
        <w:numPr>
          <w:ilvl w:val="0"/>
          <w:numId w:val="34"/>
        </w:numPr>
        <w:spacing w:after="135" w:line="266" w:lineRule="auto"/>
        <w:ind w:right="54" w:hanging="360"/>
      </w:pPr>
      <w:r>
        <w:t>умеренный риск</w:t>
      </w:r>
      <w:r>
        <w:t xml:space="preserve">: 2 балла;  </w:t>
      </w:r>
    </w:p>
    <w:p w:rsidR="008F432E" w:rsidRDefault="00A47635">
      <w:pPr>
        <w:numPr>
          <w:ilvl w:val="0"/>
          <w:numId w:val="34"/>
        </w:numPr>
        <w:ind w:right="54" w:hanging="360"/>
      </w:pPr>
      <w:r>
        <w:t>высокий риск</w:t>
      </w:r>
      <w:r>
        <w:t xml:space="preserve">: 3 - 4 балла;  </w:t>
      </w:r>
    </w:p>
    <w:p w:rsidR="008F432E" w:rsidRDefault="00A47635">
      <w:pPr>
        <w:numPr>
          <w:ilvl w:val="0"/>
          <w:numId w:val="34"/>
        </w:numPr>
        <w:ind w:right="54" w:hanging="360"/>
      </w:pPr>
      <w:r>
        <w:t>очень высокий риск</w:t>
      </w:r>
      <w:r>
        <w:t xml:space="preserve">: 5 баллов и более. </w:t>
      </w:r>
    </w:p>
    <w:p w:rsidR="008F432E" w:rsidRDefault="00A47635">
      <w:pPr>
        <w:spacing w:after="115" w:line="259" w:lineRule="auto"/>
        <w:ind w:left="401" w:firstLine="0"/>
        <w:jc w:val="left"/>
      </w:pPr>
      <w:r>
        <w:t xml:space="preserve"> </w:t>
      </w:r>
    </w:p>
    <w:p w:rsidR="008F432E" w:rsidRDefault="00A47635">
      <w:pPr>
        <w:spacing w:after="112" w:line="259" w:lineRule="auto"/>
        <w:ind w:left="401" w:firstLine="0"/>
        <w:jc w:val="left"/>
      </w:pPr>
      <w:r>
        <w:t xml:space="preserve"> </w:t>
      </w:r>
    </w:p>
    <w:p w:rsidR="008F432E" w:rsidRDefault="00A47635">
      <w:pPr>
        <w:spacing w:after="11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1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12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15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96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175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8F432E" w:rsidRDefault="00A47635">
      <w:pPr>
        <w:spacing w:after="76" w:line="259" w:lineRule="auto"/>
        <w:ind w:left="0" w:firstLine="0"/>
        <w:jc w:val="left"/>
      </w:pPr>
      <w:r>
        <w:t xml:space="preserve"> </w:t>
      </w:r>
    </w:p>
    <w:p w:rsidR="008F432E" w:rsidRDefault="00A47635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sectPr w:rsidR="008F432E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8" w:right="1043" w:bottom="126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47635">
      <w:pPr>
        <w:spacing w:after="0" w:line="240" w:lineRule="auto"/>
      </w:pPr>
      <w:r>
        <w:separator/>
      </w:r>
    </w:p>
  </w:endnote>
  <w:endnote w:type="continuationSeparator" w:id="0">
    <w:p w:rsidR="00000000" w:rsidRDefault="00A4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2E" w:rsidRDefault="00A47635">
    <w:pPr>
      <w:spacing w:after="0" w:line="259" w:lineRule="auto"/>
      <w:ind w:left="0" w:right="6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8F432E" w:rsidRDefault="00A47635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2E" w:rsidRDefault="00A47635">
    <w:pPr>
      <w:spacing w:after="0" w:line="259" w:lineRule="auto"/>
      <w:ind w:left="0" w:right="6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8F432E" w:rsidRDefault="00A47635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2E" w:rsidRDefault="008F432E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47635">
      <w:pPr>
        <w:spacing w:after="0" w:line="240" w:lineRule="auto"/>
      </w:pPr>
      <w:r>
        <w:separator/>
      </w:r>
    </w:p>
  </w:footnote>
  <w:footnote w:type="continuationSeparator" w:id="0">
    <w:p w:rsidR="00000000" w:rsidRDefault="00A47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2E" w:rsidRDefault="00A47635">
    <w:pPr>
      <w:spacing w:after="0" w:line="259" w:lineRule="auto"/>
      <w:ind w:left="0" w:right="6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2E" w:rsidRDefault="00A47635">
    <w:pPr>
      <w:spacing w:after="0" w:line="259" w:lineRule="auto"/>
      <w:ind w:left="0" w:right="6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2E" w:rsidRDefault="008F432E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F36"/>
    <w:multiLevelType w:val="hybridMultilevel"/>
    <w:tmpl w:val="06D0A8DC"/>
    <w:lvl w:ilvl="0" w:tplc="7DC8C114">
      <w:start w:val="1"/>
      <w:numFmt w:val="bullet"/>
      <w:lvlText w:val="•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047F9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CCE5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9C4C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EA4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0EF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D851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CCB3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3E2FF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42060C"/>
    <w:multiLevelType w:val="hybridMultilevel"/>
    <w:tmpl w:val="6E820E6E"/>
    <w:lvl w:ilvl="0" w:tplc="EFF416CE">
      <w:start w:val="20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7AAC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89D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204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7452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6EE1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2485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840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98D9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42855"/>
    <w:multiLevelType w:val="hybridMultilevel"/>
    <w:tmpl w:val="1A16083E"/>
    <w:lvl w:ilvl="0" w:tplc="735638F2">
      <w:start w:val="1"/>
      <w:numFmt w:val="bullet"/>
      <w:lvlText w:val="•"/>
      <w:lvlJc w:val="left"/>
      <w:pPr>
        <w:ind w:left="1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E6CA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AEA16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1E054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18726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10CD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CABF9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E41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4BC1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1851A7"/>
    <w:multiLevelType w:val="hybridMultilevel"/>
    <w:tmpl w:val="67B2A766"/>
    <w:lvl w:ilvl="0" w:tplc="A2E0E8A8">
      <w:start w:val="8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CE9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40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183A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6CF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0DA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447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65A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0C97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712757"/>
    <w:multiLevelType w:val="hybridMultilevel"/>
    <w:tmpl w:val="DD8E4896"/>
    <w:lvl w:ilvl="0" w:tplc="29FC377C">
      <w:start w:val="1"/>
      <w:numFmt w:val="bullet"/>
      <w:lvlText w:val="-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D6888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D2FC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BEF26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A252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C48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C04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EE24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0C09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575625"/>
    <w:multiLevelType w:val="hybridMultilevel"/>
    <w:tmpl w:val="1B028FA8"/>
    <w:lvl w:ilvl="0" w:tplc="B5CE13FA">
      <w:start w:val="1"/>
      <w:numFmt w:val="decimal"/>
      <w:lvlText w:val="%1)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A3FE2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BEBAC6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4FD62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3E17B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60565E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EBBE6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A6ADC0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3E19FE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021019"/>
    <w:multiLevelType w:val="hybridMultilevel"/>
    <w:tmpl w:val="83A82932"/>
    <w:lvl w:ilvl="0" w:tplc="D5FCAF1E">
      <w:start w:val="1"/>
      <w:numFmt w:val="bullet"/>
      <w:lvlText w:val="•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0124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E0634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4C82E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E6057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CFE1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44119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81E4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003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020571"/>
    <w:multiLevelType w:val="multilevel"/>
    <w:tmpl w:val="C86EA8DC"/>
    <w:lvl w:ilvl="0">
      <w:start w:val="1"/>
      <w:numFmt w:val="decimal"/>
      <w:pStyle w:val="Heading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AC316A"/>
    <w:multiLevelType w:val="hybridMultilevel"/>
    <w:tmpl w:val="B52A7E9A"/>
    <w:lvl w:ilvl="0" w:tplc="7798A276">
      <w:start w:val="13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200A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5499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8030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4F6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1A58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F834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F297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B674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DB28E8"/>
    <w:multiLevelType w:val="hybridMultilevel"/>
    <w:tmpl w:val="08C00FAA"/>
    <w:lvl w:ilvl="0" w:tplc="3DDEDD2A">
      <w:start w:val="7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DC01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CF1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A43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5CB6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0C61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F685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82D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0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C76FA2"/>
    <w:multiLevelType w:val="hybridMultilevel"/>
    <w:tmpl w:val="CC5EABF6"/>
    <w:lvl w:ilvl="0" w:tplc="AA02A298">
      <w:start w:val="12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66D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48E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9A6C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435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70CE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F227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980C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E79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0E6B85"/>
    <w:multiLevelType w:val="hybridMultilevel"/>
    <w:tmpl w:val="4EAC9EB0"/>
    <w:lvl w:ilvl="0" w:tplc="3DC2A85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C0BE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74688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9EF0B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5025A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4E37C8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2980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74AEC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E42614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881F57"/>
    <w:multiLevelType w:val="hybridMultilevel"/>
    <w:tmpl w:val="14A69D32"/>
    <w:lvl w:ilvl="0" w:tplc="28D025DA">
      <w:start w:val="1"/>
      <w:numFmt w:val="bullet"/>
      <w:lvlText w:val="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297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0AC2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E8E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8D0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E8E7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C69F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BE34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F42D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D3476B"/>
    <w:multiLevelType w:val="hybridMultilevel"/>
    <w:tmpl w:val="513E4DC2"/>
    <w:lvl w:ilvl="0" w:tplc="69BCBE06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1" w:tplc="838E7F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2" w:tplc="DD22FB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3" w:tplc="41C201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4" w:tplc="21CC06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5" w:tplc="40D6B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6" w:tplc="D3E236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7" w:tplc="6C7076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8" w:tplc="647C7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4" w15:restartNumberingAfterBreak="0">
    <w:nsid w:val="30F14D63"/>
    <w:multiLevelType w:val="hybridMultilevel"/>
    <w:tmpl w:val="2D5EBAC0"/>
    <w:lvl w:ilvl="0" w:tplc="D0CCBB60">
      <w:start w:val="1"/>
      <w:numFmt w:val="bullet"/>
      <w:lvlText w:val="•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0C959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90C1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D43DD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BE31A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2A4C0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B8F7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265F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2868B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6574F3"/>
    <w:multiLevelType w:val="hybridMultilevel"/>
    <w:tmpl w:val="DBC014D2"/>
    <w:lvl w:ilvl="0" w:tplc="05165BF0">
      <w:start w:val="106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CF2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84E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DC73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907B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65D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2B4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B246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F08A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F47557"/>
    <w:multiLevelType w:val="hybridMultilevel"/>
    <w:tmpl w:val="A870490A"/>
    <w:lvl w:ilvl="0" w:tplc="9B48C26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8EAE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CC7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58DD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E81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CBC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60F5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00F8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C4A0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83209C"/>
    <w:multiLevelType w:val="hybridMultilevel"/>
    <w:tmpl w:val="65B2F2E6"/>
    <w:lvl w:ilvl="0" w:tplc="EA8A53CE">
      <w:start w:val="1"/>
      <w:numFmt w:val="decimal"/>
      <w:lvlText w:val="%1."/>
      <w:lvlJc w:val="left"/>
      <w:pPr>
        <w:ind w:left="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CCF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A679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057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A240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182A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564B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CC8A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D43A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EC41EC"/>
    <w:multiLevelType w:val="hybridMultilevel"/>
    <w:tmpl w:val="6B76095C"/>
    <w:lvl w:ilvl="0" w:tplc="56B826A4">
      <w:start w:val="3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9E2F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A6DD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CA93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A6D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F2CC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C664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B210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B6E5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0F440B"/>
    <w:multiLevelType w:val="hybridMultilevel"/>
    <w:tmpl w:val="4F469602"/>
    <w:lvl w:ilvl="0" w:tplc="64E63A48">
      <w:start w:val="1"/>
      <w:numFmt w:val="bullet"/>
      <w:lvlText w:val="•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5E492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50BA4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DE82F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8ED6E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0872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30C14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E934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486BF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F15750"/>
    <w:multiLevelType w:val="hybridMultilevel"/>
    <w:tmpl w:val="B260AB8E"/>
    <w:lvl w:ilvl="0" w:tplc="D4FC74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64E73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545D7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9231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4594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16A6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ACF09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6A8D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26798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2F68E9"/>
    <w:multiLevelType w:val="hybridMultilevel"/>
    <w:tmpl w:val="13C25656"/>
    <w:lvl w:ilvl="0" w:tplc="8D8248D0">
      <w:start w:val="9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AACD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B684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8B7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66EF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9A5F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FE35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0AD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9031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CF0007"/>
    <w:multiLevelType w:val="hybridMultilevel"/>
    <w:tmpl w:val="855A5C92"/>
    <w:lvl w:ilvl="0" w:tplc="DC88DD4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029CA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E8961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263F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40777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8E52C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202E4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466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42BAD8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D0334B6"/>
    <w:multiLevelType w:val="hybridMultilevel"/>
    <w:tmpl w:val="C7FEFBF6"/>
    <w:lvl w:ilvl="0" w:tplc="AEA43D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4BF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8CC4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B209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6C94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2AEA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EEF8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6416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BAC8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6E49D4"/>
    <w:multiLevelType w:val="hybridMultilevel"/>
    <w:tmpl w:val="F6909452"/>
    <w:lvl w:ilvl="0" w:tplc="A98A8CAE">
      <w:start w:val="8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045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5A1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1847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A2E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A8AC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5EF7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60DA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A448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D8D65BE"/>
    <w:multiLevelType w:val="hybridMultilevel"/>
    <w:tmpl w:val="DBB2B528"/>
    <w:lvl w:ilvl="0" w:tplc="44DC005A">
      <w:start w:val="1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647F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9ED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6C59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5019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D4A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C4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F45D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EC3C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2752A8"/>
    <w:multiLevelType w:val="hybridMultilevel"/>
    <w:tmpl w:val="6C72EC52"/>
    <w:lvl w:ilvl="0" w:tplc="A080C46C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6C3B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E17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811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C526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2482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2E97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D4609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BC2F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28D2622"/>
    <w:multiLevelType w:val="hybridMultilevel"/>
    <w:tmpl w:val="1E2E3300"/>
    <w:lvl w:ilvl="0" w:tplc="EAD6B666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966072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38153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E07F3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0DB7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6CDC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0034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C33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2336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43B116F"/>
    <w:multiLevelType w:val="hybridMultilevel"/>
    <w:tmpl w:val="EEE0B130"/>
    <w:lvl w:ilvl="0" w:tplc="2A06B4D6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ECF4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4263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0287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388B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AEC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B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AA1BD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0848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7D9709E"/>
    <w:multiLevelType w:val="hybridMultilevel"/>
    <w:tmpl w:val="6FB0468E"/>
    <w:lvl w:ilvl="0" w:tplc="4838DEA0">
      <w:start w:val="1"/>
      <w:numFmt w:val="decimal"/>
      <w:lvlText w:val="%1)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74CD4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4EA7CA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A6368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488E64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D8D6CC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2478E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283742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0AE40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A3B553A"/>
    <w:multiLevelType w:val="hybridMultilevel"/>
    <w:tmpl w:val="B09259B4"/>
    <w:lvl w:ilvl="0" w:tplc="D1C2B68C">
      <w:start w:val="1"/>
      <w:numFmt w:val="bullet"/>
      <w:lvlText w:val="•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8AF1D8">
      <w:start w:val="1"/>
      <w:numFmt w:val="bullet"/>
      <w:lvlText w:val="o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36B9C4">
      <w:start w:val="1"/>
      <w:numFmt w:val="bullet"/>
      <w:lvlText w:val="▪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817A6">
      <w:start w:val="1"/>
      <w:numFmt w:val="bullet"/>
      <w:lvlText w:val="•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F672E4">
      <w:start w:val="1"/>
      <w:numFmt w:val="bullet"/>
      <w:lvlText w:val="o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07E20">
      <w:start w:val="1"/>
      <w:numFmt w:val="bullet"/>
      <w:lvlText w:val="▪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83A20">
      <w:start w:val="1"/>
      <w:numFmt w:val="bullet"/>
      <w:lvlText w:val="•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830D0">
      <w:start w:val="1"/>
      <w:numFmt w:val="bullet"/>
      <w:lvlText w:val="o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ECF96">
      <w:start w:val="1"/>
      <w:numFmt w:val="bullet"/>
      <w:lvlText w:val="▪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BC13608"/>
    <w:multiLevelType w:val="hybridMultilevel"/>
    <w:tmpl w:val="1440585C"/>
    <w:lvl w:ilvl="0" w:tplc="29AAE48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49FF2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EAEA0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20997A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CA467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603B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A2B224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094F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10250A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EE1376B"/>
    <w:multiLevelType w:val="hybridMultilevel"/>
    <w:tmpl w:val="6C5459E0"/>
    <w:lvl w:ilvl="0" w:tplc="4B7C386A">
      <w:start w:val="66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9839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A672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C2B2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BCBA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6CB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800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BAB1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27C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FE92C4E"/>
    <w:multiLevelType w:val="hybridMultilevel"/>
    <w:tmpl w:val="CB7CEFB2"/>
    <w:lvl w:ilvl="0" w:tplc="285EFE42">
      <w:start w:val="2"/>
      <w:numFmt w:val="decimal"/>
      <w:lvlText w:val="%1"/>
      <w:lvlJc w:val="left"/>
      <w:pPr>
        <w:ind w:left="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0A8D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6482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347C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8A1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426D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6EC1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B65B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2076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3800F8"/>
    <w:multiLevelType w:val="hybridMultilevel"/>
    <w:tmpl w:val="D3FAAC2C"/>
    <w:lvl w:ilvl="0" w:tplc="AD066594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484CF8">
      <w:start w:val="1"/>
      <w:numFmt w:val="decimal"/>
      <w:lvlText w:val="%2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8B3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BC15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385F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88DA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060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74C0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06D7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8560336"/>
    <w:multiLevelType w:val="hybridMultilevel"/>
    <w:tmpl w:val="D938C730"/>
    <w:lvl w:ilvl="0" w:tplc="115A12E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2199A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52C51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254F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EF3FC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0A49D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E2FA4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CCF9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0FDEA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FF670A5"/>
    <w:multiLevelType w:val="hybridMultilevel"/>
    <w:tmpl w:val="7360AD38"/>
    <w:lvl w:ilvl="0" w:tplc="CF6608BC">
      <w:start w:val="4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B68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0EA7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30B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345D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7A7E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8CC9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AD0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4085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778AA"/>
    <w:multiLevelType w:val="hybridMultilevel"/>
    <w:tmpl w:val="C94CF61E"/>
    <w:lvl w:ilvl="0" w:tplc="896EC4C6">
      <w:start w:val="1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C9E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875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AA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A64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B096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20A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02D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02CE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6"/>
  </w:num>
  <w:num w:numId="3">
    <w:abstractNumId w:val="31"/>
  </w:num>
  <w:num w:numId="4">
    <w:abstractNumId w:val="13"/>
  </w:num>
  <w:num w:numId="5">
    <w:abstractNumId w:val="20"/>
  </w:num>
  <w:num w:numId="6">
    <w:abstractNumId w:val="2"/>
  </w:num>
  <w:num w:numId="7">
    <w:abstractNumId w:val="19"/>
  </w:num>
  <w:num w:numId="8">
    <w:abstractNumId w:val="16"/>
  </w:num>
  <w:num w:numId="9">
    <w:abstractNumId w:val="24"/>
  </w:num>
  <w:num w:numId="10">
    <w:abstractNumId w:val="25"/>
  </w:num>
  <w:num w:numId="11">
    <w:abstractNumId w:val="37"/>
  </w:num>
  <w:num w:numId="12">
    <w:abstractNumId w:val="1"/>
  </w:num>
  <w:num w:numId="13">
    <w:abstractNumId w:val="18"/>
  </w:num>
  <w:num w:numId="14">
    <w:abstractNumId w:val="36"/>
  </w:num>
  <w:num w:numId="15">
    <w:abstractNumId w:val="32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10"/>
  </w:num>
  <w:num w:numId="21">
    <w:abstractNumId w:val="8"/>
  </w:num>
  <w:num w:numId="22">
    <w:abstractNumId w:val="34"/>
  </w:num>
  <w:num w:numId="23">
    <w:abstractNumId w:val="0"/>
  </w:num>
  <w:num w:numId="24">
    <w:abstractNumId w:val="27"/>
  </w:num>
  <w:num w:numId="25">
    <w:abstractNumId w:val="35"/>
  </w:num>
  <w:num w:numId="26">
    <w:abstractNumId w:val="22"/>
  </w:num>
  <w:num w:numId="27">
    <w:abstractNumId w:val="23"/>
  </w:num>
  <w:num w:numId="28">
    <w:abstractNumId w:val="28"/>
  </w:num>
  <w:num w:numId="29">
    <w:abstractNumId w:val="17"/>
  </w:num>
  <w:num w:numId="30">
    <w:abstractNumId w:val="11"/>
  </w:num>
  <w:num w:numId="31">
    <w:abstractNumId w:val="4"/>
  </w:num>
  <w:num w:numId="32">
    <w:abstractNumId w:val="26"/>
  </w:num>
  <w:num w:numId="33">
    <w:abstractNumId w:val="33"/>
  </w:num>
  <w:num w:numId="34">
    <w:abstractNumId w:val="30"/>
  </w:num>
  <w:num w:numId="35">
    <w:abstractNumId w:val="5"/>
  </w:num>
  <w:num w:numId="36">
    <w:abstractNumId w:val="29"/>
  </w:num>
  <w:num w:numId="37">
    <w:abstractNumId w:val="1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32E"/>
    <w:rsid w:val="008F432E"/>
    <w:rsid w:val="00A4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9790012-8964-422F-80E9-9EEEF166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2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8"/>
      </w:numPr>
      <w:spacing w:after="230" w:line="249" w:lineRule="auto"/>
      <w:ind w:left="612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numPr>
        <w:ilvl w:val="1"/>
        <w:numId w:val="38"/>
      </w:numPr>
      <w:spacing w:after="107" w:line="266" w:lineRule="auto"/>
      <w:ind w:left="6125" w:hanging="10"/>
      <w:jc w:val="both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07" w:line="266" w:lineRule="auto"/>
      <w:ind w:left="6125" w:hanging="10"/>
      <w:jc w:val="both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color w:val="000000"/>
      <w:sz w:val="24"/>
    </w:rPr>
  </w:style>
  <w:style w:type="paragraph" w:styleId="TOC1">
    <w:name w:val="toc 1"/>
    <w:hidden/>
    <w:pPr>
      <w:spacing w:after="122" w:line="270" w:lineRule="auto"/>
      <w:ind w:left="25" w:right="5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OC2">
    <w:name w:val="toc 2"/>
    <w:hidden/>
    <w:pPr>
      <w:spacing w:after="122" w:line="270" w:lineRule="auto"/>
      <w:ind w:left="265" w:right="5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OC3">
    <w:name w:val="toc 3"/>
    <w:hidden/>
    <w:pPr>
      <w:spacing w:after="117"/>
      <w:ind w:left="490" w:right="84" w:hanging="10"/>
      <w:jc w:val="right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jpg"/><Relationship Id="rId18" Type="http://schemas.openxmlformats.org/officeDocument/2006/relationships/image" Target="media/image8.jpg"/><Relationship Id="rId26" Type="http://schemas.openxmlformats.org/officeDocument/2006/relationships/image" Target="media/image11.jpg"/><Relationship Id="rId21" Type="http://schemas.openxmlformats.org/officeDocument/2006/relationships/image" Target="media/image80.jpg"/><Relationship Id="rId34" Type="http://schemas.openxmlformats.org/officeDocument/2006/relationships/header" Target="header3.xml"/><Relationship Id="rId7" Type="http://schemas.openxmlformats.org/officeDocument/2006/relationships/image" Target="media/image1.jpg"/><Relationship Id="rId12" Type="http://schemas.openxmlformats.org/officeDocument/2006/relationships/image" Target="media/image5.jpg"/><Relationship Id="rId17" Type="http://schemas.openxmlformats.org/officeDocument/2006/relationships/image" Target="media/image7.jpg"/><Relationship Id="rId25" Type="http://schemas.openxmlformats.org/officeDocument/2006/relationships/image" Target="media/image100.jp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jpg"/><Relationship Id="rId20" Type="http://schemas.openxmlformats.org/officeDocument/2006/relationships/image" Target="media/image70.jpg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24" Type="http://schemas.openxmlformats.org/officeDocument/2006/relationships/image" Target="media/image90.jp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0.jpg"/><Relationship Id="rId23" Type="http://schemas.openxmlformats.org/officeDocument/2006/relationships/image" Target="media/image10.jpg"/><Relationship Id="rId28" Type="http://schemas.openxmlformats.org/officeDocument/2006/relationships/image" Target="media/image13.jpg"/><Relationship Id="rId36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60.jp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40.jpg"/><Relationship Id="rId22" Type="http://schemas.openxmlformats.org/officeDocument/2006/relationships/image" Target="media/image9.jpg"/><Relationship Id="rId27" Type="http://schemas.openxmlformats.org/officeDocument/2006/relationships/image" Target="media/image12.png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0.jp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24620</Words>
  <Characters>140336</Characters>
  <Application>Microsoft Office Word</Application>
  <DocSecurity>4</DocSecurity>
  <Lines>1169</Lines>
  <Paragraphs>329</Paragraphs>
  <ScaleCrop>false</ScaleCrop>
  <Company/>
  <LinksUpToDate>false</LinksUpToDate>
  <CharactersWithSpaces>164627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ˆ _˜@8&gt;1@5B5==K5 45D&gt;@&lt;0F88 =86=8E :&gt;=5G=&gt;AB59 :@&gt;&lt;5 AB&gt;?K $˘˛˙</dc:title>
  <dc:subject/>
  <dc:creator>ˆ&gt;AB5=:&gt; 0@LO ˘3&gt;@52=0</dc:creator>
  <cp:keywords/>
  <cp:lastModifiedBy>word</cp:lastModifiedBy>
  <cp:revision>2</cp:revision>
  <dcterms:created xsi:type="dcterms:W3CDTF">2026-07-15T07:43:00Z</dcterms:created>
  <dcterms:modified xsi:type="dcterms:W3CDTF">2026-07-15T07:43:00Z</dcterms:modified>
</cp:coreProperties>
</file>