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1ED1" w:rsidRPr="00E51ED1" w:rsidRDefault="00E51ED1" w:rsidP="00E51ED1">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E51ED1">
        <w:rPr>
          <w:rFonts w:ascii="Inter" w:eastAsia="Times New Roman" w:hAnsi="Inter" w:cs="Times New Roman"/>
          <w:color w:val="000000"/>
          <w:spacing w:val="4"/>
          <w:sz w:val="21"/>
          <w:szCs w:val="21"/>
          <w:lang w:eastAsia="ru-RU"/>
        </w:rPr>
        <w:br/>
      </w:r>
      <w:r w:rsidRPr="00E51ED1">
        <w:rPr>
          <w:rFonts w:ascii="Inter" w:eastAsia="Times New Roman" w:hAnsi="Inter" w:cs="Times New Roman"/>
          <w:noProof/>
          <w:color w:val="000000"/>
          <w:spacing w:val="4"/>
          <w:sz w:val="21"/>
          <w:szCs w:val="21"/>
          <w:lang w:eastAsia="ru-RU"/>
        </w:rPr>
        <mc:AlternateContent>
          <mc:Choice Requires="wps">
            <w:drawing>
              <wp:inline distT="0" distB="0" distL="0" distR="0">
                <wp:extent cx="304800" cy="304800"/>
                <wp:effectExtent l="0" t="0" r="0" b="0"/>
                <wp:docPr id="2" name="Прямоугольник 2" descr="https://cr.minzdrav.gov.ru/assets/Logo-DcSD_Nhn.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5CF56E0" id="Прямоугольник 2" o:spid="_x0000_s1026" alt="https://cr.minzdrav.gov.ru/assets/Logo-DcSD_Nhn.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&#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pvrPuwQDAAAEBgAADgAAAAAAAAAAAAAAAAAuAgAAZHJzL2Uyb0RvYy54bWxQSwECLQAU&#10;AAYACAAAACEATKDpLNgAAAADAQAADwAAAAAAAAAAAAAAAABeBQAAZHJzL2Rvd25yZXYueG1sUEsF&#10;BgAAAAAEAAQA8wAAAGMGAAAAAA==&#10;" filled="f" stroked="f">
                <o:lock v:ext="edit" aspectratio="t"/>
                <w10:anchorlock/>
              </v:rect>
            </w:pict>
          </mc:Fallback>
        </mc:AlternateContent>
      </w:r>
    </w:p>
    <w:p w:rsidR="00E51ED1" w:rsidRPr="00E51ED1" w:rsidRDefault="00E51ED1" w:rsidP="00E51ED1">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E51ED1">
        <w:rPr>
          <w:rFonts w:ascii="Inter" w:eastAsia="Times New Roman" w:hAnsi="Inter" w:cs="Times New Roman"/>
          <w:b/>
          <w:bCs/>
          <w:color w:val="575756"/>
          <w:spacing w:val="4"/>
          <w:sz w:val="27"/>
          <w:szCs w:val="27"/>
          <w:lang w:eastAsia="ru-RU"/>
        </w:rPr>
        <w:t>Министерство</w:t>
      </w:r>
      <w:r w:rsidRPr="00E51ED1">
        <w:rPr>
          <w:rFonts w:ascii="Inter" w:eastAsia="Times New Roman" w:hAnsi="Inter" w:cs="Times New Roman"/>
          <w:b/>
          <w:bCs/>
          <w:color w:val="575756"/>
          <w:spacing w:val="4"/>
          <w:sz w:val="27"/>
          <w:szCs w:val="27"/>
          <w:lang w:eastAsia="ru-RU"/>
        </w:rPr>
        <w:br/>
        <w:t>Здравоохранения</w:t>
      </w:r>
      <w:r w:rsidRPr="00E51ED1">
        <w:rPr>
          <w:rFonts w:ascii="Inter" w:eastAsia="Times New Roman" w:hAnsi="Inter" w:cs="Times New Roman"/>
          <w:b/>
          <w:bCs/>
          <w:color w:val="575756"/>
          <w:spacing w:val="4"/>
          <w:sz w:val="27"/>
          <w:szCs w:val="27"/>
          <w:lang w:eastAsia="ru-RU"/>
        </w:rPr>
        <w:br/>
        <w:t>Российской Федерации</w:t>
      </w:r>
    </w:p>
    <w:p w:rsidR="00E51ED1" w:rsidRPr="00E51ED1" w:rsidRDefault="00E51ED1" w:rsidP="00E51ED1">
      <w:pPr>
        <w:shd w:val="clear" w:color="auto" w:fill="FFFFFF"/>
        <w:spacing w:line="240" w:lineRule="auto"/>
        <w:rPr>
          <w:rFonts w:ascii="Inter" w:eastAsia="Times New Roman" w:hAnsi="Inter" w:cs="Times New Roman"/>
          <w:color w:val="000000"/>
          <w:spacing w:val="4"/>
          <w:sz w:val="21"/>
          <w:szCs w:val="21"/>
          <w:lang w:eastAsia="ru-RU"/>
        </w:rPr>
      </w:pPr>
      <w:r w:rsidRPr="00E51ED1">
        <w:rPr>
          <w:rFonts w:ascii="Inter" w:eastAsia="Times New Roman" w:hAnsi="Inter" w:cs="Times New Roman"/>
          <w:color w:val="808080"/>
          <w:spacing w:val="4"/>
          <w:sz w:val="27"/>
          <w:szCs w:val="27"/>
          <w:lang w:eastAsia="ru-RU"/>
        </w:rPr>
        <w:t>Клинические рекомендации</w:t>
      </w:r>
      <w:r w:rsidRPr="00E51ED1">
        <w:rPr>
          <w:rFonts w:ascii="Inter" w:eastAsia="Times New Roman" w:hAnsi="Inter" w:cs="Times New Roman"/>
          <w:b/>
          <w:bCs/>
          <w:color w:val="008000"/>
          <w:spacing w:val="4"/>
          <w:sz w:val="42"/>
          <w:szCs w:val="42"/>
          <w:lang w:eastAsia="ru-RU"/>
        </w:rPr>
        <w:t>Воспалительные заболевания челюстей. Одонтогенный остеомиелит челюсти.</w:t>
      </w:r>
    </w:p>
    <w:p w:rsidR="00E51ED1" w:rsidRPr="00E51ED1" w:rsidRDefault="00E51ED1" w:rsidP="00E51ED1">
      <w:pPr>
        <w:shd w:val="clear" w:color="auto" w:fill="FFFFFF"/>
        <w:spacing w:after="0" w:line="240" w:lineRule="auto"/>
        <w:rPr>
          <w:rFonts w:ascii="Inter" w:eastAsia="Times New Roman" w:hAnsi="Inter" w:cs="Times New Roman"/>
          <w:color w:val="000000"/>
          <w:spacing w:val="4"/>
          <w:sz w:val="21"/>
          <w:szCs w:val="21"/>
          <w:lang w:eastAsia="ru-RU"/>
        </w:rPr>
      </w:pPr>
      <w:r w:rsidRPr="00E51ED1">
        <w:rPr>
          <w:rFonts w:ascii="Inter" w:eastAsia="Times New Roman" w:hAnsi="Inter" w:cs="Times New Roman"/>
          <w:color w:val="9E9E9E"/>
          <w:spacing w:val="4"/>
          <w:sz w:val="27"/>
          <w:szCs w:val="27"/>
          <w:lang w:eastAsia="ru-RU"/>
        </w:rPr>
        <w:t>Кодирование по Международной статистической классификации болезней и проблем, связанных со здоровьем:</w:t>
      </w:r>
      <w:r w:rsidRPr="00E51ED1">
        <w:rPr>
          <w:rFonts w:ascii="Inter" w:eastAsia="Times New Roman" w:hAnsi="Inter" w:cs="Times New Roman"/>
          <w:b/>
          <w:bCs/>
          <w:color w:val="000000"/>
          <w:spacing w:val="4"/>
          <w:sz w:val="27"/>
          <w:szCs w:val="27"/>
          <w:lang w:eastAsia="ru-RU"/>
        </w:rPr>
        <w:t>K10.2</w:t>
      </w:r>
    </w:p>
    <w:p w:rsidR="00E51ED1" w:rsidRPr="00E51ED1" w:rsidRDefault="00E51ED1" w:rsidP="00E51ED1">
      <w:pPr>
        <w:shd w:val="clear" w:color="auto" w:fill="FFFFFF"/>
        <w:spacing w:after="0" w:line="240" w:lineRule="auto"/>
        <w:rPr>
          <w:rFonts w:ascii="Inter" w:eastAsia="Times New Roman" w:hAnsi="Inter" w:cs="Times New Roman"/>
          <w:color w:val="000000"/>
          <w:spacing w:val="4"/>
          <w:sz w:val="21"/>
          <w:szCs w:val="21"/>
          <w:lang w:eastAsia="ru-RU"/>
        </w:rPr>
      </w:pPr>
      <w:r w:rsidRPr="00E51ED1">
        <w:rPr>
          <w:rFonts w:ascii="Inter" w:eastAsia="Times New Roman" w:hAnsi="Inter" w:cs="Times New Roman"/>
          <w:color w:val="9E9E9E"/>
          <w:spacing w:val="4"/>
          <w:sz w:val="27"/>
          <w:szCs w:val="27"/>
          <w:lang w:eastAsia="ru-RU"/>
        </w:rPr>
        <w:t>Год утверждения (частота пересмотра):</w:t>
      </w:r>
      <w:r w:rsidRPr="00E51ED1">
        <w:rPr>
          <w:rFonts w:ascii="Inter" w:eastAsia="Times New Roman" w:hAnsi="Inter" w:cs="Times New Roman"/>
          <w:b/>
          <w:bCs/>
          <w:color w:val="000000"/>
          <w:spacing w:val="4"/>
          <w:sz w:val="27"/>
          <w:szCs w:val="27"/>
          <w:lang w:eastAsia="ru-RU"/>
        </w:rPr>
        <w:t>2026</w:t>
      </w:r>
      <w:r w:rsidRPr="00E51ED1">
        <w:rPr>
          <w:rFonts w:ascii="Inter" w:eastAsia="Times New Roman" w:hAnsi="Inter" w:cs="Times New Roman"/>
          <w:color w:val="9E9E9E"/>
          <w:spacing w:val="4"/>
          <w:sz w:val="27"/>
          <w:szCs w:val="27"/>
          <w:lang w:eastAsia="ru-RU"/>
        </w:rPr>
        <w:t>Пересмотр не позднее:</w:t>
      </w:r>
      <w:r w:rsidRPr="00E51ED1">
        <w:rPr>
          <w:rFonts w:ascii="Inter" w:eastAsia="Times New Roman" w:hAnsi="Inter" w:cs="Times New Roman"/>
          <w:b/>
          <w:bCs/>
          <w:color w:val="000000"/>
          <w:spacing w:val="4"/>
          <w:sz w:val="27"/>
          <w:szCs w:val="27"/>
          <w:lang w:eastAsia="ru-RU"/>
        </w:rPr>
        <w:t>2028</w:t>
      </w:r>
    </w:p>
    <w:p w:rsidR="00E51ED1" w:rsidRPr="00E51ED1" w:rsidRDefault="00E51ED1" w:rsidP="00E51ED1">
      <w:pPr>
        <w:shd w:val="clear" w:color="auto" w:fill="FFFFFF"/>
        <w:spacing w:after="0" w:line="240" w:lineRule="auto"/>
        <w:rPr>
          <w:rFonts w:ascii="Inter" w:eastAsia="Times New Roman" w:hAnsi="Inter" w:cs="Times New Roman"/>
          <w:color w:val="000000"/>
          <w:spacing w:val="4"/>
          <w:sz w:val="21"/>
          <w:szCs w:val="21"/>
          <w:lang w:eastAsia="ru-RU"/>
        </w:rPr>
      </w:pPr>
      <w:r w:rsidRPr="00E51ED1">
        <w:rPr>
          <w:rFonts w:ascii="Inter" w:eastAsia="Times New Roman" w:hAnsi="Inter" w:cs="Times New Roman"/>
          <w:color w:val="9E9E9E"/>
          <w:spacing w:val="4"/>
          <w:sz w:val="27"/>
          <w:szCs w:val="27"/>
          <w:lang w:eastAsia="ru-RU"/>
        </w:rPr>
        <w:t>ID:</w:t>
      </w:r>
      <w:r w:rsidRPr="00E51ED1">
        <w:rPr>
          <w:rFonts w:ascii="Inter" w:eastAsia="Times New Roman" w:hAnsi="Inter" w:cs="Times New Roman"/>
          <w:b/>
          <w:bCs/>
          <w:color w:val="000000"/>
          <w:spacing w:val="4"/>
          <w:sz w:val="27"/>
          <w:szCs w:val="27"/>
          <w:lang w:eastAsia="ru-RU"/>
        </w:rPr>
        <w:t>1049_1</w:t>
      </w:r>
    </w:p>
    <w:p w:rsidR="00E51ED1" w:rsidRPr="00E51ED1" w:rsidRDefault="00E51ED1" w:rsidP="00E51ED1">
      <w:pPr>
        <w:shd w:val="clear" w:color="auto" w:fill="FFFFFF"/>
        <w:spacing w:after="0" w:line="240" w:lineRule="auto"/>
        <w:rPr>
          <w:rFonts w:ascii="Inter" w:eastAsia="Times New Roman" w:hAnsi="Inter" w:cs="Times New Roman"/>
          <w:color w:val="000000"/>
          <w:spacing w:val="4"/>
          <w:sz w:val="21"/>
          <w:szCs w:val="21"/>
          <w:lang w:eastAsia="ru-RU"/>
        </w:rPr>
      </w:pPr>
      <w:r w:rsidRPr="00E51ED1">
        <w:rPr>
          <w:rFonts w:ascii="Inter" w:eastAsia="Times New Roman" w:hAnsi="Inter" w:cs="Times New Roman"/>
          <w:color w:val="9E9E9E"/>
          <w:spacing w:val="4"/>
          <w:sz w:val="27"/>
          <w:szCs w:val="27"/>
          <w:lang w:eastAsia="ru-RU"/>
        </w:rPr>
        <w:t>Возрастная категория:</w:t>
      </w:r>
      <w:r w:rsidRPr="00E51ED1">
        <w:rPr>
          <w:rFonts w:ascii="Inter" w:eastAsia="Times New Roman" w:hAnsi="Inter" w:cs="Times New Roman"/>
          <w:b/>
          <w:bCs/>
          <w:color w:val="000000"/>
          <w:spacing w:val="4"/>
          <w:sz w:val="27"/>
          <w:szCs w:val="27"/>
          <w:lang w:eastAsia="ru-RU"/>
        </w:rPr>
        <w:t>Взрослые</w:t>
      </w:r>
    </w:p>
    <w:p w:rsidR="00E51ED1" w:rsidRPr="00E51ED1" w:rsidRDefault="00E51ED1" w:rsidP="00E51ED1">
      <w:pPr>
        <w:shd w:val="clear" w:color="auto" w:fill="FFFFFF"/>
        <w:spacing w:after="0" w:line="240" w:lineRule="auto"/>
        <w:rPr>
          <w:rFonts w:ascii="Inter" w:eastAsia="Times New Roman" w:hAnsi="Inter" w:cs="Times New Roman"/>
          <w:color w:val="000000"/>
          <w:spacing w:val="4"/>
          <w:sz w:val="21"/>
          <w:szCs w:val="21"/>
          <w:lang w:eastAsia="ru-RU"/>
        </w:rPr>
      </w:pPr>
      <w:r w:rsidRPr="00E51ED1">
        <w:rPr>
          <w:rFonts w:ascii="Inter" w:eastAsia="Times New Roman" w:hAnsi="Inter" w:cs="Times New Roman"/>
          <w:color w:val="9E9E9E"/>
          <w:spacing w:val="4"/>
          <w:sz w:val="27"/>
          <w:szCs w:val="27"/>
          <w:lang w:eastAsia="ru-RU"/>
        </w:rPr>
        <w:t>Специальность:</w:t>
      </w:r>
    </w:p>
    <w:p w:rsidR="00E51ED1" w:rsidRPr="00E51ED1" w:rsidRDefault="00E51ED1" w:rsidP="00E51ED1">
      <w:pPr>
        <w:shd w:val="clear" w:color="auto" w:fill="FFFFFF"/>
        <w:spacing w:after="0" w:line="240" w:lineRule="auto"/>
        <w:rPr>
          <w:rFonts w:ascii="Inter" w:eastAsia="Times New Roman" w:hAnsi="Inter" w:cs="Times New Roman"/>
          <w:color w:val="000000"/>
          <w:spacing w:val="4"/>
          <w:sz w:val="21"/>
          <w:szCs w:val="21"/>
          <w:lang w:eastAsia="ru-RU"/>
        </w:rPr>
      </w:pPr>
      <w:r w:rsidRPr="00E51ED1">
        <w:rPr>
          <w:rFonts w:ascii="Inter" w:eastAsia="Times New Roman" w:hAnsi="Inter" w:cs="Times New Roman"/>
          <w:color w:val="808080"/>
          <w:spacing w:val="4"/>
          <w:sz w:val="27"/>
          <w:szCs w:val="27"/>
          <w:lang w:eastAsia="ru-RU"/>
        </w:rPr>
        <w:t>Разработчик клинической рекомендации</w:t>
      </w:r>
      <w:r w:rsidRPr="00E51ED1">
        <w:rPr>
          <w:rFonts w:ascii="Inter" w:eastAsia="Times New Roman" w:hAnsi="Inter" w:cs="Times New Roman"/>
          <w:b/>
          <w:bCs/>
          <w:color w:val="000000"/>
          <w:spacing w:val="4"/>
          <w:sz w:val="27"/>
          <w:szCs w:val="27"/>
          <w:lang w:eastAsia="ru-RU"/>
        </w:rPr>
        <w:t>ООО «Общество специалистов в области челюстно-лицевой хирургии»</w:t>
      </w:r>
    </w:p>
    <w:p w:rsidR="00E51ED1" w:rsidRPr="00E51ED1" w:rsidRDefault="00E51ED1" w:rsidP="00E51ED1">
      <w:pPr>
        <w:shd w:val="clear" w:color="auto" w:fill="FFFFFF"/>
        <w:spacing w:line="240" w:lineRule="auto"/>
        <w:rPr>
          <w:rFonts w:ascii="Inter" w:eastAsia="Times New Roman" w:hAnsi="Inter" w:cs="Times New Roman"/>
          <w:color w:val="000000"/>
          <w:spacing w:val="4"/>
          <w:sz w:val="21"/>
          <w:szCs w:val="21"/>
          <w:lang w:eastAsia="ru-RU"/>
        </w:rPr>
      </w:pPr>
      <w:r w:rsidRPr="00E51ED1">
        <w:rPr>
          <w:rFonts w:ascii="Inter" w:eastAsia="Times New Roman" w:hAnsi="Inter" w:cs="Times New Roman"/>
          <w:color w:val="000000"/>
          <w:spacing w:val="4"/>
          <w:sz w:val="27"/>
          <w:szCs w:val="27"/>
          <w:lang w:eastAsia="ru-RU"/>
        </w:rPr>
        <w:t>Одобрено Научно-практическим Советом Минздрава России</w:t>
      </w:r>
    </w:p>
    <w:p w:rsidR="00E51ED1" w:rsidRPr="00E51ED1" w:rsidRDefault="00E51ED1" w:rsidP="00E51ED1">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E51ED1">
        <w:rPr>
          <w:rFonts w:ascii="Inter" w:eastAsia="Times New Roman" w:hAnsi="Inter" w:cs="Times New Roman"/>
          <w:b/>
          <w:bCs/>
          <w:color w:val="000000"/>
          <w:spacing w:val="4"/>
          <w:kern w:val="36"/>
          <w:sz w:val="48"/>
          <w:szCs w:val="48"/>
          <w:lang w:eastAsia="ru-RU"/>
        </w:rPr>
        <w:t>Оглавление</w:t>
      </w:r>
    </w:p>
    <w:p w:rsidR="00E51ED1" w:rsidRPr="00E51ED1" w:rsidRDefault="00E51ED1" w:rsidP="00E51ED1">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E51ED1">
        <w:rPr>
          <w:rFonts w:ascii="Inter" w:eastAsia="Times New Roman" w:hAnsi="Inter" w:cs="Times New Roman"/>
          <w:color w:val="2979FF"/>
          <w:spacing w:val="4"/>
          <w:sz w:val="27"/>
          <w:szCs w:val="27"/>
          <w:lang w:eastAsia="ru-RU"/>
        </w:rPr>
        <w:t>Список сокращений</w:t>
      </w:r>
    </w:p>
    <w:p w:rsidR="00E51ED1" w:rsidRPr="00E51ED1" w:rsidRDefault="00E51ED1" w:rsidP="00E51ED1">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E51ED1">
        <w:rPr>
          <w:rFonts w:ascii="Inter" w:eastAsia="Times New Roman" w:hAnsi="Inter" w:cs="Times New Roman"/>
          <w:color w:val="2979FF"/>
          <w:spacing w:val="4"/>
          <w:sz w:val="27"/>
          <w:szCs w:val="27"/>
          <w:lang w:eastAsia="ru-RU"/>
        </w:rPr>
        <w:t>Термины и определения</w:t>
      </w:r>
    </w:p>
    <w:p w:rsidR="00E51ED1" w:rsidRPr="00E51ED1" w:rsidRDefault="00E51ED1" w:rsidP="00E51ED1">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E51ED1">
        <w:rPr>
          <w:rFonts w:ascii="Inter" w:eastAsia="Times New Roman" w:hAnsi="Inter" w:cs="Times New Roman"/>
          <w:color w:val="2979FF"/>
          <w:spacing w:val="4"/>
          <w:sz w:val="27"/>
          <w:szCs w:val="27"/>
          <w:lang w:eastAsia="ru-RU"/>
        </w:rPr>
        <w:t>1. Краткая информация по заболеванию или состоянию (группы заболеваний или состояний)</w:t>
      </w:r>
    </w:p>
    <w:p w:rsidR="00E51ED1" w:rsidRPr="00E51ED1" w:rsidRDefault="00E51ED1" w:rsidP="00E51ED1">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E51ED1">
        <w:rPr>
          <w:rFonts w:ascii="Inter" w:eastAsia="Times New Roman" w:hAnsi="Inter" w:cs="Times New Roman"/>
          <w:color w:val="2979FF"/>
          <w:spacing w:val="4"/>
          <w:sz w:val="27"/>
          <w:szCs w:val="27"/>
          <w:lang w:eastAsia="ru-RU"/>
        </w:rPr>
        <w:t>1.1 Определение заболевания или состояния (группы заболеваний или состояний)</w:t>
      </w:r>
    </w:p>
    <w:p w:rsidR="00E51ED1" w:rsidRPr="00E51ED1" w:rsidRDefault="00E51ED1" w:rsidP="00E51ED1">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E51ED1">
        <w:rPr>
          <w:rFonts w:ascii="Inter" w:eastAsia="Times New Roman" w:hAnsi="Inter" w:cs="Times New Roman"/>
          <w:color w:val="2979FF"/>
          <w:spacing w:val="4"/>
          <w:sz w:val="27"/>
          <w:szCs w:val="27"/>
          <w:lang w:eastAsia="ru-RU"/>
        </w:rPr>
        <w:t>1.2 Этиология и патогенез заболевания или состояния (группы заболеваний или состояний)</w:t>
      </w:r>
    </w:p>
    <w:p w:rsidR="00E51ED1" w:rsidRPr="00E51ED1" w:rsidRDefault="00E51ED1" w:rsidP="00E51ED1">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E51ED1">
        <w:rPr>
          <w:rFonts w:ascii="Inter" w:eastAsia="Times New Roman" w:hAnsi="Inter" w:cs="Times New Roman"/>
          <w:color w:val="2979FF"/>
          <w:spacing w:val="4"/>
          <w:sz w:val="27"/>
          <w:szCs w:val="27"/>
          <w:lang w:eastAsia="ru-RU"/>
        </w:rPr>
        <w:t>1.3 Эпидемиология заболевания или состояния (группы заболеваний или состояний)</w:t>
      </w:r>
    </w:p>
    <w:p w:rsidR="00E51ED1" w:rsidRPr="00E51ED1" w:rsidRDefault="00E51ED1" w:rsidP="00E51ED1">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E51ED1">
        <w:rPr>
          <w:rFonts w:ascii="Inter" w:eastAsia="Times New Roman" w:hAnsi="Inter" w:cs="Times New Roman"/>
          <w:color w:val="2979FF"/>
          <w:spacing w:val="4"/>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E51ED1" w:rsidRPr="00E51ED1" w:rsidRDefault="00E51ED1" w:rsidP="00E51ED1">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E51ED1">
        <w:rPr>
          <w:rFonts w:ascii="Inter" w:eastAsia="Times New Roman" w:hAnsi="Inter" w:cs="Times New Roman"/>
          <w:color w:val="2979FF"/>
          <w:spacing w:val="4"/>
          <w:sz w:val="27"/>
          <w:szCs w:val="27"/>
          <w:lang w:eastAsia="ru-RU"/>
        </w:rPr>
        <w:t>1.5 Классификация заболевания или состояния (группы заболеваний или состояний)</w:t>
      </w:r>
    </w:p>
    <w:p w:rsidR="00E51ED1" w:rsidRPr="00E51ED1" w:rsidRDefault="00E51ED1" w:rsidP="00E51ED1">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E51ED1">
        <w:rPr>
          <w:rFonts w:ascii="Inter" w:eastAsia="Times New Roman" w:hAnsi="Inter" w:cs="Times New Roman"/>
          <w:color w:val="2979FF"/>
          <w:spacing w:val="4"/>
          <w:sz w:val="27"/>
          <w:szCs w:val="27"/>
          <w:lang w:eastAsia="ru-RU"/>
        </w:rPr>
        <w:t>1.6 Клиническая картина заболевания или состояния (группы заболеваний или состояний)</w:t>
      </w:r>
    </w:p>
    <w:p w:rsidR="00E51ED1" w:rsidRPr="00E51ED1" w:rsidRDefault="00E51ED1" w:rsidP="00E51ED1">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E51ED1">
        <w:rPr>
          <w:rFonts w:ascii="Inter" w:eastAsia="Times New Roman" w:hAnsi="Inter" w:cs="Times New Roman"/>
          <w:color w:val="2979FF"/>
          <w:spacing w:val="4"/>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E51ED1" w:rsidRPr="00E51ED1" w:rsidRDefault="00E51ED1" w:rsidP="00E51ED1">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E51ED1">
        <w:rPr>
          <w:rFonts w:ascii="Inter" w:eastAsia="Times New Roman" w:hAnsi="Inter" w:cs="Times New Roman"/>
          <w:color w:val="2979FF"/>
          <w:spacing w:val="4"/>
          <w:sz w:val="27"/>
          <w:szCs w:val="27"/>
          <w:lang w:eastAsia="ru-RU"/>
        </w:rPr>
        <w:t>2.1 Жалобы и анамнез</w:t>
      </w:r>
    </w:p>
    <w:p w:rsidR="00E51ED1" w:rsidRPr="00E51ED1" w:rsidRDefault="00E51ED1" w:rsidP="00E51ED1">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E51ED1">
        <w:rPr>
          <w:rFonts w:ascii="Inter" w:eastAsia="Times New Roman" w:hAnsi="Inter" w:cs="Times New Roman"/>
          <w:color w:val="2979FF"/>
          <w:spacing w:val="4"/>
          <w:sz w:val="27"/>
          <w:szCs w:val="27"/>
          <w:lang w:eastAsia="ru-RU"/>
        </w:rPr>
        <w:t>2.2 Физикальное обследование</w:t>
      </w:r>
    </w:p>
    <w:p w:rsidR="00E51ED1" w:rsidRPr="00E51ED1" w:rsidRDefault="00E51ED1" w:rsidP="00E51ED1">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E51ED1">
        <w:rPr>
          <w:rFonts w:ascii="Inter" w:eastAsia="Times New Roman" w:hAnsi="Inter" w:cs="Times New Roman"/>
          <w:color w:val="2979FF"/>
          <w:spacing w:val="4"/>
          <w:sz w:val="27"/>
          <w:szCs w:val="27"/>
          <w:lang w:eastAsia="ru-RU"/>
        </w:rPr>
        <w:t>2.3 Лабораторные диагностические исследования</w:t>
      </w:r>
    </w:p>
    <w:p w:rsidR="00E51ED1" w:rsidRPr="00E51ED1" w:rsidRDefault="00E51ED1" w:rsidP="00E51ED1">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E51ED1">
        <w:rPr>
          <w:rFonts w:ascii="Inter" w:eastAsia="Times New Roman" w:hAnsi="Inter" w:cs="Times New Roman"/>
          <w:color w:val="2979FF"/>
          <w:spacing w:val="4"/>
          <w:sz w:val="27"/>
          <w:szCs w:val="27"/>
          <w:lang w:eastAsia="ru-RU"/>
        </w:rPr>
        <w:t>2.4 Инструментальные диагностические исследования</w:t>
      </w:r>
    </w:p>
    <w:p w:rsidR="00E51ED1" w:rsidRPr="00E51ED1" w:rsidRDefault="00E51ED1" w:rsidP="00E51ED1">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E51ED1">
        <w:rPr>
          <w:rFonts w:ascii="Inter" w:eastAsia="Times New Roman" w:hAnsi="Inter" w:cs="Times New Roman"/>
          <w:color w:val="2979FF"/>
          <w:spacing w:val="4"/>
          <w:sz w:val="27"/>
          <w:szCs w:val="27"/>
          <w:lang w:eastAsia="ru-RU"/>
        </w:rPr>
        <w:lastRenderedPageBreak/>
        <w:t>2.5 Иные диагностические исследования</w:t>
      </w:r>
    </w:p>
    <w:p w:rsidR="00E51ED1" w:rsidRPr="00E51ED1" w:rsidRDefault="00E51ED1" w:rsidP="00E51ED1">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E51ED1">
        <w:rPr>
          <w:rFonts w:ascii="Inter" w:eastAsia="Times New Roman" w:hAnsi="Inter" w:cs="Times New Roman"/>
          <w:color w:val="2979FF"/>
          <w:spacing w:val="4"/>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E51ED1" w:rsidRPr="00E51ED1" w:rsidRDefault="00E51ED1" w:rsidP="00E51ED1">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E51ED1">
        <w:rPr>
          <w:rFonts w:ascii="Inter" w:eastAsia="Times New Roman" w:hAnsi="Inter" w:cs="Times New Roman"/>
          <w:color w:val="2979FF"/>
          <w:spacing w:val="4"/>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E51ED1" w:rsidRPr="00E51ED1" w:rsidRDefault="00E51ED1" w:rsidP="00E51ED1">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E51ED1">
        <w:rPr>
          <w:rFonts w:ascii="Inter" w:eastAsia="Times New Roman" w:hAnsi="Inter" w:cs="Times New Roman"/>
          <w:color w:val="2979FF"/>
          <w:spacing w:val="4"/>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E51ED1" w:rsidRPr="00E51ED1" w:rsidRDefault="00E51ED1" w:rsidP="00E51ED1">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E51ED1">
        <w:rPr>
          <w:rFonts w:ascii="Inter" w:eastAsia="Times New Roman" w:hAnsi="Inter" w:cs="Times New Roman"/>
          <w:color w:val="2979FF"/>
          <w:spacing w:val="4"/>
          <w:sz w:val="27"/>
          <w:szCs w:val="27"/>
          <w:lang w:eastAsia="ru-RU"/>
        </w:rPr>
        <w:t>6. Организация оказания медицинской помощи</w:t>
      </w:r>
    </w:p>
    <w:p w:rsidR="00E51ED1" w:rsidRPr="00E51ED1" w:rsidRDefault="00E51ED1" w:rsidP="00E51ED1">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E51ED1">
        <w:rPr>
          <w:rFonts w:ascii="Inter" w:eastAsia="Times New Roman" w:hAnsi="Inter" w:cs="Times New Roman"/>
          <w:color w:val="2979FF"/>
          <w:spacing w:val="4"/>
          <w:sz w:val="27"/>
          <w:szCs w:val="27"/>
          <w:lang w:eastAsia="ru-RU"/>
        </w:rPr>
        <w:t>7. Дополнительная информация (в том числе факторы, влияющие на исход заболевания или состояния)</w:t>
      </w:r>
    </w:p>
    <w:p w:rsidR="00E51ED1" w:rsidRPr="00E51ED1" w:rsidRDefault="00E51ED1" w:rsidP="00E51ED1">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E51ED1">
        <w:rPr>
          <w:rFonts w:ascii="Inter" w:eastAsia="Times New Roman" w:hAnsi="Inter" w:cs="Times New Roman"/>
          <w:color w:val="2979FF"/>
          <w:spacing w:val="4"/>
          <w:sz w:val="27"/>
          <w:szCs w:val="27"/>
          <w:lang w:eastAsia="ru-RU"/>
        </w:rPr>
        <w:t>Критерии оценки качества медицинской помощи</w:t>
      </w:r>
    </w:p>
    <w:p w:rsidR="00E51ED1" w:rsidRPr="00E51ED1" w:rsidRDefault="00E51ED1" w:rsidP="00E51ED1">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E51ED1">
        <w:rPr>
          <w:rFonts w:ascii="Inter" w:eastAsia="Times New Roman" w:hAnsi="Inter" w:cs="Times New Roman"/>
          <w:color w:val="2979FF"/>
          <w:spacing w:val="4"/>
          <w:sz w:val="27"/>
          <w:szCs w:val="27"/>
          <w:lang w:eastAsia="ru-RU"/>
        </w:rPr>
        <w:t>Список литературы</w:t>
      </w:r>
    </w:p>
    <w:p w:rsidR="00E51ED1" w:rsidRPr="00E51ED1" w:rsidRDefault="00E51ED1" w:rsidP="00E51ED1">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E51ED1">
        <w:rPr>
          <w:rFonts w:ascii="Inter" w:eastAsia="Times New Roman" w:hAnsi="Inter" w:cs="Times New Roman"/>
          <w:color w:val="2979FF"/>
          <w:spacing w:val="4"/>
          <w:sz w:val="27"/>
          <w:szCs w:val="27"/>
          <w:lang w:eastAsia="ru-RU"/>
        </w:rPr>
        <w:t>Приложение А1. Состав рабочей группы по разработке и пересмотру клинических рекомендаций</w:t>
      </w:r>
    </w:p>
    <w:p w:rsidR="00E51ED1" w:rsidRPr="00E51ED1" w:rsidRDefault="00E51ED1" w:rsidP="00E51ED1">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E51ED1">
        <w:rPr>
          <w:rFonts w:ascii="Inter" w:eastAsia="Times New Roman" w:hAnsi="Inter" w:cs="Times New Roman"/>
          <w:color w:val="2979FF"/>
          <w:spacing w:val="4"/>
          <w:sz w:val="27"/>
          <w:szCs w:val="27"/>
          <w:lang w:eastAsia="ru-RU"/>
        </w:rPr>
        <w:t>Приложение А2. Методология разработки клинических рекомендаций</w:t>
      </w:r>
    </w:p>
    <w:p w:rsidR="00E51ED1" w:rsidRPr="00E51ED1" w:rsidRDefault="00E51ED1" w:rsidP="00E51ED1">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E51ED1">
        <w:rPr>
          <w:rFonts w:ascii="Inter" w:eastAsia="Times New Roman" w:hAnsi="Inter" w:cs="Times New Roman"/>
          <w:color w:val="2979FF"/>
          <w:spacing w:val="4"/>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E51ED1" w:rsidRPr="00E51ED1" w:rsidRDefault="00E51ED1" w:rsidP="00E51ED1">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E51ED1">
        <w:rPr>
          <w:rFonts w:ascii="Inter" w:eastAsia="Times New Roman" w:hAnsi="Inter" w:cs="Times New Roman"/>
          <w:color w:val="2979FF"/>
          <w:spacing w:val="4"/>
          <w:sz w:val="27"/>
          <w:szCs w:val="27"/>
          <w:lang w:eastAsia="ru-RU"/>
        </w:rPr>
        <w:t>Приложение Б. Алгоритмы действий врача</w:t>
      </w:r>
    </w:p>
    <w:p w:rsidR="00E51ED1" w:rsidRPr="00E51ED1" w:rsidRDefault="00E51ED1" w:rsidP="00E51ED1">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E51ED1">
        <w:rPr>
          <w:rFonts w:ascii="Inter" w:eastAsia="Times New Roman" w:hAnsi="Inter" w:cs="Times New Roman"/>
          <w:color w:val="2979FF"/>
          <w:spacing w:val="4"/>
          <w:sz w:val="27"/>
          <w:szCs w:val="27"/>
          <w:lang w:eastAsia="ru-RU"/>
        </w:rPr>
        <w:t>Приложение В. Информация для пациента</w:t>
      </w:r>
    </w:p>
    <w:p w:rsidR="00E51ED1" w:rsidRPr="00E51ED1" w:rsidRDefault="00E51ED1" w:rsidP="00E51ED1">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E51ED1">
        <w:rPr>
          <w:rFonts w:ascii="Inter" w:eastAsia="Times New Roman" w:hAnsi="Inter" w:cs="Times New Roman"/>
          <w:color w:val="2979FF"/>
          <w:spacing w:val="4"/>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E51ED1" w:rsidRPr="00E51ED1" w:rsidRDefault="00E51ED1" w:rsidP="00E51ED1">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E51ED1">
        <w:rPr>
          <w:rFonts w:ascii="Inter" w:eastAsia="Times New Roman" w:hAnsi="Inter" w:cs="Times New Roman"/>
          <w:b/>
          <w:bCs/>
          <w:color w:val="000000"/>
          <w:spacing w:val="4"/>
          <w:kern w:val="36"/>
          <w:sz w:val="48"/>
          <w:szCs w:val="48"/>
          <w:lang w:eastAsia="ru-RU"/>
        </w:rPr>
        <w:t>Список сокращений</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АБТ – антибактериальная терапия</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ВУЗ – высшее учебное заведение</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КТ – компьютерная томография</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ЛИИ – лейкоцитарный индекс интоксикации</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ЛФК – лечебная физкультура</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МСКТ – мультиспиральная компьютерная томография</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МРТ – магнитно-резонансная томография</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МП – медицинская помощь</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lastRenderedPageBreak/>
        <w:t>НПВП – группа «Противовоспалительные и противоревматические препараты»</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НР – нежелательная реакция</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ОИВЗ – острое инфекционно-воспалительное заболевание</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ОПН – острая почечная недостаточность</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СНР – серьёзная нежелательная реакция</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СОЭ – скорость оседания эритроцитов</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УЗИ – ультразвуковое исследование</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ЧЛО – челюстно-лицевая область</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ЧЛХ – челюстно-лицевая хирургия</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ЭОД – электроодонтодиагностика</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ЭЭГ – электроэнцефалография</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ЭХО КГ – эхокардиография</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 </w:t>
      </w:r>
      <w:r w:rsidRPr="00E51ED1">
        <w:rPr>
          <w:rFonts w:ascii="Times New Roman" w:eastAsia="Times New Roman" w:hAnsi="Times New Roman" w:cs="Times New Roman"/>
          <w:color w:val="222222"/>
          <w:spacing w:val="4"/>
          <w:sz w:val="27"/>
          <w:szCs w:val="27"/>
          <w:lang w:eastAsia="ru-RU"/>
        </w:rPr>
        <w:t>– наименование лекарственного препарата выделяется двумя звёздочками (**) в случае, если тезис-рекомендация относится к лекарственному препарату для медицинского применения, внесённому в перечень жизненно необходимых и важнейших лекарственных препаратов для медицинского применения.</w:t>
      </w:r>
    </w:p>
    <w:p w:rsidR="00E51ED1" w:rsidRPr="00E51ED1" w:rsidRDefault="00E51ED1" w:rsidP="00E51ED1">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E51ED1">
        <w:rPr>
          <w:rFonts w:ascii="Inter" w:eastAsia="Times New Roman" w:hAnsi="Inter" w:cs="Times New Roman"/>
          <w:b/>
          <w:bCs/>
          <w:color w:val="000000"/>
          <w:spacing w:val="4"/>
          <w:kern w:val="36"/>
          <w:sz w:val="48"/>
          <w:szCs w:val="48"/>
          <w:lang w:eastAsia="ru-RU"/>
        </w:rPr>
        <w:t>Термины и определения</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b/>
          <w:bCs/>
          <w:color w:val="222222"/>
          <w:spacing w:val="4"/>
          <w:sz w:val="27"/>
          <w:szCs w:val="27"/>
          <w:lang w:eastAsia="ru-RU"/>
        </w:rPr>
        <w:t>Секвестр</w:t>
      </w:r>
      <w:r w:rsidRPr="00E51ED1">
        <w:rPr>
          <w:rFonts w:ascii="Times New Roman" w:eastAsia="Times New Roman" w:hAnsi="Times New Roman" w:cs="Times New Roman"/>
          <w:color w:val="222222"/>
          <w:spacing w:val="4"/>
          <w:sz w:val="27"/>
          <w:szCs w:val="27"/>
          <w:lang w:eastAsia="ru-RU"/>
        </w:rPr>
        <w:t> (одонтогенного или иного характера) - отграниченный воспалительно-некротический очаг в костной ткани, сопровождающийся гибелью и отторжением участков костной ткани челюсти с формированием секвестральной капсулы и последующим ремоделированием костной ткани.</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b/>
          <w:bCs/>
          <w:color w:val="222222"/>
          <w:spacing w:val="4"/>
          <w:sz w:val="27"/>
          <w:szCs w:val="27"/>
          <w:lang w:eastAsia="ru-RU"/>
        </w:rPr>
        <w:t>Зубо-альвеолярный сегмент</w:t>
      </w:r>
      <w:r w:rsidRPr="00E51ED1">
        <w:rPr>
          <w:rFonts w:ascii="Times New Roman" w:eastAsia="Times New Roman" w:hAnsi="Times New Roman" w:cs="Times New Roman"/>
          <w:color w:val="222222"/>
          <w:spacing w:val="4"/>
          <w:sz w:val="27"/>
          <w:szCs w:val="27"/>
          <w:lang w:eastAsia="ru-RU"/>
        </w:rPr>
        <w:t xml:space="preserve"> - условная единица объёма альвеолярной части челюсти для оценки распространенности инфекционно-воспалительного процесса. Нижней границей зубо-альвеолярных сегментов бокового отдела нижней челюсти является канал нижней челюсти (canalis mandibule), переднего отдела – виртуальная горизонтальная плоскость, соединяющая подбородочные отверстия (foramen mentalae dex. et sin.). Верхней границей </w:t>
      </w:r>
      <w:r w:rsidRPr="00E51ED1">
        <w:rPr>
          <w:rFonts w:ascii="Times New Roman" w:eastAsia="Times New Roman" w:hAnsi="Times New Roman" w:cs="Times New Roman"/>
          <w:color w:val="222222"/>
          <w:spacing w:val="4"/>
          <w:sz w:val="27"/>
          <w:szCs w:val="27"/>
          <w:lang w:eastAsia="ru-RU"/>
        </w:rPr>
        <w:lastRenderedPageBreak/>
        <w:t>зубо-альвеолярных сегментов верхней челюсти является дно полости носа и верхнечелюстных синусов. Вертикальными границами являются условные линии, проведённые через стенки зубных альвеол соседних зубов.</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b/>
          <w:bCs/>
          <w:color w:val="222222"/>
          <w:spacing w:val="4"/>
          <w:sz w:val="27"/>
          <w:szCs w:val="27"/>
          <w:lang w:eastAsia="ru-RU"/>
        </w:rPr>
        <w:t>Острый или обострение хронического периостита</w:t>
      </w:r>
      <w:r w:rsidRPr="00E51ED1">
        <w:rPr>
          <w:rFonts w:ascii="Times New Roman" w:eastAsia="Times New Roman" w:hAnsi="Times New Roman" w:cs="Times New Roman"/>
          <w:color w:val="222222"/>
          <w:spacing w:val="4"/>
          <w:sz w:val="27"/>
          <w:szCs w:val="27"/>
          <w:lang w:eastAsia="ru-RU"/>
        </w:rPr>
        <w:t> - острый или обострение хронического инфекционно-воспалительного процесса в челюсти в пределах одного зубо-альвеолярного сегмента.</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b/>
          <w:bCs/>
          <w:color w:val="222222"/>
          <w:spacing w:val="4"/>
          <w:sz w:val="27"/>
          <w:szCs w:val="27"/>
          <w:lang w:eastAsia="ru-RU"/>
        </w:rPr>
        <w:t>Острый одонтогенный периостит</w:t>
      </w:r>
      <w:r w:rsidRPr="00E51ED1">
        <w:rPr>
          <w:rFonts w:ascii="Times New Roman" w:eastAsia="Times New Roman" w:hAnsi="Times New Roman" w:cs="Times New Roman"/>
          <w:color w:val="222222"/>
          <w:spacing w:val="4"/>
          <w:sz w:val="27"/>
          <w:szCs w:val="27"/>
          <w:lang w:eastAsia="ru-RU"/>
        </w:rPr>
        <w:t> - это острое одонтогенное серозно-гнойное или гнойное воспаление периоста (надкостницы), при котором зона первичного инфекционно-воспалительного процесса в челюсти ограничена пределами одного зубо-альвеолярного сегмента, явившегося местом локализации входных ворот для возбудителей заболевания, с образованием поднадкостничного абсцесса.</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b/>
          <w:bCs/>
          <w:color w:val="222222"/>
          <w:spacing w:val="4"/>
          <w:sz w:val="27"/>
          <w:szCs w:val="27"/>
          <w:lang w:eastAsia="ru-RU"/>
        </w:rPr>
        <w:t>Острый одонтогенный остеомиелит</w:t>
      </w:r>
      <w:r w:rsidRPr="00E51ED1">
        <w:rPr>
          <w:rFonts w:ascii="Times New Roman" w:eastAsia="Times New Roman" w:hAnsi="Times New Roman" w:cs="Times New Roman"/>
          <w:color w:val="222222"/>
          <w:spacing w:val="4"/>
          <w:sz w:val="27"/>
          <w:szCs w:val="27"/>
          <w:lang w:eastAsia="ru-RU"/>
        </w:rPr>
        <w:t> - это острый одонтогенный инфекционно-воспалительный процесс, при котором зона поражения в челюсти распространяется за пределы зубо-альвеолярного сегмента, явившегося местом локализации входных ворот для возбудителя заболевания, на пародонт соседних зубов или тело челюсти.</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b/>
          <w:bCs/>
          <w:color w:val="222222"/>
          <w:spacing w:val="4"/>
          <w:sz w:val="27"/>
          <w:szCs w:val="27"/>
          <w:lang w:eastAsia="ru-RU"/>
        </w:rPr>
        <w:t>Феномен вторичного иммунного воспалительного ответа</w:t>
      </w:r>
      <w:r w:rsidRPr="00E51ED1">
        <w:rPr>
          <w:rFonts w:ascii="Times New Roman" w:eastAsia="Times New Roman" w:hAnsi="Times New Roman" w:cs="Times New Roman"/>
          <w:color w:val="222222"/>
          <w:spacing w:val="4"/>
          <w:sz w:val="27"/>
          <w:szCs w:val="27"/>
          <w:lang w:eastAsia="ru-RU"/>
        </w:rPr>
        <w:t> - феномен сенсибилизации организма повторными контактами с антигеном (описанный в начале ХХ века Артюсом), учитывающий роль сенсибилизации организма в развитии ОИВЗ ЧЛО.</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b/>
          <w:bCs/>
          <w:color w:val="222222"/>
          <w:spacing w:val="4"/>
          <w:sz w:val="27"/>
          <w:szCs w:val="27"/>
          <w:lang w:eastAsia="ru-RU"/>
        </w:rPr>
        <w:t>Реабилитация</w:t>
      </w:r>
      <w:r w:rsidRPr="00E51ED1">
        <w:rPr>
          <w:rFonts w:ascii="Times New Roman" w:eastAsia="Times New Roman" w:hAnsi="Times New Roman" w:cs="Times New Roman"/>
          <w:color w:val="222222"/>
          <w:spacing w:val="4"/>
          <w:sz w:val="27"/>
          <w:szCs w:val="27"/>
          <w:lang w:eastAsia="ru-RU"/>
        </w:rPr>
        <w:t> - это система государственных, социальных, экономических, медицинских, профессиональных и других мероприятий, направленных на предупреждение развития заболеваний и осложнений, ведущих к временной или стойкой утрате трудоспособности и на возвращение больных и инвалидов (взрослых и детей) в общество, к общественно-полезному труду.</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b/>
          <w:bCs/>
          <w:color w:val="222222"/>
          <w:spacing w:val="4"/>
          <w:sz w:val="27"/>
          <w:szCs w:val="27"/>
          <w:lang w:eastAsia="ru-RU"/>
        </w:rPr>
        <w:t>Периостотомия</w:t>
      </w:r>
      <w:r w:rsidRPr="00E51ED1">
        <w:rPr>
          <w:rFonts w:ascii="Times New Roman" w:eastAsia="Times New Roman" w:hAnsi="Times New Roman" w:cs="Times New Roman"/>
          <w:color w:val="222222"/>
          <w:spacing w:val="4"/>
          <w:sz w:val="27"/>
          <w:szCs w:val="27"/>
          <w:lang w:eastAsia="ru-RU"/>
        </w:rPr>
        <w:t> - вскрытие и дренирование поднадкостничного очага воспаления.</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b/>
          <w:bCs/>
          <w:color w:val="222222"/>
          <w:spacing w:val="4"/>
          <w:sz w:val="27"/>
          <w:szCs w:val="27"/>
          <w:lang w:eastAsia="ru-RU"/>
        </w:rPr>
        <w:t>Секвестрэктомия</w:t>
      </w:r>
      <w:r w:rsidRPr="00E51ED1">
        <w:rPr>
          <w:rFonts w:ascii="Times New Roman" w:eastAsia="Times New Roman" w:hAnsi="Times New Roman" w:cs="Times New Roman"/>
          <w:color w:val="222222"/>
          <w:spacing w:val="4"/>
          <w:sz w:val="27"/>
          <w:szCs w:val="27"/>
          <w:lang w:eastAsia="ru-RU"/>
        </w:rPr>
        <w:t> - удаление секвестрировавшегося участка кости.</w:t>
      </w:r>
    </w:p>
    <w:p w:rsidR="00E51ED1" w:rsidRPr="00E51ED1" w:rsidRDefault="00E51ED1" w:rsidP="00E51ED1">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E51ED1">
        <w:rPr>
          <w:rFonts w:ascii="Inter" w:eastAsia="Times New Roman" w:hAnsi="Inter" w:cs="Times New Roman"/>
          <w:b/>
          <w:bCs/>
          <w:color w:val="000000"/>
          <w:spacing w:val="4"/>
          <w:kern w:val="36"/>
          <w:sz w:val="48"/>
          <w:szCs w:val="48"/>
          <w:lang w:eastAsia="ru-RU"/>
        </w:rPr>
        <w:t>1. Краткая информация по заболеванию или состоянию (группы заболеваний или состояний)</w:t>
      </w:r>
    </w:p>
    <w:p w:rsidR="00E51ED1" w:rsidRPr="00E51ED1" w:rsidRDefault="00E51ED1" w:rsidP="00E51ED1">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E51ED1">
        <w:rPr>
          <w:rFonts w:ascii="Inter" w:eastAsia="Times New Roman" w:hAnsi="Inter" w:cs="Times New Roman"/>
          <w:b/>
          <w:bCs/>
          <w:color w:val="000000"/>
          <w:spacing w:val="4"/>
          <w:kern w:val="36"/>
          <w:sz w:val="48"/>
          <w:szCs w:val="48"/>
          <w:lang w:eastAsia="ru-RU"/>
        </w:rPr>
        <w:lastRenderedPageBreak/>
        <w:t>1.1 Определение заболевания или состояния (группы заболеваний или состояний)</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b/>
          <w:bCs/>
          <w:color w:val="222222"/>
          <w:spacing w:val="4"/>
          <w:sz w:val="27"/>
          <w:szCs w:val="27"/>
          <w:lang w:eastAsia="ru-RU"/>
        </w:rPr>
        <w:t>Периостит</w:t>
      </w:r>
      <w:r w:rsidRPr="00E51ED1">
        <w:rPr>
          <w:rFonts w:ascii="Times New Roman" w:eastAsia="Times New Roman" w:hAnsi="Times New Roman" w:cs="Times New Roman"/>
          <w:color w:val="222222"/>
          <w:spacing w:val="4"/>
          <w:sz w:val="27"/>
          <w:szCs w:val="27"/>
          <w:lang w:eastAsia="ru-RU"/>
        </w:rPr>
        <w:t> – это воспалительное заболевание, которое характеризуется распространением воспалительного процесса из одонтогенного или неодонтогенного очага в челюсти в пределах одного зубо- альвеолярного сегмента, включая надкостницу альвеолярного отростка.</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b/>
          <w:bCs/>
          <w:color w:val="222222"/>
          <w:spacing w:val="4"/>
          <w:sz w:val="27"/>
          <w:szCs w:val="27"/>
          <w:lang w:eastAsia="ru-RU"/>
        </w:rPr>
        <w:t>Острый одонтогенный периостит</w:t>
      </w:r>
      <w:r w:rsidRPr="00E51ED1">
        <w:rPr>
          <w:rFonts w:ascii="Times New Roman" w:eastAsia="Times New Roman" w:hAnsi="Times New Roman" w:cs="Times New Roman"/>
          <w:color w:val="222222"/>
          <w:spacing w:val="4"/>
          <w:sz w:val="27"/>
          <w:szCs w:val="27"/>
          <w:lang w:eastAsia="ru-RU"/>
        </w:rPr>
        <w:t> – это острое одонтогенное серозно-гнойное или гнойное воспаление периоста (надкостницы), при котором зона первичного инфекционно-воспалительного процесса в челюсти ограничена пределами одного зубо - альвеолярного сегмента, явившегося местом локализации входных ворот для возбудителей заболевания, с образованием поднадкостничного абсцесса.</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b/>
          <w:bCs/>
          <w:color w:val="222222"/>
          <w:spacing w:val="4"/>
          <w:sz w:val="27"/>
          <w:szCs w:val="27"/>
          <w:lang w:eastAsia="ru-RU"/>
        </w:rPr>
        <w:t>Хронический периостит челюсти</w:t>
      </w:r>
      <w:r w:rsidRPr="00E51ED1">
        <w:rPr>
          <w:rFonts w:ascii="Times New Roman" w:eastAsia="Times New Roman" w:hAnsi="Times New Roman" w:cs="Times New Roman"/>
          <w:color w:val="222222"/>
          <w:spacing w:val="4"/>
          <w:sz w:val="27"/>
          <w:szCs w:val="27"/>
          <w:lang w:eastAsia="ru-RU"/>
        </w:rPr>
        <w:t> – хроническое воспаление надкостницы альвеолярного отростка челюсти.</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b/>
          <w:bCs/>
          <w:color w:val="222222"/>
          <w:spacing w:val="4"/>
          <w:sz w:val="27"/>
          <w:szCs w:val="27"/>
          <w:lang w:eastAsia="ru-RU"/>
        </w:rPr>
        <w:t>Хронический одонтогенный периостит</w:t>
      </w:r>
      <w:r w:rsidRPr="00E51ED1">
        <w:rPr>
          <w:rFonts w:ascii="Times New Roman" w:eastAsia="Times New Roman" w:hAnsi="Times New Roman" w:cs="Times New Roman"/>
          <w:color w:val="222222"/>
          <w:spacing w:val="4"/>
          <w:sz w:val="27"/>
          <w:szCs w:val="27"/>
          <w:lang w:eastAsia="ru-RU"/>
        </w:rPr>
        <w:t> – это хроническое одонтогенное воспаление периоста (надкостницы), при котором зона первичного инфекционно- воспалительного процесса в челюсти ограничена пределами одного зубо-альвеолярного сегмента, явившегося местом локализации входных ворот для возбудителей заболевания.</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b/>
          <w:bCs/>
          <w:color w:val="222222"/>
          <w:spacing w:val="4"/>
          <w:sz w:val="27"/>
          <w:szCs w:val="27"/>
          <w:lang w:eastAsia="ru-RU"/>
        </w:rPr>
        <w:t>Остеомиелит челюсти</w:t>
      </w:r>
      <w:r w:rsidRPr="00E51ED1">
        <w:rPr>
          <w:rFonts w:ascii="Times New Roman" w:eastAsia="Times New Roman" w:hAnsi="Times New Roman" w:cs="Times New Roman"/>
          <w:color w:val="222222"/>
          <w:spacing w:val="4"/>
          <w:sz w:val="27"/>
          <w:szCs w:val="27"/>
          <w:lang w:eastAsia="ru-RU"/>
        </w:rPr>
        <w:t> – гнойно-некротическое воспалительное заболевание костной ткани челюстной кости (одновременно всех ее структурных компонентов) инфекционно-аллергической природы одонтогенного или неодонтогенного происхождения.</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b/>
          <w:bCs/>
          <w:color w:val="222222"/>
          <w:spacing w:val="4"/>
          <w:sz w:val="27"/>
          <w:szCs w:val="27"/>
          <w:lang w:eastAsia="ru-RU"/>
        </w:rPr>
        <w:t>Острый одонтогенный остеомиелит</w:t>
      </w:r>
      <w:r w:rsidRPr="00E51ED1">
        <w:rPr>
          <w:rFonts w:ascii="Times New Roman" w:eastAsia="Times New Roman" w:hAnsi="Times New Roman" w:cs="Times New Roman"/>
          <w:color w:val="222222"/>
          <w:spacing w:val="4"/>
          <w:sz w:val="27"/>
          <w:szCs w:val="27"/>
          <w:lang w:eastAsia="ru-RU"/>
        </w:rPr>
        <w:t> – это острый одонтогенный инфекционно-воспалительный процесс, при котором зона поражения в челюсти распространяется за пределы зубо-альвеолярного сегмента, явившегося местом локализации входных ворот для возбудителя заболевания, на пародонт соседних зубов или тело челюсти.</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b/>
          <w:bCs/>
          <w:color w:val="222222"/>
          <w:spacing w:val="4"/>
          <w:sz w:val="27"/>
          <w:szCs w:val="27"/>
          <w:lang w:eastAsia="ru-RU"/>
        </w:rPr>
        <w:t>Хронический остеомиелит</w:t>
      </w:r>
      <w:r w:rsidRPr="00E51ED1">
        <w:rPr>
          <w:rFonts w:ascii="Times New Roman" w:eastAsia="Times New Roman" w:hAnsi="Times New Roman" w:cs="Times New Roman"/>
          <w:color w:val="222222"/>
          <w:spacing w:val="4"/>
          <w:sz w:val="27"/>
          <w:szCs w:val="27"/>
          <w:lang w:eastAsia="ru-RU"/>
        </w:rPr>
        <w:t> – гнойное деструктивное или пролиферативное воспаление костной ткани, характеризующееся образованием секвестров или отсутствием тенденции к спонтанному выздоровлению и нарастанием резорбтивных и продуктивных изменений в кости и периосте.</w:t>
      </w:r>
    </w:p>
    <w:p w:rsidR="00E51ED1" w:rsidRPr="00E51ED1" w:rsidRDefault="00E51ED1" w:rsidP="00E51ED1">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E51ED1">
        <w:rPr>
          <w:rFonts w:ascii="Inter" w:eastAsia="Times New Roman" w:hAnsi="Inter" w:cs="Times New Roman"/>
          <w:b/>
          <w:bCs/>
          <w:color w:val="000000"/>
          <w:spacing w:val="4"/>
          <w:kern w:val="36"/>
          <w:sz w:val="48"/>
          <w:szCs w:val="48"/>
          <w:lang w:eastAsia="ru-RU"/>
        </w:rPr>
        <w:lastRenderedPageBreak/>
        <w:t>1.2 Этиология и патогенез заболевания или состояния (группы заболеваний или состояний)</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Этиология.</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Периостит развивается на фоне острого или обострения хронических одонтогенных заболеваний, чаще всего — хронического периодонтита, реже — пародонтита, перикоронита.</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Воспалительные заболевания тканей челюстно-лицевой локализации, в том числе и костной ткани, возникают вследствие их инфицирования микробиотой, которая  вегетирует в полости рта, на кожных покровах.</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Современные микробиологические исследования выявили, что типы бактерий, вызывающие одонтогенные инфекции, включают широкий спектр факультативных и строго анаэробных микроорганизмов, которые считаются представителями условно-патогенной микробиоты полости рта человека. При периостите микробиота может быть представлена: </w:t>
      </w:r>
      <w:r w:rsidRPr="00E51ED1">
        <w:rPr>
          <w:rFonts w:ascii="Times New Roman" w:eastAsia="Times New Roman" w:hAnsi="Times New Roman" w:cs="Times New Roman"/>
          <w:i/>
          <w:iCs/>
          <w:color w:val="333333"/>
          <w:spacing w:val="4"/>
          <w:sz w:val="27"/>
          <w:szCs w:val="27"/>
          <w:lang w:eastAsia="ru-RU"/>
        </w:rPr>
        <w:t>Peptcoccus niger, Peptostreptococcus spp., Bacteroides spp., Prevotella oralis, Prevotella mela-ninogenica, Streptococcus anginosus, Porphiromonas gingivalis.</w:t>
      </w:r>
      <w:r w:rsidRPr="00E51ED1">
        <w:rPr>
          <w:rFonts w:ascii="Times New Roman" w:eastAsia="Times New Roman" w:hAnsi="Times New Roman" w:cs="Times New Roman"/>
          <w:color w:val="222222"/>
          <w:spacing w:val="4"/>
          <w:sz w:val="27"/>
          <w:szCs w:val="27"/>
          <w:lang w:eastAsia="ru-RU"/>
        </w:rPr>
        <w:t> Микробный состав у лиц пожилого возраста представлен преимущественно факультативными анаэробами в комбинации из 2-3 видов, тогда как в молодом возрасте преобладают облигатные формы микроорганизмов в моновиде. Для хронического периостита</w:t>
      </w:r>
      <w:r w:rsidRPr="00E51ED1">
        <w:rPr>
          <w:rFonts w:ascii="Times New Roman" w:eastAsia="Times New Roman" w:hAnsi="Times New Roman" w:cs="Times New Roman"/>
          <w:i/>
          <w:iCs/>
          <w:color w:val="333333"/>
          <w:spacing w:val="4"/>
          <w:sz w:val="27"/>
          <w:szCs w:val="27"/>
          <w:lang w:eastAsia="ru-RU"/>
        </w:rPr>
        <w:t> </w:t>
      </w:r>
      <w:r w:rsidRPr="00E51ED1">
        <w:rPr>
          <w:rFonts w:ascii="Times New Roman" w:eastAsia="Times New Roman" w:hAnsi="Times New Roman" w:cs="Times New Roman"/>
          <w:color w:val="222222"/>
          <w:spacing w:val="4"/>
          <w:sz w:val="27"/>
          <w:szCs w:val="27"/>
          <w:lang w:eastAsia="ru-RU"/>
        </w:rPr>
        <w:t>характерно наличие длительно существующего очага одонтогенной инфекции с частыми рецидивирующими обострениями на фоне иммунодефицитных состояний организма. Рарефицирующий периостит возникает как следствие хронической травмы и возникает чаще всего в центральном отделе нижней челюсти [21, 22, 23, 27, 32, 83,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Возбудителями одонтогенного остеомиелита также является условно-патогенная микробиота полости рта. По данным А.И. Яременко (2007), в 50 % случаев воспалительных заболеваний челюстно-лицевой локализации (ЧЛЛ), выявляется золотистый стафилококк в сочетании с анаэробами. По данным Т.Г. Робустовой и В.В. Шулакова (2016) 65-75 % микробиоты приходится на неспоробразующие анаэробы. Реже обнаруживаются актиномицеты, вейлонеллы; 35 % составляют факультативно-анаэробные и аэробные бактерии [99]. Микробиота при остеомиелитах челюстей может быть представлена: </w:t>
      </w:r>
      <w:r w:rsidRPr="00E51ED1">
        <w:rPr>
          <w:rFonts w:ascii="Times New Roman" w:eastAsia="Times New Roman" w:hAnsi="Times New Roman" w:cs="Times New Roman"/>
          <w:i/>
          <w:iCs/>
          <w:color w:val="333333"/>
          <w:spacing w:val="4"/>
          <w:sz w:val="27"/>
          <w:szCs w:val="27"/>
          <w:lang w:eastAsia="ru-RU"/>
        </w:rPr>
        <w:t xml:space="preserve">Streptococcus pp., Peptostreptococcus spp., Bacteroides spp., </w:t>
      </w:r>
      <w:r w:rsidRPr="00E51ED1">
        <w:rPr>
          <w:rFonts w:ascii="Times New Roman" w:eastAsia="Times New Roman" w:hAnsi="Times New Roman" w:cs="Times New Roman"/>
          <w:i/>
          <w:iCs/>
          <w:color w:val="333333"/>
          <w:spacing w:val="4"/>
          <w:sz w:val="27"/>
          <w:szCs w:val="27"/>
          <w:lang w:eastAsia="ru-RU"/>
        </w:rPr>
        <w:lastRenderedPageBreak/>
        <w:t>Actinomyces israelii, Enterobacteriaceae, Staphylococcus aureus</w:t>
      </w:r>
      <w:r w:rsidRPr="00E51ED1">
        <w:rPr>
          <w:rFonts w:ascii="Times New Roman" w:eastAsia="Times New Roman" w:hAnsi="Times New Roman" w:cs="Times New Roman"/>
          <w:color w:val="222222"/>
          <w:spacing w:val="4"/>
          <w:sz w:val="27"/>
          <w:szCs w:val="27"/>
          <w:lang w:eastAsia="ru-RU"/>
        </w:rPr>
        <w:t>. По данным Яременко А.И. с соавт. (2019), при воспалительных заболеваниях челюстей состав микробиоты включает </w:t>
      </w:r>
      <w:r w:rsidRPr="00E51ED1">
        <w:rPr>
          <w:rFonts w:ascii="Times New Roman" w:eastAsia="Times New Roman" w:hAnsi="Times New Roman" w:cs="Times New Roman"/>
          <w:i/>
          <w:iCs/>
          <w:color w:val="333333"/>
          <w:spacing w:val="4"/>
          <w:sz w:val="27"/>
          <w:szCs w:val="27"/>
          <w:lang w:eastAsia="ru-RU"/>
        </w:rPr>
        <w:t>Candida albicans – </w:t>
      </w:r>
      <w:r w:rsidRPr="00E51ED1">
        <w:rPr>
          <w:rFonts w:ascii="Times New Roman" w:eastAsia="Times New Roman" w:hAnsi="Times New Roman" w:cs="Times New Roman"/>
          <w:color w:val="222222"/>
          <w:spacing w:val="4"/>
          <w:sz w:val="27"/>
          <w:szCs w:val="27"/>
          <w:lang w:eastAsia="ru-RU"/>
        </w:rPr>
        <w:t>5,6 %,</w:t>
      </w:r>
      <w:r w:rsidRPr="00E51ED1">
        <w:rPr>
          <w:rFonts w:ascii="Times New Roman" w:eastAsia="Times New Roman" w:hAnsi="Times New Roman" w:cs="Times New Roman"/>
          <w:i/>
          <w:iCs/>
          <w:color w:val="333333"/>
          <w:spacing w:val="4"/>
          <w:sz w:val="27"/>
          <w:szCs w:val="27"/>
          <w:lang w:eastAsia="ru-RU"/>
        </w:rPr>
        <w:t> Candida krusei – </w:t>
      </w:r>
      <w:r w:rsidRPr="00E51ED1">
        <w:rPr>
          <w:rFonts w:ascii="Times New Roman" w:eastAsia="Times New Roman" w:hAnsi="Times New Roman" w:cs="Times New Roman"/>
          <w:color w:val="222222"/>
          <w:spacing w:val="4"/>
          <w:sz w:val="27"/>
          <w:szCs w:val="27"/>
          <w:lang w:eastAsia="ru-RU"/>
        </w:rPr>
        <w:t>1,4 %,</w:t>
      </w:r>
      <w:r w:rsidRPr="00E51ED1">
        <w:rPr>
          <w:rFonts w:ascii="Times New Roman" w:eastAsia="Times New Roman" w:hAnsi="Times New Roman" w:cs="Times New Roman"/>
          <w:i/>
          <w:iCs/>
          <w:color w:val="333333"/>
          <w:spacing w:val="4"/>
          <w:sz w:val="27"/>
          <w:szCs w:val="27"/>
          <w:lang w:eastAsia="ru-RU"/>
        </w:rPr>
        <w:t> Candida spp. –</w:t>
      </w:r>
      <w:r w:rsidRPr="00E51ED1">
        <w:rPr>
          <w:rFonts w:ascii="Times New Roman" w:eastAsia="Times New Roman" w:hAnsi="Times New Roman" w:cs="Times New Roman"/>
          <w:color w:val="222222"/>
          <w:spacing w:val="4"/>
          <w:sz w:val="27"/>
          <w:szCs w:val="27"/>
          <w:lang w:eastAsia="ru-RU"/>
        </w:rPr>
        <w:t> 1,4 %</w:t>
      </w:r>
      <w:r w:rsidRPr="00E51ED1">
        <w:rPr>
          <w:rFonts w:ascii="Times New Roman" w:eastAsia="Times New Roman" w:hAnsi="Times New Roman" w:cs="Times New Roman"/>
          <w:i/>
          <w:iCs/>
          <w:color w:val="333333"/>
          <w:spacing w:val="4"/>
          <w:sz w:val="27"/>
          <w:szCs w:val="27"/>
          <w:lang w:eastAsia="ru-RU"/>
        </w:rPr>
        <w:t>, Enterobacter spp. –</w:t>
      </w:r>
      <w:r w:rsidRPr="00E51ED1">
        <w:rPr>
          <w:rFonts w:ascii="Times New Roman" w:eastAsia="Times New Roman" w:hAnsi="Times New Roman" w:cs="Times New Roman"/>
          <w:color w:val="222222"/>
          <w:spacing w:val="4"/>
          <w:sz w:val="27"/>
          <w:szCs w:val="27"/>
          <w:lang w:eastAsia="ru-RU"/>
        </w:rPr>
        <w:t> 1,4 %,</w:t>
      </w:r>
      <w:r w:rsidRPr="00E51ED1">
        <w:rPr>
          <w:rFonts w:ascii="Times New Roman" w:eastAsia="Times New Roman" w:hAnsi="Times New Roman" w:cs="Times New Roman"/>
          <w:i/>
          <w:iCs/>
          <w:color w:val="333333"/>
          <w:spacing w:val="4"/>
          <w:sz w:val="27"/>
          <w:szCs w:val="27"/>
          <w:lang w:eastAsia="ru-RU"/>
        </w:rPr>
        <w:t> Enterococcus faecalis – </w:t>
      </w:r>
      <w:r w:rsidRPr="00E51ED1">
        <w:rPr>
          <w:rFonts w:ascii="Times New Roman" w:eastAsia="Times New Roman" w:hAnsi="Times New Roman" w:cs="Times New Roman"/>
          <w:color w:val="222222"/>
          <w:spacing w:val="4"/>
          <w:sz w:val="27"/>
          <w:szCs w:val="27"/>
          <w:lang w:eastAsia="ru-RU"/>
        </w:rPr>
        <w:t>2,8 %,</w:t>
      </w:r>
      <w:r w:rsidRPr="00E51ED1">
        <w:rPr>
          <w:rFonts w:ascii="Times New Roman" w:eastAsia="Times New Roman" w:hAnsi="Times New Roman" w:cs="Times New Roman"/>
          <w:i/>
          <w:iCs/>
          <w:color w:val="333333"/>
          <w:spacing w:val="4"/>
          <w:sz w:val="27"/>
          <w:szCs w:val="27"/>
          <w:lang w:eastAsia="ru-RU"/>
        </w:rPr>
        <w:t> Klebsiella pneumonia – </w:t>
      </w:r>
      <w:r w:rsidRPr="00E51ED1">
        <w:rPr>
          <w:rFonts w:ascii="Times New Roman" w:eastAsia="Times New Roman" w:hAnsi="Times New Roman" w:cs="Times New Roman"/>
          <w:color w:val="222222"/>
          <w:spacing w:val="4"/>
          <w:sz w:val="27"/>
          <w:szCs w:val="27"/>
          <w:lang w:eastAsia="ru-RU"/>
        </w:rPr>
        <w:t>9,9 %</w:t>
      </w:r>
      <w:r w:rsidRPr="00E51ED1">
        <w:rPr>
          <w:rFonts w:ascii="Times New Roman" w:eastAsia="Times New Roman" w:hAnsi="Times New Roman" w:cs="Times New Roman"/>
          <w:i/>
          <w:iCs/>
          <w:color w:val="333333"/>
          <w:spacing w:val="4"/>
          <w:sz w:val="27"/>
          <w:szCs w:val="27"/>
          <w:lang w:eastAsia="ru-RU"/>
        </w:rPr>
        <w:t>, Proteus mirabilis  –  </w:t>
      </w:r>
      <w:r w:rsidRPr="00E51ED1">
        <w:rPr>
          <w:rFonts w:ascii="Times New Roman" w:eastAsia="Times New Roman" w:hAnsi="Times New Roman" w:cs="Times New Roman"/>
          <w:color w:val="222222"/>
          <w:spacing w:val="4"/>
          <w:sz w:val="27"/>
          <w:szCs w:val="27"/>
          <w:lang w:eastAsia="ru-RU"/>
        </w:rPr>
        <w:t>1,4 %,</w:t>
      </w:r>
      <w:r w:rsidRPr="00E51ED1">
        <w:rPr>
          <w:rFonts w:ascii="Times New Roman" w:eastAsia="Times New Roman" w:hAnsi="Times New Roman" w:cs="Times New Roman"/>
          <w:i/>
          <w:iCs/>
          <w:color w:val="333333"/>
          <w:spacing w:val="4"/>
          <w:sz w:val="27"/>
          <w:szCs w:val="27"/>
          <w:lang w:eastAsia="ru-RU"/>
        </w:rPr>
        <w:t> Pseudomonas aeruginosa – </w:t>
      </w:r>
      <w:r w:rsidRPr="00E51ED1">
        <w:rPr>
          <w:rFonts w:ascii="Times New Roman" w:eastAsia="Times New Roman" w:hAnsi="Times New Roman" w:cs="Times New Roman"/>
          <w:color w:val="222222"/>
          <w:spacing w:val="4"/>
          <w:sz w:val="27"/>
          <w:szCs w:val="27"/>
          <w:lang w:eastAsia="ru-RU"/>
        </w:rPr>
        <w:t>1,4 %,</w:t>
      </w:r>
      <w:r w:rsidRPr="00E51ED1">
        <w:rPr>
          <w:rFonts w:ascii="Times New Roman" w:eastAsia="Times New Roman" w:hAnsi="Times New Roman" w:cs="Times New Roman"/>
          <w:i/>
          <w:iCs/>
          <w:color w:val="333333"/>
          <w:spacing w:val="4"/>
          <w:sz w:val="27"/>
          <w:szCs w:val="27"/>
          <w:lang w:eastAsia="ru-RU"/>
        </w:rPr>
        <w:t> Staphylococcus aureus – </w:t>
      </w:r>
      <w:r w:rsidRPr="00E51ED1">
        <w:rPr>
          <w:rFonts w:ascii="Times New Roman" w:eastAsia="Times New Roman" w:hAnsi="Times New Roman" w:cs="Times New Roman"/>
          <w:color w:val="222222"/>
          <w:spacing w:val="4"/>
          <w:sz w:val="27"/>
          <w:szCs w:val="27"/>
          <w:lang w:eastAsia="ru-RU"/>
        </w:rPr>
        <w:t>4,2 %,</w:t>
      </w:r>
      <w:r w:rsidRPr="00E51ED1">
        <w:rPr>
          <w:rFonts w:ascii="Times New Roman" w:eastAsia="Times New Roman" w:hAnsi="Times New Roman" w:cs="Times New Roman"/>
          <w:i/>
          <w:iCs/>
          <w:color w:val="333333"/>
          <w:spacing w:val="4"/>
          <w:sz w:val="27"/>
          <w:szCs w:val="27"/>
          <w:lang w:eastAsia="ru-RU"/>
        </w:rPr>
        <w:t> </w:t>
      </w:r>
      <w:r w:rsidRPr="00E51ED1">
        <w:rPr>
          <w:rFonts w:ascii="Times New Roman" w:eastAsia="Times New Roman" w:hAnsi="Times New Roman" w:cs="Times New Roman"/>
          <w:color w:val="222222"/>
          <w:spacing w:val="4"/>
          <w:sz w:val="27"/>
          <w:szCs w:val="27"/>
          <w:lang w:eastAsia="ru-RU"/>
        </w:rPr>
        <w:t>26,8 %</w:t>
      </w:r>
      <w:r w:rsidRPr="00E51ED1">
        <w:rPr>
          <w:rFonts w:ascii="Times New Roman" w:eastAsia="Times New Roman" w:hAnsi="Times New Roman" w:cs="Times New Roman"/>
          <w:i/>
          <w:iCs/>
          <w:color w:val="333333"/>
          <w:spacing w:val="4"/>
          <w:sz w:val="27"/>
          <w:szCs w:val="27"/>
          <w:lang w:eastAsia="ru-RU"/>
        </w:rPr>
        <w:t>, Staphylococcus saprophyticus – </w:t>
      </w:r>
      <w:r w:rsidRPr="00E51ED1">
        <w:rPr>
          <w:rFonts w:ascii="Times New Roman" w:eastAsia="Times New Roman" w:hAnsi="Times New Roman" w:cs="Times New Roman"/>
          <w:color w:val="222222"/>
          <w:spacing w:val="4"/>
          <w:sz w:val="27"/>
          <w:szCs w:val="27"/>
          <w:lang w:eastAsia="ru-RU"/>
        </w:rPr>
        <w:t>2,8 %,</w:t>
      </w:r>
      <w:r w:rsidRPr="00E51ED1">
        <w:rPr>
          <w:rFonts w:ascii="Times New Roman" w:eastAsia="Times New Roman" w:hAnsi="Times New Roman" w:cs="Times New Roman"/>
          <w:i/>
          <w:iCs/>
          <w:color w:val="333333"/>
          <w:spacing w:val="4"/>
          <w:sz w:val="27"/>
          <w:szCs w:val="27"/>
          <w:lang w:eastAsia="ru-RU"/>
        </w:rPr>
        <w:t> Streptococcus spp. – </w:t>
      </w:r>
      <w:r w:rsidRPr="00E51ED1">
        <w:rPr>
          <w:rFonts w:ascii="Times New Roman" w:eastAsia="Times New Roman" w:hAnsi="Times New Roman" w:cs="Times New Roman"/>
          <w:color w:val="222222"/>
          <w:spacing w:val="4"/>
          <w:sz w:val="27"/>
          <w:szCs w:val="27"/>
          <w:lang w:eastAsia="ru-RU"/>
        </w:rPr>
        <w:t>9,9 %,</w:t>
      </w:r>
      <w:r w:rsidRPr="00E51ED1">
        <w:rPr>
          <w:rFonts w:ascii="Times New Roman" w:eastAsia="Times New Roman" w:hAnsi="Times New Roman" w:cs="Times New Roman"/>
          <w:i/>
          <w:iCs/>
          <w:color w:val="333333"/>
          <w:spacing w:val="4"/>
          <w:sz w:val="27"/>
          <w:szCs w:val="27"/>
          <w:lang w:eastAsia="ru-RU"/>
        </w:rPr>
        <w:t> Streptococcus viridians group – </w:t>
      </w:r>
      <w:r w:rsidRPr="00E51ED1">
        <w:rPr>
          <w:rFonts w:ascii="Times New Roman" w:eastAsia="Times New Roman" w:hAnsi="Times New Roman" w:cs="Times New Roman"/>
          <w:color w:val="222222"/>
          <w:spacing w:val="4"/>
          <w:sz w:val="27"/>
          <w:szCs w:val="27"/>
          <w:lang w:eastAsia="ru-RU"/>
        </w:rPr>
        <w:t>31 %. По мере стихания воспаления микробиота становится более разнообразной и при хроническом течении остеомиелита состав её приближается по составу к микробиоценозу пародонтального кармана [21, 103].</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Общими предрасполагающими факторами развития остеомиелита служат: анатомо- топографические особенности строения и кровоснабжения участка кости, снижение общей неспецифической и иммунной резистентности, фоновая общесоматическая патология (сахарный диабет, заболевания крови, хроническая сердечно-сосудистая недостаточность или печеночно-почечная, воздействие ионизирующего облучения или приём антирезорбтивных препаратов [21, 23, 27, 32, 83].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Патогенез. </w:t>
      </w:r>
      <w:r w:rsidRPr="00E51ED1">
        <w:rPr>
          <w:rFonts w:ascii="Times New Roman" w:eastAsia="Times New Roman" w:hAnsi="Times New Roman" w:cs="Times New Roman"/>
          <w:color w:val="222222"/>
          <w:spacing w:val="4"/>
          <w:sz w:val="27"/>
          <w:szCs w:val="27"/>
          <w:lang w:eastAsia="ru-RU"/>
        </w:rPr>
        <w:t>Серозный периостит рассматривают как реактивный воспалительный процесс в надкостнице, который сопутствует обострившемуся хроническому периодонтиту.</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При гнойном периостите экссудат из тканей воспалённого периодонта проникает под надкостницу через фолькмановские и гаверсовы каналы, по лимфатическим сосудам или через ранее образовавшуюся узуру в стенке лунки. Вслед за фазой отёка и экссудации следует фаза инфильтрации, вызывая развитие инфекционно-аллергического воспаления с последующим выпотом экссудата под периост челюсти. В возникновении острого одонтогенного периостита челюстей основным предрасполагающим фактором является микробная сенсибилизация к стафилококку, частота и выраженность которой коррелируют с тяжестью и распространённостью процесса.</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При хроническом периостите</w:t>
      </w:r>
      <w:r w:rsidRPr="00E51ED1">
        <w:rPr>
          <w:rFonts w:ascii="Times New Roman" w:eastAsia="Times New Roman" w:hAnsi="Times New Roman" w:cs="Times New Roman"/>
          <w:i/>
          <w:iCs/>
          <w:color w:val="333333"/>
          <w:spacing w:val="4"/>
          <w:sz w:val="27"/>
          <w:szCs w:val="27"/>
          <w:lang w:eastAsia="ru-RU"/>
        </w:rPr>
        <w:t> </w:t>
      </w:r>
      <w:r w:rsidRPr="00E51ED1">
        <w:rPr>
          <w:rFonts w:ascii="Times New Roman" w:eastAsia="Times New Roman" w:hAnsi="Times New Roman" w:cs="Times New Roman"/>
          <w:color w:val="222222"/>
          <w:spacing w:val="4"/>
          <w:sz w:val="27"/>
          <w:szCs w:val="27"/>
          <w:lang w:eastAsia="ru-RU"/>
        </w:rPr>
        <w:t xml:space="preserve">воспалительный процесс чаще начинается в надкостнице нижней челюсти и отличается местной гипергической воспалительной реакцией. Такое течение наблюдают у больных с первичными или вторичными иммунодефицитными заболеваниями или состояниями, и носит чаще всего первично-хронический характер. Для хронического периостита характерно наличие хронического воспалительного очага в </w:t>
      </w:r>
      <w:r w:rsidRPr="00E51ED1">
        <w:rPr>
          <w:rFonts w:ascii="Times New Roman" w:eastAsia="Times New Roman" w:hAnsi="Times New Roman" w:cs="Times New Roman"/>
          <w:color w:val="222222"/>
          <w:spacing w:val="4"/>
          <w:sz w:val="27"/>
          <w:szCs w:val="27"/>
          <w:lang w:eastAsia="ru-RU"/>
        </w:rPr>
        <w:lastRenderedPageBreak/>
        <w:t>периодонте, который вызывает вялотекущее локализованное воспаление надкостницы с образование фиброзной ткани (фиброзный периостит) и преобладанием продуктивного компонента в подлежащей кортикальной кости. При простом хроническом периостите вновь образованная остеоидная ткань после лечения подвергается обратному развитию. При длительном течении в результате остеобластической реакции происходит превращение молодой костной ткани в зрелую, высокосклерозированную, воспалительный процесс заканчивается гиперостозом. Рарефицирующий периостит характеризуется поверхностной субпериостальной резорбцией костной ткани. В результате травмы надкостницы образуется гематома, а её организация ведёт к уплотнению надкостницы с выраженными резорбтивными явлениями по краю кортикальной кости и перестройкой костных структур.</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xml:space="preserve">В патогенезе одонтогенного остеомиелита решающая роль отводится нарушению иммунного баланса, в основе которого лежит сенсибилизация на фоне длительно существующих множественных и хронических очагов одонтогенной инфекции, усиливающаяся при обострении, и снижение общей реактивности организма. Постоянное воздействие микроорганизмов на костный мозг нарушает его структуру, клеточную реактивность и репаративные возможности. Расширение множества мелких кровеносных сосудов в околоверхушечной части альвеолы при обострении создаёт благоприятные условия к распространению инфекции непосредственно в костномозговые пространства альвеолярного отростка и тела челюсти. В основе микроциркуляторных расстройств лежит феномен аллергии 2,3,4 типов. Повышение проницаемости сосудов, происходящее как следствие активации клеток, участвующих в аллергических реакциях (тучные клетки, базофилы, макрофаги и др.), и выброса ими огромного количества медиаторов аллергии и воспаления, приводят к нарушению свёртываемости и фибринолитической активности, образованию микротромбов в сосудах костного мозга и их гнойному расплавлению. Питательные каналы остеона подвергаются гнойному расплавлению, в поражённом участке кости формируется зона некроза без демаркационного воспаления. Скопление гноя в костномозговых пространствах приводит к внутрикостной гипертензии и вовлечению экстраоссальных сосудов. Развивается коллатеральный отёк надкостницы, гнойное расплавление её и выход гноя в околочелюстные мягкие ткани с развитием одонтогенных флегмон. Увеличению объёма повреждения и некроза кости при остеомиелите способствуют такие вторичные механизмы, как расстройство кровообращения в очаге и усиление гипоксии в результате </w:t>
      </w:r>
      <w:r w:rsidRPr="00E51ED1">
        <w:rPr>
          <w:rFonts w:ascii="Times New Roman" w:eastAsia="Times New Roman" w:hAnsi="Times New Roman" w:cs="Times New Roman"/>
          <w:color w:val="222222"/>
          <w:spacing w:val="4"/>
          <w:sz w:val="27"/>
          <w:szCs w:val="27"/>
          <w:lang w:eastAsia="ru-RU"/>
        </w:rPr>
        <w:lastRenderedPageBreak/>
        <w:t>развития венозного полнокровия и лимфостаза; повреждение системы экстраоссальных сосудов при отслаивании надкостницы из-за экссудации, либо при дренировании очага, особенно на нижней челюсти.</w:t>
      </w:r>
    </w:p>
    <w:p w:rsidR="00E51ED1" w:rsidRPr="00E51ED1" w:rsidRDefault="00E51ED1" w:rsidP="00E51ED1">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E51ED1">
        <w:rPr>
          <w:rFonts w:ascii="Inter" w:eastAsia="Times New Roman" w:hAnsi="Inter" w:cs="Times New Roman"/>
          <w:b/>
          <w:bCs/>
          <w:color w:val="000000"/>
          <w:spacing w:val="4"/>
          <w:kern w:val="36"/>
          <w:sz w:val="48"/>
          <w:szCs w:val="48"/>
          <w:lang w:eastAsia="ru-RU"/>
        </w:rPr>
        <w:t>1.3 Эпидемиология заболевания или состояния (группы заболеваний или состояний)</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Периостит челюстей встречается у 5,2-5,4 % пациентов, находящихся на лечении в поликлинике. По данным А.А. Тимофеева (2010) у 20-23 % пациентов, находившихся на стационарном лечении с воспалительными заболеваниями, наблюдаются осложнённые формы периостита. В острой форме периостит протекает в 94-95 % случаев, а в хронической - в 5-6 %. Воспалительный процесс при периостите локализуется на одной стороне челюсти, чаще с вестибулярной поверхности, у 93,4 % пациентов. По данным литературы, периостит развивается в области нижней челюсти у 61,3 % пациентов, в области верхней челюсти - у 38,7 % [64, 66, 71].</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Остеомиелит челюсти одонтогенного происхождения составляет до 74,2 % всех других остеомиелитов челюстей. Заболевание встречается преимущественно у мужчин среднего возраста. По локализации «причинного» зуба при остеомиелите на нижней челюсти первое место занимает первый нижний моляр, второе - нижний «зуб мудрости», вокруг которого возникает не только периапикальный, но и маргинальный воспалительный процесс, третье - нижний второй моляр. У госпитализированных пациентов поражение нижней челюсти регистрируется в 85 % случаев от общего числа пациентов с остеомиелитом челюстей, а на амбулаторном поликлиническом приёме - с остеомиелитом верхней челюсти [27, 64, 66, 71].</w:t>
      </w:r>
    </w:p>
    <w:p w:rsidR="00E51ED1" w:rsidRPr="00E51ED1" w:rsidRDefault="00E51ED1" w:rsidP="00E51ED1">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E51ED1">
        <w:rPr>
          <w:rFonts w:ascii="Inter" w:eastAsia="Times New Roman" w:hAnsi="Inter" w:cs="Times New Roman"/>
          <w:b/>
          <w:bCs/>
          <w:color w:val="000000"/>
          <w:spacing w:val="4"/>
          <w:kern w:val="36"/>
          <w:sz w:val="48"/>
          <w:szCs w:val="48"/>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lastRenderedPageBreak/>
        <w:t>К10.2 Воспалительные заболевания челюстей.</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Остеит челюсти (острый) (хронический) (гнойный)</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Остеомиелит (неонатальный) челюсти (острый) (хронический) (гнойный)</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Остеонекроз (медикаментозный) (радиационный) челюсти (острый) (хронический) (гнойный)</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Периостит челюсти (острый) (хронический) (гнойный)</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Секвестр челюстной кости</w:t>
      </w:r>
    </w:p>
    <w:p w:rsidR="00E51ED1" w:rsidRPr="00E51ED1" w:rsidRDefault="00E51ED1" w:rsidP="00E51ED1">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E51ED1">
        <w:rPr>
          <w:rFonts w:ascii="Inter" w:eastAsia="Times New Roman" w:hAnsi="Inter" w:cs="Times New Roman"/>
          <w:b/>
          <w:bCs/>
          <w:color w:val="000000"/>
          <w:spacing w:val="4"/>
          <w:kern w:val="36"/>
          <w:sz w:val="48"/>
          <w:szCs w:val="48"/>
          <w:lang w:eastAsia="ru-RU"/>
        </w:rPr>
        <w:t>1.5 Классификация заболевания или состояния (группы заболеваний или состояний)</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Периостит челюсти</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Различают следующие формы периостита челюсти [50, 64, 71, 74]:</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Классификация периоститов челюстей у взрослых:</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1. Острый периостит:</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1.1. Серозная форма.</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1.2. Гнойная форма: ограниченный, диффузный.</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2. Хронический периостит:</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1.1. Простой.</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1.2. Оссифицирующий.</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1.3. Рарефицирующий.</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Остеомиелит челюсти.</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Различают следующие классификации остеомиелита челюстей:</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1. </w:t>
      </w:r>
      <w:r w:rsidRPr="00E51ED1">
        <w:rPr>
          <w:rFonts w:ascii="Times New Roman" w:eastAsia="Times New Roman" w:hAnsi="Times New Roman" w:cs="Times New Roman"/>
          <w:b/>
          <w:bCs/>
          <w:color w:val="222222"/>
          <w:spacing w:val="4"/>
          <w:sz w:val="27"/>
          <w:szCs w:val="27"/>
          <w:lang w:eastAsia="ru-RU"/>
        </w:rPr>
        <w:t>Классификация остеомиелитов в зависимости от этиологического фактора и пути про никновения инфекции</w:t>
      </w:r>
      <w:r w:rsidRPr="00E51ED1">
        <w:rPr>
          <w:rFonts w:ascii="Times New Roman" w:eastAsia="Times New Roman" w:hAnsi="Times New Roman" w:cs="Times New Roman"/>
          <w:color w:val="222222"/>
          <w:spacing w:val="4"/>
          <w:sz w:val="27"/>
          <w:szCs w:val="27"/>
          <w:lang w:eastAsia="ru-RU"/>
        </w:rPr>
        <w:t> [21, 27, 36, 64]:</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1. Одонтогенный.</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2. Гематогенный.</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lastRenderedPageBreak/>
        <w:t>3. Травматический, в том числе, и огнестрельный.</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4. Контактный остеомиелит, возникающий при переходе воспаления на кость с прилежащих тканей или органов. </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2. </w:t>
      </w:r>
      <w:r w:rsidRPr="00E51ED1">
        <w:rPr>
          <w:rFonts w:ascii="Times New Roman" w:eastAsia="Times New Roman" w:hAnsi="Times New Roman" w:cs="Times New Roman"/>
          <w:b/>
          <w:bCs/>
          <w:color w:val="222222"/>
          <w:spacing w:val="4"/>
          <w:sz w:val="27"/>
          <w:szCs w:val="27"/>
          <w:lang w:eastAsia="ru-RU"/>
        </w:rPr>
        <w:t>Классификация Лукьяненко В.И. (1968).</w:t>
      </w:r>
    </w:p>
    <w:tbl>
      <w:tblPr>
        <w:tblW w:w="14165" w:type="dxa"/>
        <w:tblCellMar>
          <w:left w:w="0" w:type="dxa"/>
          <w:right w:w="0" w:type="dxa"/>
        </w:tblCellMar>
        <w:tblLook w:val="04A0" w:firstRow="1" w:lastRow="0" w:firstColumn="1" w:lastColumn="0" w:noHBand="0" w:noVBand="1"/>
      </w:tblPr>
      <w:tblGrid>
        <w:gridCol w:w="3185"/>
        <w:gridCol w:w="2445"/>
        <w:gridCol w:w="2517"/>
        <w:gridCol w:w="3513"/>
        <w:gridCol w:w="2505"/>
      </w:tblGrid>
      <w:tr w:rsidR="00E51ED1" w:rsidRPr="00E51ED1" w:rsidTr="00E51ED1">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51ED1" w:rsidRPr="00E51ED1" w:rsidRDefault="00E51ED1" w:rsidP="00E51ED1">
            <w:pPr>
              <w:spacing w:after="0" w:line="240" w:lineRule="atLeast"/>
              <w:jc w:val="both"/>
              <w:rPr>
                <w:rFonts w:ascii="Verdana" w:eastAsia="Times New Roman" w:hAnsi="Verdana" w:cs="Times New Roman"/>
                <w:b/>
                <w:bCs/>
                <w:sz w:val="27"/>
                <w:szCs w:val="27"/>
                <w:lang w:eastAsia="ru-RU"/>
              </w:rPr>
            </w:pPr>
            <w:r w:rsidRPr="00E51ED1">
              <w:rPr>
                <w:rFonts w:ascii="Verdana" w:eastAsia="Times New Roman" w:hAnsi="Verdana" w:cs="Times New Roman"/>
                <w:b/>
                <w:bCs/>
                <w:sz w:val="27"/>
                <w:szCs w:val="27"/>
                <w:lang w:eastAsia="ru-RU"/>
              </w:rPr>
              <w:t>Форма воспаления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51ED1" w:rsidRPr="00E51ED1" w:rsidRDefault="00E51ED1" w:rsidP="00E51ED1">
            <w:pPr>
              <w:spacing w:after="0" w:line="240" w:lineRule="atLeast"/>
              <w:jc w:val="both"/>
              <w:rPr>
                <w:rFonts w:ascii="Verdana" w:eastAsia="Times New Roman" w:hAnsi="Verdana" w:cs="Times New Roman"/>
                <w:b/>
                <w:bCs/>
                <w:sz w:val="27"/>
                <w:szCs w:val="27"/>
                <w:lang w:eastAsia="ru-RU"/>
              </w:rPr>
            </w:pPr>
            <w:r w:rsidRPr="00E51ED1">
              <w:rPr>
                <w:rFonts w:ascii="Verdana" w:eastAsia="Times New Roman" w:hAnsi="Verdana" w:cs="Times New Roman"/>
                <w:b/>
                <w:bCs/>
                <w:sz w:val="27"/>
                <w:szCs w:val="27"/>
                <w:lang w:eastAsia="ru-RU"/>
              </w:rPr>
              <w:t>Тяжесть течения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51ED1" w:rsidRPr="00E51ED1" w:rsidRDefault="00E51ED1" w:rsidP="00E51ED1">
            <w:pPr>
              <w:spacing w:after="0" w:line="240" w:lineRule="atLeast"/>
              <w:jc w:val="both"/>
              <w:rPr>
                <w:rFonts w:ascii="Verdana" w:eastAsia="Times New Roman" w:hAnsi="Verdana" w:cs="Times New Roman"/>
                <w:b/>
                <w:bCs/>
                <w:sz w:val="27"/>
                <w:szCs w:val="27"/>
                <w:lang w:eastAsia="ru-RU"/>
              </w:rPr>
            </w:pPr>
            <w:r w:rsidRPr="00E51ED1">
              <w:rPr>
                <w:rFonts w:ascii="Verdana" w:eastAsia="Times New Roman" w:hAnsi="Verdana" w:cs="Times New Roman"/>
                <w:b/>
                <w:bCs/>
                <w:sz w:val="27"/>
                <w:szCs w:val="27"/>
                <w:lang w:eastAsia="ru-RU"/>
              </w:rPr>
              <w:t>Локализация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51ED1" w:rsidRPr="00E51ED1" w:rsidRDefault="00E51ED1" w:rsidP="00E51ED1">
            <w:pPr>
              <w:spacing w:after="0" w:line="240" w:lineRule="atLeast"/>
              <w:jc w:val="both"/>
              <w:rPr>
                <w:rFonts w:ascii="Verdana" w:eastAsia="Times New Roman" w:hAnsi="Verdana" w:cs="Times New Roman"/>
                <w:b/>
                <w:bCs/>
                <w:sz w:val="27"/>
                <w:szCs w:val="27"/>
                <w:lang w:eastAsia="ru-RU"/>
              </w:rPr>
            </w:pPr>
            <w:r w:rsidRPr="00E51ED1">
              <w:rPr>
                <w:rFonts w:ascii="Verdana" w:eastAsia="Times New Roman" w:hAnsi="Verdana" w:cs="Times New Roman"/>
                <w:b/>
                <w:bCs/>
                <w:sz w:val="27"/>
                <w:szCs w:val="27"/>
                <w:lang w:eastAsia="ru-RU"/>
              </w:rPr>
              <w:t>Распространённость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51ED1" w:rsidRPr="00E51ED1" w:rsidRDefault="00E51ED1" w:rsidP="00E51ED1">
            <w:pPr>
              <w:spacing w:after="0" w:line="240" w:lineRule="atLeast"/>
              <w:jc w:val="both"/>
              <w:rPr>
                <w:rFonts w:ascii="Verdana" w:eastAsia="Times New Roman" w:hAnsi="Verdana" w:cs="Times New Roman"/>
                <w:b/>
                <w:bCs/>
                <w:sz w:val="27"/>
                <w:szCs w:val="27"/>
                <w:lang w:eastAsia="ru-RU"/>
              </w:rPr>
            </w:pPr>
            <w:r w:rsidRPr="00E51ED1">
              <w:rPr>
                <w:rFonts w:ascii="Verdana" w:eastAsia="Times New Roman" w:hAnsi="Verdana" w:cs="Times New Roman"/>
                <w:b/>
                <w:bCs/>
                <w:sz w:val="27"/>
                <w:szCs w:val="27"/>
                <w:lang w:eastAsia="ru-RU"/>
              </w:rPr>
              <w:t>Клиническое</w:t>
            </w:r>
          </w:p>
          <w:p w:rsidR="00E51ED1" w:rsidRPr="00E51ED1" w:rsidRDefault="00E51ED1" w:rsidP="00E51ED1">
            <w:pPr>
              <w:spacing w:after="0" w:line="240" w:lineRule="atLeast"/>
              <w:jc w:val="both"/>
              <w:rPr>
                <w:rFonts w:ascii="Verdana" w:eastAsia="Times New Roman" w:hAnsi="Verdana" w:cs="Times New Roman"/>
                <w:b/>
                <w:bCs/>
                <w:sz w:val="27"/>
                <w:szCs w:val="27"/>
                <w:lang w:eastAsia="ru-RU"/>
              </w:rPr>
            </w:pPr>
            <w:r w:rsidRPr="00E51ED1">
              <w:rPr>
                <w:rFonts w:ascii="Verdana" w:eastAsia="Times New Roman" w:hAnsi="Verdana" w:cs="Times New Roman"/>
                <w:b/>
                <w:bCs/>
                <w:sz w:val="27"/>
                <w:szCs w:val="27"/>
                <w:lang w:eastAsia="ru-RU"/>
              </w:rPr>
              <w:t>течение</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Острая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легкая</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верхняя</w:t>
            </w:r>
          </w:p>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челюсть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ограниченный</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без осложнений</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Подострая</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средняя</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51ED1" w:rsidRPr="00E51ED1" w:rsidRDefault="00E51ED1" w:rsidP="00E51ED1">
            <w:pPr>
              <w:spacing w:after="0" w:line="240" w:lineRule="auto"/>
              <w:rPr>
                <w:rFonts w:ascii="Verdana" w:eastAsia="Times New Roman" w:hAnsi="Verdana" w:cs="Times New Roman"/>
                <w:sz w:val="27"/>
                <w:szCs w:val="27"/>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распространённый</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51ED1" w:rsidRPr="00E51ED1" w:rsidRDefault="00E51ED1" w:rsidP="00E51ED1">
            <w:pPr>
              <w:spacing w:after="0" w:line="240" w:lineRule="auto"/>
              <w:rPr>
                <w:rFonts w:ascii="Verdana" w:eastAsia="Times New Roman" w:hAnsi="Verdana" w:cs="Times New Roman"/>
                <w:sz w:val="27"/>
                <w:szCs w:val="27"/>
                <w:lang w:eastAsia="ru-RU"/>
              </w:rPr>
            </w:pP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Хроническая</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51ED1" w:rsidRPr="00E51ED1" w:rsidRDefault="00E51ED1" w:rsidP="00E51ED1">
            <w:pPr>
              <w:spacing w:after="0" w:line="240" w:lineRule="auto"/>
              <w:rPr>
                <w:rFonts w:ascii="Verdana" w:eastAsia="Times New Roman" w:hAnsi="Verdana" w:cs="Times New Roman"/>
                <w:sz w:val="27"/>
                <w:szCs w:val="27"/>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нижняя челюсть</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51ED1" w:rsidRPr="00E51ED1" w:rsidRDefault="00E51ED1" w:rsidP="00E51ED1">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51ED1" w:rsidRPr="00E51ED1" w:rsidRDefault="00E51ED1" w:rsidP="00E51ED1">
            <w:pPr>
              <w:spacing w:after="0" w:line="240" w:lineRule="auto"/>
              <w:rPr>
                <w:rFonts w:ascii="Verdana" w:eastAsia="Times New Roman" w:hAnsi="Verdana" w:cs="Times New Roman"/>
                <w:sz w:val="27"/>
                <w:szCs w:val="27"/>
                <w:lang w:eastAsia="ru-RU"/>
              </w:rPr>
            </w:pP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обострение хронической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тяжелая</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51ED1" w:rsidRPr="00E51ED1" w:rsidRDefault="00E51ED1" w:rsidP="00E51ED1">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диффузный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с осложнениями</w:t>
            </w:r>
          </w:p>
        </w:tc>
      </w:tr>
    </w:tbl>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3. </w:t>
      </w:r>
      <w:r w:rsidRPr="00E51ED1">
        <w:rPr>
          <w:rFonts w:ascii="Times New Roman" w:eastAsia="Times New Roman" w:hAnsi="Times New Roman" w:cs="Times New Roman"/>
          <w:b/>
          <w:bCs/>
          <w:color w:val="222222"/>
          <w:spacing w:val="4"/>
          <w:sz w:val="27"/>
          <w:szCs w:val="27"/>
          <w:lang w:eastAsia="ru-RU"/>
        </w:rPr>
        <w:t>Классификация одонтогенного остеомиелита по А.Г. Шаргородскому (2002)</w:t>
      </w:r>
      <w:r w:rsidRPr="00E51ED1">
        <w:rPr>
          <w:rFonts w:ascii="Times New Roman" w:eastAsia="Times New Roman" w:hAnsi="Times New Roman" w:cs="Times New Roman"/>
          <w:color w:val="222222"/>
          <w:spacing w:val="4"/>
          <w:sz w:val="27"/>
          <w:szCs w:val="27"/>
          <w:lang w:eastAsia="ru-RU"/>
        </w:rPr>
        <w:t> [21, 27, 64]:</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4. </w:t>
      </w:r>
      <w:r w:rsidRPr="00E51ED1">
        <w:rPr>
          <w:rFonts w:ascii="Times New Roman" w:eastAsia="Times New Roman" w:hAnsi="Times New Roman" w:cs="Times New Roman"/>
          <w:b/>
          <w:bCs/>
          <w:color w:val="222222"/>
          <w:spacing w:val="4"/>
          <w:sz w:val="27"/>
          <w:szCs w:val="27"/>
          <w:lang w:eastAsia="ru-RU"/>
        </w:rPr>
        <w:t>Клинико-рентгенологическая классификация остеомиелитов Соловьева М.М. (2016), в основу которой была положена классификация Соловьева М.М. и Худоярова И. (1979)</w:t>
      </w:r>
      <w:r w:rsidRPr="00E51ED1">
        <w:rPr>
          <w:rFonts w:ascii="Times New Roman" w:eastAsia="Times New Roman" w:hAnsi="Times New Roman" w:cs="Times New Roman"/>
          <w:color w:val="222222"/>
          <w:spacing w:val="4"/>
          <w:sz w:val="27"/>
          <w:szCs w:val="27"/>
          <w:lang w:eastAsia="ru-RU"/>
        </w:rPr>
        <w:t> [21, 59, 75,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В силу отсутствия в России единой классификации остеомиелитов челюстей, в данных клинических рекомендациях предлагаем "сводную рабочую" классификацию остеомиелитов челюстей, в которой максимально полно учитываются этиологические особенности, основные звенья и механизмы патогенетических процессов в костной ткани челюстей, а также разделение на стадии и фазы процесса в сопряжении с основными клиническими и рентгенологическими проявлениями, что позволяет определить лечебную тактику, в том числе и оперативную, на каждой стадии (фазе) воспалительного процесса.</w:t>
      </w:r>
    </w:p>
    <w:tbl>
      <w:tblPr>
        <w:tblW w:w="14165" w:type="dxa"/>
        <w:tblCellMar>
          <w:left w:w="0" w:type="dxa"/>
          <w:right w:w="0" w:type="dxa"/>
        </w:tblCellMar>
        <w:tblLook w:val="04A0" w:firstRow="1" w:lastRow="0" w:firstColumn="1" w:lastColumn="0" w:noHBand="0" w:noVBand="1"/>
      </w:tblPr>
      <w:tblGrid>
        <w:gridCol w:w="2815"/>
        <w:gridCol w:w="3611"/>
        <w:gridCol w:w="4238"/>
        <w:gridCol w:w="3501"/>
      </w:tblGrid>
      <w:tr w:rsidR="00E51ED1" w:rsidRPr="00E51ED1" w:rsidTr="00E51ED1">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51ED1" w:rsidRPr="00E51ED1" w:rsidRDefault="00E51ED1" w:rsidP="00E51ED1">
            <w:pPr>
              <w:spacing w:after="0" w:line="240" w:lineRule="atLeast"/>
              <w:jc w:val="both"/>
              <w:rPr>
                <w:rFonts w:ascii="Verdana" w:eastAsia="Times New Roman" w:hAnsi="Verdana" w:cs="Times New Roman"/>
                <w:b/>
                <w:bCs/>
                <w:sz w:val="27"/>
                <w:szCs w:val="27"/>
                <w:lang w:eastAsia="ru-RU"/>
              </w:rPr>
            </w:pPr>
            <w:r w:rsidRPr="00E51ED1">
              <w:rPr>
                <w:rFonts w:ascii="Verdana" w:eastAsia="Times New Roman" w:hAnsi="Verdana" w:cs="Times New Roman"/>
                <w:b/>
                <w:bCs/>
                <w:sz w:val="27"/>
                <w:szCs w:val="27"/>
                <w:lang w:eastAsia="ru-RU"/>
              </w:rPr>
              <w:lastRenderedPageBreak/>
              <w:t>Стадия остеомиелита</w:t>
            </w:r>
          </w:p>
          <w:p w:rsidR="00E51ED1" w:rsidRPr="00E51ED1" w:rsidRDefault="00E51ED1" w:rsidP="00E51ED1">
            <w:pPr>
              <w:spacing w:after="0" w:line="240" w:lineRule="atLeast"/>
              <w:jc w:val="both"/>
              <w:rPr>
                <w:rFonts w:ascii="Verdana" w:eastAsia="Times New Roman" w:hAnsi="Verdana" w:cs="Times New Roman"/>
                <w:b/>
                <w:bCs/>
                <w:sz w:val="27"/>
                <w:szCs w:val="27"/>
                <w:lang w:eastAsia="ru-RU"/>
              </w:rPr>
            </w:pPr>
            <w:r w:rsidRPr="00E51ED1">
              <w:rPr>
                <w:rFonts w:ascii="Verdana" w:eastAsia="Times New Roman" w:hAnsi="Verdana" w:cs="Times New Roman"/>
                <w:b/>
                <w:bCs/>
                <w:sz w:val="27"/>
                <w:szCs w:val="27"/>
                <w:lang w:eastAsia="ru-RU"/>
              </w:rPr>
              <w:t>(длительность)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51ED1" w:rsidRPr="00E51ED1" w:rsidRDefault="00E51ED1" w:rsidP="00E51ED1">
            <w:pPr>
              <w:spacing w:after="0" w:line="240" w:lineRule="atLeast"/>
              <w:jc w:val="both"/>
              <w:rPr>
                <w:rFonts w:ascii="Verdana" w:eastAsia="Times New Roman" w:hAnsi="Verdana" w:cs="Times New Roman"/>
                <w:b/>
                <w:bCs/>
                <w:sz w:val="27"/>
                <w:szCs w:val="27"/>
                <w:lang w:eastAsia="ru-RU"/>
              </w:rPr>
            </w:pPr>
            <w:r w:rsidRPr="00E51ED1">
              <w:rPr>
                <w:rFonts w:ascii="Verdana" w:eastAsia="Times New Roman" w:hAnsi="Verdana" w:cs="Times New Roman"/>
                <w:b/>
                <w:bCs/>
                <w:sz w:val="27"/>
                <w:szCs w:val="27"/>
                <w:lang w:eastAsia="ru-RU"/>
              </w:rPr>
              <w:t>Фаза остеомиелита (длительность)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51ED1" w:rsidRPr="00E51ED1" w:rsidRDefault="00E51ED1" w:rsidP="00E51ED1">
            <w:pPr>
              <w:spacing w:after="0" w:line="240" w:lineRule="atLeast"/>
              <w:jc w:val="both"/>
              <w:rPr>
                <w:rFonts w:ascii="Verdana" w:eastAsia="Times New Roman" w:hAnsi="Verdana" w:cs="Times New Roman"/>
                <w:b/>
                <w:bCs/>
                <w:sz w:val="27"/>
                <w:szCs w:val="27"/>
                <w:lang w:eastAsia="ru-RU"/>
              </w:rPr>
            </w:pPr>
            <w:r w:rsidRPr="00E51ED1">
              <w:rPr>
                <w:rFonts w:ascii="Verdana" w:eastAsia="Times New Roman" w:hAnsi="Verdana" w:cs="Times New Roman"/>
                <w:b/>
                <w:bCs/>
                <w:sz w:val="27"/>
                <w:szCs w:val="27"/>
                <w:lang w:eastAsia="ru-RU"/>
              </w:rPr>
              <w:t>Основные рентгенологические проявления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51ED1" w:rsidRPr="00E51ED1" w:rsidRDefault="00E51ED1" w:rsidP="00E51ED1">
            <w:pPr>
              <w:spacing w:after="0" w:line="240" w:lineRule="atLeast"/>
              <w:jc w:val="both"/>
              <w:rPr>
                <w:rFonts w:ascii="Verdana" w:eastAsia="Times New Roman" w:hAnsi="Verdana" w:cs="Times New Roman"/>
                <w:b/>
                <w:bCs/>
                <w:sz w:val="27"/>
                <w:szCs w:val="27"/>
                <w:lang w:eastAsia="ru-RU"/>
              </w:rPr>
            </w:pPr>
            <w:r w:rsidRPr="00E51ED1">
              <w:rPr>
                <w:rFonts w:ascii="Verdana" w:eastAsia="Times New Roman" w:hAnsi="Verdana" w:cs="Times New Roman"/>
                <w:b/>
                <w:bCs/>
                <w:sz w:val="27"/>
                <w:szCs w:val="27"/>
                <w:lang w:eastAsia="ru-RU"/>
              </w:rPr>
              <w:t>Лечение, в т.ч.  оперативная тактика</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Острая стадия</w:t>
            </w:r>
          </w:p>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 до 12 суток при</w:t>
            </w:r>
          </w:p>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нормергическом типе,</w:t>
            </w:r>
          </w:p>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-*до 14-21 суток при гипоергическом типе)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     нет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Выявляется патологический хронический апикальный очаг (одонтогенная киста, пародонтит) или ретенция зуба. На 10-14 сутки заболевания - признаки неравномерных участков резорбции костной ткани, по краю челюсти может определяться выраженная периостальная реакция в виде утолщения надкостницы. При гипоергической типе течения воспаления и/или диффузном поражении кости рентгенологические признаки могут определяться до 21 суток.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1. удаление "причинного зуба",</w:t>
            </w:r>
          </w:p>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2. дренирование поднадкостнич-</w:t>
            </w:r>
          </w:p>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ного абсцесса внутриротовым</w:t>
            </w:r>
          </w:p>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доступом, периостеотомия</w:t>
            </w:r>
          </w:p>
        </w:tc>
      </w:tr>
      <w:tr w:rsidR="00E51ED1" w:rsidRPr="00E51ED1" w:rsidTr="00E51ED1">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Хроническая стадия</w:t>
            </w:r>
          </w:p>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(с 12-21 суток)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Подострая фаза* </w:t>
            </w:r>
          </w:p>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(при "доброкачест-</w:t>
            </w:r>
          </w:p>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венном" течение</w:t>
            </w:r>
          </w:p>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очагового или</w:t>
            </w:r>
          </w:p>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ограниченного процесса, и нормергическом типе:</w:t>
            </w:r>
          </w:p>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4-5 нед. на в/чел.,</w:t>
            </w:r>
          </w:p>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6-8 нед. на н/чел.)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Характеризуется формированием 1 или несколько очагов резорбции кости неправильной формы, в центре которых определяются тени секвестров разнообразной формы, с отграничением секвестров, с формированием зоны демаркации («секвестральной капсулы») в сроки, не превышающие 4-5 недель на верхней и 6-8 недель на нижней челюсти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секвестрэктомия (через 4-5 нед. на в/чел., 6-8 нед. на н/чел.)</w:t>
            </w:r>
          </w:p>
        </w:tc>
      </w:tr>
      <w:tr w:rsidR="00E51ED1" w:rsidRPr="00E51ED1" w:rsidTr="00E51ED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51ED1" w:rsidRPr="00E51ED1" w:rsidRDefault="00E51ED1" w:rsidP="00E51ED1">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Фаза обострения хронического остеомиелита при:</w:t>
            </w:r>
          </w:p>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 гипоергическом типе,   </w:t>
            </w:r>
          </w:p>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 диффузном поражении    челюсти,</w:t>
            </w:r>
          </w:p>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 отягощённом соматическом статусе,</w:t>
            </w:r>
          </w:p>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(более 4-5 нед. на в/чел.,  6-8 нед. на н/чел.)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Характеризуется многообразием: при секвестрирующем варианте имеется 1 или несколько очагов резорбции кости неправильной формы, в центре которых определяются тени секвестров разнообразной формы. Наряду с отделением секвестров выявляются участки новообразования костной ткани. При рарефицирующей, или гнездной, форме определяются очаги деструкции костной ткани, внутри которых располагается множество мелких секвестров. При гиперпластической форме продуктивные изменении характеризуются эндоостальной и периостальной перестройкой костной ткани.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1. медикаментозная комплексная терапия,</w:t>
            </w:r>
          </w:p>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2. ФТ-лечение (при отсутствии данных за опухолевый процесс),</w:t>
            </w:r>
          </w:p>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3. при наличии клинико-рентгенологических признаков завершения формирования секвестров - секвестрэктомия</w:t>
            </w:r>
          </w:p>
        </w:tc>
      </w:tr>
    </w:tbl>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*Следует указать, что в соответствии с представленной выше классификацией, принятой в ПСПбГМУ им. И.П. Павлова по М.М. Соловьёву и  Худоярову И. [21, 75, 103], подострая фаза остеомиелита выделяется в отдельную стадию воспалительного процесса.</w:t>
      </w:r>
    </w:p>
    <w:p w:rsidR="00E51ED1" w:rsidRPr="00E51ED1" w:rsidRDefault="00E51ED1" w:rsidP="00E51ED1">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E51ED1">
        <w:rPr>
          <w:rFonts w:ascii="Inter" w:eastAsia="Times New Roman" w:hAnsi="Inter" w:cs="Times New Roman"/>
          <w:b/>
          <w:bCs/>
          <w:color w:val="000000"/>
          <w:spacing w:val="4"/>
          <w:kern w:val="36"/>
          <w:sz w:val="48"/>
          <w:szCs w:val="48"/>
          <w:lang w:eastAsia="ru-RU"/>
        </w:rPr>
        <w:t>1.6 Клиническая картина заболевания или состояния (группы заболеваний или состояний)</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lastRenderedPageBreak/>
        <w:t>Одонтогенный периостит.</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Клиническая картина острого одонтогенного периостита разнообразна и зависит от состояния иммунологической реактивности организма. В жалобах преобладает болевой синдром в области "причинного" зуба, отёк прилежащих околочелюстных мягких тканей. "Причинный зуб" может беспокоить умеренно. Общее состояние удовлетворительное или средней степени тяжести, температура тела повышена в пределах субфебрильных значений, реже – фебрильная. Возможны общая слабость, отсутствие аппетита, нарушение сна. Отмечается реакция со стороны регионарных лимфоузлов. Открывание рта, как правило, не затруднено или умеренно ограничено (I – II степени) из-за боли, при локализации в дистальных отделах нижней челюсти с одной стороны челюсти (вестибулярной или язычной) за счёт реакции жевательной или медиальной крыловидной мышц. Характерными местными признаками одонтогенного периостита являются наличие коллатерального отёка околочелюстных тканей, отёка, гиперемии и выбухания тканей по переходной складке в области "причинного" зуба и соседних с ним зубов только с одной стороны челюсти. Главным признаком является наличие воспалительного инфильтрата, определяемого при пальпации, в проекции верхушки корня «причинного» зуба, на стадии гнойного воспаления происходит расплавление надкостницы и формирование абсцесса только с одной стороны альвеолярной части нижней челюсти или альвеолярного отростка верхней челюсти, определяется положительный симптом флюктуации. Определяются «положительная» перкуссия разной интенсивности и подвижность "причинного" зуба, при этом соседние с «причинным» зубы безболезненны при перкуссии и устойчивы [21, 23, 24, 25, 59, 65, 75, 103]. При локализации воспалительного процесса с язычной стороны нижней челюсти – отмечается боль при глотании. При развитии нёбного абсцесса – выбухание слизистой нёба, резко болезненное соответственно проекции «причинного» зуба.</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При </w:t>
      </w:r>
      <w:r w:rsidRPr="00E51ED1">
        <w:rPr>
          <w:rFonts w:ascii="Times New Roman" w:eastAsia="Times New Roman" w:hAnsi="Times New Roman" w:cs="Times New Roman"/>
          <w:i/>
          <w:iCs/>
          <w:color w:val="333333"/>
          <w:spacing w:val="4"/>
          <w:sz w:val="27"/>
          <w:szCs w:val="27"/>
          <w:lang w:eastAsia="ru-RU"/>
        </w:rPr>
        <w:t>нормергическом типе</w:t>
      </w: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течения</w:t>
      </w:r>
      <w:r w:rsidRPr="00E51ED1">
        <w:rPr>
          <w:rFonts w:ascii="Times New Roman" w:eastAsia="Times New Roman" w:hAnsi="Times New Roman" w:cs="Times New Roman"/>
          <w:color w:val="222222"/>
          <w:spacing w:val="4"/>
          <w:sz w:val="27"/>
          <w:szCs w:val="27"/>
          <w:lang w:eastAsia="ru-RU"/>
        </w:rPr>
        <w:t> воспалительной</w:t>
      </w:r>
      <w:r w:rsidRPr="00E51ED1">
        <w:rPr>
          <w:rFonts w:ascii="Times New Roman" w:eastAsia="Times New Roman" w:hAnsi="Times New Roman" w:cs="Times New Roman"/>
          <w:i/>
          <w:iCs/>
          <w:color w:val="333333"/>
          <w:spacing w:val="4"/>
          <w:sz w:val="27"/>
          <w:szCs w:val="27"/>
          <w:lang w:eastAsia="ru-RU"/>
        </w:rPr>
        <w:t> </w:t>
      </w:r>
      <w:r w:rsidRPr="00E51ED1">
        <w:rPr>
          <w:rFonts w:ascii="Times New Roman" w:eastAsia="Times New Roman" w:hAnsi="Times New Roman" w:cs="Times New Roman"/>
          <w:color w:val="222222"/>
          <w:spacing w:val="4"/>
          <w:sz w:val="27"/>
          <w:szCs w:val="27"/>
          <w:lang w:eastAsia="ru-RU"/>
        </w:rPr>
        <w:t>реакции при</w:t>
      </w:r>
      <w:r w:rsidRPr="00E51ED1">
        <w:rPr>
          <w:rFonts w:ascii="Times New Roman" w:eastAsia="Times New Roman" w:hAnsi="Times New Roman" w:cs="Times New Roman"/>
          <w:i/>
          <w:iCs/>
          <w:color w:val="333333"/>
          <w:spacing w:val="4"/>
          <w:sz w:val="27"/>
          <w:szCs w:val="27"/>
          <w:lang w:eastAsia="ru-RU"/>
        </w:rPr>
        <w:t> периостите </w:t>
      </w:r>
      <w:r w:rsidRPr="00E51ED1">
        <w:rPr>
          <w:rFonts w:ascii="Times New Roman" w:eastAsia="Times New Roman" w:hAnsi="Times New Roman" w:cs="Times New Roman"/>
          <w:color w:val="222222"/>
          <w:spacing w:val="4"/>
          <w:sz w:val="27"/>
          <w:szCs w:val="27"/>
          <w:lang w:eastAsia="ru-RU"/>
        </w:rPr>
        <w:t>воспалительный инфильтрат плотный, но быстро отграничивается от здоровых тканей и формируется абсцесс. Для </w:t>
      </w:r>
      <w:r w:rsidRPr="00E51ED1">
        <w:rPr>
          <w:rFonts w:ascii="Times New Roman" w:eastAsia="Times New Roman" w:hAnsi="Times New Roman" w:cs="Times New Roman"/>
          <w:i/>
          <w:iCs/>
          <w:color w:val="333333"/>
          <w:spacing w:val="4"/>
          <w:sz w:val="27"/>
          <w:szCs w:val="27"/>
          <w:lang w:eastAsia="ru-RU"/>
        </w:rPr>
        <w:t>гиперергического течения </w:t>
      </w:r>
      <w:r w:rsidRPr="00E51ED1">
        <w:rPr>
          <w:rFonts w:ascii="Times New Roman" w:eastAsia="Times New Roman" w:hAnsi="Times New Roman" w:cs="Times New Roman"/>
          <w:color w:val="222222"/>
          <w:spacing w:val="4"/>
          <w:sz w:val="27"/>
          <w:szCs w:val="27"/>
          <w:lang w:eastAsia="ru-RU"/>
        </w:rPr>
        <w:t>воспаления характерно быстро нарастающая и резко выраженная воспалительная реакция, достаточно хорошо поддающаяся лечению. </w:t>
      </w:r>
      <w:r w:rsidRPr="00E51ED1">
        <w:rPr>
          <w:rFonts w:ascii="Times New Roman" w:eastAsia="Times New Roman" w:hAnsi="Times New Roman" w:cs="Times New Roman"/>
          <w:i/>
          <w:iCs/>
          <w:color w:val="333333"/>
          <w:spacing w:val="4"/>
          <w:sz w:val="27"/>
          <w:szCs w:val="27"/>
          <w:lang w:eastAsia="ru-RU"/>
        </w:rPr>
        <w:t>Гипоергическое течение </w:t>
      </w:r>
      <w:r w:rsidRPr="00E51ED1">
        <w:rPr>
          <w:rFonts w:ascii="Times New Roman" w:eastAsia="Times New Roman" w:hAnsi="Times New Roman" w:cs="Times New Roman"/>
          <w:color w:val="222222"/>
          <w:spacing w:val="4"/>
          <w:sz w:val="27"/>
          <w:szCs w:val="27"/>
          <w:lang w:eastAsia="ru-RU"/>
        </w:rPr>
        <w:t>более вялое, заболевание развивается медленно, но имеет тенденцию к упорному распространению со слабой тенденцией к демаркации, несмотря на проводимое лечение.</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lastRenderedPageBreak/>
        <w:t>Для </w:t>
      </w:r>
      <w:r w:rsidRPr="00E51ED1">
        <w:rPr>
          <w:rFonts w:ascii="Times New Roman" w:eastAsia="Times New Roman" w:hAnsi="Times New Roman" w:cs="Times New Roman"/>
          <w:i/>
          <w:iCs/>
          <w:color w:val="333333"/>
          <w:spacing w:val="4"/>
          <w:sz w:val="27"/>
          <w:szCs w:val="27"/>
          <w:lang w:eastAsia="ru-RU"/>
        </w:rPr>
        <w:t>хронического периостита </w:t>
      </w:r>
      <w:r w:rsidRPr="00E51ED1">
        <w:rPr>
          <w:rFonts w:ascii="Times New Roman" w:eastAsia="Times New Roman" w:hAnsi="Times New Roman" w:cs="Times New Roman"/>
          <w:color w:val="222222"/>
          <w:spacing w:val="4"/>
          <w:sz w:val="27"/>
          <w:szCs w:val="27"/>
          <w:lang w:eastAsia="ru-RU"/>
        </w:rPr>
        <w:t>характерно отсутствие чётко выраженной клинической симптоматики. Как правило, резкой боли не бывает, предшествующий острый воспалительный процесс стихает медленно. Общее состояние удовлетворительное, температурная реакция тела отсутствует, иногда отмечается субфебрилитет. При наружном осмотре изменение конфигурации лица незначительное. Пальпаторно отмечается плотное безболезненное утолщение кости. Регионарные лимфатические узлы увеличены, плотные, безболезненны или слабо болезненные. Слизистая оболочка полости рта в области "причинного" зуба отёчна, гиперемирована только с одной стороны челюсти [21, 23, 24, 25, 59, 65, 71, 75].</w:t>
      </w:r>
      <w:r w:rsidRPr="00E51ED1">
        <w:rPr>
          <w:rFonts w:ascii="Times New Roman" w:eastAsia="Times New Roman" w:hAnsi="Times New Roman" w:cs="Times New Roman"/>
          <w:b/>
          <w:bCs/>
          <w:color w:val="222222"/>
          <w:spacing w:val="4"/>
          <w:sz w:val="27"/>
          <w:szCs w:val="27"/>
          <w:lang w:eastAsia="ru-RU"/>
        </w:rPr>
        <w:t>  </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Одонтогенный остеомиелит.</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Заболевание начинается с боли в зубе, которая вскоре утрачивает локализованный характер, распространяясь на соседние зубы с иррадиацией по всей половине челюсти и по ходу ветвей тройничного нерва. Часто беспокоит боль пульсирующего характера при смыкании зубов на стороне поражения. На нижней челюсти в том случае, если гнойно-воспалительный процесс в костной ткани распространяется из зоны зубо-альвеолярного сегмента на тело нижней челюсти ниже уровня нижнечелюстного канала, характерно появление симптома Венсана (снижение чувствительности по ходу нижнеальвеолярного нерва), возможно онемение кожи нижней губы, подбородка, передних зубов поражённой стороны. Общее состояние средней тяжести, отмечается вялость, бледность кожных покровов, лихорадка до 38°С и возможно выше, тахикардия. При внешнем осмотре определяется изменение конфигурации лица за счёт отёка мягких тканей челюстно-лицевой зоны. Регионарные лимфатические узлы увеличены и болезненны при пальпации и поворотах головы. Открывание рта затруднено при вовлечении в процесс мышц жевательной группы.</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xml:space="preserve">В полости рта: перкуссия нескольких зубов поражённого участка челюсти резко болезненна, в то время как перкуссия "причинного" зуба может быть менее болезненной, выражена подвижность "причинного" зуба и, как минимум, 2-х соседних зубов. Переходная складка гиперемирована, сглажена, слизистая оболочка отёчна с обеих сторон челюсти, в том случае, если гнойно-воспалительный процесс в костной ткани на нижней челюсти распространяется из зоны зубо-альвеолярного сегмента не только вестибулярно, но и язычно, или вестибулярно и нёбно на верхней челюсти, при пальпации определяются признаки "муфтообразной" инфильтрации. При </w:t>
      </w:r>
      <w:r w:rsidRPr="00E51ED1">
        <w:rPr>
          <w:rFonts w:ascii="Times New Roman" w:eastAsia="Times New Roman" w:hAnsi="Times New Roman" w:cs="Times New Roman"/>
          <w:color w:val="222222"/>
          <w:spacing w:val="4"/>
          <w:sz w:val="27"/>
          <w:szCs w:val="27"/>
          <w:lang w:eastAsia="ru-RU"/>
        </w:rPr>
        <w:lastRenderedPageBreak/>
        <w:t>локализации гнойно-воспалительного процесса в зоне моляров верхней челюсти возможно развитие пристеночного отёка слизистой оболочки альвеолярной бухты в области дна верхнечелюстной пазухи над "причинным" зубом, что также следует расценивать как наличие "муфтообразного" инфильтрата.</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Клинические проявления заболевания во многом зависит от варианта иммунологической реактивности. Нормергический вариант течения остеомиелита челюсти характеризуется умеренно выраженными общими и местными клиническими проявлениями, встречается редко. При </w:t>
      </w:r>
      <w:r w:rsidRPr="00E51ED1">
        <w:rPr>
          <w:rFonts w:ascii="Times New Roman" w:eastAsia="Times New Roman" w:hAnsi="Times New Roman" w:cs="Times New Roman"/>
          <w:i/>
          <w:iCs/>
          <w:color w:val="333333"/>
          <w:spacing w:val="4"/>
          <w:sz w:val="27"/>
          <w:szCs w:val="27"/>
          <w:lang w:eastAsia="ru-RU"/>
        </w:rPr>
        <w:t>гиперергическом типе </w:t>
      </w:r>
      <w:r w:rsidRPr="00E51ED1">
        <w:rPr>
          <w:rFonts w:ascii="Times New Roman" w:eastAsia="Times New Roman" w:hAnsi="Times New Roman" w:cs="Times New Roman"/>
          <w:color w:val="222222"/>
          <w:spacing w:val="4"/>
          <w:sz w:val="27"/>
          <w:szCs w:val="27"/>
          <w:lang w:eastAsia="ru-RU"/>
        </w:rPr>
        <w:t>воспаления характерно крайне острое и бурное начало (в течение 1-3 суток), гипертермия выше 38°С, появляются так называемые «ножницы» между температурой тела и пульсом. Воспалительный процесс проявляется выраженными местными признаками. При </w:t>
      </w:r>
      <w:r w:rsidRPr="00E51ED1">
        <w:rPr>
          <w:rFonts w:ascii="Times New Roman" w:eastAsia="Times New Roman" w:hAnsi="Times New Roman" w:cs="Times New Roman"/>
          <w:i/>
          <w:iCs/>
          <w:color w:val="333333"/>
          <w:spacing w:val="4"/>
          <w:sz w:val="27"/>
          <w:szCs w:val="27"/>
          <w:lang w:eastAsia="ru-RU"/>
        </w:rPr>
        <w:t>гипоергическом варианте воспаления </w:t>
      </w:r>
      <w:r w:rsidRPr="00E51ED1">
        <w:rPr>
          <w:rFonts w:ascii="Times New Roman" w:eastAsia="Times New Roman" w:hAnsi="Times New Roman" w:cs="Times New Roman"/>
          <w:color w:val="222222"/>
          <w:spacing w:val="4"/>
          <w:sz w:val="27"/>
          <w:szCs w:val="27"/>
          <w:lang w:eastAsia="ru-RU"/>
        </w:rPr>
        <w:t>имеет место вялое течение, умеренно выраженный болевой синдром и местная воспалительная реакция. Больные, как правило, обращаются через 3-5 суток от начала заболевания. Распространённость воспалительного процесса не соответствует общим проявлениям - температура тела не превышает 37,5°С, количественные показатели лейкоцитов соответствуют норме или могут быть ниже – 5-6 – 9 х 10</w:t>
      </w:r>
      <w:r w:rsidRPr="00E51ED1">
        <w:rPr>
          <w:rFonts w:ascii="Times New Roman" w:eastAsia="Times New Roman" w:hAnsi="Times New Roman" w:cs="Times New Roman"/>
          <w:color w:val="222222"/>
          <w:spacing w:val="4"/>
          <w:sz w:val="20"/>
          <w:szCs w:val="20"/>
          <w:vertAlign w:val="superscript"/>
          <w:lang w:eastAsia="ru-RU"/>
        </w:rPr>
        <w:t>9</w:t>
      </w:r>
      <w:r w:rsidRPr="00E51ED1">
        <w:rPr>
          <w:rFonts w:ascii="Times New Roman" w:eastAsia="Times New Roman" w:hAnsi="Times New Roman" w:cs="Times New Roman"/>
          <w:color w:val="222222"/>
          <w:spacing w:val="4"/>
          <w:sz w:val="27"/>
          <w:szCs w:val="27"/>
          <w:lang w:eastAsia="ru-RU"/>
        </w:rPr>
        <w:t>/л, СОЭ либо резко повышена (≥ 30 мм/ч), либо резко снижена (около 2 мм/ч) [21, 23, 24, 25, 59, 65, 71, 75, 103].</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Клиническая картина поражения нижней и верхней челюстей имеет существенные различия и обусловлено анатомо-физиологическими особенностями строения челюстей и прилежащих мягких тканей, особенностями кровоснабжения и иннервации. Остеомиелит верхней челюсти характеризуется более лёгким течением, быстрой реконвалесценцией, тенденцией к ограничению гнойно-некротического процесса костной ткани. Клиническая картина остеомиелита нижней челюсти в раннем периоде чаще всего проявляется утолщением края и нередко появлением симптома Венсана [21, 23, 24, 25, 59, 65, 71, 75, 103].</w:t>
      </w:r>
    </w:p>
    <w:p w:rsidR="00E51ED1" w:rsidRPr="00E51ED1" w:rsidRDefault="00E51ED1" w:rsidP="00E51ED1">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E51ED1">
        <w:rPr>
          <w:rFonts w:ascii="Inter" w:eastAsia="Times New Roman" w:hAnsi="Inter" w:cs="Times New Roman"/>
          <w:b/>
          <w:bCs/>
          <w:color w:val="000000"/>
          <w:spacing w:val="4"/>
          <w:kern w:val="36"/>
          <w:sz w:val="48"/>
          <w:szCs w:val="48"/>
          <w:lang w:eastAsia="ru-RU"/>
        </w:rPr>
        <w:t xml:space="preserve">2. Диагностика заболевания или состояния (группы заболеваний или состояний) медицинские показания и </w:t>
      </w:r>
      <w:r w:rsidRPr="00E51ED1">
        <w:rPr>
          <w:rFonts w:ascii="Inter" w:eastAsia="Times New Roman" w:hAnsi="Inter" w:cs="Times New Roman"/>
          <w:b/>
          <w:bCs/>
          <w:color w:val="000000"/>
          <w:spacing w:val="4"/>
          <w:kern w:val="36"/>
          <w:sz w:val="48"/>
          <w:szCs w:val="48"/>
          <w:lang w:eastAsia="ru-RU"/>
        </w:rPr>
        <w:lastRenderedPageBreak/>
        <w:t>противопоказания к применению методов диагностики</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Критерии установления диагноза (состояния):</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1. сбор жалоб,</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2. сбор анамнестических данных,</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3. данные физикального обследования,</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4. данные инструментального обследования,</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5. иные методы исследования, включая лучевые методы исследования,</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6. дифференциальная диагностика заболеваний.</w:t>
      </w:r>
    </w:p>
    <w:p w:rsidR="00E51ED1" w:rsidRPr="00E51ED1" w:rsidRDefault="00E51ED1" w:rsidP="00E51ED1">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E51ED1">
        <w:rPr>
          <w:rFonts w:ascii="Inter" w:eastAsia="Times New Roman" w:hAnsi="Inter" w:cs="Times New Roman"/>
          <w:b/>
          <w:bCs/>
          <w:color w:val="000000"/>
          <w:spacing w:val="4"/>
          <w:kern w:val="36"/>
          <w:sz w:val="48"/>
          <w:szCs w:val="48"/>
          <w:lang w:eastAsia="ru-RU"/>
        </w:rPr>
        <w:t>2.1 Жалобы и анамнез</w:t>
      </w:r>
    </w:p>
    <w:p w:rsidR="00E51ED1" w:rsidRPr="00E51ED1" w:rsidRDefault="00E51ED1" w:rsidP="00E51ED1">
      <w:pPr>
        <w:numPr>
          <w:ilvl w:val="0"/>
          <w:numId w:val="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w:t>
      </w:r>
      <w:r w:rsidRPr="00E51ED1">
        <w:rPr>
          <w:rFonts w:ascii="Times New Roman" w:eastAsia="Times New Roman" w:hAnsi="Times New Roman" w:cs="Times New Roman"/>
          <w:color w:val="222222"/>
          <w:spacing w:val="4"/>
          <w:sz w:val="27"/>
          <w:szCs w:val="27"/>
          <w:lang w:eastAsia="ru-RU"/>
        </w:rPr>
        <w:t> проведение первичного приёма (осмотра, консультации) врачом-челюстно-лицевым хирургом и/или врачом-стоматологом-хирургом пациентов с одонтогенными воспалительными заболеваниями челюстей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рекомендации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 </w:t>
      </w:r>
      <w:r w:rsidRPr="00E51ED1">
        <w:rPr>
          <w:rFonts w:ascii="Times New Roman" w:eastAsia="Times New Roman" w:hAnsi="Times New Roman" w:cs="Times New Roman"/>
          <w:i/>
          <w:iCs/>
          <w:color w:val="333333"/>
          <w:spacing w:val="4"/>
          <w:sz w:val="27"/>
          <w:szCs w:val="27"/>
          <w:lang w:eastAsia="ru-RU"/>
        </w:rPr>
        <w:t>проведение первичного приёма (осмотра, консультации) врачом-челюстно-лицевым хирургом и/или врачом-стоматологом-хирургом пациентов с одонтогенными воспалительными заболеваниями челюстей, желательно не позднее 2-х часов от момента поступления в стационар.</w:t>
      </w:r>
      <w:r w:rsidRPr="00E51ED1">
        <w:rPr>
          <w:rFonts w:ascii="Times New Roman" w:eastAsia="Times New Roman" w:hAnsi="Times New Roman" w:cs="Times New Roman"/>
          <w:b/>
          <w:bCs/>
          <w:i/>
          <w:iCs/>
          <w:color w:val="333333"/>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При отсутствии в лечебном учреждении (стационаре) врача-челюстно-лицевого хирурга и/или врача-стоматолога-хирурга первичный приём (осмотр, консультация) может быть проведена врачом-хирургом с последующей маршрутизацией пациента.</w:t>
      </w:r>
    </w:p>
    <w:p w:rsidR="00E51ED1" w:rsidRPr="00E51ED1" w:rsidRDefault="00E51ED1" w:rsidP="00E51ED1">
      <w:pPr>
        <w:numPr>
          <w:ilvl w:val="0"/>
          <w:numId w:val="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w:t>
      </w:r>
      <w:r w:rsidRPr="00E51ED1">
        <w:rPr>
          <w:rFonts w:ascii="Times New Roman" w:eastAsia="Times New Roman" w:hAnsi="Times New Roman" w:cs="Times New Roman"/>
          <w:color w:val="222222"/>
          <w:spacing w:val="4"/>
          <w:sz w:val="27"/>
          <w:szCs w:val="27"/>
          <w:lang w:eastAsia="ru-RU"/>
        </w:rPr>
        <w:t xml:space="preserve"> при проведении дифференциальной диагностики между различными нозологическими формами процесса у пациентов с одонтогенными воспалительными заболеваниями челюстей учитывать следующие жалобы: 1) локализацию боли: только в области одного «причинного» зуба или в нескольких зубах, и/или челюсти; её характер; 2) наличие иррадиации боли по ходу ветвей тройничного нерва; 3) подвижность только в одного «причинного» зуба или 2-х рядом </w:t>
      </w:r>
      <w:r w:rsidRPr="00E51ED1">
        <w:rPr>
          <w:rFonts w:ascii="Times New Roman" w:eastAsia="Times New Roman" w:hAnsi="Times New Roman" w:cs="Times New Roman"/>
          <w:color w:val="222222"/>
          <w:spacing w:val="4"/>
          <w:sz w:val="27"/>
          <w:szCs w:val="27"/>
          <w:lang w:eastAsia="ru-RU"/>
        </w:rPr>
        <w:lastRenderedPageBreak/>
        <w:t>расположенных или нескольких соседних зубов; 4) наличие отёка слизистой оболочки и околочелюстных мягких тканей, его локализацию и распространённость; 5) наличие парестезии губы, зубов, кожи анатомической области; 6) возможно некоторое ограничение открывания рта (из-за наличия отёка); 7) возможно умеренно выраженные боли при глотании, жевании, движении языком; 8) возможно наличие свищевых ходов на слизистой оболочке полости рта и на коже околочелюстных мягких тканей; 9) возможно деформацию челюстей; 10) наличие симптомов интоксикации организма (общую слабость, головную боль, нарушение сна, потерю аппетита, озноб, быструю утомляемость, повышенную раздражительность или апатию) для уточнения диагноза и определения тактики обследования и лечения [21, 23, 24, 25, 59, 65, 71, 75, 103, 109].</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рекомендации C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w:t>
      </w:r>
      <w:r w:rsidRPr="00E51ED1">
        <w:rPr>
          <w:rFonts w:ascii="Times New Roman" w:eastAsia="Times New Roman" w:hAnsi="Times New Roman" w:cs="Times New Roman"/>
          <w:b/>
          <w:bCs/>
          <w:i/>
          <w:iCs/>
          <w:color w:val="333333"/>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для правильной постановки диагноза и проведения дифференциальной диагностики между периоститом и остеомиелитом челюсти, необходимо чётко представлять их характерные, типичные, так называемые «патогномоничные» симптомы. При остром серозном периостите челюсти пациенты чаще предъявляют жалобы на боли в области только "причинного" зуба, усиливающиеся при накусывании на него, при дотрагивании языком или зубом-антагонистом, пациенты отмечают ощущение «выросшего» зуба. При остром гнойном периостите отмечаются жалобы пациентов на интенсивную боль в области только одного «причинного» зуба, которая постепенно ослабевает, а усиливается при пальпации по переходной складке и при дотрагивании до смежных зон на лице. Пациенты предъявляют жалобы на наличие отёка мягких тканей челюстно-лицевой зоны, слизистой оболочки полости рта; наличие симптомов интоксикации организма (общую слабость, повышенную утомляемость, головную боль, потерю аппетита и т.д.) проявляются в зависимости от реактивности организма и вирулентности микробиоты [40, 50, 64]. При хроническом периостите пациенты могут предъявлять жалобы на наличие утолщения челюсти в зоне воспаления, как со стороны кожных покровов, так и со стороны полости рта [21, 23, 24, 25, 59, 65, 71, 75,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 xml:space="preserve">При острой или обострении хронической формы остеомиелита челюсти больного беспокоят острые, пульсирующего характера, нарастающие по интенсивности боли в области вначале только одного "причинного" зуба, затем ряда соседних зубов и далее участка челюсти, иррадиирующие по ходу </w:t>
      </w:r>
      <w:r w:rsidRPr="00E51ED1">
        <w:rPr>
          <w:rFonts w:ascii="Times New Roman" w:eastAsia="Times New Roman" w:hAnsi="Times New Roman" w:cs="Times New Roman"/>
          <w:i/>
          <w:iCs/>
          <w:color w:val="333333"/>
          <w:spacing w:val="4"/>
          <w:sz w:val="27"/>
          <w:szCs w:val="27"/>
          <w:lang w:eastAsia="ru-RU"/>
        </w:rPr>
        <w:lastRenderedPageBreak/>
        <w:t>ветвей тройничного нерва. Пациенты отмечают наличие отёка мягких тканей челюстно-лицевой зоны в проекции локуса поражения в челюсти и слизистой оболочки полости рта. Также жалобы могут быть на ограничение (из-за наличия отёка) и болезненность открывания рта, боль при глотании, разговоре, движении языком, заложенность или гнойные выделения из носа при развитии эмпиемы верхнечелюстного синуса в случае локализации первичного одонтогенного «очага» воспаления в области премоляров или моляров верхней челюсти. Пациенты отмечают постепенное появление подвижности зубов в зоне гнойно-воспалительного процесса, гнойное отделяемое из пародонтальных карманов или свищевых ходов. Может отмечаться снижение или потеря чувствительности нижней губы, кожи подбородка (симптом Венсана) или подглазничной области и зубов верхней челюсти соответствующей стороны. Кроме того, наблюдаются значительная слабость, потеря аппетита, нарушения сна, лихорадка, головные боли [21, 23, 24, 25, 59, 65, 71, 75, 103, 109].</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При подостром остеомиелите челюсти пациенты отмечают незначительно выраженные болевой симптом в области нескольких зубов и/или сегмента (половины) челюсти, подвижность зубов, наличие отёка околочелюстных мягких тканей в проекции поражённого участка челюсти, гнойное отделяемое из раны. Отмечается некоторое купирование симптомов интоксикации, однако, полного выздоровления не происходит. Может определяться наличие свищевых ходов в области лунки удалённого «причинного» зуба и/или послеоперационных рубцов в полости рта с гнойным отделяемым и/или выделение мелких секвестров [21, 23, 24, 25, 59, 65, 71, 75,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При хроническом остеомиелите челюсти пациенты могут предъявлять жалобы на незначительные, периодические боли в области «причинного» и соседних зуба или челюсти, подвижность зубов в очаге воспаления. Может определяться деформация лица за счёт утолщения челюсти или наличие послеоперационных рубцов или свищевых ходов как со стороны кожных покровов, так и в полости рта, которые формируются в сроки, превышающие 4- 5 недель на верхней и 6-8 недель на нижней челюсти от начала данного обострения гнойно-воспалительного процесса или после выполненного ранее, в подострую фазу, оперативного вмешательства (секвестрэктомии) [19]. Жалобы могут быть на периодическое повышение температуры тела в пределах субфебрильных значений, приступы общей слабости, недомогание, повышенную потливость [21, 23, 24, 25, 59, 65, 71, 75, 103, 109].</w:t>
      </w:r>
    </w:p>
    <w:p w:rsidR="00E51ED1" w:rsidRPr="00E51ED1" w:rsidRDefault="00E51ED1" w:rsidP="00E51ED1">
      <w:pPr>
        <w:numPr>
          <w:ilvl w:val="0"/>
          <w:numId w:val="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lastRenderedPageBreak/>
        <w:t>Рекомендуется</w:t>
      </w:r>
      <w:r w:rsidRPr="00E51ED1">
        <w:rPr>
          <w:rFonts w:ascii="Times New Roman" w:eastAsia="Times New Roman" w:hAnsi="Times New Roman" w:cs="Times New Roman"/>
          <w:color w:val="222222"/>
          <w:spacing w:val="4"/>
          <w:sz w:val="27"/>
          <w:szCs w:val="27"/>
          <w:lang w:eastAsia="ru-RU"/>
        </w:rPr>
        <w:t> тщательный сбор анамнеза заболевания у пациентов с одонтогенными воспалительными заболеваниями челюстей с целью уточнения диагноза, проведения дифференциальной диагностики и определения тактики лечения [21, 23, 24, 25, 59, 65, 71, 75,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рекомендации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 </w:t>
      </w:r>
      <w:r w:rsidRPr="00E51ED1">
        <w:rPr>
          <w:rFonts w:ascii="Times New Roman" w:eastAsia="Times New Roman" w:hAnsi="Times New Roman" w:cs="Times New Roman"/>
          <w:i/>
          <w:iCs/>
          <w:color w:val="333333"/>
          <w:spacing w:val="4"/>
          <w:sz w:val="27"/>
          <w:szCs w:val="27"/>
          <w:lang w:eastAsia="ru-RU"/>
        </w:rPr>
        <w:t>при гнойно-воспалительном заболевании челюсти для дальнейшего планирования комплексного лечения врачу необходимо в первую очередь установить взаимосвязь между возникновением данного воспалительного процесса в челюсти и предшествующими заболеванию симптомами. С этой целью врач выясняет: предшествовало ли заболевание зубов данному воспалительному процессу, характеристика боли (только в "причинном" зубе или ещё и соседних зубов), их подвижность; или проводилось удаление зуба; имелись ли проявления неврита нижнеальвеолярного нерва (симптом Венсана); отмечал ли пациент переохлаждение или перенесённое простудное заболевание, физическое или эмоциональное перенапряжение; установить, с чем сам пациент связывает начало заболевания; динамику изменений клинической картины и проводимое лечение или его отсутствие: необходимо выяснить субъективную оценку эффективности проводимого лечения на догоспитальном этапе [21, 23, 24, 25, 59, 65, 71, 75, 103, 109].</w:t>
      </w:r>
    </w:p>
    <w:p w:rsidR="00E51ED1" w:rsidRPr="00E51ED1" w:rsidRDefault="00E51ED1" w:rsidP="00E51ED1">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E51ED1">
        <w:rPr>
          <w:rFonts w:ascii="Inter" w:eastAsia="Times New Roman" w:hAnsi="Inter" w:cs="Times New Roman"/>
          <w:b/>
          <w:bCs/>
          <w:color w:val="000000"/>
          <w:spacing w:val="4"/>
          <w:kern w:val="36"/>
          <w:sz w:val="48"/>
          <w:szCs w:val="48"/>
          <w:lang w:eastAsia="ru-RU"/>
        </w:rPr>
        <w:t>2.2 Физикальное обследование</w:t>
      </w:r>
    </w:p>
    <w:p w:rsidR="00E51ED1" w:rsidRPr="00E51ED1" w:rsidRDefault="00E51ED1" w:rsidP="00E51ED1">
      <w:pPr>
        <w:numPr>
          <w:ilvl w:val="0"/>
          <w:numId w:val="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w:t>
      </w:r>
      <w:r w:rsidRPr="00E51ED1">
        <w:rPr>
          <w:rFonts w:ascii="Times New Roman" w:eastAsia="Times New Roman" w:hAnsi="Times New Roman" w:cs="Times New Roman"/>
          <w:color w:val="222222"/>
          <w:spacing w:val="4"/>
          <w:sz w:val="27"/>
          <w:szCs w:val="27"/>
          <w:lang w:eastAsia="ru-RU"/>
        </w:rPr>
        <w:t> при физикальном обследовании пациентов с одонтогенными воспалительными заболеваниями челюстей проводить общеклинический осмотр (с оценкой цвета кожных покровов, слизистых оболочек, роговиц; частоты сердечных сокращений; показателей артериального давления; частоты дыхательных движений; характеристик пальпации живота и т.п.) для уточнения диагноза, проведения дифференциальной диагностики и определения тактики лечения [50, 57, 73].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рекомендации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 </w:t>
      </w:r>
      <w:r w:rsidRPr="00E51ED1">
        <w:rPr>
          <w:rFonts w:ascii="Times New Roman" w:eastAsia="Times New Roman" w:hAnsi="Times New Roman" w:cs="Times New Roman"/>
          <w:i/>
          <w:iCs/>
          <w:color w:val="333333"/>
          <w:spacing w:val="4"/>
          <w:sz w:val="27"/>
          <w:szCs w:val="27"/>
          <w:lang w:eastAsia="ru-RU"/>
        </w:rPr>
        <w:t xml:space="preserve">общее состояние у пациентов с острым периоститом челюсти, чаще всего, удовлетворительное или, реже, средней степени тяжести, температура тела может быть повышена в пределах субфебрильных значений, реже – фебрильная; в редких случаях отмечается общая слабость, отсутствие аппетита, нарушение сна. Общее состояние </w:t>
      </w:r>
      <w:r w:rsidRPr="00E51ED1">
        <w:rPr>
          <w:rFonts w:ascii="Times New Roman" w:eastAsia="Times New Roman" w:hAnsi="Times New Roman" w:cs="Times New Roman"/>
          <w:i/>
          <w:iCs/>
          <w:color w:val="333333"/>
          <w:spacing w:val="4"/>
          <w:sz w:val="27"/>
          <w:szCs w:val="27"/>
          <w:lang w:eastAsia="ru-RU"/>
        </w:rPr>
        <w:lastRenderedPageBreak/>
        <w:t>пациентов при хронической форме периостита, как правило, не нарушено, крайне редко возможно повышение температуры тела.</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Острый остеомиелит челюсти характеризуется более выраженным нарушением общего состояния пациента за счёт более выраженной интоксикации, повышения температуры тела до 38,2-38,5 при нормергическом типе течения воспаления, а при гиперерергическом типе до 39</w:t>
      </w:r>
      <w:r w:rsidRPr="00E51ED1">
        <w:rPr>
          <w:rFonts w:ascii="Times New Roman" w:eastAsia="Times New Roman" w:hAnsi="Times New Roman" w:cs="Times New Roman"/>
          <w:i/>
          <w:iCs/>
          <w:color w:val="333333"/>
          <w:spacing w:val="4"/>
          <w:sz w:val="20"/>
          <w:szCs w:val="20"/>
          <w:vertAlign w:val="superscript"/>
          <w:lang w:eastAsia="ru-RU"/>
        </w:rPr>
        <w:t>о</w:t>
      </w:r>
      <w:r w:rsidRPr="00E51ED1">
        <w:rPr>
          <w:rFonts w:ascii="Times New Roman" w:eastAsia="Times New Roman" w:hAnsi="Times New Roman" w:cs="Times New Roman"/>
          <w:i/>
          <w:iCs/>
          <w:color w:val="333333"/>
          <w:spacing w:val="4"/>
          <w:sz w:val="27"/>
          <w:szCs w:val="27"/>
          <w:lang w:eastAsia="ru-RU"/>
        </w:rPr>
        <w:t>С (со</w:t>
      </w: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значительными колебаниями в течение суток), наличия тахикардии, нередко сопровождается повышением артериального давления, учащением дыхания. Кожные покровы больного бледные, влажные. У пациентов отмечается снижение аппетита, головные боли. При подострой стадии остеомиелита общее состояние пациента улучшается, снижается температура тела, уменьшаются её колебания в течение суток. Хронический одонтогенный остеомиелит характеризуется удовлетворительным общим состоянием пациента, температура тела, чаще всего, снижается до нормы, либо находится в пределах субфебрильных значений [21, 23, 24, 25, 59, 65, 71, 75, 103].</w:t>
      </w:r>
    </w:p>
    <w:p w:rsidR="00E51ED1" w:rsidRPr="00E51ED1" w:rsidRDefault="00E51ED1" w:rsidP="00E51ED1">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w:t>
      </w:r>
      <w:r w:rsidRPr="00E51ED1">
        <w:rPr>
          <w:rFonts w:ascii="Times New Roman" w:eastAsia="Times New Roman" w:hAnsi="Times New Roman" w:cs="Times New Roman"/>
          <w:color w:val="222222"/>
          <w:spacing w:val="4"/>
          <w:sz w:val="27"/>
          <w:szCs w:val="27"/>
          <w:lang w:eastAsia="ru-RU"/>
        </w:rPr>
        <w:t> проведение внешнего осмотра пациентов с одонтогенными воспалительными заболеваниями челюстно-лицевой зоны с целью уточнения диагноза, проведения дифференциальной диагностики и определения тактики лечения [21, 23, 24, 25, 59, 65, 71, 75, 109].</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рекомендации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 </w:t>
      </w:r>
      <w:r w:rsidRPr="00E51ED1">
        <w:rPr>
          <w:rFonts w:ascii="Times New Roman" w:eastAsia="Times New Roman" w:hAnsi="Times New Roman" w:cs="Times New Roman"/>
          <w:i/>
          <w:iCs/>
          <w:color w:val="333333"/>
          <w:spacing w:val="4"/>
          <w:sz w:val="27"/>
          <w:szCs w:val="27"/>
          <w:lang w:eastAsia="ru-RU"/>
        </w:rPr>
        <w:t>при остром периостите клиническими признаками являются наличие незначительного коллатерального отёка околочелюстных тканей или его отсутствие, отмечаются явления острого серозного регионарного лимфаденита.</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При подостром периостите клиническими признаками также могут являться наличие незначительного коллатерального отёка околочелюстных тканей, наличие острого серозного регионарного лимфаденита.</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При хроническом периостите при внешнем осмотре изменение конфигурации лица пациента, как правило, незначительное.</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При осмотре определяется «утолщение» кости, чаще с вестибулярной поверхности (при локализации «очага» гнойного воспаления в области верхушки корня второго резца, первого премоляра, нёбных корней моляров, более вероятно формирование поднадкостничного абсцесса с нёбной поверхности альвеолярного отростка верхней челюсти или язычной поверхности альвеолярной части нижней челюсти), на уровне зубо-</w:t>
      </w:r>
      <w:r w:rsidRPr="00E51ED1">
        <w:rPr>
          <w:rFonts w:ascii="Times New Roman" w:eastAsia="Times New Roman" w:hAnsi="Times New Roman" w:cs="Times New Roman"/>
          <w:i/>
          <w:iCs/>
          <w:color w:val="333333"/>
          <w:spacing w:val="4"/>
          <w:sz w:val="27"/>
          <w:szCs w:val="27"/>
          <w:lang w:eastAsia="ru-RU"/>
        </w:rPr>
        <w:lastRenderedPageBreak/>
        <w:t>альвеолярного сегмента только одного «причинного» зуба, явившегося входными воротами для инфекции. Регионарные лимфатические узлы увеличены, плотные, безболезненные или слабо болезненные [21, 23, 24, 25, 59, 65, 71, 75, 109].</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При осмотре пациента в острой стадии одонтогенного остеомиелита челюсти часто выявляется нарушение конфигурации лица за счёт выраженного отёка мягких тканей, локализующегося в зоне воспалительного процесса кости. Кожа физиологической окраски или незначительно гиперемирована, в складку собирается. Определяется «утолщение» кости, распространяющееся за границы зубо-альвеолярного сегмента «причинного» зуба, явившегося «входными воротами» для инфекции, как минимум на 2 соседних зуба (возможно и более - на уровне нескольких соседних зубов, вплоть до половины нижней челюсти, соответствующей локализации первичного «очага» воспаления), с формированием, возможно, «муфтообразного» инфильтрата (при распространении воспалительного процесса в костных структурах челюсти в язычно-вестибулярном или язычно-нёбном направлении), или одностороннего, с вестибулярной поверхности (при локализации «очага» гнойного воспаления в области верхушки корня второго резца, первого премоляра, нёбных корней моляров, более вероятно формирование поднадкостничного абсцесса с нёбной поверхности альвеолярного отростка верхней челюсти или язычной поверхности альвеолярной части нижней челюсти). Определяются увеличенные, болезненные регионарные лимфатические узлы. Могут отмечаться признаки воспалительной контрактуры нижней челюсти при локализации гнойного процесса в области жевательных мышц. Приём пищи, глотание могут быть затруднены.</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 xml:space="preserve">В подострую фазу остеомиелита воспалительные изменения незначительны: отёк мягких тканей и гнойное отделяемое из ран уменьшаются, раны гранулируют или формируются свищевые ходы. Регионарные лимфатические узлы незначительно увеличены, слабо болезненны, плотные. Однако, возможно появление гнойного отделяемого из лунки удалённого «причинного» зуба и/или послеоперационной раны по переходной складке. Возможно «волнообразное» течение процесса, со сменой периодов ремиссии и обострения, в сроки, не превышающие 4-5 недель на верхней и 6-8 недель на нижней челюсти от начала данного обострения гнойно-воспалительного процесса, что требует определения показаний и срока выполнения контрольного рентгенологического исследования (при наличии технической возможности - компьютерной </w:t>
      </w:r>
      <w:r w:rsidRPr="00E51ED1">
        <w:rPr>
          <w:rFonts w:ascii="Times New Roman" w:eastAsia="Times New Roman" w:hAnsi="Times New Roman" w:cs="Times New Roman"/>
          <w:i/>
          <w:iCs/>
          <w:color w:val="333333"/>
          <w:spacing w:val="4"/>
          <w:sz w:val="27"/>
          <w:szCs w:val="27"/>
          <w:lang w:eastAsia="ru-RU"/>
        </w:rPr>
        <w:lastRenderedPageBreak/>
        <w:t>томографии челюстно-лицевой области или компьютерной томографии или компьютерной томографии лицевого отдела черепа с внутривенным болюсным контрастированием) с целью решения вопроса о завершённости процесса формирования секвестров и определения показаний для выполнения в конце подострой фазы оперативного вмешательства в объёме секвестрэктомии.</w:t>
      </w: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Возможно формирование свищевых ходов в области лунки удалённого «причинного» зуба и/или послеоперационных рубцов в полости рта с гнойным отделяемым.                                                           </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При внешнем осмотре пациентов с хроническим остеомиелитом челюстей определяется изменение конфигурации лица в результате незначительной инфильтрации окружающих мягких тканей и периостального утолщения челюсти, кожа в цвете не изменена. Характерно наличие свищевых ходов, идущих до кости, из которых выделялся гной или выбухают пышные кровоточащие грануляции, которые формируются в сроки, превышающие 4-5 недель на верхней и 6-8 недель на нижней челюсти от начала данного обострения гнойно-воспалительного процесса или после выполненного ранее, в подострую фазу, оперативного вмешательства (секвестрэктомии) [21, 75, 103]. При зондировании свищевого хода можно определить подвижный участок костной ткани с неровной поверхностью. Ряд свищей может рубцеваться. Лимфатические узлы незначительно увеличены, плотные, слабо болезненные при пальпации [21, 23, 24, 25, 59, 65, 71, 75].</w:t>
      </w:r>
    </w:p>
    <w:p w:rsidR="00E51ED1" w:rsidRPr="00E51ED1" w:rsidRDefault="00E51ED1" w:rsidP="00E51ED1">
      <w:pPr>
        <w:numPr>
          <w:ilvl w:val="0"/>
          <w:numId w:val="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w:t>
      </w:r>
      <w:r w:rsidRPr="00E51ED1">
        <w:rPr>
          <w:rFonts w:ascii="Times New Roman" w:eastAsia="Times New Roman" w:hAnsi="Times New Roman" w:cs="Times New Roman"/>
          <w:color w:val="222222"/>
          <w:spacing w:val="4"/>
          <w:sz w:val="27"/>
          <w:szCs w:val="27"/>
          <w:lang w:eastAsia="ru-RU"/>
        </w:rPr>
        <w:t> проведение пальпации и осмотр органов полости рта у пациентов с одонтогенными воспалительными заболеваниями челюстей с целью уточнения диагноза, проведения дифференциальной диагностики и определения тактики лечения [23, 25, 50, 84].</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w:t>
      </w:r>
      <w:r w:rsidRPr="00E51ED1">
        <w:rPr>
          <w:rFonts w:ascii="Times New Roman" w:eastAsia="Times New Roman" w:hAnsi="Times New Roman" w:cs="Times New Roman"/>
          <w:b/>
          <w:bCs/>
          <w:i/>
          <w:iCs/>
          <w:color w:val="333333"/>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 xml:space="preserve">у пациентов с предполагаемым диагнозом острого периостита определяются гиперемия слизистой оболочки и сглаженность переходной складки в области «причинного» зуба и соседних с ним зубов. Клиническим признаком является наличие болезненного воспалительного инфильтрата, определяемого при пальпации, в проекции верхушки корня «причинного» зуба и соседних с ним зубов, при гнойном – положительный симптом флюктуации. Характерным симптомом периостита является расположение воспалительного инфильтрата с одной стороны челюсти (вестибулярной или язычной/нёбной). При локализации очага гнойного воспаления с нёбной стороны верхней челюсти формируется нёбный абсцесс. </w:t>
      </w:r>
      <w:r w:rsidRPr="00E51ED1">
        <w:rPr>
          <w:rFonts w:ascii="Times New Roman" w:eastAsia="Times New Roman" w:hAnsi="Times New Roman" w:cs="Times New Roman"/>
          <w:i/>
          <w:iCs/>
          <w:color w:val="333333"/>
          <w:spacing w:val="4"/>
          <w:sz w:val="27"/>
          <w:szCs w:val="27"/>
          <w:lang w:eastAsia="ru-RU"/>
        </w:rPr>
        <w:lastRenderedPageBreak/>
        <w:t>При хроническом периостите в полости рта изменения незначительны: багрово-синюшная слизистая оболочка в области "причинного" зуба.</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При остром остеомиелите при осмотре полости рта выявляется гиперемия слизистой оболочки, отёк десны, сглаженность тканей преддверия рта в проекции гнойно-воспалительного очага в челюсти. При пальпации определяется плотный, болезненный инфильтрат в проекции верхушки корня «причинного» зуба и как минимум 2-х соседних с ним (или более) зубов, возможно - двусторонний ("муфтообразный") инфильтрат, при распространении воспаления в костных структурах челюсти в язычно/нёбно-вестибулярном направлении, может быть положительным симптом флюктуации. Возможно развитие признаков неврита нижнеальвеолярного нерва (симптом Венсана) при распространении воспаления в костных структурах нижней челюсти в вертикальном направлении (от альвеолярной части нижней челюсти ниже уровня нижнечелюстного канала). При распространении воспаления в костных структурах верхней челюсти в вертикальном направлении (кверху от альвеолярного отростка верней челюсти в верхнечелюстную пазуху) возможно развитие клинических признаков верхнечелюстного синусита (чаще острого серозного, но в случае развития остеомиелита верхней челюсти с локализацией первичного «очага» гнойного воспаления в области премоляров или моляров, на фоне исходного хронического одонтогенного или смешанного генеза верхнечелюстного синусита, - обострения хронического гнойного синусита), что требует проведения консультации оториноларинголога и выполнения контрольного рентгенологического исследования придаточных пазух носа (при наличии технической возможности компьютерной томографии придаточных пазух носа, гортани или компьютерной томографии лицевого отдела черепа с внутривенным болюсным контрастированием),  с целью решения вопроса о показании к выполнению диагностической пункции пазухи.</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При подостром остеомиелите отёк слизистой оболочки полости рта выражен незначительно. Однако, возможно появление гнойного отделяемого и/или  из лунки удалённого «причинного» зуба и/или послеоперационной раны по переходной складке, а также выделение мелких секвестров [21, 75,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 xml:space="preserve">Возможно «волнообразное» течение процесса, со сменой периодов ремиссии и обострения, в сроки, не превышающие 4-5 недель на верхней и 6-8 недель на нижней челюсти от начала данного обострения гнойно-воспалительного процесса, что требует определения показаний и срока выполнения контрольного рентгенологического исследования (при наличии технической </w:t>
      </w:r>
      <w:r w:rsidRPr="00E51ED1">
        <w:rPr>
          <w:rFonts w:ascii="Times New Roman" w:eastAsia="Times New Roman" w:hAnsi="Times New Roman" w:cs="Times New Roman"/>
          <w:i/>
          <w:iCs/>
          <w:color w:val="333333"/>
          <w:spacing w:val="4"/>
          <w:sz w:val="27"/>
          <w:szCs w:val="27"/>
          <w:lang w:eastAsia="ru-RU"/>
        </w:rPr>
        <w:lastRenderedPageBreak/>
        <w:t>возможности - компьютерной томографии челюстно-лицевой области или компьютерной томографии п</w:t>
      </w:r>
      <w:hyperlink r:id="rId5" w:history="1">
        <w:r w:rsidRPr="00E51ED1">
          <w:rPr>
            <w:rFonts w:ascii="Times New Roman" w:eastAsia="Times New Roman" w:hAnsi="Times New Roman" w:cs="Times New Roman"/>
            <w:i/>
            <w:iCs/>
            <w:color w:val="0000FF"/>
            <w:spacing w:val="4"/>
            <w:sz w:val="27"/>
            <w:szCs w:val="27"/>
            <w:u w:val="single"/>
            <w:lang w:eastAsia="ru-RU"/>
          </w:rPr>
          <w:t>олости рта и зубов</w:t>
        </w:r>
      </w:hyperlink>
      <w:r w:rsidRPr="00E51ED1">
        <w:rPr>
          <w:rFonts w:ascii="Times New Roman" w:eastAsia="Times New Roman" w:hAnsi="Times New Roman" w:cs="Times New Roman"/>
          <w:i/>
          <w:iCs/>
          <w:color w:val="333333"/>
          <w:spacing w:val="4"/>
          <w:sz w:val="27"/>
          <w:szCs w:val="27"/>
          <w:lang w:eastAsia="ru-RU"/>
        </w:rPr>
        <w:t> или компьютерной томографии лицевого отдела черепа с внутривенным болюсным контрастированием) с целью решения вопроса о завершённости процесса формирования секвестров и определения показаний для выполнения в конце подострой фазы остеомиелита хирургического вмешательства в объёме секвестрэктомии.</w:t>
      </w: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При этом определяются свищевые ходы в области лунки удалённого «причинного» зуба и/или послеоперационных рубцов в полости рта с гнойным отделяемым или выделением мелких секвестров [21, 75].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При хроническом остеомиелите слизистая оболочка в проекции поражённого участка челюсти рыхлая, гиперемированная или синюшная, иногда отёчна, как правило, имеется "муфтообразное" утолщение челюсти. Обострение хронического остеомиелита характеризуется ухудшением общего состояния, подъёмом температуры тела, нарастанием клинических признаков воспаления, формированием свищей с гнойным отделяемым, которые формируются в сроки, превышающие 4-5 недель на верхней и 6-8 недель на нижней челюсти от начала данного обострения гнойно-воспалительного процесса или после выполненного ранее, в подострую фазу, оперативного вмешательства (секвестрэктомии) [21, 75, 103].</w:t>
      </w:r>
    </w:p>
    <w:p w:rsidR="00E51ED1" w:rsidRPr="00E51ED1" w:rsidRDefault="00E51ED1" w:rsidP="00E51ED1">
      <w:pPr>
        <w:numPr>
          <w:ilvl w:val="0"/>
          <w:numId w:val="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w:t>
      </w:r>
      <w:r w:rsidRPr="00E51ED1">
        <w:rPr>
          <w:rFonts w:ascii="Times New Roman" w:eastAsia="Times New Roman" w:hAnsi="Times New Roman" w:cs="Times New Roman"/>
          <w:color w:val="222222"/>
          <w:spacing w:val="4"/>
          <w:sz w:val="27"/>
          <w:szCs w:val="27"/>
          <w:lang w:eastAsia="ru-RU"/>
        </w:rPr>
        <w:t> определение степени открывания рта у пациентов с одонтогенными воспалительными заболеваниями челюстей с целью уточнения диагноза, проведения дифференциальной диагностики и определения тактики лечения [21, 23, 24, 25, 29, 32, 33, 34, 59, 65, 71, 75].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w:t>
      </w:r>
      <w:r w:rsidRPr="00E51ED1">
        <w:rPr>
          <w:rFonts w:ascii="Times New Roman" w:eastAsia="Times New Roman" w:hAnsi="Times New Roman" w:cs="Times New Roman"/>
          <w:b/>
          <w:bCs/>
          <w:i/>
          <w:iCs/>
          <w:color w:val="333333"/>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при периостите нижней челюсти ограничение открывание рта может быть обусловлено локализацией воспалительного процесса в области моляров, причём в большей степени за счёт развития коллатерального отёка околочелюстных мягких тканей, а при  дальнейшем распространении гнойно-воспалительного процесса в клетчаточные пространства - за счёт воспалительной контрактуры жевательных мышц. При острой стадии и подострой фазе остеомиелита в области нижней челюсти ограничение открывания рта также может быть связано с распространением воспаления на область жевательных мышц. При хроническом остеомиелите ограничение открывания рта может быть обусловлено локализацией воспалительного процесса в области угла и ветви нижней челюсти.</w:t>
      </w:r>
    </w:p>
    <w:p w:rsidR="00E51ED1" w:rsidRPr="00E51ED1" w:rsidRDefault="00E51ED1" w:rsidP="00E51ED1">
      <w:pPr>
        <w:numPr>
          <w:ilvl w:val="0"/>
          <w:numId w:val="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lastRenderedPageBreak/>
        <w:t>Рекомендуется</w:t>
      </w:r>
      <w:r w:rsidRPr="00E51ED1">
        <w:rPr>
          <w:rFonts w:ascii="Times New Roman" w:eastAsia="Times New Roman" w:hAnsi="Times New Roman" w:cs="Times New Roman"/>
          <w:color w:val="222222"/>
          <w:spacing w:val="4"/>
          <w:sz w:val="27"/>
          <w:szCs w:val="27"/>
          <w:lang w:eastAsia="ru-RU"/>
        </w:rPr>
        <w:t> проведение перкуссии и определение патологической подвижности зубов на поражённом участке челюсти у пациентов с одонтогенными воспалительными заболеваниями челюстей с целью уточнения диагноза, проведения дифференциальной диагностики и определения тактики лечения [21, 23, 24, 25, 29, 32, 33, 34, 59, 65, 71, 75,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w:t>
      </w:r>
      <w:r w:rsidRPr="00E51ED1">
        <w:rPr>
          <w:rFonts w:ascii="Times New Roman" w:eastAsia="Times New Roman" w:hAnsi="Times New Roman" w:cs="Times New Roman"/>
          <w:b/>
          <w:bCs/>
          <w:i/>
          <w:iCs/>
          <w:color w:val="333333"/>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при остром периостите челюсти отмечается «положительная» перкуссия разной интенсивности и подвижность только "причинного" зуба.</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При остром остеомиелите перкуссия болезненна не только «причинного» зуба, но и как минимум 2-х рядом стоящих зубов и/или группы соседних зубов. Отмечается нарастающая патологическая подвижность «причинного» зуба, 2-х или более соседних зубов, при этом «причинный» зуб, являющийся источником инфекции, подвижен больше других.</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При подостром остеомиелите челюсти подвижность зубов в области поражённой кости сохраняется, зубы, стоящие по периферии, становятся менее подвижными.</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При хроническом остеомиелите челюсти подвижность зубов в области пораженной кости значительна.</w:t>
      </w:r>
    </w:p>
    <w:p w:rsidR="00E51ED1" w:rsidRPr="00E51ED1" w:rsidRDefault="00E51ED1" w:rsidP="00E51ED1">
      <w:pPr>
        <w:numPr>
          <w:ilvl w:val="0"/>
          <w:numId w:val="1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w:t>
      </w:r>
      <w:r w:rsidRPr="00E51ED1">
        <w:rPr>
          <w:rFonts w:ascii="Times New Roman" w:eastAsia="Times New Roman" w:hAnsi="Times New Roman" w:cs="Times New Roman"/>
          <w:color w:val="222222"/>
          <w:spacing w:val="4"/>
          <w:sz w:val="27"/>
          <w:szCs w:val="27"/>
          <w:lang w:eastAsia="ru-RU"/>
        </w:rPr>
        <w:t> определить снижение или отсутствие чувствительности слизистой оболочки кожи нижней губы и подбородка или верхней губы и подглазничной области на стороне повреждения у пациентов с одонтогенными воспалительными заболеваниями челюстей [21, 23, 24, 25, 29, 32, 33, 34, 59, 65, 71, 75,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 </w:t>
      </w:r>
      <w:r w:rsidRPr="00E51ED1">
        <w:rPr>
          <w:rFonts w:ascii="Times New Roman" w:eastAsia="Times New Roman" w:hAnsi="Times New Roman" w:cs="Times New Roman"/>
          <w:i/>
          <w:iCs/>
          <w:color w:val="333333"/>
          <w:spacing w:val="4"/>
          <w:sz w:val="27"/>
          <w:szCs w:val="27"/>
          <w:lang w:eastAsia="ru-RU"/>
        </w:rPr>
        <w:t xml:space="preserve">одним из ранних, но не обязательных, местных симптомов при остром одонтогенном остеомиелите нижней челюсти является гипестезия участков мягких тканей, иннервируемых нервами, проходящими через поражённый участок челюстной кости. Гипестезия обусловлена тем, что в воспалительном очаге нерв находится в состоянии перераздражения, которое аналогично парабиозу (воспалительный неврит). Очень редко гипестезия наблюдается на верхней челюсти (в зоне иннервации подглазничного нерва), значительно чаще — на нижней (в зоне иннервации нижнелуночкового нерва). В последнем случае этот признак почти всегда подтверждает диффузный </w:t>
      </w:r>
      <w:r w:rsidRPr="00E51ED1">
        <w:rPr>
          <w:rFonts w:ascii="Times New Roman" w:eastAsia="Times New Roman" w:hAnsi="Times New Roman" w:cs="Times New Roman"/>
          <w:i/>
          <w:iCs/>
          <w:color w:val="333333"/>
          <w:spacing w:val="4"/>
          <w:sz w:val="27"/>
          <w:szCs w:val="27"/>
          <w:lang w:eastAsia="ru-RU"/>
        </w:rPr>
        <w:lastRenderedPageBreak/>
        <w:t>или очаговый характер поражения тела нижней челюсти и известен как симптом Vincent (Венсана) [21, 23, 24, 25, 29, 32, 33, 34, 59, 65, 71, 75, 103].</w:t>
      </w:r>
    </w:p>
    <w:p w:rsidR="00E51ED1" w:rsidRPr="00E51ED1" w:rsidRDefault="00E51ED1" w:rsidP="00E51ED1">
      <w:pPr>
        <w:numPr>
          <w:ilvl w:val="0"/>
          <w:numId w:val="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w:t>
      </w:r>
      <w:r w:rsidRPr="00E51ED1">
        <w:rPr>
          <w:rFonts w:ascii="Times New Roman" w:eastAsia="Times New Roman" w:hAnsi="Times New Roman" w:cs="Times New Roman"/>
          <w:color w:val="222222"/>
          <w:spacing w:val="4"/>
          <w:sz w:val="27"/>
          <w:szCs w:val="27"/>
          <w:lang w:eastAsia="ru-RU"/>
        </w:rPr>
        <w:t> проведение первичного приёма (осмотра, консультации) врача-терапевта у пациентов с воспалительными заболеваниями челюстей при наличии в анамнезе сопутствующей (коморбидной)</w:t>
      </w:r>
      <w:r w:rsidRPr="00E51ED1">
        <w:rPr>
          <w:rFonts w:ascii="Times New Roman" w:eastAsia="Times New Roman" w:hAnsi="Times New Roman" w:cs="Times New Roman"/>
          <w:i/>
          <w:iCs/>
          <w:color w:val="333333"/>
          <w:spacing w:val="4"/>
          <w:sz w:val="27"/>
          <w:szCs w:val="27"/>
          <w:lang w:eastAsia="ru-RU"/>
        </w:rPr>
        <w:t> </w:t>
      </w:r>
      <w:r w:rsidRPr="00E51ED1">
        <w:rPr>
          <w:rFonts w:ascii="Times New Roman" w:eastAsia="Times New Roman" w:hAnsi="Times New Roman" w:cs="Times New Roman"/>
          <w:color w:val="222222"/>
          <w:spacing w:val="4"/>
          <w:sz w:val="27"/>
          <w:szCs w:val="27"/>
          <w:lang w:eastAsia="ru-RU"/>
        </w:rPr>
        <w:t>патологии с целью уточнения диагноза и определения лечебной тактики в периоперационном периоде [21, 23, 24, 25, 29, 32, 33, 34, 59, 65, 71, 75, 109].</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w:t>
      </w:r>
      <w:r w:rsidRPr="00E51ED1">
        <w:rPr>
          <w:rFonts w:ascii="Times New Roman" w:eastAsia="Times New Roman" w:hAnsi="Times New Roman" w:cs="Times New Roman"/>
          <w:color w:val="222222"/>
          <w:spacing w:val="4"/>
          <w:sz w:val="27"/>
          <w:szCs w:val="27"/>
          <w:lang w:eastAsia="ru-RU"/>
        </w:rPr>
        <w:t>–</w:t>
      </w:r>
      <w:r w:rsidRPr="00E51ED1">
        <w:rPr>
          <w:rFonts w:ascii="Times New Roman" w:eastAsia="Times New Roman" w:hAnsi="Times New Roman" w:cs="Times New Roman"/>
          <w:b/>
          <w:bCs/>
          <w:color w:val="222222"/>
          <w:spacing w:val="4"/>
          <w:sz w:val="27"/>
          <w:szCs w:val="27"/>
          <w:lang w:eastAsia="ru-RU"/>
        </w:rPr>
        <w:t>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 </w:t>
      </w:r>
      <w:r w:rsidRPr="00E51ED1">
        <w:rPr>
          <w:rFonts w:ascii="Times New Roman" w:eastAsia="Times New Roman" w:hAnsi="Times New Roman" w:cs="Times New Roman"/>
          <w:i/>
          <w:iCs/>
          <w:color w:val="333333"/>
          <w:spacing w:val="4"/>
          <w:sz w:val="27"/>
          <w:szCs w:val="27"/>
          <w:lang w:eastAsia="ru-RU"/>
        </w:rPr>
        <w:t>врач-терапевт оценивает общесоматический статус больного, уточняет диагноз по поводу сопутствующих заболеваний, определяет показания к проведению дополнительных методов исследований с учётом технических возможностей лечебного учреждения (эхокардиографии, мониторирование электрокардиографических данных, холтеровское мониторирование сердечного ритма, суточное мониторирование артериального давления, дистанционное наблюдение за функциональными показателями внешнего дыхания (ФВД),  э</w:t>
      </w:r>
      <w:hyperlink r:id="rId6" w:history="1">
        <w:r w:rsidRPr="00E51ED1">
          <w:rPr>
            <w:rFonts w:ascii="Times New Roman" w:eastAsia="Times New Roman" w:hAnsi="Times New Roman" w:cs="Times New Roman"/>
            <w:i/>
            <w:iCs/>
            <w:color w:val="0000FF"/>
            <w:spacing w:val="4"/>
            <w:sz w:val="27"/>
            <w:szCs w:val="27"/>
            <w:u w:val="single"/>
            <w:lang w:eastAsia="ru-RU"/>
          </w:rPr>
          <w:t>зофагогастродуоденоскопия</w:t>
        </w:r>
      </w:hyperlink>
      <w:r w:rsidRPr="00E51ED1">
        <w:rPr>
          <w:rFonts w:ascii="Times New Roman" w:eastAsia="Times New Roman" w:hAnsi="Times New Roman" w:cs="Times New Roman"/>
          <w:i/>
          <w:iCs/>
          <w:color w:val="333333"/>
          <w:spacing w:val="4"/>
          <w:sz w:val="27"/>
          <w:szCs w:val="27"/>
          <w:lang w:eastAsia="ru-RU"/>
        </w:rPr>
        <w:t>, ультразвуковая диагностика с учётом индивидуальной патологии у пациента (например, Ультразвуковое исследование органов брюшной полости (комплексное), Ультразвуковое исследование почек, Ультразвуковая допплерография сосудов (артерий и вен) нижних конечностей и т.д.), согласовывает схемы назначения лекарственных препаратов по поводу имеющейся/впервые выявленной сопутствующей (коморбидной) патологии и согласовывает с лечащим врачом-стоматологом протокол периоперационного ведения пациента [3, 31, 34, 35, 40, 54, 57, 60].</w:t>
      </w:r>
    </w:p>
    <w:p w:rsidR="00E51ED1" w:rsidRPr="00E51ED1" w:rsidRDefault="00E51ED1" w:rsidP="00E51ED1">
      <w:pPr>
        <w:numPr>
          <w:ilvl w:val="0"/>
          <w:numId w:val="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w:t>
      </w:r>
      <w:r w:rsidRPr="00E51ED1">
        <w:rPr>
          <w:rFonts w:ascii="Times New Roman" w:eastAsia="Times New Roman" w:hAnsi="Times New Roman" w:cs="Times New Roman"/>
          <w:color w:val="222222"/>
          <w:spacing w:val="4"/>
          <w:sz w:val="27"/>
          <w:szCs w:val="27"/>
          <w:lang w:eastAsia="ru-RU"/>
        </w:rPr>
        <w:t> у пациентов с остеомиелитом верхней челюсти в случае развития тотального или субтотального гнойно-некротического процесса с распространением на область глазницы проведение первичного приёма (осмотра, консультации) врача-офтальмолога [50, 64].</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w:t>
      </w:r>
      <w:r w:rsidRPr="00E51ED1">
        <w:rPr>
          <w:rFonts w:ascii="Times New Roman" w:eastAsia="Times New Roman" w:hAnsi="Times New Roman" w:cs="Times New Roman"/>
          <w:b/>
          <w:bCs/>
          <w:i/>
          <w:iCs/>
          <w:color w:val="333333"/>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осмотр глазного дна является неинвазивным способом, позволяющим выявить признаки внутричерепной гипертензии. Врач-офтальмолог выявляет признаки атрофии зрительного нерва и отёка диска зрительного нерва, зрительные нарушения, которые могут свидетельствовать о развитии внутричерепных осложнений [64].</w:t>
      </w:r>
    </w:p>
    <w:p w:rsidR="00E51ED1" w:rsidRPr="00E51ED1" w:rsidRDefault="00E51ED1" w:rsidP="00E51ED1">
      <w:pPr>
        <w:numPr>
          <w:ilvl w:val="0"/>
          <w:numId w:val="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lastRenderedPageBreak/>
        <w:t>Рекомендуется</w:t>
      </w:r>
      <w:r w:rsidRPr="00E51ED1">
        <w:rPr>
          <w:rFonts w:ascii="Times New Roman" w:eastAsia="Times New Roman" w:hAnsi="Times New Roman" w:cs="Times New Roman"/>
          <w:color w:val="222222"/>
          <w:spacing w:val="4"/>
          <w:sz w:val="27"/>
          <w:szCs w:val="27"/>
          <w:lang w:eastAsia="ru-RU"/>
        </w:rPr>
        <w:t> у пациентов с одонтогенными воспалительными заболеваниями челюстей при наличии неврологических нарушений проведение первичного приёма (осмотра, консультации) врача-невролога [36, 50].</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w:t>
      </w:r>
      <w:r w:rsidRPr="00E51ED1">
        <w:rPr>
          <w:rFonts w:ascii="Times New Roman" w:eastAsia="Times New Roman" w:hAnsi="Times New Roman" w:cs="Times New Roman"/>
          <w:b/>
          <w:bCs/>
          <w:i/>
          <w:iCs/>
          <w:color w:val="333333"/>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врач-невролог оценивает неврологический статус, определяет показания к проведению ЭЭГ, МРТ головного мозга при подозрении на развитие неврологических осложнений (с учётом технических возможностей лечебного учреждения). При развитии невропатии ветвей тройничного нерва проводит дообследование, уточняет диагноз и назначает патогенетическое лечение [36, 50, 71].</w:t>
      </w:r>
    </w:p>
    <w:p w:rsidR="00E51ED1" w:rsidRPr="00E51ED1" w:rsidRDefault="00E51ED1" w:rsidP="00E51ED1">
      <w:pPr>
        <w:numPr>
          <w:ilvl w:val="0"/>
          <w:numId w:val="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w:t>
      </w:r>
      <w:r w:rsidRPr="00E51ED1">
        <w:rPr>
          <w:rFonts w:ascii="Times New Roman" w:eastAsia="Times New Roman" w:hAnsi="Times New Roman" w:cs="Times New Roman"/>
          <w:color w:val="222222"/>
          <w:spacing w:val="4"/>
          <w:sz w:val="27"/>
          <w:szCs w:val="27"/>
          <w:lang w:eastAsia="ru-RU"/>
        </w:rPr>
        <w:t> у пациентов с одонтогенным остеомиелитом челюстей при локализации гнойного процесса в верхней челюсти и наличии признаков верхнечелюстного синусита проведение первичного приёма (осмотра, консультации) врача-оториноларинголога [104-107].</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 </w:t>
      </w:r>
      <w:r w:rsidRPr="00E51ED1">
        <w:rPr>
          <w:rFonts w:ascii="Times New Roman" w:eastAsia="Times New Roman" w:hAnsi="Times New Roman" w:cs="Times New Roman"/>
          <w:i/>
          <w:iCs/>
          <w:color w:val="333333"/>
          <w:spacing w:val="4"/>
          <w:sz w:val="27"/>
          <w:szCs w:val="27"/>
          <w:lang w:eastAsia="ru-RU"/>
        </w:rPr>
        <w:t>врач-оториноларинголог оценивает стояние ЛОР-органов, уточняет диагноз, определяет показания к пункции верхнечелюстной пазухи, корректирует комплексное, в том числе, местное лечение, и/или согласовывает с лечащим врачом-стоматологом протокол лечения с целью предупреждения развития осложнений со стороны ЛОР-органов [25, 27, 36, 104-107].</w:t>
      </w:r>
    </w:p>
    <w:p w:rsidR="00E51ED1" w:rsidRPr="00E51ED1" w:rsidRDefault="00E51ED1" w:rsidP="00E51ED1">
      <w:pPr>
        <w:numPr>
          <w:ilvl w:val="0"/>
          <w:numId w:val="1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 </w:t>
      </w:r>
      <w:r w:rsidRPr="00E51ED1">
        <w:rPr>
          <w:rFonts w:ascii="Times New Roman" w:eastAsia="Times New Roman" w:hAnsi="Times New Roman" w:cs="Times New Roman"/>
          <w:color w:val="222222"/>
          <w:spacing w:val="4"/>
          <w:sz w:val="27"/>
          <w:szCs w:val="27"/>
          <w:lang w:eastAsia="ru-RU"/>
        </w:rPr>
        <w:t>первичный осмотр (консультация) врачом-анестезиологом-реаниматологом пациентов с одонтогенными воспалительными заболеваниями челюстей в случае проведения оперативного вмешательства с применением сочетанной  анестезии или комбинированного эндотрахеального наркоза, а также в случае наличия/выявления впервые тяжёлой сопутствующей (коморбидной) патологии - для проведения предоперационной подготовки и/или решения вопроса о показаниях к переводу в ОРИТ в периоперационном периоде [1, 3, 27].</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 </w:t>
      </w:r>
      <w:r w:rsidRPr="00E51ED1">
        <w:rPr>
          <w:rFonts w:ascii="Times New Roman" w:eastAsia="Times New Roman" w:hAnsi="Times New Roman" w:cs="Times New Roman"/>
          <w:i/>
          <w:iCs/>
          <w:color w:val="333333"/>
          <w:spacing w:val="4"/>
          <w:sz w:val="27"/>
          <w:szCs w:val="27"/>
          <w:lang w:eastAsia="ru-RU"/>
        </w:rPr>
        <w:t>выбор методики анестезии определяется общим состоянием больного и объёмом стоматологического вмешательства [1, 3, 27].</w:t>
      </w:r>
    </w:p>
    <w:p w:rsidR="00E51ED1" w:rsidRPr="00E51ED1" w:rsidRDefault="00E51ED1" w:rsidP="00E51ED1">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E51ED1">
        <w:rPr>
          <w:rFonts w:ascii="Inter" w:eastAsia="Times New Roman" w:hAnsi="Inter" w:cs="Times New Roman"/>
          <w:b/>
          <w:bCs/>
          <w:color w:val="000000"/>
          <w:spacing w:val="4"/>
          <w:kern w:val="36"/>
          <w:sz w:val="48"/>
          <w:szCs w:val="48"/>
          <w:lang w:eastAsia="ru-RU"/>
        </w:rPr>
        <w:lastRenderedPageBreak/>
        <w:t>2.3 Лабораторные диагностические исследования</w:t>
      </w:r>
    </w:p>
    <w:p w:rsidR="00E51ED1" w:rsidRPr="00E51ED1" w:rsidRDefault="00E51ED1" w:rsidP="00E51ED1">
      <w:pPr>
        <w:numPr>
          <w:ilvl w:val="0"/>
          <w:numId w:val="1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 </w:t>
      </w:r>
      <w:r w:rsidRPr="00E51ED1">
        <w:rPr>
          <w:rFonts w:ascii="Times New Roman" w:eastAsia="Times New Roman" w:hAnsi="Times New Roman" w:cs="Times New Roman"/>
          <w:color w:val="222222"/>
          <w:spacing w:val="4"/>
          <w:sz w:val="27"/>
          <w:szCs w:val="27"/>
          <w:lang w:eastAsia="ru-RU"/>
        </w:rPr>
        <w:t>у пациентов с острыми одонтогенными воспалительными процессами челюстей в предоперационном периоде перед проведением экстренного оперативного вмешательства проведение комплекса диагностических лабораторных исследований с целью уточнения диагноза и определения тактики лечения [50, 108].</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 </w:t>
      </w:r>
      <w:r w:rsidRPr="00E51ED1">
        <w:rPr>
          <w:rFonts w:ascii="Times New Roman" w:eastAsia="Times New Roman" w:hAnsi="Times New Roman" w:cs="Times New Roman"/>
          <w:i/>
          <w:iCs/>
          <w:color w:val="333333"/>
          <w:spacing w:val="4"/>
          <w:sz w:val="27"/>
          <w:szCs w:val="27"/>
          <w:lang w:eastAsia="ru-RU"/>
        </w:rPr>
        <w:t>с целью уточнения диагноза и характера течения воспалительного процесса, определения объёма и согласования тактики проведения подготовки к оперативному вмешательству показано выполнение комплекса лабораторных исследований согласно медико-экономическому стандарту. Среди них при отсутствии у пациента сопутствующей (коморбидной) патологии, при нормергическом типе, благоприятном прогнозе течения воспалительного процесса, отсутствии рисков развития осложнённых форм ГВП, обязательными исследованиями [109] являются: определение подгруппы и других групп крови меньшего значения A-1, A-2, D, Cc, E, Kell, Duffy; определение антител к антигенам системы Резус (при наличии подгруппы - о</w:t>
      </w:r>
      <w:hyperlink r:id="rId7" w:history="1">
        <w:r w:rsidRPr="00E51ED1">
          <w:rPr>
            <w:rFonts w:ascii="Times New Roman" w:eastAsia="Times New Roman" w:hAnsi="Times New Roman" w:cs="Times New Roman"/>
            <w:i/>
            <w:iCs/>
            <w:color w:val="0000FF"/>
            <w:spacing w:val="4"/>
            <w:sz w:val="27"/>
            <w:szCs w:val="27"/>
            <w:u w:val="single"/>
            <w:lang w:eastAsia="ru-RU"/>
          </w:rPr>
          <w:t>пределение фенотипа по антигенам C, c, E, e, C, K, k и определение антиэритроцитарных антител</w:t>
        </w:r>
      </w:hyperlink>
      <w:r w:rsidRPr="00E51ED1">
        <w:rPr>
          <w:rFonts w:ascii="Times New Roman" w:eastAsia="Times New Roman" w:hAnsi="Times New Roman" w:cs="Times New Roman"/>
          <w:i/>
          <w:iCs/>
          <w:color w:val="333333"/>
          <w:spacing w:val="4"/>
          <w:sz w:val="27"/>
          <w:szCs w:val="27"/>
          <w:lang w:eastAsia="ru-RU"/>
        </w:rPr>
        <w:t>); общий (клинический) анализ крови («развёрнутый») с исследование скорости оседания эритроцитов, общий (клинический) анализ мочи, анализ крови биохимический общетерапевтический: аланинаминотрансферазы, мочевины, креатинина, глюкозы, электролитов: калия, натрия; коагулограмма (ориентировочное исследование системы гемостаза): АПТВ/АЧТВ, определение протромбинового (тромбопластинового) времени в крови или в плазме, при приёме пациентом варфарина** - определение международного нормализованного отношения (МНО), исследование уровня фибриногена в крови. Сопоставление этих показателей с клинической картиной болезни позволяет объективно оценивать исходную выраженность интоксикации и реактивность организма [27, 32, 45, 61]. Следует учитывать, что выполняемый объём лабораторных исследований должен планироваться с учётом технического оснащения и возможностей лечебного учреждения.</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 xml:space="preserve">При наличии у пациента сопутствующей (коморбидной) патологии, при гипо- или гиперергическом типе течения ГВП, сомнительном или неблагоприятном </w:t>
      </w:r>
      <w:r w:rsidRPr="00E51ED1">
        <w:rPr>
          <w:rFonts w:ascii="Times New Roman" w:eastAsia="Times New Roman" w:hAnsi="Times New Roman" w:cs="Times New Roman"/>
          <w:i/>
          <w:iCs/>
          <w:color w:val="333333"/>
          <w:spacing w:val="4"/>
          <w:sz w:val="27"/>
          <w:szCs w:val="27"/>
          <w:lang w:eastAsia="ru-RU"/>
        </w:rPr>
        <w:lastRenderedPageBreak/>
        <w:t>прогнозе течения воспалительного процесса, выявлении рисков развития осложнённых форм ГВП, показано проведение лабораторного исследования в «расширенном» объёме: определение групповой и резус-принадлежности крови; общий (клинический) анализ крови «развёрнутый» (с СОЭ), общий (клинический) анализ мочи, анализ крови биохимический общетерапевтический (общий белок и белковые фракции (альбумин), определение уровня аспартатаминотранферазы, аланинаминотрансферазы, билирубина, мочевины, креатинина, глюкозы, электролитов: калия, натрия, кальция, хлоридов); назначение «развёрнутой» коагулограммы с включением в объём исследования дополнительно: уровня D-димера (количественного), по показаниям – определение активности антитромбина III в крови. При нетипичном течении гнойно-воспалительных процесса, гипо- или гиперергической форме, рисках развитии осложнений показано определение уровня СРБ должно выполняться всем пациентам с ГВП, по показаниям – прокальцитонина (по согласованию с врачом-анестезиологом-реаниматологом) [21, 50, 73, 92, 96, 108, 109].</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Особенно важны данные «расширенного» объёма лабораторных исследований при несоответствии выраженности общей и местной клинической картины гнойно-воспалительных заболеваний челюстей, в случаях развития осложнений и для объективной оценки динамики лечения пациентов [21, 50, 73, 92, 103, 109]. Кроме того, при определении перечня лабораторных исследований необходимо учитывать не только наличие и характер сопутствующей (коморбидной) патологии, но и факт приёма лекарственных препаратов по поводу сопутствующей патологии, требующих проведения лабораторного контроля при их применении (например, Варфарин** (АТХ: </w:t>
      </w:r>
      <w:hyperlink r:id="rId8" w:history="1">
        <w:r w:rsidRPr="00E51ED1">
          <w:rPr>
            <w:rFonts w:ascii="Times New Roman" w:eastAsia="Times New Roman" w:hAnsi="Times New Roman" w:cs="Times New Roman"/>
            <w:i/>
            <w:iCs/>
            <w:color w:val="0000FF"/>
            <w:spacing w:val="4"/>
            <w:sz w:val="27"/>
            <w:szCs w:val="27"/>
            <w:u w:val="single"/>
            <w:lang w:eastAsia="ru-RU"/>
          </w:rPr>
          <w:t>B01AA03</w:t>
        </w:r>
      </w:hyperlink>
      <w:r w:rsidRPr="00E51ED1">
        <w:rPr>
          <w:rFonts w:ascii="Times New Roman" w:eastAsia="Times New Roman" w:hAnsi="Times New Roman" w:cs="Times New Roman"/>
          <w:i/>
          <w:iCs/>
          <w:color w:val="333333"/>
          <w:spacing w:val="4"/>
          <w:sz w:val="27"/>
          <w:szCs w:val="27"/>
          <w:lang w:eastAsia="ru-RU"/>
        </w:rPr>
        <w:t>), гепарин натрия** (АТХ: </w:t>
      </w:r>
      <w:hyperlink r:id="rId9" w:history="1">
        <w:r w:rsidRPr="00E51ED1">
          <w:rPr>
            <w:rFonts w:ascii="Times New Roman" w:eastAsia="Times New Roman" w:hAnsi="Times New Roman" w:cs="Times New Roman"/>
            <w:i/>
            <w:iCs/>
            <w:color w:val="0000FF"/>
            <w:spacing w:val="4"/>
            <w:sz w:val="27"/>
            <w:szCs w:val="27"/>
            <w:u w:val="single"/>
            <w:lang w:eastAsia="ru-RU"/>
          </w:rPr>
          <w:t>C05BA03)</w:t>
        </w:r>
      </w:hyperlink>
      <w:r w:rsidRPr="00E51ED1">
        <w:rPr>
          <w:rFonts w:ascii="Times New Roman" w:eastAsia="Times New Roman" w:hAnsi="Times New Roman" w:cs="Times New Roman"/>
          <w:i/>
          <w:iCs/>
          <w:color w:val="333333"/>
          <w:spacing w:val="4"/>
          <w:sz w:val="27"/>
          <w:szCs w:val="27"/>
          <w:lang w:eastAsia="ru-RU"/>
        </w:rPr>
        <w:t>, Инсулин</w:t>
      </w: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 растворимый (человеческий генно-инженерный) - АТХ: А10АВ01).</w:t>
      </w:r>
    </w:p>
    <w:p w:rsidR="00E51ED1" w:rsidRPr="00E51ED1" w:rsidRDefault="00E51ED1" w:rsidP="00E51ED1">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E51ED1">
        <w:rPr>
          <w:rFonts w:ascii="Inter" w:eastAsia="Times New Roman" w:hAnsi="Inter" w:cs="Times New Roman"/>
          <w:b/>
          <w:bCs/>
          <w:color w:val="000000"/>
          <w:spacing w:val="4"/>
          <w:kern w:val="36"/>
          <w:sz w:val="48"/>
          <w:szCs w:val="48"/>
          <w:lang w:eastAsia="ru-RU"/>
        </w:rPr>
        <w:t>2.4 Инструментальные диагностические исследования</w:t>
      </w:r>
    </w:p>
    <w:p w:rsidR="00E51ED1" w:rsidRPr="00E51ED1" w:rsidRDefault="00E51ED1" w:rsidP="00E51ED1">
      <w:pPr>
        <w:numPr>
          <w:ilvl w:val="0"/>
          <w:numId w:val="1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w:t>
      </w:r>
      <w:r w:rsidRPr="00E51ED1">
        <w:rPr>
          <w:rFonts w:ascii="Times New Roman" w:eastAsia="Times New Roman" w:hAnsi="Times New Roman" w:cs="Times New Roman"/>
          <w:color w:val="222222"/>
          <w:spacing w:val="4"/>
          <w:sz w:val="27"/>
          <w:szCs w:val="27"/>
          <w:lang w:eastAsia="ru-RU"/>
        </w:rPr>
        <w:t xml:space="preserve"> у пациентов с одонтогенными воспалительными заболеваниями челюстей проведение рентгенологического исследования  челюстно-лицевой зоны  для уточнения первичного источника инфекции («причинного» зуба), характера поражения костной структуры челюсти в зависимости от локализации очага воспаления: внутриротовая контактная рентгенография, внутриротовая рентгенография «в прикус» (окклюзионная) интерпроксимальная </w:t>
      </w:r>
      <w:r w:rsidRPr="00E51ED1">
        <w:rPr>
          <w:rFonts w:ascii="Times New Roman" w:eastAsia="Times New Roman" w:hAnsi="Times New Roman" w:cs="Times New Roman"/>
          <w:color w:val="222222"/>
          <w:spacing w:val="4"/>
          <w:sz w:val="27"/>
          <w:szCs w:val="27"/>
          <w:lang w:eastAsia="ru-RU"/>
        </w:rPr>
        <w:lastRenderedPageBreak/>
        <w:t>рентгенография,  длиннофокусная рентгенография; внеротовая рентгенография: обзорная рентгенограмма челюсти,  прямая и боковая проекции рентгенографии челюсти, рентгенография черепа в полу- аксиальной и аксиальной проекции, по показаниям и с учётом технической оснащённости и возможностей лечебного учреждения</w:t>
      </w:r>
      <w:r w:rsidRPr="00E51ED1">
        <w:rPr>
          <w:rFonts w:ascii="Times New Roman" w:eastAsia="Times New Roman" w:hAnsi="Times New Roman" w:cs="Times New Roman"/>
          <w:i/>
          <w:iCs/>
          <w:color w:val="333333"/>
          <w:spacing w:val="4"/>
          <w:sz w:val="27"/>
          <w:szCs w:val="27"/>
          <w:lang w:eastAsia="ru-RU"/>
        </w:rPr>
        <w:t> </w:t>
      </w:r>
      <w:r w:rsidRPr="00E51ED1">
        <w:rPr>
          <w:rFonts w:ascii="Times New Roman" w:eastAsia="Times New Roman" w:hAnsi="Times New Roman" w:cs="Times New Roman"/>
          <w:color w:val="222222"/>
          <w:spacing w:val="4"/>
          <w:sz w:val="27"/>
          <w:szCs w:val="27"/>
          <w:lang w:eastAsia="ru-RU"/>
        </w:rPr>
        <w:t>- ортопантомография [110, 111, 134], компьютерная томография челюстно-лицевой области, конусно-лучевая томография [110], магнитно-резонансная томография лицевого отдела черепа [21, 48, 50, 67, 72, 73, 75, 77, 90, 103, 109-111].</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рекомендации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 </w:t>
      </w:r>
      <w:r w:rsidRPr="00E51ED1">
        <w:rPr>
          <w:rFonts w:ascii="Times New Roman" w:eastAsia="Times New Roman" w:hAnsi="Times New Roman" w:cs="Times New Roman"/>
          <w:b/>
          <w:bCs/>
          <w:i/>
          <w:iCs/>
          <w:color w:val="333333"/>
          <w:spacing w:val="4"/>
          <w:sz w:val="27"/>
          <w:szCs w:val="27"/>
          <w:lang w:eastAsia="ru-RU"/>
        </w:rPr>
        <w:t>при отсутствии технической возможности выполнения перечисленных видов рентгенологического исследования допустимо выполнение радиовизиографии в качестве скринингового исследования.</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При отсутствии технической возможности выполнения перечисленных видов рентгенологического исследования допустимо выполнение радиовизиографии в качестве скринингового исследования [147-154].</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При остром периостите челюсти рентгенологическая картина неспецифична и позволяет лишь выявить первичный одонтогенный источник инфицирования в виде хронического деструктивного очага периапикальных тканей, одонтогенной кисты, пародонтита, ретенции зуба. При хроническом периостите в начале заболевания по нижнему краю челюсти выявляется дополнительная тень фиброзно-утолщенной или оссифицированной надкостницы, под которой появляются признаки краевого утолщения костной ткани. По мере её перестройки она приобретает выраженную трабекулярную структуру. Выявляется первичный одонтогенный очаг. </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 xml:space="preserve">Рентгенологическое исследование больного в острой стадии одонтогенного остеомиелита челюстей также позволяет выявить «первичный» патологический очаг: хронический апикальный периодонтит, одонтогенная киста, пародонтит, ретенция зуба. Следует иметь ввиду, что в случае наличия у пациента множественных очагов одонтогенной хронической инфекции, в области соседних с «причинным» зубов, могут выявляться рентгенологические признаки хронических деструктивных очагов периапикальных тканей (хронический апикальный периодонтит,  одонтогенной кисты, пародонтита), что потребует проведения не только удаления «причинного» зуба и периостеотомии, но и удаления соседних зубов с периапикальными изменениями. На 10-14 сутки заболевания рентгенологическая картина остеомиелита проявляется </w:t>
      </w:r>
      <w:r w:rsidRPr="00E51ED1">
        <w:rPr>
          <w:rFonts w:ascii="Times New Roman" w:eastAsia="Times New Roman" w:hAnsi="Times New Roman" w:cs="Times New Roman"/>
          <w:i/>
          <w:iCs/>
          <w:color w:val="333333"/>
          <w:spacing w:val="4"/>
          <w:sz w:val="27"/>
          <w:szCs w:val="27"/>
          <w:lang w:eastAsia="ru-RU"/>
        </w:rPr>
        <w:lastRenderedPageBreak/>
        <w:t>признаками неравномерных участков резорбции костной ткани, по краю челюсти может определяться выраженная периостальная реакция в виде утолщения надкостницы. При гипоергической типе течения воспаления и/или диффузном поражении кости, и/или наличии у пациентов в анамнезе сопутствующей (коморбидной) патологии (особенно, сахарного диабета) и/или при приёме бисфосфонатов, клинические проявления местной картины гнойно-воспалительного процесса в челюсти могут продолжаться длительнее, и рентгенологические признаки чередования неравномерных участков резорбции костной ткани и выраженной периостальной реакции в виде утолщения надкостницы могут определяться до 21 суток. Рентгенологическая картина подострой формы остеомиелита при продолжении процесса свыше 21 суток от начала заболевания, но в сроки, не превышающие 4-5 недель на верхней и 6-8 недель на нижней челюсти от начала данного обострения гнойно-воспалительного процесса, может характеризоваться формированием одного или несколько очагов резорбции кости, чаще неправильной формы, в центре которых определяются тени секвестров разнообразной формы. Важно, что отграничение секвестров с формированием зоны демаркации («секвестральной капсулы») обязательно должно завершиться в сроки, не превышающие 4-5 недель на верхней и 6-8 недель на нижней челюсти от начала данного обострения гнойно-воспалительного процесса [21, 59, 75, 103]. Именно этот факт подтверждает завершённость воспалительного процесса в костных структурах с формированием и отграничением секвестров, образованием «секвестральной капсулы» в качестве демаркационной зоны, и, в сочетании с соответствующими клиническими признаками является критерием для определения хирургической тактики лечения пациента, а именно: определения срока выполнения оперативного вмешательства в объёме секвестрэктомии, проводимого в конце подострой стадии остеомиелита [21, 59, 75,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 xml:space="preserve">Рентгенологическая картина хронической формы остеомиелита характеризуется значительным многообразием: при секвестрирующем варианте (при формировании в сроки, превышающие 4-5 недель на верхней и 6-8 недель на нижней челюсти, в конце подострой стадии остеомиелита или после выполненного ранее, в подострую фазу, хирургического вмешательства (секвестрэктомии)[21, 59, 75, 103]. На рентгенограмме можно увидеть один или несколько очагов резорбции кости, чаще неправильной формы, в центре которых определяются «тени» секвестров разнообразной формы. Наряду с отделением секвестров выявляются участки новообразования костной </w:t>
      </w:r>
      <w:r w:rsidRPr="00E51ED1">
        <w:rPr>
          <w:rFonts w:ascii="Times New Roman" w:eastAsia="Times New Roman" w:hAnsi="Times New Roman" w:cs="Times New Roman"/>
          <w:i/>
          <w:iCs/>
          <w:color w:val="333333"/>
          <w:spacing w:val="4"/>
          <w:sz w:val="27"/>
          <w:szCs w:val="27"/>
          <w:lang w:eastAsia="ru-RU"/>
        </w:rPr>
        <w:lastRenderedPageBreak/>
        <w:t>ткани. При гиперпластической форме продуктивные изменении характеризуются эндоостальной и периостальной перестройкой костной ткани [21, 48, 50, 59, 65, 73, 75, 77, 83, 90, 103].</w:t>
      </w:r>
    </w:p>
    <w:p w:rsidR="00E51ED1" w:rsidRPr="00E51ED1" w:rsidRDefault="00E51ED1" w:rsidP="00E51ED1">
      <w:pPr>
        <w:numPr>
          <w:ilvl w:val="0"/>
          <w:numId w:val="1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w:t>
      </w:r>
      <w:r w:rsidRPr="00E51ED1">
        <w:rPr>
          <w:rFonts w:ascii="Times New Roman" w:eastAsia="Times New Roman" w:hAnsi="Times New Roman" w:cs="Times New Roman"/>
          <w:color w:val="222222"/>
          <w:spacing w:val="4"/>
          <w:sz w:val="27"/>
          <w:szCs w:val="27"/>
          <w:lang w:eastAsia="ru-RU"/>
        </w:rPr>
        <w:t> пациентам с острым диффузным периоститом, субтотальным или тотальным острым, хроническим и обострением хронического остеомиелита челюсти, при наличии технической возможности, проведение компьютерной томографии челюстно-лицевой области (КЛКТ или МСКТ челюстей) с целью уточнения характера деструктивных процессов кости [21, 50, 59, 65, 75, 83, 93, 94, 103, 110, 111].</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рекомендации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 </w:t>
      </w:r>
      <w:r w:rsidRPr="00E51ED1">
        <w:rPr>
          <w:rFonts w:ascii="Times New Roman" w:eastAsia="Times New Roman" w:hAnsi="Times New Roman" w:cs="Times New Roman"/>
          <w:i/>
          <w:iCs/>
          <w:color w:val="333333"/>
          <w:spacing w:val="4"/>
          <w:sz w:val="27"/>
          <w:szCs w:val="27"/>
          <w:lang w:eastAsia="ru-RU"/>
        </w:rPr>
        <w:t>в комплексном обследовании для более точной диагностики при воспалительных заболеваниях челюстей и развитии их осложнений, по результатам КЛКТ или МСКТ-исследования возможно установить «первичный» одонтогенный очаг воспаления и определить изменения в костной ткани (например, определить завершённость процесса отграничения секвестра, формирования секвестральной капсулы, оценить состояние надкостницы). Данный метод исследования позволяет получить чёткое изображение кортикального слоя, оценить состояние окружающих</w:t>
      </w: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мягких тканей, определить наличие секвестров и периостальных наслоений, детально визуализировать остеолиз кортикального слоя и костных балок [21, 50, 59, 65, 75, 83, 93, 94]. Важно учитывать, что лучевая нагрузка при выполнении КЛКТ челюстей не превышает подобную при выполнении ортопантомограммы</w:t>
      </w:r>
      <w:r w:rsidRPr="00E51ED1">
        <w:rPr>
          <w:rFonts w:ascii="Times New Roman" w:eastAsia="Times New Roman" w:hAnsi="Times New Roman" w:cs="Times New Roman"/>
          <w:color w:val="222222"/>
          <w:spacing w:val="4"/>
          <w:sz w:val="27"/>
          <w:szCs w:val="27"/>
          <w:lang w:eastAsia="ru-RU"/>
        </w:rPr>
        <w:t>.</w:t>
      </w:r>
    </w:p>
    <w:p w:rsidR="00E51ED1" w:rsidRPr="00E51ED1" w:rsidRDefault="00E51ED1" w:rsidP="00E51ED1">
      <w:pPr>
        <w:numPr>
          <w:ilvl w:val="0"/>
          <w:numId w:val="1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w:t>
      </w:r>
      <w:r w:rsidRPr="00E51ED1">
        <w:rPr>
          <w:rFonts w:ascii="Times New Roman" w:eastAsia="Times New Roman" w:hAnsi="Times New Roman" w:cs="Times New Roman"/>
          <w:color w:val="222222"/>
          <w:spacing w:val="4"/>
          <w:sz w:val="27"/>
          <w:szCs w:val="27"/>
          <w:lang w:eastAsia="ru-RU"/>
        </w:rPr>
        <w:t> проведение ультразвукового исследования (УЗИ) тканей полости рта пациентам с предполагаемым диагнозом острого субтотального или тотального остеомиелита челюсти с целью уточнения диагноза, проведения дифференциальной диагностики с другими стоматологическими заболеваниями и определения тактики лечения [109, 110, 112].</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рекомендации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 </w:t>
      </w:r>
      <w:r w:rsidRPr="00E51ED1">
        <w:rPr>
          <w:rFonts w:ascii="Times New Roman" w:eastAsia="Times New Roman" w:hAnsi="Times New Roman" w:cs="Times New Roman"/>
          <w:i/>
          <w:iCs/>
          <w:color w:val="333333"/>
          <w:spacing w:val="4"/>
          <w:sz w:val="27"/>
          <w:szCs w:val="27"/>
          <w:lang w:eastAsia="ru-RU"/>
        </w:rPr>
        <w:t>метод УЗИ позволяет на ранней стадии заболевания выявить наличие отёка и инфильтративных изменений в мышцах, а также скопление жидкости/газа в тканях. Метод УЗИ успешно используется для проведения дифференциальной диагностики при остром гематогенном остеомиелите с абсцессами мягких тканей, инфекционными артритами височно-</w:t>
      </w:r>
      <w:r w:rsidRPr="00E51ED1">
        <w:rPr>
          <w:rFonts w:ascii="Times New Roman" w:eastAsia="Times New Roman" w:hAnsi="Times New Roman" w:cs="Times New Roman"/>
          <w:i/>
          <w:iCs/>
          <w:color w:val="333333"/>
          <w:spacing w:val="4"/>
          <w:sz w:val="27"/>
          <w:szCs w:val="27"/>
          <w:lang w:eastAsia="ru-RU"/>
        </w:rPr>
        <w:lastRenderedPageBreak/>
        <w:t>нижнечелюстного сустава и злокачественными новообразованиями костей [32, 50].</w:t>
      </w:r>
    </w:p>
    <w:p w:rsidR="00E51ED1" w:rsidRPr="00E51ED1" w:rsidRDefault="00E51ED1" w:rsidP="00E51ED1">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E51ED1">
        <w:rPr>
          <w:rFonts w:ascii="Inter" w:eastAsia="Times New Roman" w:hAnsi="Inter" w:cs="Times New Roman"/>
          <w:b/>
          <w:bCs/>
          <w:color w:val="000000"/>
          <w:spacing w:val="4"/>
          <w:kern w:val="36"/>
          <w:sz w:val="48"/>
          <w:szCs w:val="48"/>
          <w:lang w:eastAsia="ru-RU"/>
        </w:rPr>
        <w:t>2.5 Иные диагностические исследования</w:t>
      </w:r>
    </w:p>
    <w:p w:rsidR="00E51ED1" w:rsidRPr="00E51ED1" w:rsidRDefault="00E51ED1" w:rsidP="00E51ED1">
      <w:pPr>
        <w:numPr>
          <w:ilvl w:val="0"/>
          <w:numId w:val="2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w:t>
      </w:r>
      <w:r w:rsidRPr="00E51ED1">
        <w:rPr>
          <w:rFonts w:ascii="Times New Roman" w:eastAsia="Times New Roman" w:hAnsi="Times New Roman" w:cs="Times New Roman"/>
          <w:color w:val="222222"/>
          <w:spacing w:val="4"/>
          <w:sz w:val="27"/>
          <w:szCs w:val="27"/>
          <w:lang w:eastAsia="ru-RU"/>
        </w:rPr>
        <w:t> проведение микробиологического (культурального) исследования  раневого отделяемого на аэробные и факультативно-анаэробные микроорганизмы из лунки удалённого "причинного" зуба, из свищевых ходов с целью определения видового состава микробиоты (аэробных и факультативно-анаэробных микроорганизмов) с определением их чувствительности/резистентности к антимикробным химиотерапевтическим препаратам у всех пациентов с одонтогенными воспалительными заболеваниями челюстей, находящихся на стационарном лечении [10, 21, 65, 73, 75, 83,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рекомендации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w:t>
      </w: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при необходимости возможно производить взятие биоматериала из раны (биоптат) интраоперационно для изучения микробиоты и её чувствительности к антибактериальным препаратам и антисептикам с целью контроля проводимого лечения и последующей коррекции целенаправленной антибактериальной терапии в динамике [10, 21, 65, 75, 83, 103]. Особенно важны эти данные при несоответствии выраженности общей и местной клинической картины гнойно-воспалительных заболеваний челюстей, при нетипичном течении гнойно-воспалительного процесса, гиперергической формах течения, в случаях развития осложнений, а также для объективной оценки динамики лечения пациентов [10, 21, 65, 75, 83, 103].</w:t>
      </w:r>
    </w:p>
    <w:p w:rsidR="00E51ED1" w:rsidRPr="00E51ED1" w:rsidRDefault="00E51ED1" w:rsidP="00E51ED1">
      <w:pPr>
        <w:numPr>
          <w:ilvl w:val="0"/>
          <w:numId w:val="2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w:t>
      </w:r>
      <w:r w:rsidRPr="00E51ED1">
        <w:rPr>
          <w:rFonts w:ascii="Times New Roman" w:eastAsia="Times New Roman" w:hAnsi="Times New Roman" w:cs="Times New Roman"/>
          <w:color w:val="222222"/>
          <w:spacing w:val="4"/>
          <w:sz w:val="27"/>
          <w:szCs w:val="27"/>
          <w:lang w:eastAsia="ru-RU"/>
        </w:rPr>
        <w:t> проведение цитологического исследования микропрепарата тканей полости рта и/или патолого-анатомического исследования биопсийного (операционного) материала тканей полости рта у пациентов с одонтогенными воспалительными заболеваниями челюстей для уточнения диагноза и при необходимости проведения дифференциальной диагностики со специфическими заболеваниями (актиномикоз, туберкулёз, сифилис) или опухолями (саркома Юинга) или опухолеподобными образованиями с поражением челюстей [109, 111, 135, 136, 137].</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рекомендации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lastRenderedPageBreak/>
        <w:t>Комментарии:</w:t>
      </w: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проведение морфологического исследования тканей, полученных при оперативном вмешательстве (биоптата), необходимо не только для уточнения диагноза и дифференциальной диагностики с другими неспецифическими, специфическими воспалительными заболеваниями, новообразованиями ЧЛЛ [21, 65, 75]. Гистологическое исследование биоптатов пораженных тканей было и остается «золотым стандартом» диагностики. Значительные изменения микроскопической техники в последние десятилетия позволяют говорить о возможности выполнения современных способов микроскопического исследования как о способе неинвазивной прижизненной диагностики при стоматологических заболеваниях [113].</w:t>
      </w:r>
    </w:p>
    <w:p w:rsidR="00E51ED1" w:rsidRPr="00E51ED1" w:rsidRDefault="00E51ED1" w:rsidP="00E51ED1">
      <w:pPr>
        <w:numPr>
          <w:ilvl w:val="0"/>
          <w:numId w:val="2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w:t>
      </w:r>
      <w:r w:rsidRPr="00E51ED1">
        <w:rPr>
          <w:rFonts w:ascii="Times New Roman" w:eastAsia="Times New Roman" w:hAnsi="Times New Roman" w:cs="Times New Roman"/>
          <w:color w:val="222222"/>
          <w:spacing w:val="4"/>
          <w:sz w:val="27"/>
          <w:szCs w:val="27"/>
          <w:lang w:eastAsia="ru-RU"/>
        </w:rPr>
        <w:t> проведение дифференциальной диагностики с другими стоматологическими заболеваниями у пациентов при остром периостите челюсти с целью уточнения диагноза [21, 50, 65, 73, 75, 83].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рекомендации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 </w:t>
      </w:r>
      <w:r w:rsidRPr="00E51ED1">
        <w:rPr>
          <w:rFonts w:ascii="Times New Roman" w:eastAsia="Times New Roman" w:hAnsi="Times New Roman" w:cs="Times New Roman"/>
          <w:i/>
          <w:iCs/>
          <w:color w:val="333333"/>
          <w:spacing w:val="4"/>
          <w:sz w:val="27"/>
          <w:szCs w:val="27"/>
          <w:lang w:eastAsia="ru-RU"/>
        </w:rPr>
        <w:t>дифференциальная диагностика у пациентов при остром периостите челюсти</w:t>
      </w: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проводится с острым периодонтитом, периапикальным абсцессом без свища, острым остеомиелитом, лимфаденитом неодонтогенного происхождения, нагноившимися кистами челюстей, абсцессами и флегмонами, саркомой Юинга [25, 27, 50, 64, 74].</w:t>
      </w:r>
    </w:p>
    <w:p w:rsidR="00E51ED1" w:rsidRPr="00E51ED1" w:rsidRDefault="00E51ED1" w:rsidP="00E51ED1">
      <w:pPr>
        <w:numPr>
          <w:ilvl w:val="0"/>
          <w:numId w:val="2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w:t>
      </w:r>
      <w:r w:rsidRPr="00E51ED1">
        <w:rPr>
          <w:rFonts w:ascii="Times New Roman" w:eastAsia="Times New Roman" w:hAnsi="Times New Roman" w:cs="Times New Roman"/>
          <w:color w:val="222222"/>
          <w:spacing w:val="4"/>
          <w:sz w:val="27"/>
          <w:szCs w:val="27"/>
          <w:lang w:eastAsia="ru-RU"/>
        </w:rPr>
        <w:t> проведение дифференциальной диагностики у пациентов с</w:t>
      </w:r>
      <w:r w:rsidRPr="00E51ED1">
        <w:rPr>
          <w:rFonts w:ascii="Times New Roman" w:eastAsia="Times New Roman" w:hAnsi="Times New Roman" w:cs="Times New Roman"/>
          <w:i/>
          <w:iCs/>
          <w:color w:val="333333"/>
          <w:spacing w:val="4"/>
          <w:sz w:val="27"/>
          <w:szCs w:val="27"/>
          <w:lang w:eastAsia="ru-RU"/>
        </w:rPr>
        <w:t> </w:t>
      </w:r>
      <w:r w:rsidRPr="00E51ED1">
        <w:rPr>
          <w:rFonts w:ascii="Times New Roman" w:eastAsia="Times New Roman" w:hAnsi="Times New Roman" w:cs="Times New Roman"/>
          <w:color w:val="222222"/>
          <w:spacing w:val="4"/>
          <w:sz w:val="27"/>
          <w:szCs w:val="27"/>
          <w:lang w:eastAsia="ru-RU"/>
        </w:rPr>
        <w:t>острым и хроническим остеомиелитом челюсти с целью уточнения диагноза [21, 50, 65, 73, 75, 83,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рекомендации C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 </w:t>
      </w:r>
      <w:r w:rsidRPr="00E51ED1">
        <w:rPr>
          <w:rFonts w:ascii="Times New Roman" w:eastAsia="Times New Roman" w:hAnsi="Times New Roman" w:cs="Times New Roman"/>
          <w:i/>
          <w:iCs/>
          <w:color w:val="333333"/>
          <w:spacing w:val="4"/>
          <w:sz w:val="27"/>
          <w:szCs w:val="27"/>
          <w:lang w:eastAsia="ru-RU"/>
        </w:rPr>
        <w:t>дифференциальная диагностика у пациентов с острым остеомиелитом челюсти проводится с острым периодонтитом, острым периоститом, лимфаденитом неодонтогенного происхождения, нагноившимися кистами челюстей, абсцессами и флегмонами, саркомой Юинга [25, 27, 50, 64, 74, 103]</w:t>
      </w:r>
      <w:r w:rsidRPr="00E51ED1">
        <w:rPr>
          <w:rFonts w:ascii="Times New Roman" w:eastAsia="Times New Roman" w:hAnsi="Times New Roman" w:cs="Times New Roman"/>
          <w:color w:val="222222"/>
          <w:spacing w:val="4"/>
          <w:sz w:val="27"/>
          <w:szCs w:val="27"/>
          <w:lang w:eastAsia="ru-RU"/>
        </w:rPr>
        <w:t>.</w:t>
      </w:r>
    </w:p>
    <w:p w:rsidR="00E51ED1" w:rsidRPr="00E51ED1" w:rsidRDefault="00E51ED1" w:rsidP="00E51ED1">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E51ED1">
        <w:rPr>
          <w:rFonts w:ascii="Inter" w:eastAsia="Times New Roman" w:hAnsi="Inter" w:cs="Times New Roman"/>
          <w:b/>
          <w:bCs/>
          <w:color w:val="000000"/>
          <w:spacing w:val="4"/>
          <w:kern w:val="36"/>
          <w:sz w:val="48"/>
          <w:szCs w:val="48"/>
          <w:lang w:eastAsia="ru-RU"/>
        </w:rPr>
        <w:t xml:space="preserve">3. Лечение, включая медикаментозную и немедикаментозную терапии, диетотерапию, обезболивание, медицинские показания и </w:t>
      </w:r>
      <w:r w:rsidRPr="00E51ED1">
        <w:rPr>
          <w:rFonts w:ascii="Inter" w:eastAsia="Times New Roman" w:hAnsi="Inter" w:cs="Times New Roman"/>
          <w:b/>
          <w:bCs/>
          <w:color w:val="000000"/>
          <w:spacing w:val="4"/>
          <w:kern w:val="36"/>
          <w:sz w:val="48"/>
          <w:szCs w:val="48"/>
          <w:lang w:eastAsia="ru-RU"/>
        </w:rPr>
        <w:lastRenderedPageBreak/>
        <w:t>противопоказания к применению методов лечения</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Основные компоненты лечения пациентов с воспалительными заболеваниями челюстей включают:</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Этиотропное лечение:</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Хирургическое лечение (удаление причинного зуба, вскрытие и дренирование гнойного очага);</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Антибактериальная терапия: антибиотикотерапия, местное применение антисептиков (общее и местное лечение);</w:t>
      </w:r>
    </w:p>
    <w:p w:rsidR="00E51ED1" w:rsidRPr="00E51ED1" w:rsidRDefault="00E51ED1" w:rsidP="00E51ED1">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Патогенетическое лечение (воздействие на различные звенья патогенеза воспаления) - общее и местное лечение;</w:t>
      </w:r>
    </w:p>
    <w:p w:rsidR="00E51ED1" w:rsidRPr="00E51ED1" w:rsidRDefault="00E51ED1" w:rsidP="00E51ED1">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Симптоматическое лечение (устранение симптомов заболевания);</w:t>
      </w:r>
    </w:p>
    <w:p w:rsidR="00E51ED1" w:rsidRPr="00E51ED1" w:rsidRDefault="00E51ED1" w:rsidP="00E51ED1">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Терапия по поводу сопутствующей (коморбидной) патологии.</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Консервативная терапия у пациентов с гнойно-воспалительными заболеваниями челюстей в большей степени направлена на подавление этиологического фактора, нормализацию основных звеньев патогенеза, снятие интоксикации и коррекцию иммунологической реактивности организма. Особое значение имеет восстановление нарушенного кровообращения, так как расстройство циркуляции крови влияет на состояние кислородо- и энергообеспечения, течение метаболических и иммунных реакций организма.</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Цели лечения:</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Устранение источника воспаления (удаление причины заболевания, осуществляемое путём вскрытия и дренирования гнойного «очага» воспаления).</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Профилактика и лечение осложнений.</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xml:space="preserve">Лечение воспалительных заболеваний челюстей должно быть комплексным и иметь патогенетически обоснованную базу, которая учитывает возраст пациента, длительность заболевания, наличие сопутствующей патологии, функциональное состояние всех органов и систем организма, а также </w:t>
      </w:r>
      <w:r w:rsidRPr="00E51ED1">
        <w:rPr>
          <w:rFonts w:ascii="Times New Roman" w:eastAsia="Times New Roman" w:hAnsi="Times New Roman" w:cs="Times New Roman"/>
          <w:color w:val="222222"/>
          <w:spacing w:val="4"/>
          <w:sz w:val="27"/>
          <w:szCs w:val="27"/>
          <w:lang w:eastAsia="ru-RU"/>
        </w:rPr>
        <w:lastRenderedPageBreak/>
        <w:t>локализацию, стадии, формы и распространённость гнойно-некротического процесса в костной ткани.</w:t>
      </w:r>
    </w:p>
    <w:p w:rsidR="00E51ED1" w:rsidRPr="00E51ED1" w:rsidRDefault="00E51ED1" w:rsidP="00E51ED1">
      <w:pPr>
        <w:numPr>
          <w:ilvl w:val="0"/>
          <w:numId w:val="2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 </w:t>
      </w:r>
      <w:r w:rsidRPr="00E51ED1">
        <w:rPr>
          <w:rFonts w:ascii="Times New Roman" w:eastAsia="Times New Roman" w:hAnsi="Times New Roman" w:cs="Times New Roman"/>
          <w:color w:val="222222"/>
          <w:spacing w:val="4"/>
          <w:sz w:val="27"/>
          <w:szCs w:val="27"/>
          <w:lang w:eastAsia="ru-RU"/>
        </w:rPr>
        <w:t>решение вопроса о возможности проведения</w:t>
      </w:r>
      <w:r w:rsidRPr="00E51ED1">
        <w:rPr>
          <w:rFonts w:ascii="Times New Roman" w:eastAsia="Times New Roman" w:hAnsi="Times New Roman" w:cs="Times New Roman"/>
          <w:b/>
          <w:bCs/>
          <w:color w:val="222222"/>
          <w:spacing w:val="4"/>
          <w:sz w:val="27"/>
          <w:szCs w:val="27"/>
          <w:lang w:eastAsia="ru-RU"/>
        </w:rPr>
        <w:t> </w:t>
      </w:r>
      <w:r w:rsidRPr="00E51ED1">
        <w:rPr>
          <w:rFonts w:ascii="Times New Roman" w:eastAsia="Times New Roman" w:hAnsi="Times New Roman" w:cs="Times New Roman"/>
          <w:color w:val="222222"/>
          <w:spacing w:val="4"/>
          <w:sz w:val="27"/>
          <w:szCs w:val="27"/>
          <w:lang w:eastAsia="ru-RU"/>
        </w:rPr>
        <w:t>лечения пациентов с периоститом челюсти (но только у пациентов без наличия сопутствующей патологии в анамнезе, при нормергическом типе течения воспалительной реакции, отсутствии рисков развития осложнений) в условиях стоматологической поликлиники в режиме оказания неотложной помощи</w:t>
      </w:r>
      <w:r w:rsidRPr="00E51ED1">
        <w:rPr>
          <w:rFonts w:ascii="Times New Roman" w:eastAsia="Times New Roman" w:hAnsi="Times New Roman" w:cs="Times New Roman"/>
          <w:b/>
          <w:bCs/>
          <w:color w:val="222222"/>
          <w:spacing w:val="4"/>
          <w:sz w:val="27"/>
          <w:szCs w:val="27"/>
          <w:lang w:eastAsia="ru-RU"/>
        </w:rPr>
        <w:t> </w:t>
      </w:r>
      <w:r w:rsidRPr="00E51ED1">
        <w:rPr>
          <w:rFonts w:ascii="Times New Roman" w:eastAsia="Times New Roman" w:hAnsi="Times New Roman" w:cs="Times New Roman"/>
          <w:color w:val="222222"/>
          <w:spacing w:val="4"/>
          <w:sz w:val="27"/>
          <w:szCs w:val="27"/>
          <w:lang w:eastAsia="ru-RU"/>
        </w:rPr>
        <w:t>[21, 23, 24, 25, 59, 65, 71, 75,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рекомендации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w:t>
      </w: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оказание медицинской помощи при периостите челюсти в условиях стоматологической поликлиники показано в большинстве случаев пациентам "молодого" (от 18 до 45 лет) и «среднего» возраста (от 46 до 60 лет) по классификации ВОЗ (пересмотр 2017 года).</w:t>
      </w:r>
    </w:p>
    <w:p w:rsidR="00E51ED1" w:rsidRPr="00E51ED1" w:rsidRDefault="00E51ED1" w:rsidP="00E51ED1">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 </w:t>
      </w:r>
      <w:r w:rsidRPr="00E51ED1">
        <w:rPr>
          <w:rFonts w:ascii="Times New Roman" w:eastAsia="Times New Roman" w:hAnsi="Times New Roman" w:cs="Times New Roman"/>
          <w:color w:val="222222"/>
          <w:spacing w:val="4"/>
          <w:sz w:val="27"/>
          <w:szCs w:val="27"/>
          <w:lang w:eastAsia="ru-RU"/>
        </w:rPr>
        <w:t>лечение пациентов с одонтогенными остеомиелитом челюсти осуществлять в условиях стационара в режиме оказания неотложной помощи</w:t>
      </w:r>
      <w:r w:rsidRPr="00E51ED1">
        <w:rPr>
          <w:rFonts w:ascii="Times New Roman" w:eastAsia="Times New Roman" w:hAnsi="Times New Roman" w:cs="Times New Roman"/>
          <w:b/>
          <w:bCs/>
          <w:color w:val="222222"/>
          <w:spacing w:val="4"/>
          <w:sz w:val="27"/>
          <w:szCs w:val="27"/>
          <w:lang w:eastAsia="ru-RU"/>
        </w:rPr>
        <w:t> </w:t>
      </w:r>
      <w:r w:rsidRPr="00E51ED1">
        <w:rPr>
          <w:rFonts w:ascii="Times New Roman" w:eastAsia="Times New Roman" w:hAnsi="Times New Roman" w:cs="Times New Roman"/>
          <w:color w:val="222222"/>
          <w:spacing w:val="4"/>
          <w:sz w:val="27"/>
          <w:szCs w:val="27"/>
          <w:lang w:eastAsia="ru-RU"/>
        </w:rPr>
        <w:t>[21, 23, 24, 25, 59, 65, 71, 75,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рекомендации C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w:t>
      </w: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при лечении пациентов с одонтогенным остеомиелитом верхней или нижней челюсти следует учитывать вероятность распространения воспалительного процесса на околочелюстные мягкие ткани (с развитием флегмоны). А в том случае, если «причинным» зубом являются премоляры или моляры, развитие одонтогенного верхнечелюстного синусита. В этой связи оказание медицинской помощи пациентам с одонтогенным остеомиелитом челюстей должно осуществляться в условиях многопрофильного стационара, где имеется возможность проведения при необходимости консультации врача-терапевта и узкопрофильных специалистов (врач-невролог, врач-оториноларинголог, врач-офтальмолог и т.п.), а при развитии гнойно-воспалительного процесса в околочелюстных мягких тканях и наличии показаний для оказания хирургического вмешательства в условиях общего обезболивания – врача-анестезиолога-реаниматолога.</w:t>
      </w:r>
    </w:p>
    <w:p w:rsidR="00E51ED1" w:rsidRPr="00E51ED1" w:rsidRDefault="00E51ED1" w:rsidP="00E51ED1">
      <w:pPr>
        <w:numPr>
          <w:ilvl w:val="0"/>
          <w:numId w:val="2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 </w:t>
      </w:r>
      <w:r w:rsidRPr="00E51ED1">
        <w:rPr>
          <w:rFonts w:ascii="Times New Roman" w:eastAsia="Times New Roman" w:hAnsi="Times New Roman" w:cs="Times New Roman"/>
          <w:color w:val="222222"/>
          <w:spacing w:val="4"/>
          <w:sz w:val="27"/>
          <w:szCs w:val="27"/>
          <w:lang w:eastAsia="ru-RU"/>
        </w:rPr>
        <w:t xml:space="preserve">лечение пациентов с одонтогенными воспалительными заболеваниями, а именно, периоститом и остеомиелитом челюсти, протекающих на фоне декомпенсированных форм сопутствующей </w:t>
      </w:r>
      <w:r w:rsidRPr="00E51ED1">
        <w:rPr>
          <w:rFonts w:ascii="Times New Roman" w:eastAsia="Times New Roman" w:hAnsi="Times New Roman" w:cs="Times New Roman"/>
          <w:color w:val="222222"/>
          <w:spacing w:val="4"/>
          <w:sz w:val="27"/>
          <w:szCs w:val="27"/>
          <w:lang w:eastAsia="ru-RU"/>
        </w:rPr>
        <w:lastRenderedPageBreak/>
        <w:t>патологии, или при гипергическом типе течения воспалительной реакции, осуществлять в условиях многопрофильного стационара в режиме оказания неотложной помощи</w:t>
      </w:r>
      <w:r w:rsidRPr="00E51ED1">
        <w:rPr>
          <w:rFonts w:ascii="Times New Roman" w:eastAsia="Times New Roman" w:hAnsi="Times New Roman" w:cs="Times New Roman"/>
          <w:b/>
          <w:bCs/>
          <w:color w:val="222222"/>
          <w:spacing w:val="4"/>
          <w:sz w:val="27"/>
          <w:szCs w:val="27"/>
          <w:lang w:eastAsia="ru-RU"/>
        </w:rPr>
        <w:t> </w:t>
      </w:r>
      <w:r w:rsidRPr="00E51ED1">
        <w:rPr>
          <w:rFonts w:ascii="Times New Roman" w:eastAsia="Times New Roman" w:hAnsi="Times New Roman" w:cs="Times New Roman"/>
          <w:color w:val="222222"/>
          <w:spacing w:val="4"/>
          <w:sz w:val="27"/>
          <w:szCs w:val="27"/>
          <w:lang w:eastAsia="ru-RU"/>
        </w:rPr>
        <w:t>[21, 23, 24, 25, 59, 65, 71, 75,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рекомендации C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w:t>
      </w: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оказание медицинской помощи пациентам с одонтогенным периоститом или остеомиелитом челюстей при наличии сопутствующей патологии должно осуществляться в условиях многопрофильного стационара, где имеется возможность проведения  первичного приёма (осмотра, консультации)</w:t>
      </w: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узкопрофильных специалистов (врача-кардиолога, врача-пульмонолога, врача-невролога, врача-нефролога, врача-сердечно-сосудистого хирурга и т.п.), а при выявлении признаков декомпенсации – врача-анестезиолога-реаниматолога.</w:t>
      </w:r>
      <w:r w:rsidRPr="00E51ED1">
        <w:rPr>
          <w:rFonts w:ascii="Times New Roman" w:eastAsia="Times New Roman" w:hAnsi="Times New Roman" w:cs="Times New Roman"/>
          <w:color w:val="222222"/>
          <w:spacing w:val="4"/>
          <w:sz w:val="27"/>
          <w:szCs w:val="27"/>
          <w:lang w:eastAsia="ru-RU"/>
        </w:rPr>
        <w:t> </w:t>
      </w:r>
    </w:p>
    <w:p w:rsidR="00E51ED1" w:rsidRPr="00E51ED1" w:rsidRDefault="00E51ED1" w:rsidP="00E51ED1">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E51ED1">
        <w:rPr>
          <w:rFonts w:ascii="Times New Roman" w:eastAsia="Times New Roman" w:hAnsi="Times New Roman" w:cs="Times New Roman"/>
          <w:b/>
          <w:bCs/>
          <w:color w:val="000000"/>
          <w:spacing w:val="4"/>
          <w:kern w:val="36"/>
          <w:sz w:val="48"/>
          <w:szCs w:val="48"/>
          <w:lang w:eastAsia="ru-RU"/>
        </w:rPr>
        <w:t>3.1 Хирургическое лечение</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Хирургическое лечение при воспалительных заболеваниях челюстей является основным методом и осуществляется согласно важнейшим принципам лечения больных с гнойной инфекцией, включающих хирургическую санацию гнойного «очага» путём ликвидации одонтогенной причины заболевания (чаще всего, удаление "причинного" зуба и дренирования поднадкостничного абсцесса при его наличии), а также проведение местного медикаментозного лечения.</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При обращении пациентов с воспалительными заболеваниями челюстей оперативное вмешательство должно быть проведено в экстренном порядке. Необходимо учитывать стадию и характер клинического развития воспалительного процесса, его локализацию, протяжённость и распространённость, индивидуальные особенности организма (возраст, давность заболевания, характер и особенности проводимого ранее лечения, наличие сопутствующей патологии и др.) [2, 21, 29, 55, 59, 75, 103].</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Принципы лечения при гнойно-воспалительных процессах челюстей:</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1) Вскрытие и дренирование гнойного «очага» воспаления (путём, чаще всего, удаления «причинного» зуба, если зуб не удалён ранее, и проведения периостеотомии). В случае вскрытия гнойного очага (на амбулаторном этапе лечения до госпитализации в специализированный стационар) проводится тщательная ревизия раны, при необходимости выполняется повторное хирургическое вмешательство.</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lastRenderedPageBreak/>
        <w:t>2) Вопрос о выборе метода обезболивания решается совместно с врачами-анестезиологами-реаниматологами и другими смежными специалистами (при наличии сопутствующей патологии) после тщательного обследования больного с учётом показаний и противопоказаний в отношении вида анестезии.</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Оперативный доступ должен соответствовать локализации гнойного очага. Вскрытие гнойного очага может осуществляться наружным или внутриротовым доступом, при наличии показаний - сочетанным. При выборе оперативного лечения предпочтение следует отдавать тому методу, при использовании которого:</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путь к гнойному «очагу» воспаления будет наиболее коротким,</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опасность повреждения органов и важных в функциональном отношении структур (сосудов, нервов) при рассечении тканей на пути к гнойному «очагу» воспаления наименее вероятна,</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обеспечиваются лучшие условия для оттока гнойного экссудата или ревизии раны, удаления патологически изменённых тканей.</w:t>
      </w:r>
    </w:p>
    <w:p w:rsidR="00E51ED1" w:rsidRPr="00E51ED1" w:rsidRDefault="00E51ED1" w:rsidP="00E51ED1">
      <w:pPr>
        <w:numPr>
          <w:ilvl w:val="0"/>
          <w:numId w:val="2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w:t>
      </w:r>
      <w:r w:rsidRPr="00E51ED1">
        <w:rPr>
          <w:rFonts w:ascii="Times New Roman" w:eastAsia="Times New Roman" w:hAnsi="Times New Roman" w:cs="Times New Roman"/>
          <w:color w:val="222222"/>
          <w:spacing w:val="4"/>
          <w:sz w:val="27"/>
          <w:szCs w:val="27"/>
          <w:lang w:eastAsia="ru-RU"/>
        </w:rPr>
        <w:t> у пациентов с одонтогенными воспалительными заболеваниями челюстей выполнение хирургического вмешательства с учётом патогенеза и в зависимости от фазы течения ГВП [21, 27, 50, 59, 75,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 </w:t>
      </w:r>
      <w:r w:rsidRPr="00E51ED1">
        <w:rPr>
          <w:rFonts w:ascii="Times New Roman" w:eastAsia="Times New Roman" w:hAnsi="Times New Roman" w:cs="Times New Roman"/>
          <w:b/>
          <w:bCs/>
          <w:i/>
          <w:iCs/>
          <w:color w:val="333333"/>
          <w:spacing w:val="4"/>
          <w:sz w:val="27"/>
          <w:szCs w:val="27"/>
          <w:lang w:eastAsia="ru-RU"/>
        </w:rPr>
        <w:t>выполнение хирургического вмешательства желательно не позднее 2-х часов от момента установления диагноза. </w:t>
      </w:r>
      <w:r w:rsidRPr="00E51ED1">
        <w:rPr>
          <w:rFonts w:ascii="Times New Roman" w:eastAsia="Times New Roman" w:hAnsi="Times New Roman" w:cs="Times New Roman"/>
          <w:i/>
          <w:iCs/>
          <w:color w:val="333333"/>
          <w:spacing w:val="4"/>
          <w:sz w:val="27"/>
          <w:szCs w:val="27"/>
          <w:lang w:eastAsia="ru-RU"/>
        </w:rPr>
        <w:t>У</w:t>
      </w:r>
      <w:r w:rsidRPr="00E51ED1">
        <w:rPr>
          <w:rFonts w:ascii="Times New Roman" w:eastAsia="Times New Roman" w:hAnsi="Times New Roman" w:cs="Times New Roman"/>
          <w:b/>
          <w:bCs/>
          <w:i/>
          <w:iCs/>
          <w:color w:val="333333"/>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больных с одонтогенными воспалительными заболеваниями челюстей на фоне тяжёлой сопутствующей патологии показано проведение дополнительного расширенного обследования и подготовки к выполнению хирургического вмешательства в предоперационном периоде) [21, 27, 50, 59, 75, 103].</w:t>
      </w:r>
    </w:p>
    <w:p w:rsidR="00E51ED1" w:rsidRPr="00E51ED1" w:rsidRDefault="00E51ED1" w:rsidP="00E51ED1">
      <w:pPr>
        <w:numPr>
          <w:ilvl w:val="0"/>
          <w:numId w:val="2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w:t>
      </w:r>
      <w:r w:rsidRPr="00E51ED1">
        <w:rPr>
          <w:rFonts w:ascii="Times New Roman" w:eastAsia="Times New Roman" w:hAnsi="Times New Roman" w:cs="Times New Roman"/>
          <w:color w:val="222222"/>
          <w:spacing w:val="4"/>
          <w:sz w:val="27"/>
          <w:szCs w:val="27"/>
          <w:lang w:eastAsia="ru-RU"/>
        </w:rPr>
        <w:t> удаление «причинного» зуба у пациентов с одонтогенными воспалительными заболеваниями челюстей с целью улучшения условий для оттока экссудата из первичного «очага» одонтогенной инфекции в челюсти [21, 50, 59, 71, 73, 75, 103, 109].</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lastRenderedPageBreak/>
        <w:t>Комментарии:</w:t>
      </w:r>
      <w:r w:rsidRPr="00E51ED1">
        <w:rPr>
          <w:rFonts w:ascii="Times New Roman" w:eastAsia="Times New Roman" w:hAnsi="Times New Roman" w:cs="Times New Roman"/>
          <w:i/>
          <w:iCs/>
          <w:color w:val="333333"/>
          <w:spacing w:val="4"/>
          <w:sz w:val="27"/>
          <w:szCs w:val="27"/>
          <w:lang w:eastAsia="ru-RU"/>
        </w:rPr>
        <w:t> немедленному удалению полежат те зубы, которые не представляют функциональной или эстетической ценности, и у которых невозможно сформировать полноценный отток экссудата через корневой канал [21, 50, 59, 64, 71, 73, 75, 103, 109].</w:t>
      </w:r>
    </w:p>
    <w:p w:rsidR="00E51ED1" w:rsidRPr="00E51ED1" w:rsidRDefault="00E51ED1" w:rsidP="00E51ED1">
      <w:pPr>
        <w:numPr>
          <w:ilvl w:val="0"/>
          <w:numId w:val="3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w:t>
      </w:r>
      <w:r w:rsidRPr="00E51ED1">
        <w:rPr>
          <w:rFonts w:ascii="Times New Roman" w:eastAsia="Times New Roman" w:hAnsi="Times New Roman" w:cs="Times New Roman"/>
          <w:color w:val="222222"/>
          <w:spacing w:val="4"/>
          <w:sz w:val="27"/>
          <w:szCs w:val="27"/>
          <w:lang w:eastAsia="ru-RU"/>
        </w:rPr>
        <w:t> у пациентов с одонтогенными воспалительными заболеваниями челюстей с целью создания условия для оттока экссудата обязательное вскрытие и дренирование абсцесса полости рта [10, 14, 16, 21, 25, 43, 50, 59, 64, 71, 75, 103, 109]. </w:t>
      </w:r>
      <w:r w:rsidRPr="00E51ED1">
        <w:rPr>
          <w:rFonts w:ascii="Times New Roman" w:eastAsia="Times New Roman" w:hAnsi="Times New Roman" w:cs="Times New Roman"/>
          <w:i/>
          <w:iCs/>
          <w:color w:val="333333"/>
          <w:spacing w:val="4"/>
          <w:sz w:val="27"/>
          <w:szCs w:val="27"/>
          <w:lang w:eastAsia="ru-RU"/>
        </w:rPr>
        <w:t> </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 </w:t>
      </w:r>
      <w:r w:rsidRPr="00E51ED1">
        <w:rPr>
          <w:rFonts w:ascii="Times New Roman" w:eastAsia="Times New Roman" w:hAnsi="Times New Roman" w:cs="Times New Roman"/>
          <w:i/>
          <w:iCs/>
          <w:color w:val="333333"/>
          <w:spacing w:val="4"/>
          <w:sz w:val="27"/>
          <w:szCs w:val="27"/>
          <w:lang w:eastAsia="ru-RU"/>
        </w:rPr>
        <w:t>оптимальное дренирование обеспечивает полноценный отток раневого экссудата, создаёт наилучшие условия для скорейшего отторжения погибших тканей и переход процесса из фазы воспаления в фазу регенерации. Основным средством в качестве дренажа при гнойно-воспалительных заболеваниях челюстей являются резиновые ленточные дренажи и трубчатые полихлорвиниловые дренажные трубки различной конфигурации. Если необходимо, во избежание дислокации дренажа в рану, можно его фиксировать к одному из краёв раны с помощью узлового шва любым шовным материалом, который удаляется при удалении дренажа. Можно</w:t>
      </w: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 xml:space="preserve">применять различные инструментальные методы санации гнойной раны: лазерные, плазменные, вакуумные, ультразвуковой кавитации, обработка раны пульсирующей струей антисептического раствора [56]. При гиперергической форме острого остеомиелита для снижения внутрикостной гипертензии и профилактики прогрессирования остеонекротического процесса необходимо проведение дренирования путём внутрикостного лаважа кости [14, 16, 21, 25, 43, 59, 75, 103, 109]. При остром периостите дренаж оставляют в ране на 1-2 суток, если зуб был удалён, или до 4-5 дней - при сохранении зуба, до купирования острых воспалительных явлений и прекращения гноетечения из раны [16, 21, 27, 59, 75, 103]. Сохранение зуба возможно только в случае острого серозного периостита челюсти при условии наличия хорошо проходимого корневого канала [21, 59, 75], при «благоприятном» прогнозе течения гнойно-воспалительного процесса, отсутствии рисков развития осложнений, нормергической форме течения воспалительного процесса, отсутствии «отягощённого» соматического статуса, «очаговообусловленных» заболеваний, возможности и/или целесообразности сохранения данного зуба с точки зрения консервативного лечения и возможности его использования в последующем в качестве опоры зубного </w:t>
      </w:r>
      <w:r w:rsidRPr="00E51ED1">
        <w:rPr>
          <w:rFonts w:ascii="Times New Roman" w:eastAsia="Times New Roman" w:hAnsi="Times New Roman" w:cs="Times New Roman"/>
          <w:i/>
          <w:iCs/>
          <w:color w:val="333333"/>
          <w:spacing w:val="4"/>
          <w:sz w:val="27"/>
          <w:szCs w:val="27"/>
          <w:lang w:eastAsia="ru-RU"/>
        </w:rPr>
        <w:lastRenderedPageBreak/>
        <w:t>протеза [21, 59, 75, 103]. В случае сохранения «причинного» зуба после выполнения периостеотомии целесообразно провести остеоперфорацию в проекции периапикального очага с последующим планированием «зубосберегающей» операции после купирования острых явлений воспаления (гранулёмэктомия, цистэктомия или цистостомия с резекцией верхушки корня) [21, 59, 75, 103].</w:t>
      </w:r>
    </w:p>
    <w:p w:rsidR="00E51ED1" w:rsidRPr="00E51ED1" w:rsidRDefault="00E51ED1" w:rsidP="00E51ED1">
      <w:pPr>
        <w:numPr>
          <w:ilvl w:val="0"/>
          <w:numId w:val="3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w:t>
      </w:r>
      <w:r w:rsidRPr="00E51ED1">
        <w:rPr>
          <w:rFonts w:ascii="Times New Roman" w:eastAsia="Times New Roman" w:hAnsi="Times New Roman" w:cs="Times New Roman"/>
          <w:color w:val="222222"/>
          <w:spacing w:val="4"/>
          <w:sz w:val="27"/>
          <w:szCs w:val="27"/>
          <w:lang w:eastAsia="ru-RU"/>
        </w:rPr>
        <w:t> проводить вскрытие и дренирование очага воспаления мягких тканей лица или дна полости рта (поднадкостничного абсцесса) у пациентов с острым одонтогенным периоститом челюсти с целью создания оттока экссудата [10, 21, 25, 59, 75, 103, 109].</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 </w:t>
      </w:r>
      <w:r w:rsidRPr="00E51ED1">
        <w:rPr>
          <w:rFonts w:ascii="Times New Roman" w:eastAsia="Times New Roman" w:hAnsi="Times New Roman" w:cs="Times New Roman"/>
          <w:i/>
          <w:iCs/>
          <w:color w:val="333333"/>
          <w:spacing w:val="4"/>
          <w:sz w:val="27"/>
          <w:szCs w:val="27"/>
          <w:lang w:eastAsia="ru-RU"/>
        </w:rPr>
        <w:t>при остром серозном одонтогенном периостите удаление зуба, как правило, приводит к выздоровлению, в таком случае у пациентов молодого возраста, при нормергическом типе течения воспалительной реакции, при отсутствии рисков развития осложнений, при отсутствии в анамнезе сопутствующей (коморбидной) патологии, периостотомию возможно не выполнять. Если зуб сохраняется (при условии сохранения коронковой части зуба, проходимости корневых каналов для возможности и целесообразности проведения эндодонтического лечения, наличии возможности в дальнейшем, после купирования острых явлений воспаления и заживления послеоперационной раны, выполнения зубосохраняющей операции в сроки, обусловленные сроками нормального течения и завершения гнойного раневого процесса), то хирургическая тактика не зависит от стадии воспалительного процесса и разрез выполняется обязательно.</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 xml:space="preserve">При периостотомии разрез слизистой оболочки необходимо проводить строго по переходной складке на протяжении минимум трёх зубов, на всю ширину инфильтрата (на уровне «причинного» и, как минимум, рядом стоящих зубов, рассекая всю толщу мягких тканей - слизистую оболочку, подслизистую ткань и надкостницу до кости), после чего «тупым» путём вскрывают и опорожняют поднадкостничный абсцесс. Далее осуществляют механическую обработку раны для элиминации свободного гноя и при наличии некротизированных тканей, после чего производят взятие биоматериала для проведения микробиологического (культурального) исследования. Затем рану промывают раствором местных антисептиков. В рану вводят резиновый ленточный, полутрубчатый дренаж (при необходимости – трубчатый), </w:t>
      </w:r>
      <w:r w:rsidRPr="00E51ED1">
        <w:rPr>
          <w:rFonts w:ascii="Times New Roman" w:eastAsia="Times New Roman" w:hAnsi="Times New Roman" w:cs="Times New Roman"/>
          <w:i/>
          <w:iCs/>
          <w:color w:val="333333"/>
          <w:spacing w:val="4"/>
          <w:sz w:val="27"/>
          <w:szCs w:val="27"/>
          <w:lang w:eastAsia="ru-RU"/>
        </w:rPr>
        <w:lastRenderedPageBreak/>
        <w:t>который целесообразно фиксировать к верхнему краю послеоперационной раны с помощью шва (полиамидной нитью или шелком).</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При вскрытии поднадкостничного абсцесса при периостите с язычной стороны нижней челюсти в области 2-3-го моляров разрез выполняют выше места перехода слизистой оболочки альвеолярного отростка в подъязычную область, держа скальпель почти перпендикулярно к челюсти, во избежание ранения сосудов и органов подъязычной области. Все остальные манипуляции выполняют по описанному выше протоколу «тупым» путём. На твёрдом нёбе линия разреза слизистой оболочки должна быть параллельна альвеолярному краю и проходить по линии, соединяющей резцовое отверстие и большое нёбное отверстие. Для предотвращения слишком быстрого слипания краёв раны и обеспечения её дренирования иссекают участок слизистой оболочки двумя сходящимися полуовальными разрезами, либо в виде треугольника, основание которого параллельно альвеолярному отростку [10, 21, 25, 59, 73, 75, 103].</w:t>
      </w:r>
    </w:p>
    <w:p w:rsidR="00E51ED1" w:rsidRPr="00E51ED1" w:rsidRDefault="00E51ED1" w:rsidP="00E51ED1">
      <w:pPr>
        <w:numPr>
          <w:ilvl w:val="0"/>
          <w:numId w:val="3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Рекомендовано </w:t>
      </w:r>
      <w:r w:rsidRPr="00E51ED1">
        <w:rPr>
          <w:rFonts w:ascii="Times New Roman" w:eastAsia="Times New Roman" w:hAnsi="Times New Roman" w:cs="Times New Roman"/>
          <w:color w:val="222222"/>
          <w:spacing w:val="4"/>
          <w:sz w:val="27"/>
          <w:szCs w:val="27"/>
          <w:lang w:eastAsia="ru-RU"/>
        </w:rPr>
        <w:t>у пациентов с острым серозным периоститом челюсти, при отсутствии противопоказаний, решение вопроса о возможности сохранения резцов или клыков в качестве «причинного» зуба [103, 109].</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 </w:t>
      </w:r>
      <w:r w:rsidRPr="00E51ED1">
        <w:rPr>
          <w:rFonts w:ascii="Times New Roman" w:eastAsia="Times New Roman" w:hAnsi="Times New Roman" w:cs="Times New Roman"/>
          <w:b/>
          <w:bCs/>
          <w:i/>
          <w:iCs/>
          <w:color w:val="333333"/>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 xml:space="preserve">сохранение центральных зубов по показаниям возможно  только в случае острого серозного периостита челюсти [25, 50, 71, 73, 103], при условии наличия хорошо проходимого корневого каналанормергическом типе течения воспалительной реакции и «благоприятном» прогнозе течения гнойно-воспалительного процесса, отсутствии рисков развития осложнений, у пациентов без «отягощённого» соматического статуса и «очагово-обусловленных» заболеваний, при соблюдении следующих условиях: обязательность выполнения «остеоперфорации» в проекции периапикального «очага» воспаления при проведении периостеотомии, целостность коронковой части зуба, наличие хорошей проходимости корневого канала, возможность проведения в последующем адекватного эндодонтического лечения [21, 25, 50, 59, 71, 73, 75, 103], при возможности и/или целесообразности сохранения данного зуба с точки зрения проведения консервативного лечения и его использования в последующем в качестве опоры зубного протеза [21, 25, 50, 59, 71, 73, 75, 103]. В случае сохранения «причинного» зуба и осуществления дренирования «очага» гнойного воспаления в костной ткани челюсти только путём проведения </w:t>
      </w:r>
      <w:r w:rsidRPr="00E51ED1">
        <w:rPr>
          <w:rFonts w:ascii="Times New Roman" w:eastAsia="Times New Roman" w:hAnsi="Times New Roman" w:cs="Times New Roman"/>
          <w:i/>
          <w:iCs/>
          <w:color w:val="333333"/>
          <w:spacing w:val="4"/>
          <w:sz w:val="27"/>
          <w:szCs w:val="27"/>
          <w:lang w:eastAsia="ru-RU"/>
        </w:rPr>
        <w:lastRenderedPageBreak/>
        <w:t>периостеотомии и «остеоперфорации» в проекции периапикального очага, важно обеспечить в лечебном учреждении техническую возможность и обязательности соблюдения этапности лечения, с возможностью обеспечения  «сопровождения» комплексного лечения с участием врача-стоматолога-терапевта, который должен осуществить раскрытие полости зуба, удаление наркотизированной пульпы, провести эндодонтическую и медикаментозную обработку корневых каналов «причинного» зуба, создать условия для адекватного оттока экссудата (желательно в первое посещение до выполнения хирургических манипуляций и разрезов), с последующим обязательным планированием  выполнения в плановом порядке после купирования острых явлений воспаления и заживления раны «зубосберегающей» операции (гранулёмэктомия, цистэктомия или цистостомия с резекцией верхушки корня) [21, 59, 75, 103].</w:t>
      </w:r>
    </w:p>
    <w:p w:rsidR="00E51ED1" w:rsidRPr="00E51ED1" w:rsidRDefault="00E51ED1" w:rsidP="00E51ED1">
      <w:pPr>
        <w:numPr>
          <w:ilvl w:val="0"/>
          <w:numId w:val="3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Рекомендовано</w:t>
      </w:r>
      <w:r w:rsidRPr="00E51ED1">
        <w:rPr>
          <w:rFonts w:ascii="Times New Roman" w:eastAsia="Times New Roman" w:hAnsi="Times New Roman" w:cs="Times New Roman"/>
          <w:color w:val="222222"/>
          <w:spacing w:val="4"/>
          <w:sz w:val="27"/>
          <w:szCs w:val="27"/>
          <w:lang w:eastAsia="ru-RU"/>
        </w:rPr>
        <w:t> у пациентов с периоститом челюстей в случае наличия сопутствующих заболеваний в стадии декомпенсации (например, ИБС, артериальная гипертензия, сахарный диабет, бронхиальная астма, ХОБЛ и пр.) и/или приёма пациентом лекарственных препаратов, приводящих к медикаментозной гипокоагуляции (например, при приёме Варфарина** (АТХ: </w:t>
      </w:r>
      <w:hyperlink r:id="rId10" w:history="1">
        <w:r w:rsidRPr="00E51ED1">
          <w:rPr>
            <w:rFonts w:ascii="Times New Roman" w:eastAsia="Times New Roman" w:hAnsi="Times New Roman" w:cs="Times New Roman"/>
            <w:color w:val="0000FF"/>
            <w:spacing w:val="4"/>
            <w:sz w:val="27"/>
            <w:szCs w:val="27"/>
            <w:u w:val="single"/>
            <w:lang w:eastAsia="ru-RU"/>
          </w:rPr>
          <w:t>B01AA03</w:t>
        </w:r>
      </w:hyperlink>
      <w:r w:rsidRPr="00E51ED1">
        <w:rPr>
          <w:rFonts w:ascii="Times New Roman" w:eastAsia="Times New Roman" w:hAnsi="Times New Roman" w:cs="Times New Roman"/>
          <w:color w:val="222222"/>
          <w:spacing w:val="4"/>
          <w:sz w:val="27"/>
          <w:szCs w:val="27"/>
          <w:lang w:eastAsia="ru-RU"/>
        </w:rPr>
        <w:t>); А</w:t>
      </w:r>
      <w:hyperlink r:id="rId11" w:history="1">
        <w:r w:rsidRPr="00E51ED1">
          <w:rPr>
            <w:rFonts w:ascii="Times New Roman" w:eastAsia="Times New Roman" w:hAnsi="Times New Roman" w:cs="Times New Roman"/>
            <w:color w:val="0000FF"/>
            <w:spacing w:val="4"/>
            <w:sz w:val="27"/>
            <w:szCs w:val="27"/>
            <w:u w:val="single"/>
            <w:lang w:eastAsia="ru-RU"/>
          </w:rPr>
          <w:t>пиксабана** (</w:t>
        </w:r>
      </w:hyperlink>
      <w:r w:rsidRPr="00E51ED1">
        <w:rPr>
          <w:rFonts w:ascii="Times New Roman" w:eastAsia="Times New Roman" w:hAnsi="Times New Roman" w:cs="Times New Roman"/>
          <w:color w:val="222222"/>
          <w:spacing w:val="4"/>
          <w:sz w:val="27"/>
          <w:szCs w:val="27"/>
          <w:lang w:eastAsia="ru-RU"/>
        </w:rPr>
        <w:t>АТХ: </w:t>
      </w:r>
      <w:hyperlink r:id="rId12" w:history="1">
        <w:r w:rsidRPr="00E51ED1">
          <w:rPr>
            <w:rFonts w:ascii="Times New Roman" w:eastAsia="Times New Roman" w:hAnsi="Times New Roman" w:cs="Times New Roman"/>
            <w:color w:val="0000FF"/>
            <w:spacing w:val="4"/>
            <w:sz w:val="27"/>
            <w:szCs w:val="27"/>
            <w:u w:val="single"/>
            <w:lang w:eastAsia="ru-RU"/>
          </w:rPr>
          <w:t>B01AF02</w:t>
        </w:r>
      </w:hyperlink>
      <w:r w:rsidRPr="00E51ED1">
        <w:rPr>
          <w:rFonts w:ascii="Times New Roman" w:eastAsia="Times New Roman" w:hAnsi="Times New Roman" w:cs="Times New Roman"/>
          <w:color w:val="222222"/>
          <w:spacing w:val="4"/>
          <w:sz w:val="27"/>
          <w:szCs w:val="27"/>
          <w:lang w:eastAsia="ru-RU"/>
        </w:rPr>
        <w:t>); </w:t>
      </w:r>
      <w:hyperlink r:id="rId13" w:history="1">
        <w:r w:rsidRPr="00E51ED1">
          <w:rPr>
            <w:rFonts w:ascii="Times New Roman" w:eastAsia="Times New Roman" w:hAnsi="Times New Roman" w:cs="Times New Roman"/>
            <w:color w:val="0000FF"/>
            <w:spacing w:val="4"/>
            <w:sz w:val="27"/>
            <w:szCs w:val="27"/>
            <w:u w:val="single"/>
            <w:lang w:eastAsia="ru-RU"/>
          </w:rPr>
          <w:t>ацетилсалициловой кислоты** (</w:t>
        </w:r>
      </w:hyperlink>
      <w:r w:rsidRPr="00E51ED1">
        <w:rPr>
          <w:rFonts w:ascii="Times New Roman" w:eastAsia="Times New Roman" w:hAnsi="Times New Roman" w:cs="Times New Roman"/>
          <w:color w:val="222222"/>
          <w:spacing w:val="4"/>
          <w:sz w:val="27"/>
          <w:szCs w:val="27"/>
          <w:lang w:eastAsia="ru-RU"/>
        </w:rPr>
        <w:t>АТХ: </w:t>
      </w:r>
      <w:hyperlink r:id="rId14" w:history="1">
        <w:r w:rsidRPr="00E51ED1">
          <w:rPr>
            <w:rFonts w:ascii="Times New Roman" w:eastAsia="Times New Roman" w:hAnsi="Times New Roman" w:cs="Times New Roman"/>
            <w:color w:val="0000FF"/>
            <w:spacing w:val="4"/>
            <w:sz w:val="27"/>
            <w:szCs w:val="27"/>
            <w:u w:val="single"/>
            <w:lang w:eastAsia="ru-RU"/>
          </w:rPr>
          <w:t>B01AC06</w:t>
        </w:r>
      </w:hyperlink>
      <w:r w:rsidRPr="00E51ED1">
        <w:rPr>
          <w:rFonts w:ascii="Times New Roman" w:eastAsia="Times New Roman" w:hAnsi="Times New Roman" w:cs="Times New Roman"/>
          <w:color w:val="222222"/>
          <w:spacing w:val="4"/>
          <w:sz w:val="27"/>
          <w:szCs w:val="27"/>
          <w:lang w:eastAsia="ru-RU"/>
        </w:rPr>
        <w:t>) и пр.), при отсутствии противопоказаний, проведение удаления «причинного» зуба отсрочено, после проведения предоперационного обследования и подготовки по согласованию с врачами-интернистами (врач-терапевт/врач-кардиолог) [138, 139].</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w:t>
      </w:r>
      <w:r w:rsidRPr="00E51ED1">
        <w:rPr>
          <w:rFonts w:ascii="Times New Roman" w:eastAsia="Times New Roman" w:hAnsi="Times New Roman" w:cs="Times New Roman"/>
          <w:i/>
          <w:iCs/>
          <w:color w:val="333333"/>
          <w:spacing w:val="4"/>
          <w:sz w:val="27"/>
          <w:szCs w:val="27"/>
          <w:lang w:eastAsia="ru-RU"/>
        </w:rPr>
        <w:t> при периостите челюстей у пациентов с сопутствующими заболеваниями в стадии декомпенсации и/или на фоне приёма лекарственных препаратов, приводящих к медикаментозной гипокоагуляции в случае отсроченного удаления «причинного» зуба, необходимо выполнять дренирование «очага» гнойного воспаления в кости с минимальной травматизацией тканей на фоне проводимого консервативного лечения и только  после стабилизации состояния пациента, с проведением предоперационного обследования (дополнительных лабораторных и инструментальных исследований). Удаление «причинного» зуба может быть осуществлено вторым этапом только после проведения подготовки по согласованию с узкопрофильными врачами-интернистами (врач-</w:t>
      </w:r>
      <w:r w:rsidRPr="00E51ED1">
        <w:rPr>
          <w:rFonts w:ascii="Times New Roman" w:eastAsia="Times New Roman" w:hAnsi="Times New Roman" w:cs="Times New Roman"/>
          <w:i/>
          <w:iCs/>
          <w:color w:val="333333"/>
          <w:spacing w:val="4"/>
          <w:sz w:val="27"/>
          <w:szCs w:val="27"/>
          <w:lang w:eastAsia="ru-RU"/>
        </w:rPr>
        <w:lastRenderedPageBreak/>
        <w:t>терапевт/врач-кардиолог, врач-эндокринолог и пр.) [21, 25, 27, 36, 50, 59, 71, 73, 75, 103].</w:t>
      </w:r>
    </w:p>
    <w:p w:rsidR="00E51ED1" w:rsidRPr="00E51ED1" w:rsidRDefault="00E51ED1" w:rsidP="00E51ED1">
      <w:pPr>
        <w:numPr>
          <w:ilvl w:val="0"/>
          <w:numId w:val="3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 </w:t>
      </w:r>
      <w:r w:rsidRPr="00E51ED1">
        <w:rPr>
          <w:rFonts w:ascii="Times New Roman" w:eastAsia="Times New Roman" w:hAnsi="Times New Roman" w:cs="Times New Roman"/>
          <w:color w:val="222222"/>
          <w:spacing w:val="4"/>
          <w:sz w:val="27"/>
          <w:szCs w:val="27"/>
          <w:lang w:eastAsia="ru-RU"/>
        </w:rPr>
        <w:t>у пациентов с периоститом челюстей в случае наличия объективных технических трудностей (дистопия, задтруднённое прорезывание зубов, гиперцементоз корней, контрактура) отсроченное удаление зуба при условии обязательности выполнения дренирования первичного «очага» воспаления в костных структурах внутриротовым доступом путём проведения периостеотомии и «остеоперфорации» в проекции «причинного» зуба [21, 27, 50, 59, 75,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w:t>
      </w: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отсроченное удаление «причинного» зуба при наличии объективных технических трудностей возможно только при «благоприятном» прогнозе течения гнойно-воспалительного процесса, отсутствии рисков развития осложнений, при нормергической форме течения воспалительного процесса, отсутствии «отягощённого» соматического статуса и/или «очагово-обусловленных» заболеваний. Сроки проведения отсроченного удаления «причинного» зуба определяются индивидуально, с учётом динамики течения местного воспалительного процесса и системного ответа организма, оптимально - после купирования острых явлений воспаления на фоне проводимого консервативного лечения [21, 27, 50, 59, 75, 103].</w:t>
      </w:r>
    </w:p>
    <w:p w:rsidR="00E51ED1" w:rsidRPr="00E51ED1" w:rsidRDefault="00E51ED1" w:rsidP="00E51ED1">
      <w:pPr>
        <w:numPr>
          <w:ilvl w:val="0"/>
          <w:numId w:val="3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w:t>
      </w:r>
      <w:r w:rsidRPr="00E51ED1">
        <w:rPr>
          <w:rFonts w:ascii="Times New Roman" w:eastAsia="Times New Roman" w:hAnsi="Times New Roman" w:cs="Times New Roman"/>
          <w:color w:val="222222"/>
          <w:spacing w:val="4"/>
          <w:sz w:val="27"/>
          <w:szCs w:val="27"/>
          <w:lang w:eastAsia="ru-RU"/>
        </w:rPr>
        <w:t> пациентам с подтверждённым диагнозом острого или обострившегося хронического остеомиелита челюстей проводить вскрытие очага воспаления в полости рта с обеих сторон челюсти. В случае формирования гнойного процесса в околочелюстных мягких тканей или наличия свищевого хода может быть рекомендован внеротовой или сочетанный оперативный доступ к воспалительному очагу [10, 21, 50, 59, 64, 71, 75,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 </w:t>
      </w:r>
      <w:r w:rsidRPr="00E51ED1">
        <w:rPr>
          <w:rFonts w:ascii="Times New Roman" w:eastAsia="Times New Roman" w:hAnsi="Times New Roman" w:cs="Times New Roman"/>
          <w:i/>
          <w:iCs/>
          <w:color w:val="333333"/>
          <w:spacing w:val="4"/>
          <w:sz w:val="27"/>
          <w:szCs w:val="27"/>
          <w:lang w:eastAsia="ru-RU"/>
        </w:rPr>
        <w:t>лечение пациентов с острым или обострением хронического остеомиелита челюстей начинать с решения вопроса об удалении «причинного» зуба, что является обязательным. Удаление зуба в подавляющем большинстве случаев необходимо проводить одновременно со вскрытием гнойных очагов.</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lastRenderedPageBreak/>
        <w:t>У пациентов с острым или обострением хронического остеомиелита челюстей вскрытие поднадкостничных абсцессов путём проведения периостотомии необходимо проводить с двух сторон "муфтоообразного" инфильтрата челюсти - вестибулярной и язычной/нёбной. Внеротовой оперативный доступ применяют в случае возникновения гнойных «очагов» в околочелюстных мягких тканей или при наличии функционирующих свищевых ходов на коже [10, 21, 50, 59, 64, 71, 75, 103].</w:t>
      </w:r>
    </w:p>
    <w:p w:rsidR="00E51ED1" w:rsidRPr="00E51ED1" w:rsidRDefault="00E51ED1" w:rsidP="00E51ED1">
      <w:pPr>
        <w:numPr>
          <w:ilvl w:val="0"/>
          <w:numId w:val="3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w:t>
      </w:r>
      <w:r w:rsidRPr="00E51ED1">
        <w:rPr>
          <w:rFonts w:ascii="Times New Roman" w:eastAsia="Times New Roman" w:hAnsi="Times New Roman" w:cs="Times New Roman"/>
          <w:color w:val="222222"/>
          <w:spacing w:val="4"/>
          <w:sz w:val="27"/>
          <w:szCs w:val="27"/>
          <w:lang w:eastAsia="ru-RU"/>
        </w:rPr>
        <w:t> при подострой стадии остеомиелита или при хроническом остеомиелите челюстей с целью устранения очага инфекции проводить хирургическое вмешательство в объёме </w:t>
      </w:r>
      <w:r w:rsidRPr="00E51ED1">
        <w:rPr>
          <w:rFonts w:ascii="Times New Roman" w:eastAsia="Times New Roman" w:hAnsi="Times New Roman" w:cs="Times New Roman"/>
          <w:i/>
          <w:iCs/>
          <w:color w:val="333333"/>
          <w:spacing w:val="4"/>
          <w:sz w:val="27"/>
          <w:szCs w:val="27"/>
          <w:lang w:eastAsia="ru-RU"/>
        </w:rPr>
        <w:t>секвестрэктомии</w:t>
      </w:r>
      <w:r w:rsidRPr="00E51ED1">
        <w:rPr>
          <w:rFonts w:ascii="Times New Roman" w:eastAsia="Times New Roman" w:hAnsi="Times New Roman" w:cs="Times New Roman"/>
          <w:color w:val="222222"/>
          <w:spacing w:val="4"/>
          <w:sz w:val="27"/>
          <w:szCs w:val="27"/>
          <w:lang w:eastAsia="ru-RU"/>
        </w:rPr>
        <w:t> (Код по Номенклатуре медицинских услуг: A16.03.015) по согласованию с врачом-анестезиологом-реаниматологом под сочетанной анестезией или к</w:t>
      </w:r>
      <w:hyperlink r:id="rId15" w:history="1">
        <w:r w:rsidRPr="00E51ED1">
          <w:rPr>
            <w:rFonts w:ascii="Times New Roman" w:eastAsia="Times New Roman" w:hAnsi="Times New Roman" w:cs="Times New Roman"/>
            <w:color w:val="0000FF"/>
            <w:spacing w:val="4"/>
            <w:sz w:val="27"/>
            <w:szCs w:val="27"/>
            <w:u w:val="single"/>
            <w:lang w:eastAsia="ru-RU"/>
          </w:rPr>
          <w:t>омбинированным эндотрахеальным наркоз</w:t>
        </w:r>
      </w:hyperlink>
      <w:r w:rsidRPr="00E51ED1">
        <w:rPr>
          <w:rFonts w:ascii="Times New Roman" w:eastAsia="Times New Roman" w:hAnsi="Times New Roman" w:cs="Times New Roman"/>
          <w:color w:val="222222"/>
          <w:spacing w:val="4"/>
          <w:sz w:val="27"/>
          <w:szCs w:val="27"/>
          <w:lang w:eastAsia="ru-RU"/>
        </w:rPr>
        <w:t>ом [1, 21, 25, 27, 36, 59, 73, 75,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 </w:t>
      </w:r>
      <w:r w:rsidRPr="00E51ED1">
        <w:rPr>
          <w:rFonts w:ascii="Times New Roman" w:eastAsia="Times New Roman" w:hAnsi="Times New Roman" w:cs="Times New Roman"/>
          <w:i/>
          <w:iCs/>
          <w:color w:val="333333"/>
          <w:spacing w:val="4"/>
          <w:sz w:val="27"/>
          <w:szCs w:val="27"/>
          <w:lang w:eastAsia="ru-RU"/>
        </w:rPr>
        <w:t>радикальное оперативное вмешательство – секвестрэктомия, является единственно правильным методом лечения при подострой или хронической форме остеомиелита, которая производится только после подтверждения формирования секвестров по результатам КЛКТ- исследования челюстей компьютерной томографии челюстно-лицевой области в сроки: при подострой стадии остеомиелита, не превышающие 4-5 недель на верхней и 6-8 недель на нижней челюсти от начала данного обострения гнойно-воспалительного процесса, при хроническом остеомиелите челюстей - более 4-5 недель на верхней и 6-8 недель на нижней челюсти, или после выполненного ранее, в подострую фазу процесса, оперативного вмешательства (секвестрэктомии) [21, 59, 75,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Этиопатогенетической особенностью хирургического лечения пациентов при одонтогенном остеомиелите челюстей являются: удаление «причинного» зуба, ЭОД соседних зубов и расположенных в очаге воспаления, эндодонтическая обработка поражённых зубов (при показателях ≥ 64 мкА) в дооперационном периоде с последующим их лечением, подвижные зубы иммобилизуют различными методами.</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 xml:space="preserve">В зависимости от локализации секвестра применяют внутри- и внеротовые оперативные доступы. В случае остеомиелитического процесса на верхней челюсти рационально использовать внутриротовые доступы. При осложнении остеомиелита верхней челюсти верхнечелюстным синуситом или </w:t>
      </w:r>
      <w:r w:rsidRPr="00E51ED1">
        <w:rPr>
          <w:rFonts w:ascii="Times New Roman" w:eastAsia="Times New Roman" w:hAnsi="Times New Roman" w:cs="Times New Roman"/>
          <w:i/>
          <w:iCs/>
          <w:color w:val="333333"/>
          <w:spacing w:val="4"/>
          <w:sz w:val="27"/>
          <w:szCs w:val="27"/>
          <w:lang w:eastAsia="ru-RU"/>
        </w:rPr>
        <w:lastRenderedPageBreak/>
        <w:t>секвестрации стенок верхнечелюстной пазухи целесообразно секвестрэктомию выполнять по типу радикальной синусотомии (операция по Колдуэллу-Люку).</w:t>
      </w: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На нижней челюсти чаще используют наружные доступы, особенно наружный оперативный доступ показан в случае субтотального остеомиелита челюстей, а также при наличии свищей на значительном расстоянии от поражённого участка кости. В таком случае применяют типичные доступы с выполнением разреза кожи с соблюдением линий Лангера (при возможности) по эстетическим соображениям, и принципов анатомического расположения сосудов и нервов.</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Оперативное вмешательство заключается во вскрытии секвестральной полости, удалении патологического очага, иссечении свищевых ходов, рубцовоизмененных, нежизнеспособных тканей [25].</w:t>
      </w: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Операционный материал в обязательном порядке должен быть направлен на гистологическое исследование. Часть материала направляют для выполнения микробиологического исследования.</w:t>
      </w: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Вопрос о срочности и объёме оперативного вмешательства имеет чёткое обоснование – проводится только после формирования секвестральной полости и полного отграничения секвестра по результатам клинико-рентгенологической картины в сроки: на верхней челюсти – 4-5 недель, на нижней челюсти – 6-8 недель от начала данного обострения гнойно-воспалительного процесса [21, 25, 27, 36, 59, 73, 75,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В послеоперационном периоде после вскрытия и дренирования гнойных «очагов» воспаления и устранения первичной причины заболевания важная роль в профилактике отводится местному ведению ран. Местное лечение раны включает медикаментозное воздействие на гнойную рану, дополняет хирургическое лечение и должно проводиться с учётом фазы течения гнойного раневого процесса [6, 21, 24, 31, 32, 33, 43, 49, 53, 54, 65, 75, 103].</w:t>
      </w:r>
    </w:p>
    <w:p w:rsidR="00E51ED1" w:rsidRPr="00E51ED1" w:rsidRDefault="00E51ED1" w:rsidP="00E51ED1">
      <w:pPr>
        <w:numPr>
          <w:ilvl w:val="0"/>
          <w:numId w:val="3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 </w:t>
      </w:r>
      <w:r w:rsidRPr="00E51ED1">
        <w:rPr>
          <w:rFonts w:ascii="Times New Roman" w:eastAsia="Times New Roman" w:hAnsi="Times New Roman" w:cs="Times New Roman"/>
          <w:color w:val="222222"/>
          <w:spacing w:val="4"/>
          <w:sz w:val="27"/>
          <w:szCs w:val="27"/>
          <w:lang w:eastAsia="ru-RU"/>
        </w:rPr>
        <w:t>в 1 периоде I фазы раневого процесса, исходя из патогенеза раневого процесса, с целью борьбы с инфекцией использовать противомикробные препараты и антисептики для местного лечения заболеваний полости рта (АТХ: A01AB), или комбинированные антибактериальные препараты для местного применения (например, Бацитрацин + Неомицин - АТХ: D06AX - Другие антибиотики для наружного применения), при некротическом характере ГВП - в сочетании с ферментными препаратами протеолитического действия (D03BA - Протеолитические ферменты) [33, 35, 114, 115].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 </w:t>
      </w:r>
      <w:r w:rsidRPr="00E51ED1">
        <w:rPr>
          <w:rFonts w:ascii="Times New Roman" w:eastAsia="Times New Roman" w:hAnsi="Times New Roman" w:cs="Times New Roman"/>
          <w:i/>
          <w:iCs/>
          <w:color w:val="333333"/>
          <w:spacing w:val="4"/>
          <w:sz w:val="27"/>
          <w:szCs w:val="27"/>
          <w:lang w:eastAsia="ru-RU"/>
        </w:rPr>
        <w:t>системная антибиотикотерапия при лечении пациентов при периостите и остеомиелите челюстей рассмотрена в разделе 3.2. «Консервативное лечение». Местное лечение должно осуществляться с учётом всех принципов терапии гнойно-воспалительных заболеваний, проводиться в зависимости от фазы течения гнойного раневого процесса. Необходимо придерживаться общехирургических принципов дифференцированного подхода в выборе лекарственных средств для местного лечения гнойных ран [4, 6, 33, 35, 56, 103]. Первая фаза течения гнойного раневого процесса подразделяется на 2 периода: 1 - сосудистых изменений (длительность 1-3 дня) и 2 - очищения раны (с 3 до 5-6 суток). В I фазе течения раневого процесса следует проводить активное местное медикаментозное лечение с акцентом на местное противомикробное действие основного компонента препарата, по показаниям - некролитическое, а также дегидратирующий и, по возможности, обезболивающий эффекты.</w:t>
      </w:r>
    </w:p>
    <w:p w:rsidR="00E51ED1" w:rsidRPr="00E51ED1" w:rsidRDefault="00E51ED1" w:rsidP="00E51ED1">
      <w:pPr>
        <w:numPr>
          <w:ilvl w:val="0"/>
          <w:numId w:val="3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w:t>
      </w:r>
      <w:r w:rsidRPr="00E51ED1">
        <w:rPr>
          <w:rFonts w:ascii="Times New Roman" w:eastAsia="Times New Roman" w:hAnsi="Times New Roman" w:cs="Times New Roman"/>
          <w:color w:val="222222"/>
          <w:spacing w:val="4"/>
          <w:sz w:val="27"/>
          <w:szCs w:val="27"/>
          <w:lang w:eastAsia="ru-RU"/>
        </w:rPr>
        <w:t> в 2 периоде I фазы раневого процесса воспаления продолжать использовать лекарственные препараты с антимикробным, противомикробными препаратами и антисептиками для местного лечения заболеваний полости рта (АТХ: A01AB), или комбинированные антибактериальные препараты для местного применения (например, МНН: Бацитрацин + Неомицин - АТХ: D06AX - Другие антибиотики для наружного применения), а также применять антисептические средства в виде гелей или мази для наружного применения (АТХ: D08АG02) в соответствии с инструкцией фармакологического препарата в сочетании с применением различных инструментальных методов санации гнойной раны при некротическом характере ГВП [33, 35, 56].</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 </w:t>
      </w:r>
      <w:r w:rsidRPr="00E51ED1">
        <w:rPr>
          <w:rFonts w:ascii="Times New Roman" w:eastAsia="Times New Roman" w:hAnsi="Times New Roman" w:cs="Times New Roman"/>
          <w:i/>
          <w:iCs/>
          <w:color w:val="333333"/>
          <w:spacing w:val="4"/>
          <w:sz w:val="27"/>
          <w:szCs w:val="27"/>
          <w:lang w:eastAsia="ru-RU"/>
        </w:rPr>
        <w:t>ежедневно проводят орошения, инстилляции, внутрикостный лаваж с использованием растворов антисептиков в соответствии с инструкцией фармакологического препарата: Хлоргексидина** 0,05-0,2 % водный раствор, Водорода пероксид** 3 % (АТХ: </w:t>
      </w:r>
      <w:hyperlink r:id="rId16" w:history="1">
        <w:r w:rsidRPr="00E51ED1">
          <w:rPr>
            <w:rFonts w:ascii="Times New Roman" w:eastAsia="Times New Roman" w:hAnsi="Times New Roman" w:cs="Times New Roman"/>
            <w:i/>
            <w:iCs/>
            <w:color w:val="0000FF"/>
            <w:spacing w:val="4"/>
            <w:sz w:val="27"/>
            <w:szCs w:val="27"/>
            <w:u w:val="single"/>
            <w:lang w:eastAsia="ru-RU"/>
          </w:rPr>
          <w:t>D08AX01</w:t>
        </w:r>
      </w:hyperlink>
      <w:r w:rsidRPr="00E51ED1">
        <w:rPr>
          <w:rFonts w:ascii="Times New Roman" w:eastAsia="Times New Roman" w:hAnsi="Times New Roman" w:cs="Times New Roman"/>
          <w:i/>
          <w:iCs/>
          <w:color w:val="333333"/>
          <w:spacing w:val="4"/>
          <w:sz w:val="27"/>
          <w:szCs w:val="27"/>
          <w:lang w:eastAsia="ru-RU"/>
        </w:rPr>
        <w:t>), Гексэтидин 0,2 % (АТХ: </w:t>
      </w:r>
      <w:hyperlink r:id="rId17" w:history="1">
        <w:r w:rsidRPr="00E51ED1">
          <w:rPr>
            <w:rFonts w:ascii="Times New Roman" w:eastAsia="Times New Roman" w:hAnsi="Times New Roman" w:cs="Times New Roman"/>
            <w:i/>
            <w:iCs/>
            <w:color w:val="0000FF"/>
            <w:spacing w:val="4"/>
            <w:sz w:val="27"/>
            <w:szCs w:val="27"/>
            <w:u w:val="single"/>
            <w:lang w:eastAsia="ru-RU"/>
          </w:rPr>
          <w:t>A01AB12</w:t>
        </w:r>
      </w:hyperlink>
      <w:r w:rsidRPr="00E51ED1">
        <w:rPr>
          <w:rFonts w:ascii="Times New Roman" w:eastAsia="Times New Roman" w:hAnsi="Times New Roman" w:cs="Times New Roman"/>
          <w:i/>
          <w:iCs/>
          <w:color w:val="333333"/>
          <w:spacing w:val="4"/>
          <w:sz w:val="27"/>
          <w:szCs w:val="27"/>
          <w:lang w:eastAsia="ru-RU"/>
        </w:rPr>
        <w:t>), Калия перманганат** (АТХ: </w:t>
      </w:r>
      <w:hyperlink r:id="rId18" w:history="1">
        <w:r w:rsidRPr="00E51ED1">
          <w:rPr>
            <w:rFonts w:ascii="Times New Roman" w:eastAsia="Times New Roman" w:hAnsi="Times New Roman" w:cs="Times New Roman"/>
            <w:i/>
            <w:iCs/>
            <w:color w:val="0000FF"/>
            <w:spacing w:val="4"/>
            <w:sz w:val="27"/>
            <w:szCs w:val="27"/>
            <w:u w:val="single"/>
            <w:lang w:eastAsia="ru-RU"/>
          </w:rPr>
          <w:t>D08AX06</w:t>
        </w:r>
      </w:hyperlink>
      <w:r w:rsidRPr="00E51ED1">
        <w:rPr>
          <w:rFonts w:ascii="Times New Roman" w:eastAsia="Times New Roman" w:hAnsi="Times New Roman" w:cs="Times New Roman"/>
          <w:i/>
          <w:iCs/>
          <w:color w:val="333333"/>
          <w:spacing w:val="4"/>
          <w:sz w:val="27"/>
          <w:szCs w:val="27"/>
          <w:lang w:eastAsia="ru-RU"/>
        </w:rPr>
        <w:t>), Гидроксиметилхиноксалиндиоксид 0.5 % раствор (АТХ: </w:t>
      </w:r>
      <w:hyperlink r:id="rId19" w:history="1">
        <w:r w:rsidRPr="00E51ED1">
          <w:rPr>
            <w:rFonts w:ascii="Times New Roman" w:eastAsia="Times New Roman" w:hAnsi="Times New Roman" w:cs="Times New Roman"/>
            <w:i/>
            <w:iCs/>
            <w:color w:val="0000FF"/>
            <w:spacing w:val="4"/>
            <w:sz w:val="27"/>
            <w:szCs w:val="27"/>
            <w:u w:val="single"/>
            <w:lang w:eastAsia="ru-RU"/>
          </w:rPr>
          <w:t>J01XX</w:t>
        </w:r>
      </w:hyperlink>
      <w:r w:rsidRPr="00E51ED1">
        <w:rPr>
          <w:rFonts w:ascii="Times New Roman" w:eastAsia="Times New Roman" w:hAnsi="Times New Roman" w:cs="Times New Roman"/>
          <w:i/>
          <w:iCs/>
          <w:color w:val="333333"/>
          <w:spacing w:val="4"/>
          <w:sz w:val="27"/>
          <w:szCs w:val="27"/>
          <w:lang w:eastAsia="ru-RU"/>
        </w:rPr>
        <w:t>), Повидон-йод** в виде раствора 10 % (АТХ: </w:t>
      </w:r>
      <w:hyperlink r:id="rId20" w:history="1">
        <w:r w:rsidRPr="00E51ED1">
          <w:rPr>
            <w:rFonts w:ascii="Times New Roman" w:eastAsia="Times New Roman" w:hAnsi="Times New Roman" w:cs="Times New Roman"/>
            <w:i/>
            <w:iCs/>
            <w:color w:val="0000FF"/>
            <w:spacing w:val="4"/>
            <w:sz w:val="27"/>
            <w:szCs w:val="27"/>
            <w:u w:val="single"/>
            <w:lang w:eastAsia="ru-RU"/>
          </w:rPr>
          <w:t>D08AG02</w:t>
        </w:r>
      </w:hyperlink>
      <w:r w:rsidRPr="00E51ED1">
        <w:rPr>
          <w:rFonts w:ascii="Times New Roman" w:eastAsia="Times New Roman" w:hAnsi="Times New Roman" w:cs="Times New Roman"/>
          <w:i/>
          <w:iCs/>
          <w:color w:val="333333"/>
          <w:spacing w:val="4"/>
          <w:sz w:val="27"/>
          <w:szCs w:val="27"/>
          <w:lang w:eastAsia="ru-RU"/>
        </w:rPr>
        <w:t>) в разведении в 10 или 100 раз.</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lastRenderedPageBreak/>
        <w:t>Показано назначение внутриротовых тепловых процедуры, начиная со 2-го дня лечения - ротовые «ванночки» 1-2 % раствором Натрия гидрокарбоната (АТХ: </w:t>
      </w:r>
      <w:hyperlink r:id="rId21" w:history="1">
        <w:r w:rsidRPr="00E51ED1">
          <w:rPr>
            <w:rFonts w:ascii="Times New Roman" w:eastAsia="Times New Roman" w:hAnsi="Times New Roman" w:cs="Times New Roman"/>
            <w:i/>
            <w:iCs/>
            <w:color w:val="0000FF"/>
            <w:spacing w:val="4"/>
            <w:sz w:val="27"/>
            <w:szCs w:val="27"/>
            <w:u w:val="single"/>
            <w:lang w:eastAsia="ru-RU"/>
          </w:rPr>
          <w:t>B05CB04</w:t>
        </w:r>
      </w:hyperlink>
      <w:r w:rsidRPr="00E51ED1">
        <w:rPr>
          <w:rFonts w:ascii="Times New Roman" w:eastAsia="Times New Roman" w:hAnsi="Times New Roman" w:cs="Times New Roman"/>
          <w:i/>
          <w:iCs/>
          <w:color w:val="333333"/>
          <w:spacing w:val="4"/>
          <w:sz w:val="27"/>
          <w:szCs w:val="27"/>
          <w:lang w:eastAsia="ru-RU"/>
        </w:rPr>
        <w:t>), затем – антисептические средства: хлорсодержащие детергенты (Хлоргексидин** 0,05 – 0,2 % (АТХ: D08AC02), и Гексэтидин (АТХ: </w:t>
      </w:r>
      <w:hyperlink r:id="rId22" w:history="1">
        <w:r w:rsidRPr="00E51ED1">
          <w:rPr>
            <w:rFonts w:ascii="Times New Roman" w:eastAsia="Times New Roman" w:hAnsi="Times New Roman" w:cs="Times New Roman"/>
            <w:i/>
            <w:iCs/>
            <w:color w:val="0000FF"/>
            <w:spacing w:val="4"/>
            <w:sz w:val="27"/>
            <w:szCs w:val="27"/>
            <w:u w:val="single"/>
            <w:lang w:eastAsia="ru-RU"/>
          </w:rPr>
          <w:t>A01AB12</w:t>
        </w:r>
      </w:hyperlink>
      <w:r w:rsidRPr="00E51ED1">
        <w:rPr>
          <w:rFonts w:ascii="Times New Roman" w:eastAsia="Times New Roman" w:hAnsi="Times New Roman" w:cs="Times New Roman"/>
          <w:i/>
          <w:iCs/>
          <w:color w:val="333333"/>
          <w:spacing w:val="4"/>
          <w:sz w:val="27"/>
          <w:szCs w:val="27"/>
          <w:lang w:eastAsia="ru-RU"/>
        </w:rPr>
        <w:t>) 0,2 %, и хлорсодержащие фенолы: Бензилдиметил-миристоиламино-пропиламмоний, Нитрофурал в разведении 1:5000 (АТХ: D08AF01) по несколько раз в сутки, а также Натрия дезоксирибонуклеат</w:t>
      </w: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0,25 % раствор (АТХ: </w:t>
      </w:r>
      <w:hyperlink r:id="rId23" w:history="1">
        <w:r w:rsidRPr="00E51ED1">
          <w:rPr>
            <w:rFonts w:ascii="Times New Roman" w:eastAsia="Times New Roman" w:hAnsi="Times New Roman" w:cs="Times New Roman"/>
            <w:i/>
            <w:iCs/>
            <w:color w:val="0000FF"/>
            <w:spacing w:val="4"/>
            <w:sz w:val="27"/>
            <w:szCs w:val="27"/>
            <w:u w:val="single"/>
            <w:lang w:eastAsia="ru-RU"/>
          </w:rPr>
          <w:t>L03AX</w:t>
        </w:r>
      </w:hyperlink>
      <w:r w:rsidRPr="00E51ED1">
        <w:rPr>
          <w:rFonts w:ascii="Times New Roman" w:eastAsia="Times New Roman" w:hAnsi="Times New Roman" w:cs="Times New Roman"/>
          <w:i/>
          <w:iCs/>
          <w:color w:val="333333"/>
          <w:spacing w:val="4"/>
          <w:sz w:val="27"/>
          <w:szCs w:val="27"/>
          <w:lang w:eastAsia="ru-RU"/>
        </w:rPr>
        <w:t>) для оптимизации репарации тканей [4, 73].</w:t>
      </w:r>
    </w:p>
    <w:p w:rsidR="00E51ED1" w:rsidRPr="00E51ED1" w:rsidRDefault="00E51ED1" w:rsidP="00E51ED1">
      <w:pPr>
        <w:numPr>
          <w:ilvl w:val="0"/>
          <w:numId w:val="3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w:t>
      </w:r>
      <w:r w:rsidRPr="00E51ED1">
        <w:rPr>
          <w:rFonts w:ascii="Times New Roman" w:eastAsia="Times New Roman" w:hAnsi="Times New Roman" w:cs="Times New Roman"/>
          <w:color w:val="222222"/>
          <w:spacing w:val="4"/>
          <w:sz w:val="27"/>
          <w:szCs w:val="27"/>
          <w:lang w:eastAsia="ru-RU"/>
        </w:rPr>
        <w:t> в 2 периоде I фазы раневого процесса воспаления при дренировании «очага» гнойного воспаления наружным доступом применять антибактериальные препараты и противомикробные препараты для лечения заболеваний кожи; Комбинация антибиотиков с противомикробными препаратами (АТХ: D06C) в соответствии с инструкцией фармакологического препарата [56].</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w:t>
      </w:r>
      <w:r w:rsidRPr="00E51ED1">
        <w:rPr>
          <w:rFonts w:ascii="Times New Roman" w:eastAsia="Times New Roman" w:hAnsi="Times New Roman" w:cs="Times New Roman"/>
          <w:b/>
          <w:bCs/>
          <w:i/>
          <w:iCs/>
          <w:color w:val="333333"/>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при назначении препаратов для местного применения</w:t>
      </w:r>
      <w:r w:rsidRPr="00E51ED1">
        <w:rPr>
          <w:rFonts w:ascii="Times New Roman" w:eastAsia="Times New Roman" w:hAnsi="Times New Roman" w:cs="Times New Roman"/>
          <w:b/>
          <w:bCs/>
          <w:i/>
          <w:iCs/>
          <w:color w:val="333333"/>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в 2 периоде I фазы раневого процесса воспаления при дренировании «очага» гнойного воспаления наружным доступом широкое применение получили мази, в состав которых входят антибактериальные препараты (например, мазь Диоксометилтетрагидропиримидин (метилурацил) + хлорамфеникол, АТХ: D06C), кроме того, они обладают малой токсичностью и выраженными осмотическими свойствами, что позволяет проводить перевязки 1 раз в сутки [27, 50].</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Во II фазе раневого процесса - фазе регенерации, происходит образование и созревание грануляционной ткани. Этот период характеризуется появлением в ране островков грануляционной ткани, которая, развиваясь, покрывает полностью раневую поверхность. Здоровая грануляционная ткань всегда яркая, сочная, легко кровоточит. При малейшем ухудшении процессов биосинтеза в ране изменяется внешний вид грануляций: они теряют яркую окраску, они становятся мелкими, покрываются слизистым налётом. Всякое замедление развития грануляций ведёт к задержке и остановке процесса эпителизации. В этот период раневого процесса необходимость в дренировании отсутствует.</w:t>
      </w:r>
    </w:p>
    <w:p w:rsidR="00E51ED1" w:rsidRPr="00E51ED1" w:rsidRDefault="00E51ED1" w:rsidP="00E51ED1">
      <w:pPr>
        <w:numPr>
          <w:ilvl w:val="0"/>
          <w:numId w:val="4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w:t>
      </w:r>
      <w:r w:rsidRPr="00E51ED1">
        <w:rPr>
          <w:rFonts w:ascii="Times New Roman" w:eastAsia="Times New Roman" w:hAnsi="Times New Roman" w:cs="Times New Roman"/>
          <w:color w:val="222222"/>
          <w:spacing w:val="4"/>
          <w:sz w:val="27"/>
          <w:szCs w:val="27"/>
          <w:lang w:eastAsia="ru-RU"/>
        </w:rPr>
        <w:t xml:space="preserve"> во II фазе раневого процесса - фазе регенерации применять лекарственные средства, оптимизирующие репаративные процессы в ране из группы Регенеранты и репаранты в комбинациях (например, </w:t>
      </w:r>
      <w:r w:rsidRPr="00E51ED1">
        <w:rPr>
          <w:rFonts w:ascii="Times New Roman" w:eastAsia="Times New Roman" w:hAnsi="Times New Roman" w:cs="Times New Roman"/>
          <w:color w:val="222222"/>
          <w:spacing w:val="4"/>
          <w:sz w:val="27"/>
          <w:szCs w:val="27"/>
          <w:lang w:eastAsia="ru-RU"/>
        </w:rPr>
        <w:lastRenderedPageBreak/>
        <w:t>комбинированный препарат - Декспантенол + Хлоргексидин (АТХ: D08AC52</w:t>
      </w:r>
      <w:r w:rsidRPr="00E51ED1">
        <w:rPr>
          <w:rFonts w:ascii="Times New Roman" w:eastAsia="Times New Roman" w:hAnsi="Times New Roman" w:cs="Times New Roman"/>
          <w:b/>
          <w:bCs/>
          <w:color w:val="222222"/>
          <w:spacing w:val="4"/>
          <w:sz w:val="27"/>
          <w:szCs w:val="27"/>
          <w:lang w:eastAsia="ru-RU"/>
        </w:rPr>
        <w:t> -</w:t>
      </w:r>
      <w:r w:rsidRPr="00E51ED1">
        <w:rPr>
          <w:rFonts w:ascii="Times New Roman" w:eastAsia="Times New Roman" w:hAnsi="Times New Roman" w:cs="Times New Roman"/>
          <w:color w:val="222222"/>
          <w:spacing w:val="4"/>
          <w:sz w:val="27"/>
          <w:szCs w:val="27"/>
          <w:lang w:eastAsia="ru-RU"/>
        </w:rPr>
        <w:t> Хлоргексидин в комбинации с другими средствами)) и предупреждающие развитие вторичной инфекции в соответствии с инструкцией фармакологического препарата [56].</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w:t>
      </w:r>
      <w:r w:rsidRPr="00E51ED1">
        <w:rPr>
          <w:rFonts w:ascii="Times New Roman" w:eastAsia="Times New Roman" w:hAnsi="Times New Roman" w:cs="Times New Roman"/>
          <w:b/>
          <w:bCs/>
          <w:i/>
          <w:iCs/>
          <w:color w:val="333333"/>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в фазе регенерации необходимо применять лекарственные средства с определенным противовоспалительным эффектом, так как продолжается борьба с инфекцией, необходимо улучшать микроциркуляцию тканей, клеточный и тканевой обмен, тем самым способствуя росту грануляций и скорейшей эпителизации раны. Для предотвращения вторичного инфицирования показано</w:t>
      </w: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применение ранозаживляющих и антибактериальных мазей на водорастворимой основе. К таким препаратам относят: стимуляторы репарации тканей растительного происхождения облепихи масло (АТХ: D11A), ТН Комбутек-2 (АТХ: D08AF), Гидрокортизон + Окситетрациклин (АТХ:  D07CA01 - Гидрокортизон в комбинации с антибиотиками), Диоксометилтетрагидропиримидин (АТХ: </w:t>
      </w:r>
      <w:hyperlink r:id="rId24" w:history="1">
        <w:r w:rsidRPr="00E51ED1">
          <w:rPr>
            <w:rFonts w:ascii="Times New Roman" w:eastAsia="Times New Roman" w:hAnsi="Times New Roman" w:cs="Times New Roman"/>
            <w:i/>
            <w:iCs/>
            <w:color w:val="0000FF"/>
            <w:spacing w:val="4"/>
            <w:sz w:val="27"/>
            <w:szCs w:val="27"/>
            <w:u w:val="single"/>
            <w:lang w:eastAsia="ru-RU"/>
          </w:rPr>
          <w:t>L03AX</w:t>
        </w:r>
      </w:hyperlink>
      <w:r w:rsidRPr="00E51ED1">
        <w:rPr>
          <w:rFonts w:ascii="Times New Roman" w:eastAsia="Times New Roman" w:hAnsi="Times New Roman" w:cs="Times New Roman"/>
          <w:i/>
          <w:iCs/>
          <w:color w:val="333333"/>
          <w:spacing w:val="4"/>
          <w:sz w:val="27"/>
          <w:szCs w:val="27"/>
          <w:lang w:eastAsia="ru-RU"/>
        </w:rPr>
        <w:t>), Повидон-йод** в виде мази 10 % (АТХ: </w:t>
      </w:r>
      <w:hyperlink r:id="rId25" w:history="1">
        <w:r w:rsidRPr="00E51ED1">
          <w:rPr>
            <w:rFonts w:ascii="Times New Roman" w:eastAsia="Times New Roman" w:hAnsi="Times New Roman" w:cs="Times New Roman"/>
            <w:i/>
            <w:iCs/>
            <w:color w:val="0000FF"/>
            <w:spacing w:val="4"/>
            <w:sz w:val="27"/>
            <w:szCs w:val="27"/>
            <w:u w:val="single"/>
            <w:lang w:eastAsia="ru-RU"/>
          </w:rPr>
          <w:t>D08AG02 Повидон-йод</w:t>
        </w:r>
      </w:hyperlink>
      <w:r w:rsidRPr="00E51ED1">
        <w:rPr>
          <w:rFonts w:ascii="Times New Roman" w:eastAsia="Times New Roman" w:hAnsi="Times New Roman" w:cs="Times New Roman"/>
          <w:i/>
          <w:iCs/>
          <w:color w:val="333333"/>
          <w:spacing w:val="4"/>
          <w:sz w:val="27"/>
          <w:szCs w:val="27"/>
          <w:lang w:eastAsia="ru-RU"/>
        </w:rPr>
        <w:t>), мази, содержащие серебро, например, мазь Сульфадиазин, </w:t>
      </w:r>
      <w:hyperlink r:id="rId26" w:history="1">
        <w:r w:rsidRPr="00E51ED1">
          <w:rPr>
            <w:rFonts w:ascii="Times New Roman" w:eastAsia="Times New Roman" w:hAnsi="Times New Roman" w:cs="Times New Roman"/>
            <w:i/>
            <w:iCs/>
            <w:color w:val="0000FF"/>
            <w:spacing w:val="4"/>
            <w:sz w:val="27"/>
            <w:szCs w:val="27"/>
            <w:u w:val="single"/>
            <w:lang w:eastAsia="ru-RU"/>
          </w:rPr>
          <w:t>стимулятор</w:t>
        </w:r>
      </w:hyperlink>
      <w:r w:rsidRPr="00E51ED1">
        <w:rPr>
          <w:rFonts w:ascii="Times New Roman" w:eastAsia="Times New Roman" w:hAnsi="Times New Roman" w:cs="Times New Roman"/>
          <w:i/>
          <w:iCs/>
          <w:color w:val="333333"/>
          <w:spacing w:val="4"/>
          <w:sz w:val="27"/>
          <w:szCs w:val="27"/>
          <w:lang w:eastAsia="ru-RU"/>
        </w:rPr>
        <w:t>ы регенерации тканей для наружного применения, обладающие противомикробным, противовоспалительным действием, и, параллельно улучшающие регенерацию тканей, например, мазь Диэтилбензимидазолия трийодид (АТХ: </w:t>
      </w:r>
      <w:hyperlink r:id="rId27" w:history="1">
        <w:r w:rsidRPr="00E51ED1">
          <w:rPr>
            <w:rFonts w:ascii="Times New Roman" w:eastAsia="Times New Roman" w:hAnsi="Times New Roman" w:cs="Times New Roman"/>
            <w:i/>
            <w:iCs/>
            <w:color w:val="0000FF"/>
            <w:spacing w:val="4"/>
            <w:sz w:val="27"/>
            <w:szCs w:val="27"/>
            <w:u w:val="single"/>
            <w:lang w:eastAsia="ru-RU"/>
          </w:rPr>
          <w:t>D08AG</w:t>
        </w:r>
      </w:hyperlink>
      <w:r w:rsidRPr="00E51ED1">
        <w:rPr>
          <w:rFonts w:ascii="Times New Roman" w:eastAsia="Times New Roman" w:hAnsi="Times New Roman" w:cs="Times New Roman"/>
          <w:i/>
          <w:iCs/>
          <w:color w:val="333333"/>
          <w:spacing w:val="4"/>
          <w:sz w:val="27"/>
          <w:szCs w:val="27"/>
          <w:lang w:eastAsia="ru-RU"/>
        </w:rPr>
        <w:t>) и другие средства [56, 73]. В последнее время получило развитие новое направление в совершенствовании местного лечения – разработка носителей лекарственных средств с иммобилизованными на них лекарственными препаратами [117, 118].</w:t>
      </w:r>
    </w:p>
    <w:p w:rsidR="00E51ED1" w:rsidRPr="00E51ED1" w:rsidRDefault="00E51ED1" w:rsidP="00E51ED1">
      <w:pPr>
        <w:numPr>
          <w:ilvl w:val="0"/>
          <w:numId w:val="4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w:t>
      </w:r>
      <w:r w:rsidRPr="00E51ED1">
        <w:rPr>
          <w:rFonts w:ascii="Times New Roman" w:eastAsia="Times New Roman" w:hAnsi="Times New Roman" w:cs="Times New Roman"/>
          <w:color w:val="222222"/>
          <w:spacing w:val="4"/>
          <w:sz w:val="27"/>
          <w:szCs w:val="27"/>
          <w:lang w:eastAsia="ru-RU"/>
        </w:rPr>
        <w:t> в</w:t>
      </w:r>
      <w:r w:rsidRPr="00E51ED1">
        <w:rPr>
          <w:rFonts w:ascii="Times New Roman" w:eastAsia="Times New Roman" w:hAnsi="Times New Roman" w:cs="Times New Roman"/>
          <w:i/>
          <w:iCs/>
          <w:color w:val="333333"/>
          <w:spacing w:val="4"/>
          <w:sz w:val="27"/>
          <w:szCs w:val="27"/>
          <w:lang w:eastAsia="ru-RU"/>
        </w:rPr>
        <w:t> </w:t>
      </w:r>
      <w:r w:rsidRPr="00E51ED1">
        <w:rPr>
          <w:rFonts w:ascii="Times New Roman" w:eastAsia="Times New Roman" w:hAnsi="Times New Roman" w:cs="Times New Roman"/>
          <w:color w:val="222222"/>
          <w:spacing w:val="4"/>
          <w:sz w:val="27"/>
          <w:szCs w:val="27"/>
          <w:lang w:eastAsia="ru-RU"/>
        </w:rPr>
        <w:t>третьей фазе раневого процесса</w:t>
      </w:r>
      <w:r w:rsidRPr="00E51ED1">
        <w:rPr>
          <w:rFonts w:ascii="Times New Roman" w:eastAsia="Times New Roman" w:hAnsi="Times New Roman" w:cs="Times New Roman"/>
          <w:i/>
          <w:iCs/>
          <w:color w:val="333333"/>
          <w:spacing w:val="4"/>
          <w:sz w:val="27"/>
          <w:szCs w:val="27"/>
          <w:lang w:eastAsia="ru-RU"/>
        </w:rPr>
        <w:t> </w:t>
      </w:r>
      <w:r w:rsidRPr="00E51ED1">
        <w:rPr>
          <w:rFonts w:ascii="Times New Roman" w:eastAsia="Times New Roman" w:hAnsi="Times New Roman" w:cs="Times New Roman"/>
          <w:color w:val="222222"/>
          <w:spacing w:val="4"/>
          <w:sz w:val="27"/>
          <w:szCs w:val="27"/>
          <w:lang w:eastAsia="ru-RU"/>
        </w:rPr>
        <w:t>продолжать использовать лекарственные средства, являющиеся стимуляторами репарации тканей, например, Гидроксиметилхиноксалиндиоксид + Биен (АТХ: D11AX) в соответствии с инструкцией фармакологического препарата [56].</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w:t>
      </w:r>
      <w:r w:rsidRPr="00E51ED1">
        <w:rPr>
          <w:rFonts w:ascii="Times New Roman" w:eastAsia="Times New Roman" w:hAnsi="Times New Roman" w:cs="Times New Roman"/>
          <w:b/>
          <w:bCs/>
          <w:i/>
          <w:iCs/>
          <w:color w:val="333333"/>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 xml:space="preserve">III фаза раневого процесса - фаза реорганизации рубца и эпителизации. Основной задачей лечения больных в 3 фазе является нормализация репаративных процессов и эпителизации и защита раны от механических повреждений. В связи с чем показано применение препаратов с низкой осмотической активностью: ТН Солкосерил дентальная адгезивная </w:t>
      </w:r>
      <w:r w:rsidRPr="00E51ED1">
        <w:rPr>
          <w:rFonts w:ascii="Times New Roman" w:eastAsia="Times New Roman" w:hAnsi="Times New Roman" w:cs="Times New Roman"/>
          <w:i/>
          <w:iCs/>
          <w:color w:val="333333"/>
          <w:spacing w:val="4"/>
          <w:sz w:val="27"/>
          <w:szCs w:val="27"/>
          <w:lang w:eastAsia="ru-RU"/>
        </w:rPr>
        <w:lastRenderedPageBreak/>
        <w:t>паста, Диоксометилтетрагидропиримидин (АТХ: </w:t>
      </w:r>
      <w:hyperlink r:id="rId28" w:history="1">
        <w:r w:rsidRPr="00E51ED1">
          <w:rPr>
            <w:rFonts w:ascii="Times New Roman" w:eastAsia="Times New Roman" w:hAnsi="Times New Roman" w:cs="Times New Roman"/>
            <w:i/>
            <w:iCs/>
            <w:color w:val="0000FF"/>
            <w:spacing w:val="4"/>
            <w:sz w:val="27"/>
            <w:szCs w:val="27"/>
            <w:u w:val="single"/>
            <w:lang w:eastAsia="ru-RU"/>
          </w:rPr>
          <w:t>L03AX</w:t>
        </w:r>
      </w:hyperlink>
      <w:r w:rsidRPr="00E51ED1">
        <w:rPr>
          <w:rFonts w:ascii="Times New Roman" w:eastAsia="Times New Roman" w:hAnsi="Times New Roman" w:cs="Times New Roman"/>
          <w:i/>
          <w:iCs/>
          <w:color w:val="333333"/>
          <w:spacing w:val="4"/>
          <w:sz w:val="27"/>
          <w:szCs w:val="27"/>
          <w:lang w:eastAsia="ru-RU"/>
        </w:rPr>
        <w:t>),облепихи масло (АТХ: D11A), а также прочие препараты, применяемые в дерматологии (АТХ: D11AX).</w:t>
      </w:r>
    </w:p>
    <w:p w:rsidR="00E51ED1" w:rsidRPr="00E51ED1" w:rsidRDefault="00E51ED1" w:rsidP="00E51ED1">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E51ED1">
        <w:rPr>
          <w:rFonts w:ascii="Times New Roman" w:eastAsia="Times New Roman" w:hAnsi="Times New Roman" w:cs="Times New Roman"/>
          <w:b/>
          <w:bCs/>
          <w:color w:val="000000"/>
          <w:spacing w:val="4"/>
          <w:kern w:val="36"/>
          <w:sz w:val="48"/>
          <w:szCs w:val="48"/>
          <w:lang w:eastAsia="ru-RU"/>
        </w:rPr>
        <w:t>3.2 Консервативное лечение</w:t>
      </w:r>
    </w:p>
    <w:p w:rsidR="00E51ED1" w:rsidRPr="00E51ED1" w:rsidRDefault="00E51ED1" w:rsidP="00E51ED1">
      <w:pPr>
        <w:numPr>
          <w:ilvl w:val="0"/>
          <w:numId w:val="4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Рекомендовано </w:t>
      </w:r>
      <w:r w:rsidRPr="00E51ED1">
        <w:rPr>
          <w:rFonts w:ascii="Times New Roman" w:eastAsia="Times New Roman" w:hAnsi="Times New Roman" w:cs="Times New Roman"/>
          <w:color w:val="222222"/>
          <w:spacing w:val="4"/>
          <w:sz w:val="27"/>
          <w:szCs w:val="27"/>
          <w:lang w:eastAsia="ru-RU"/>
        </w:rPr>
        <w:t>проведение рациональной антибактериальной терапии в составе комплексного многокомпонентного протокола лечения пациентов с одонтогенными воспалительными заболеваниями челюстей с целью этиотропного воздействия на возбудителей заболевания в соответствии с инструкцией фармакологического препарата [7, 9, 10, 21, 30, 41, 43, 46, 48, 51, 59, 61, 62, 63, 64, 65, 66, 68, 74, 75, 83, 84, 98, 99, 100, 101, 102,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 </w:t>
      </w:r>
      <w:r w:rsidRPr="00E51ED1">
        <w:rPr>
          <w:rFonts w:ascii="Times New Roman" w:eastAsia="Times New Roman" w:hAnsi="Times New Roman" w:cs="Times New Roman"/>
          <w:i/>
          <w:iCs/>
          <w:color w:val="333333"/>
          <w:spacing w:val="4"/>
          <w:sz w:val="27"/>
          <w:szCs w:val="27"/>
          <w:lang w:eastAsia="ru-RU"/>
        </w:rPr>
        <w:t>один из важнейших принципов антибиотикотерапии – проведение её по строгим показаниям после установления точного диагноза и выявления этиологического фактора заболевания. Шаблонное, рутинное применение антибиотиков недопустимо.</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Рациональная антибиотикотерапия возможна только тогда, когда выбор препарата базируется на идентификации возбудителя и выяснении чувствительности к нему микробиоты по данным антибиотикограммы и знании фармакодинамики и фармакокинетики препарата, а также клинической картины течения заболевания. Эмпирическую антибиотикотерапию начинают с первых часов пребывания в челюстно-лицевом стационаре, ещё до получения результатов антибиотикограммы. Эмпирически назначают противомикробные препараты системного использования широкого спектра действия. После определения вида и чувствительности данного штамма проводят окончательную коррекцию антибактериальной терапии и переходят на целенаправленную схему АБТ. Эффективность антибактериальной терапии следует оценивать через 2-3 дня от момента назначения препарата при обязательном микробиологическом контроле в динамике. Необходимо учитывать, что микробиота в процессе развития заболевания и вследствие проводимой эмпирической антибактериальной терапии может меняться, что определяет необходимость коррекции лечения в соответствии с результатами бактериологических исследований гнойного отделяемого из раны пациентов в динамике [5, 21, 48, 60, 72, 78, 103].</w:t>
      </w:r>
    </w:p>
    <w:p w:rsidR="00E51ED1" w:rsidRPr="00E51ED1" w:rsidRDefault="00E51ED1" w:rsidP="00E51ED1">
      <w:pPr>
        <w:numPr>
          <w:ilvl w:val="0"/>
          <w:numId w:val="4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lastRenderedPageBreak/>
        <w:t>Рекомендовано</w:t>
      </w:r>
      <w:r w:rsidRPr="00E51ED1">
        <w:rPr>
          <w:rFonts w:ascii="Times New Roman" w:eastAsia="Times New Roman" w:hAnsi="Times New Roman" w:cs="Times New Roman"/>
          <w:b/>
          <w:bCs/>
          <w:i/>
          <w:iCs/>
          <w:color w:val="333333"/>
          <w:spacing w:val="4"/>
          <w:sz w:val="27"/>
          <w:szCs w:val="27"/>
          <w:lang w:eastAsia="ru-RU"/>
        </w:rPr>
        <w:t> </w:t>
      </w:r>
      <w:r w:rsidRPr="00E51ED1">
        <w:rPr>
          <w:rFonts w:ascii="Times New Roman" w:eastAsia="Times New Roman" w:hAnsi="Times New Roman" w:cs="Times New Roman"/>
          <w:color w:val="222222"/>
          <w:spacing w:val="4"/>
          <w:sz w:val="27"/>
          <w:szCs w:val="27"/>
          <w:lang w:eastAsia="ru-RU"/>
        </w:rPr>
        <w:t>соблюдение рекомендаций «СКАТ» при назначении антибактериальной терапии в составе комплексного многокомпонентного протокола лечения пациентов с одонтогенными воспалительными заболеваниями челюстей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w:t>
      </w:r>
      <w:r w:rsidRPr="00E51ED1">
        <w:rPr>
          <w:rFonts w:ascii="Times New Roman" w:eastAsia="Times New Roman" w:hAnsi="Times New Roman" w:cs="Times New Roman"/>
          <w:i/>
          <w:iCs/>
          <w:color w:val="333333"/>
          <w:spacing w:val="4"/>
          <w:sz w:val="27"/>
          <w:szCs w:val="27"/>
          <w:lang w:eastAsia="ru-RU"/>
        </w:rPr>
        <w:t> программа СКАТ (Стратегия Контроля Антимикробной Терапии при оказании стационарной медицинской помощи, 2018) является стандартом при назначении Антибиотикотерапии при выполнении хирургических вмешательствах. Клинические рекомендации </w:t>
      </w:r>
      <w:r w:rsidRPr="00E51ED1">
        <w:rPr>
          <w:rFonts w:ascii="Times New Roman" w:eastAsia="Times New Roman" w:hAnsi="Times New Roman" w:cs="Times New Roman"/>
          <w:b/>
          <w:bCs/>
          <w:i/>
          <w:iCs/>
          <w:color w:val="333333"/>
          <w:spacing w:val="4"/>
          <w:sz w:val="27"/>
          <w:szCs w:val="27"/>
          <w:lang w:eastAsia="ru-RU"/>
        </w:rPr>
        <w:t>«</w:t>
      </w:r>
      <w:r w:rsidRPr="00E51ED1">
        <w:rPr>
          <w:rFonts w:ascii="Times New Roman" w:eastAsia="Times New Roman" w:hAnsi="Times New Roman" w:cs="Times New Roman"/>
          <w:i/>
          <w:iCs/>
          <w:color w:val="333333"/>
          <w:spacing w:val="4"/>
          <w:sz w:val="27"/>
          <w:szCs w:val="27"/>
          <w:lang w:eastAsia="ru-RU"/>
        </w:rPr>
        <w:t>Альянса клинических химиотерапевтов и микробиологов</w:t>
      </w:r>
      <w:r w:rsidRPr="00E51ED1">
        <w:rPr>
          <w:rFonts w:ascii="Times New Roman" w:eastAsia="Times New Roman" w:hAnsi="Times New Roman" w:cs="Times New Roman"/>
          <w:b/>
          <w:bCs/>
          <w:i/>
          <w:iCs/>
          <w:color w:val="333333"/>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«СКАТ» ежегодно пересматриваются [48, 103]. На их основе разрабатываются локальные формуляры назначения антибактериальных препаратов для конкретных учреждений практического здравоохранения при различных нозологических формах гнойно-воспалительных процессов (локальные приказы главного врача медицинского учреждения), которые также должны пересматриваться ежегодно, в основе которых заложены результаты анализа ежегодного мониторинга состава микробиоты и её резистентности к используемым антибактериальным препаратам в данном конкретном отделении [21, 48, 103].</w:t>
      </w:r>
    </w:p>
    <w:p w:rsidR="00E51ED1" w:rsidRPr="00E51ED1" w:rsidRDefault="00E51ED1" w:rsidP="00E51ED1">
      <w:pPr>
        <w:numPr>
          <w:ilvl w:val="0"/>
          <w:numId w:val="4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Рекомендовано</w:t>
      </w:r>
      <w:r w:rsidRPr="00E51ED1">
        <w:rPr>
          <w:rFonts w:ascii="Times New Roman" w:eastAsia="Times New Roman" w:hAnsi="Times New Roman" w:cs="Times New Roman"/>
          <w:color w:val="222222"/>
          <w:spacing w:val="4"/>
          <w:sz w:val="27"/>
          <w:szCs w:val="27"/>
          <w:lang w:eastAsia="ru-RU"/>
        </w:rPr>
        <w:t> начинать проведение эмпирической</w:t>
      </w:r>
      <w:r w:rsidRPr="00E51ED1">
        <w:rPr>
          <w:rFonts w:ascii="Times New Roman" w:eastAsia="Times New Roman" w:hAnsi="Times New Roman" w:cs="Times New Roman"/>
          <w:b/>
          <w:bCs/>
          <w:color w:val="222222"/>
          <w:spacing w:val="4"/>
          <w:sz w:val="27"/>
          <w:szCs w:val="27"/>
          <w:lang w:eastAsia="ru-RU"/>
        </w:rPr>
        <w:t> </w:t>
      </w:r>
      <w:r w:rsidRPr="00E51ED1">
        <w:rPr>
          <w:rFonts w:ascii="Times New Roman" w:eastAsia="Times New Roman" w:hAnsi="Times New Roman" w:cs="Times New Roman"/>
          <w:color w:val="222222"/>
          <w:spacing w:val="4"/>
          <w:sz w:val="27"/>
          <w:szCs w:val="27"/>
          <w:lang w:eastAsia="ru-RU"/>
        </w:rPr>
        <w:t>антибактериальной терапии (АБТ) антибактериальными препаратами для системного применения (АТХ код J01), которая основывается на предположении о наиболее вероятном возбудителе, после дренирования очага гнойного воспаления, в соответствии с инструкцией фармакологического препарата. При этом необходимо при дренировании очага гнойного воспаления в челюсти в обязательном порядке направлять материал на микробиологическое (бактериологическое) исследование для определения возбудителей, вызвавших гнойный воспалительный процесс с целью определения видового состава микробиоты и её чувствительности к антибиотикам и антисептикам [21,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w:t>
      </w:r>
      <w:r w:rsidRPr="00E51ED1">
        <w:rPr>
          <w:rFonts w:ascii="Times New Roman" w:eastAsia="Times New Roman" w:hAnsi="Times New Roman" w:cs="Times New Roman"/>
          <w:i/>
          <w:iCs/>
          <w:color w:val="333333"/>
          <w:spacing w:val="4"/>
          <w:sz w:val="27"/>
          <w:szCs w:val="27"/>
          <w:lang w:eastAsia="ru-RU"/>
        </w:rPr>
        <w:t xml:space="preserve"> результаты бактериологического исследования следует интерпретировать в соответствие с принципами, изложенными в документах Европейского комитета по определению чувствительности к антимикробным препаратам (European Committee on Antimicrobial </w:t>
      </w:r>
      <w:r w:rsidRPr="00E51ED1">
        <w:rPr>
          <w:rFonts w:ascii="Times New Roman" w:eastAsia="Times New Roman" w:hAnsi="Times New Roman" w:cs="Times New Roman"/>
          <w:i/>
          <w:iCs/>
          <w:color w:val="333333"/>
          <w:spacing w:val="4"/>
          <w:sz w:val="27"/>
          <w:szCs w:val="27"/>
          <w:lang w:eastAsia="ru-RU"/>
        </w:rPr>
        <w:lastRenderedPageBreak/>
        <w:t>Susceptibility Testing — </w:t>
      </w:r>
      <w:hyperlink r:id="rId29" w:history="1">
        <w:r w:rsidRPr="00E51ED1">
          <w:rPr>
            <w:rFonts w:ascii="Times New Roman" w:eastAsia="Times New Roman" w:hAnsi="Times New Roman" w:cs="Times New Roman"/>
            <w:i/>
            <w:iCs/>
            <w:color w:val="0000FF"/>
            <w:spacing w:val="4"/>
            <w:sz w:val="27"/>
            <w:szCs w:val="27"/>
            <w:u w:val="single"/>
            <w:lang w:eastAsia="ru-RU"/>
          </w:rPr>
          <w:t>EUCAST</w:t>
        </w:r>
      </w:hyperlink>
      <w:r w:rsidRPr="00E51ED1">
        <w:rPr>
          <w:rFonts w:ascii="Times New Roman" w:eastAsia="Times New Roman" w:hAnsi="Times New Roman" w:cs="Times New Roman"/>
          <w:i/>
          <w:iCs/>
          <w:color w:val="333333"/>
          <w:spacing w:val="4"/>
          <w:sz w:val="27"/>
          <w:szCs w:val="27"/>
          <w:lang w:eastAsia="ru-RU"/>
        </w:rPr>
        <w:t>) Европейского общества по клинической микробиологии и инфекционным болезням (European Society of Clinical Microbi</w:t>
      </w:r>
      <w:r w:rsidRPr="00E51ED1">
        <w:rPr>
          <w:rFonts w:ascii="Times New Roman" w:eastAsia="Times New Roman" w:hAnsi="Times New Roman" w:cs="Times New Roman"/>
          <w:color w:val="222222"/>
          <w:spacing w:val="4"/>
          <w:sz w:val="27"/>
          <w:szCs w:val="27"/>
          <w:lang w:eastAsia="ru-RU"/>
        </w:rPr>
        <w:t>ology </w:t>
      </w:r>
      <w:r w:rsidRPr="00E51ED1">
        <w:rPr>
          <w:rFonts w:ascii="Times New Roman" w:eastAsia="Times New Roman" w:hAnsi="Times New Roman" w:cs="Times New Roman"/>
          <w:i/>
          <w:iCs/>
          <w:color w:val="333333"/>
          <w:spacing w:val="4"/>
          <w:sz w:val="27"/>
          <w:szCs w:val="27"/>
          <w:lang w:eastAsia="ru-RU"/>
        </w:rPr>
        <w:t>and Infectious Disease — </w:t>
      </w:r>
      <w:hyperlink r:id="rId30" w:history="1">
        <w:r w:rsidRPr="00E51ED1">
          <w:rPr>
            <w:rFonts w:ascii="Times New Roman" w:eastAsia="Times New Roman" w:hAnsi="Times New Roman" w:cs="Times New Roman"/>
            <w:i/>
            <w:iCs/>
            <w:color w:val="0000FF"/>
            <w:spacing w:val="4"/>
            <w:sz w:val="27"/>
            <w:szCs w:val="27"/>
            <w:u w:val="single"/>
            <w:lang w:eastAsia="ru-RU"/>
          </w:rPr>
          <w:t>ESCMID</w:t>
        </w:r>
      </w:hyperlink>
      <w:r w:rsidRPr="00E51ED1">
        <w:rPr>
          <w:rFonts w:ascii="Times New Roman" w:eastAsia="Times New Roman" w:hAnsi="Times New Roman" w:cs="Times New Roman"/>
          <w:i/>
          <w:iCs/>
          <w:color w:val="333333"/>
          <w:spacing w:val="4"/>
          <w:sz w:val="27"/>
          <w:szCs w:val="27"/>
          <w:lang w:eastAsia="ru-RU"/>
        </w:rPr>
        <w:t>) и в аналогичных Российских рекомендациях [21, 103, 120].</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Выбор препаратов и определение тактики эмпирической АБТ у больных с гнойно-воспалительными процессами челюстно-лицевой локализации в локальных протоколах отдельного лечебного учреждения в каждом регионе должен осуществляться с учётом стратификации пациентов по риску наличия резистентных возбудителей и типу инфекции, а также в соответствии с перечнем препаратов, представленным в профильных клинических рекомендациях (КР).</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В каждом лечебном учреждении должна быть создана междисциплинарная команда специалистов, в состав которой входят: «узкопрофильные» специалисты (челюстно-лицевой хирург), клинический микробиолог, клинические фармакологи, специалисты по клинической фармакологии и доказательной медицине, руководители подразделений и профильные заместители главного врача клиники. На основе ежегодного анализа работы подразделений (в том числе, челюстно-лицевой хирургии), должны разрабатываться протоколы эмпирической антибактериальной терапии (АБТ) с рекомендуемыми алгоритмами при оказании помощи больным в условиях стационара по каждому подразделению, в том числе, в челюстно-лицевой хирургии (ЧЛХ).</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При проведении эмпирической терапии антибактериальные препараты подразделены на два уровня – терапия выбора («средства 1-го ряда») и альтернативные средства. Под терапией выбора</w:t>
      </w:r>
      <w:r w:rsidRPr="00E51ED1">
        <w:rPr>
          <w:rFonts w:ascii="Times New Roman" w:eastAsia="Times New Roman" w:hAnsi="Times New Roman" w:cs="Times New Roman"/>
          <w:b/>
          <w:bCs/>
          <w:i/>
          <w:iCs/>
          <w:color w:val="333333"/>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подразумеваются препараты, применение которых с позиций клинической фармакологии и доказательной медицины позволяет получить максимальный клинический эффект с наиболее высокой вероятностью. При этом предпочтение оказывается антибактериальным средствам, по возможности, с более узким и направленным спектром действия. К альтернативным препаратам</w:t>
      </w:r>
      <w:r w:rsidRPr="00E51ED1">
        <w:rPr>
          <w:rFonts w:ascii="Times New Roman" w:eastAsia="Times New Roman" w:hAnsi="Times New Roman" w:cs="Times New Roman"/>
          <w:b/>
          <w:bCs/>
          <w:i/>
          <w:iCs/>
          <w:color w:val="333333"/>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отнесены средства с также доказанной эффективностью в отношении наиболее вероятных возбудителей при данной патологии. Эти препараты назначают во вторую очередь по различным причинам, включая затратность лечения, индивидуальную переносимость, вероятную резистентность микроорганизмов.</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 xml:space="preserve">В связи с тем, что в каждом регионе, а в ряде случаев и в различных лечебных учреждениях одного региона, имеются различия в составе микробиоты у </w:t>
      </w:r>
      <w:r w:rsidRPr="00E51ED1">
        <w:rPr>
          <w:rFonts w:ascii="Times New Roman" w:eastAsia="Times New Roman" w:hAnsi="Times New Roman" w:cs="Times New Roman"/>
          <w:i/>
          <w:iCs/>
          <w:color w:val="333333"/>
          <w:spacing w:val="4"/>
          <w:sz w:val="27"/>
          <w:szCs w:val="27"/>
          <w:lang w:eastAsia="ru-RU"/>
        </w:rPr>
        <w:lastRenderedPageBreak/>
        <w:t>больных ГВЗ ЧЛЛ, схемы эмпирической АБТ должны составляться индивидуально в виде локальных протоколов (приказов главного врача лечебного учреждения) с учётом результатов микробиологического мониторинга и резистентности возбудителей к антибактериальным препаратам. В этой связи в условиях каждого конкретного профильного подразделения (в т.ч., челюстно-лицевой хирургии) рекомендации «СКАТ» должны дополняться локальными протоколами лечебного учреждения, составленными на основе ежегодного мониторинга состава микробиоты и её резистентности к используемым антибактериальным препаратам с рекомендуемыми алгоритмами её проведения, регламентирующими реализацию протокола эмпирической антибактериальной терапии (АБТ). При этом необходимо учитывать разные финансовые возможностями региона и уровень финансирования лечебного учреждения в зависимости от его уровня. Рекомендуемый алгоритм эмпирической антимикробной терапии (АМТ) в клинике челюстно-лицевой хирургии (ЧЛХ) при оказании стационарной помощи пациентам с одонтогенными периоститом и остеомиелитом челюстей в клинике ЧЛХ ФГБОУ ВО «ПСПбГМУ им. И.П. Павлова» Минздрава России с учётом стратификации по наличию факторов риска полирезистентных возбудителей и инвазивного кандидоза и в рамках рекомендаций СКАТ (2018), представлен в </w:t>
      </w:r>
      <w:r w:rsidRPr="00E51ED1">
        <w:rPr>
          <w:rFonts w:ascii="Times New Roman" w:eastAsia="Times New Roman" w:hAnsi="Times New Roman" w:cs="Times New Roman"/>
          <w:b/>
          <w:bCs/>
          <w:i/>
          <w:iCs/>
          <w:color w:val="333333"/>
          <w:spacing w:val="4"/>
          <w:sz w:val="27"/>
          <w:szCs w:val="27"/>
          <w:lang w:eastAsia="ru-RU"/>
        </w:rPr>
        <w:t>Приложение А3.1.</w:t>
      </w:r>
      <w:r w:rsidRPr="00E51ED1">
        <w:rPr>
          <w:rFonts w:ascii="Times New Roman" w:eastAsia="Times New Roman" w:hAnsi="Times New Roman" w:cs="Times New Roman"/>
          <w:i/>
          <w:iCs/>
          <w:color w:val="333333"/>
          <w:spacing w:val="4"/>
          <w:sz w:val="27"/>
          <w:szCs w:val="27"/>
          <w:lang w:eastAsia="ru-RU"/>
        </w:rPr>
        <w:t> [103].</w:t>
      </w:r>
    </w:p>
    <w:p w:rsidR="00E51ED1" w:rsidRPr="00E51ED1" w:rsidRDefault="00E51ED1" w:rsidP="00E51ED1">
      <w:pPr>
        <w:numPr>
          <w:ilvl w:val="0"/>
          <w:numId w:val="4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Рекомендовано</w:t>
      </w:r>
      <w:r w:rsidRPr="00E51ED1">
        <w:rPr>
          <w:rFonts w:ascii="Times New Roman" w:eastAsia="Times New Roman" w:hAnsi="Times New Roman" w:cs="Times New Roman"/>
          <w:color w:val="222222"/>
          <w:spacing w:val="4"/>
          <w:sz w:val="27"/>
          <w:szCs w:val="27"/>
          <w:lang w:eastAsia="ru-RU"/>
        </w:rPr>
        <w:t> переходить на целенаправленную антибактериальную терапию антибактериальными препаратами для системного применения (АТХ код J01) после получения результатов микробиологического исследования. Длительность проведения АБТ зависит от динамики течения местного гнойного воспалительного процесса, общего состояния больного и лабораторных показателей [21, 103, 120].</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 </w:t>
      </w:r>
      <w:r w:rsidRPr="00E51ED1">
        <w:rPr>
          <w:rFonts w:ascii="Times New Roman" w:eastAsia="Times New Roman" w:hAnsi="Times New Roman" w:cs="Times New Roman"/>
          <w:i/>
          <w:iCs/>
          <w:color w:val="333333"/>
          <w:spacing w:val="4"/>
          <w:sz w:val="27"/>
          <w:szCs w:val="27"/>
          <w:lang w:eastAsia="ru-RU"/>
        </w:rPr>
        <w:t>следует обязательно производить микробиологический мониторинг и по показаниям и при наличии технической возможности - интраоперационное взятие материала (биоптат) из раны (взятие образца биологического материала из очагов поражения органов рта) для изучения микробиоты и её чувствительности к антибактериальным препаратам и антисептикам с целью контроля проводимого лечения и последующей коррекции антибактериальной терапии [21,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 xml:space="preserve">Антибактериальная терапия проводится до достижения стойкой положительной динамики общего состояния пациента, очищения гнойной </w:t>
      </w:r>
      <w:r w:rsidRPr="00E51ED1">
        <w:rPr>
          <w:rFonts w:ascii="Times New Roman" w:eastAsia="Times New Roman" w:hAnsi="Times New Roman" w:cs="Times New Roman"/>
          <w:i/>
          <w:iCs/>
          <w:color w:val="333333"/>
          <w:spacing w:val="4"/>
          <w:sz w:val="27"/>
          <w:szCs w:val="27"/>
          <w:lang w:eastAsia="ru-RU"/>
        </w:rPr>
        <w:lastRenderedPageBreak/>
        <w:t>раны, исчезновения основных местных симптомов инфекции и интоксикации. В силу отсутствия патогномоничных признаков бактериальной инфекции абсолютных критериев для прекращения антибактериальной терапии не существует, решение принимается индивидуально на основании совокупной оценки динамики общего состояния пациента, местного течения гнойно-воспалительного процесса и лабораторных показателей, характеризующих воспалительную реакцию. Общие критерии достаточности антибактериальной терапии следующие: 1) стойкая нормализация температуры тела; 2) положительная динамика основных симптомов инфекции; 3) отсутствие признаков системной воспалительной реакции; 4) нормализация количества лейкоцитов в крови, лейкоцитарной формулы, СОЭ и СРБ (при необходимости – уровня прокальцитонина); 5) отрицательная гемокультура; 6) нормализация функции желудочно-кишечного тракта. Важно, что сохранение только одного признака бактериальной инфекции (лихорадка или лейкоцитоз), а также наличие гранулирующей раны не является абсолютным показанием для продолжения антибактериальной терапии. Средние типичные сроки длительности антибактериальной терапии при гнойно-воспалительных процессах составляют от 5-10 дней. Пролонгирование антибиотикотерапии может привести к развитию возможных осложнений, росту резистентности микроорганизмов и развитию суперинфекции [21, 48, 97, 103]. При отсутствии стойкого клинико-лабораторного ответа на адекватную антибактериальную терапию в течение 1-3 дней необходимо проведение дополнительного обследования (например, Ультразвуковое исследование тканей полости рта - Код по Номенклатуре медицинских услуг: A04.07.003, и Ультразвуковое исследование мягких тканей (одна анатомическая зона) - Код по Номенклатуре медицинских услуг: A04.01.001, при рисках распространения ГВП на соседние клетчаточные пространства, Дуплексное сканирование сосудов челюстно-лицевой области - Код по Номенклатуре медицинских услуг: A04.12.009 при рисках развития тромботических осложнений, компьютерная томография челюстно-лицевой области) и др.) для выявления осложнений или формирования вторичного «очага» инфекции другой локализации, назначения посева раневого отделяемого в динамике для определения видового состава микробиоты и её чувствительности к антибактериальным препаратам и антисептикам, жидких сред организма (кровь, моча) на стерильность [21, 28, 51, 82, 87,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lastRenderedPageBreak/>
        <w:t>При отсутствии положительной динамики в состоянии больного, несмотря на проводимую антибактериальную терапию, следует скорректировать проводимую схему, провести ревизию гнойно-некротического «очага», исключить распространение гнойно-воспалительного процесса и/или формирование затёков.</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При стабилизации общего состояния, переходе местного гнойного воспалительного процесса во II фазу, положительной динамике или нормализации лабораторных показателей, АБТ отменяют, акцент в дальнейшем лечении переносят на местное воздействие на микробиоту с помощью местных антисептиков [21, 48, 97,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Необходимо согласовывать длительность проведения антимикробной терапии - в большинстве случаев 5-7 суток, за исключением пациентов с иммунодефицитом, включая нейтропению, бактериальным эндокардитом, гнойным менингитом, при инфекции, вызванной неферментирующими полирезистентными грамотрицательными микроорганизмами, бактериемии, вызванной S. аureus, при кандидемии или развитии инвазивного кандидоза [21, 48, 102, 103, 120].</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Выбирая препарат, дозировку, кратность и путь введения, длительность терапии, необходимо учитывать следующие данные: вес, возраст, тяжесть течения и локализацию воспалительного процесса, наличие хронических «очагов» инфекции и иммунодефицитных состояний, заболеваний органов и систем, способных повлиять на фармакокинетику препарата, ранее проводимую терапию [56, 65, 72, 103].</w:t>
      </w:r>
    </w:p>
    <w:p w:rsidR="00E51ED1" w:rsidRPr="00E51ED1" w:rsidRDefault="00E51ED1" w:rsidP="00E51ED1">
      <w:pPr>
        <w:numPr>
          <w:ilvl w:val="0"/>
          <w:numId w:val="4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Рекомендовано</w:t>
      </w:r>
      <w:r w:rsidRPr="00E51ED1">
        <w:rPr>
          <w:rFonts w:ascii="Times New Roman" w:eastAsia="Times New Roman" w:hAnsi="Times New Roman" w:cs="Times New Roman"/>
          <w:color w:val="222222"/>
          <w:spacing w:val="4"/>
          <w:sz w:val="27"/>
          <w:szCs w:val="27"/>
          <w:lang w:eastAsia="ru-RU"/>
        </w:rPr>
        <w:t> стратифицировать пациентов по риску наличия полирезистентных</w:t>
      </w:r>
      <w:r w:rsidRPr="00E51ED1">
        <w:rPr>
          <w:rFonts w:ascii="Times New Roman" w:eastAsia="Times New Roman" w:hAnsi="Times New Roman" w:cs="Times New Roman"/>
          <w:i/>
          <w:iCs/>
          <w:color w:val="333333"/>
          <w:spacing w:val="4"/>
          <w:sz w:val="27"/>
          <w:szCs w:val="27"/>
          <w:lang w:eastAsia="ru-RU"/>
        </w:rPr>
        <w:t> БЛРС, MRSA</w:t>
      </w:r>
      <w:r w:rsidRPr="00E51ED1">
        <w:rPr>
          <w:rFonts w:ascii="Times New Roman" w:eastAsia="Times New Roman" w:hAnsi="Times New Roman" w:cs="Times New Roman"/>
          <w:color w:val="222222"/>
          <w:spacing w:val="4"/>
          <w:sz w:val="27"/>
          <w:szCs w:val="27"/>
          <w:lang w:eastAsia="ru-RU"/>
        </w:rPr>
        <w:t> возбудителей и инвазивного кандидоза с целью определения тактики проведения эмпирической АБТ [7, 9, 11, 21, 48, 102,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w:t>
      </w: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 xml:space="preserve">к факторам риска развития внебольничных инфекций, вызванных полирезистентными возбудителями (продуценты БЛРС и карбапенемаз, MRSA, возбудители, устойчивыми к фторхинолонам) и рисков развития кандидоза у госпитализированных пациентов, относятся: 1) факты оказания медицинской помощи в медицинских учреждениях (дневной стационар поликлиники, отделения гемодиализа, учреждения длительного ухода) или госпитализации в последние 90 дней; 2) применение АБП в последние 90 дней (независимо от повода); 3) наличие у больного в анамнезе тяжёлой </w:t>
      </w:r>
      <w:r w:rsidRPr="00E51ED1">
        <w:rPr>
          <w:rFonts w:ascii="Times New Roman" w:eastAsia="Times New Roman" w:hAnsi="Times New Roman" w:cs="Times New Roman"/>
          <w:i/>
          <w:iCs/>
          <w:color w:val="333333"/>
          <w:spacing w:val="4"/>
          <w:sz w:val="27"/>
          <w:szCs w:val="27"/>
          <w:lang w:eastAsia="ru-RU"/>
        </w:rPr>
        <w:lastRenderedPageBreak/>
        <w:t>сопутствующей патологии (острое повреждение почек или ХБП, сахарный диабет, цирроз печени, алкогольная висцеропатия, наркомания, ВИЧ). Проведение стратификации позволяет выявить больных с подозрением наличия полирезистентных возбудителей и высокую вероятность более тяжелого течения инфекционного заболевания, что потребует назначения для эмпирической АБТ АБ-препаратов более широкого спектра и проведения микробиологического мониторинга для своевременного перехода на целенаправленную АБТ. Подробно принципы стратификации пациентов с инфекциями на группы и стратегия АБТ изложены в Программе СКАТ (2018 г.).</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Индивидуальный протокол АБТ, объём и сроки проведения дополнительных лабораторных исследований у пациентов с отягощённым соматическим статусом, при гиперергическом ответе организма на местный воспалительный процесс, неблагоприятном прогнозе течения ГВП с высокими рисками развития осложнений. целесообразно согласовывать с клиническим микробиологом и клиническим фармакологом.</w:t>
      </w:r>
    </w:p>
    <w:p w:rsidR="00E51ED1" w:rsidRPr="00E51ED1" w:rsidRDefault="00E51ED1" w:rsidP="00E51ED1">
      <w:pPr>
        <w:numPr>
          <w:ilvl w:val="0"/>
          <w:numId w:val="4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Рекомендовано </w:t>
      </w:r>
      <w:r w:rsidRPr="00E51ED1">
        <w:rPr>
          <w:rFonts w:ascii="Times New Roman" w:eastAsia="Times New Roman" w:hAnsi="Times New Roman" w:cs="Times New Roman"/>
          <w:color w:val="222222"/>
          <w:spacing w:val="4"/>
          <w:sz w:val="27"/>
          <w:szCs w:val="27"/>
          <w:lang w:eastAsia="ru-RU"/>
        </w:rPr>
        <w:t>скорректировать проводимую схему АБТ при отсутствии положительной динамики в состоянии больного, несмотря на проводимую антибактериальную терапию, провести ревизию гнойно-некротического «очага», исключить распространение ГВП на соседние клетчаточные пространства и/или формирование затёков [103, 120].</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w:t>
      </w:r>
      <w:r w:rsidRPr="00E51ED1">
        <w:rPr>
          <w:rFonts w:ascii="Times New Roman" w:eastAsia="Times New Roman" w:hAnsi="Times New Roman" w:cs="Times New Roman"/>
          <w:b/>
          <w:bCs/>
          <w:i/>
          <w:iCs/>
          <w:color w:val="333333"/>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при фармакотерапии у пожилых пациентов более высок риск развития нежелательных реакций (НР), что требует дополнительного внимания и может потребовать скорректировать дозы антибактериальных препаратов и длительности курса. Наиболее частые НР - расстройства со стороны пищеварительной системы, кишечный дисбактериоз, аллергические реакции, кандидоз слизистых оболочек. Редко могут возникать СНР в виде проявления нефро-, нейро-, гемато- или гепатотоксичности (необходимо изучить инструкции к применяемым лекарственным препаратам). АБТ у пациентов с почечной</w:t>
      </w:r>
      <w:r w:rsidRPr="00E51ED1">
        <w:rPr>
          <w:rFonts w:ascii="Times New Roman" w:eastAsia="Times New Roman" w:hAnsi="Times New Roman" w:cs="Times New Roman"/>
          <w:i/>
          <w:iCs/>
          <w:color w:val="333333"/>
          <w:spacing w:val="4"/>
          <w:sz w:val="20"/>
          <w:szCs w:val="20"/>
          <w:vertAlign w:val="superscript"/>
          <w:lang w:eastAsia="ru-RU"/>
        </w:rPr>
        <w:t>1</w:t>
      </w:r>
      <w:r w:rsidRPr="00E51ED1">
        <w:rPr>
          <w:rFonts w:ascii="Times New Roman" w:eastAsia="Times New Roman" w:hAnsi="Times New Roman" w:cs="Times New Roman"/>
          <w:i/>
          <w:iCs/>
          <w:color w:val="333333"/>
          <w:spacing w:val="4"/>
          <w:sz w:val="27"/>
          <w:szCs w:val="27"/>
          <w:lang w:eastAsia="ru-RU"/>
        </w:rPr>
        <w:t> или печёночной</w:t>
      </w:r>
      <w:r w:rsidRPr="00E51ED1">
        <w:rPr>
          <w:rFonts w:ascii="Times New Roman" w:eastAsia="Times New Roman" w:hAnsi="Times New Roman" w:cs="Times New Roman"/>
          <w:i/>
          <w:iCs/>
          <w:color w:val="333333"/>
          <w:spacing w:val="4"/>
          <w:sz w:val="20"/>
          <w:szCs w:val="20"/>
          <w:vertAlign w:val="superscript"/>
          <w:lang w:eastAsia="ru-RU"/>
        </w:rPr>
        <w:t>2</w:t>
      </w:r>
      <w:r w:rsidRPr="00E51ED1">
        <w:rPr>
          <w:rFonts w:ascii="Times New Roman" w:eastAsia="Times New Roman" w:hAnsi="Times New Roman" w:cs="Times New Roman"/>
          <w:i/>
          <w:iCs/>
          <w:color w:val="333333"/>
          <w:spacing w:val="4"/>
          <w:sz w:val="27"/>
          <w:szCs w:val="27"/>
          <w:lang w:eastAsia="ru-RU"/>
        </w:rPr>
        <w:t> недостаточностью рекомендуется применять с учётом степени выраженности нарушения функции органа. Для этого рассчитывается клиренс креатинина сыворотки крови по формуле Кокрофта и Голта</w:t>
      </w:r>
      <w:r w:rsidRPr="00E51ED1">
        <w:rPr>
          <w:rFonts w:ascii="Times New Roman" w:eastAsia="Times New Roman" w:hAnsi="Times New Roman" w:cs="Times New Roman"/>
          <w:i/>
          <w:iCs/>
          <w:color w:val="333333"/>
          <w:spacing w:val="4"/>
          <w:sz w:val="20"/>
          <w:szCs w:val="20"/>
          <w:vertAlign w:val="superscript"/>
          <w:lang w:eastAsia="ru-RU"/>
        </w:rPr>
        <w:t>1</w:t>
      </w:r>
      <w:r w:rsidRPr="00E51ED1">
        <w:rPr>
          <w:rFonts w:ascii="Times New Roman" w:eastAsia="Times New Roman" w:hAnsi="Times New Roman" w:cs="Times New Roman"/>
          <w:i/>
          <w:iCs/>
          <w:color w:val="333333"/>
          <w:spacing w:val="4"/>
          <w:sz w:val="27"/>
          <w:szCs w:val="27"/>
          <w:lang w:eastAsia="ru-RU"/>
        </w:rPr>
        <w:t> (или используется метод его ориентировочной оценки)</w:t>
      </w:r>
      <w:r w:rsidRPr="00E51ED1">
        <w:rPr>
          <w:rFonts w:ascii="Times New Roman" w:eastAsia="Times New Roman" w:hAnsi="Times New Roman" w:cs="Times New Roman"/>
          <w:i/>
          <w:iCs/>
          <w:color w:val="333333"/>
          <w:spacing w:val="4"/>
          <w:sz w:val="20"/>
          <w:szCs w:val="20"/>
          <w:vertAlign w:val="superscript"/>
          <w:lang w:eastAsia="ru-RU"/>
        </w:rPr>
        <w:t>1</w:t>
      </w:r>
      <w:r w:rsidRPr="00E51ED1">
        <w:rPr>
          <w:rFonts w:ascii="Times New Roman" w:eastAsia="Times New Roman" w:hAnsi="Times New Roman" w:cs="Times New Roman"/>
          <w:i/>
          <w:iCs/>
          <w:color w:val="333333"/>
          <w:spacing w:val="4"/>
          <w:sz w:val="27"/>
          <w:szCs w:val="27"/>
          <w:lang w:eastAsia="ru-RU"/>
        </w:rPr>
        <w:t>, мониторируется уровень сывороточного билирубина и трансаминаз</w:t>
      </w:r>
      <w:r w:rsidRPr="00E51ED1">
        <w:rPr>
          <w:rFonts w:ascii="Times New Roman" w:eastAsia="Times New Roman" w:hAnsi="Times New Roman" w:cs="Times New Roman"/>
          <w:i/>
          <w:iCs/>
          <w:color w:val="333333"/>
          <w:spacing w:val="4"/>
          <w:sz w:val="20"/>
          <w:szCs w:val="20"/>
          <w:vertAlign w:val="superscript"/>
          <w:lang w:eastAsia="ru-RU"/>
        </w:rPr>
        <w:t>2</w:t>
      </w:r>
      <w:r w:rsidRPr="00E51ED1">
        <w:rPr>
          <w:rFonts w:ascii="Times New Roman" w:eastAsia="Times New Roman" w:hAnsi="Times New Roman" w:cs="Times New Roman"/>
          <w:i/>
          <w:iCs/>
          <w:color w:val="333333"/>
          <w:spacing w:val="4"/>
          <w:sz w:val="27"/>
          <w:szCs w:val="27"/>
          <w:lang w:eastAsia="ru-RU"/>
        </w:rPr>
        <w:t xml:space="preserve">. В настоящее время имеется широкий выбор препаратов для АБТ. В России </w:t>
      </w:r>
      <w:r w:rsidRPr="00E51ED1">
        <w:rPr>
          <w:rFonts w:ascii="Times New Roman" w:eastAsia="Times New Roman" w:hAnsi="Times New Roman" w:cs="Times New Roman"/>
          <w:i/>
          <w:iCs/>
          <w:color w:val="333333"/>
          <w:spacing w:val="4"/>
          <w:sz w:val="27"/>
          <w:szCs w:val="27"/>
          <w:lang w:eastAsia="ru-RU"/>
        </w:rPr>
        <w:lastRenderedPageBreak/>
        <w:t>используется более 30 различных групп антибактериальных препаратов [7, 9, 11, 21, 46, 48, 51, 59, 66, 102, 103], в том числе наиболее часто применяемые бета-лактамные антибиотики (включая пенициллины, цефалоспорины, карбапенемы и моноабактамы), аминогликозиды, хинолоны/фторхинолоны, тетрациклины, макролиды, линкозамиды и гликопептиды.</w:t>
      </w:r>
    </w:p>
    <w:p w:rsidR="00E51ED1" w:rsidRPr="00E51ED1" w:rsidRDefault="00E51ED1" w:rsidP="00E51ED1">
      <w:pPr>
        <w:numPr>
          <w:ilvl w:val="0"/>
          <w:numId w:val="4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Рекомендовано</w:t>
      </w:r>
      <w:r w:rsidRPr="00E51ED1">
        <w:rPr>
          <w:rFonts w:ascii="Times New Roman" w:eastAsia="Times New Roman" w:hAnsi="Times New Roman" w:cs="Times New Roman"/>
          <w:color w:val="222222"/>
          <w:spacing w:val="4"/>
          <w:sz w:val="27"/>
          <w:szCs w:val="27"/>
          <w:lang w:eastAsia="ru-RU"/>
        </w:rPr>
        <w:t> при лечении больных с остеомиелитом и, реже, периоститом челюсти с дезинтоксикационной целью применять </w:t>
      </w:r>
      <w:hyperlink r:id="rId31" w:history="1">
        <w:r w:rsidRPr="00E51ED1">
          <w:rPr>
            <w:rFonts w:ascii="Times New Roman" w:eastAsia="Times New Roman" w:hAnsi="Times New Roman" w:cs="Times New Roman"/>
            <w:color w:val="0000FF"/>
            <w:spacing w:val="4"/>
            <w:sz w:val="27"/>
            <w:szCs w:val="27"/>
            <w:u w:val="single"/>
            <w:lang w:eastAsia="ru-RU"/>
          </w:rPr>
          <w:t>кровезаменители и перфузионные растворы</w:t>
        </w:r>
      </w:hyperlink>
      <w:r w:rsidRPr="00E51ED1">
        <w:rPr>
          <w:rFonts w:ascii="Times New Roman" w:eastAsia="Times New Roman" w:hAnsi="Times New Roman" w:cs="Times New Roman"/>
          <w:color w:val="222222"/>
          <w:spacing w:val="4"/>
          <w:sz w:val="27"/>
          <w:szCs w:val="27"/>
          <w:lang w:eastAsia="ru-RU"/>
        </w:rPr>
        <w:t> (АТХ: B05) в соответствии с инструкцией фармакологического препарата [21, 59,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 </w:t>
      </w:r>
      <w:r w:rsidRPr="00E51ED1">
        <w:rPr>
          <w:rFonts w:ascii="Times New Roman" w:eastAsia="Times New Roman" w:hAnsi="Times New Roman" w:cs="Times New Roman"/>
          <w:i/>
          <w:iCs/>
          <w:color w:val="333333"/>
          <w:spacing w:val="4"/>
          <w:sz w:val="27"/>
          <w:szCs w:val="27"/>
          <w:lang w:eastAsia="ru-RU"/>
        </w:rPr>
        <w:t xml:space="preserve">активная дезинтоксикация организма чаще всего осуществляется в виде инфузионной терапии. Основными задачами инфузионной терапии у больных с одонтогенными воспалительными процессами являются: устранение гиповолемии, улучшение микроциркуляции, восстановление адекватной тканевой перфузии, нормализация клеточного метаболизма, коррекция расстройств гомеостаза, реологических свойств крови, снижение концентрации воспалительных медиаторов и эндотоксинов в крови [9, 19, 21, 20, 29, 103]. При выборе групп препаратов, способа введения, разовой и суточной дозы препаратов для инфузионной терапии целесообразно учитывать рекомендации, изложенные в инструкции ЛП, в профильных ассоциаций анестезиологов-реаниматологов, хирургов, специалистов РАСХИ, «Сепсис-форума» РФ по проведению интенсивной терапии [1, 13, 22, 36, 51, 72, 99, 103]. В соответствии с рекомендациями профильных ассоциаций анестезиологов-реаниматологов, хирургов, специалистов РАСХИ по проведению интенсивной терапии в рамках целенаправленной интенсивной терапии при воспалительных процессах челюстно-лицевой локализации применяют растворы -  Регуляторы водно-электролитного баланса и кислотно-щелочного состояния (АТХ: B05BB)  [1, 13, 14, 36, 41, 72, 99]. Состав инфузионной терапии должен определяться следующими факторами: возраст пациента, сопутствующая патология, распространённость процесса, тяжесть течения заболевания, степень выраженности эндогенной интоксикации. Необходимо учитывать степень гиповолемии, отсутствие/наличие коагулопатии потребления, характер изменений биохимических показателей, кислотно-щелочного равновесия крови, характеризующих конкретную клиническую ситуацию, и сопоставимость с ней физико-химических свойств препарата. Компонентом </w:t>
      </w:r>
      <w:r w:rsidRPr="00E51ED1">
        <w:rPr>
          <w:rFonts w:ascii="Times New Roman" w:eastAsia="Times New Roman" w:hAnsi="Times New Roman" w:cs="Times New Roman"/>
          <w:i/>
          <w:iCs/>
          <w:color w:val="333333"/>
          <w:spacing w:val="4"/>
          <w:sz w:val="27"/>
          <w:szCs w:val="27"/>
          <w:lang w:eastAsia="ru-RU"/>
        </w:rPr>
        <w:lastRenderedPageBreak/>
        <w:t>дезинтоксикационной терапии должна являться контролируемая гемодилюция. На сегодняшний день для коррекции потери жидкости и электролитов обоснованным является использование сбалансированных растворов </w:t>
      </w:r>
      <w:hyperlink r:id="rId32" w:history="1">
        <w:r w:rsidRPr="00E51ED1">
          <w:rPr>
            <w:rFonts w:ascii="Times New Roman" w:eastAsia="Times New Roman" w:hAnsi="Times New Roman" w:cs="Times New Roman"/>
            <w:i/>
            <w:iCs/>
            <w:color w:val="0000FF"/>
            <w:spacing w:val="4"/>
            <w:sz w:val="27"/>
            <w:szCs w:val="27"/>
            <w:u w:val="single"/>
            <w:lang w:eastAsia="ru-RU"/>
          </w:rPr>
          <w:t> для внутривенного введения</w:t>
        </w:r>
      </w:hyperlink>
      <w:r w:rsidRPr="00E51ED1">
        <w:rPr>
          <w:rFonts w:ascii="Times New Roman" w:eastAsia="Times New Roman" w:hAnsi="Times New Roman" w:cs="Times New Roman"/>
          <w:i/>
          <w:iCs/>
          <w:color w:val="333333"/>
          <w:spacing w:val="4"/>
          <w:sz w:val="27"/>
          <w:szCs w:val="27"/>
          <w:lang w:eastAsia="ru-RU"/>
        </w:rPr>
        <w:t> (АТХ: B05B), в том числе, из них: Электролиты (АТХ: </w:t>
      </w:r>
      <w:hyperlink r:id="rId33" w:history="1">
        <w:r w:rsidRPr="00E51ED1">
          <w:rPr>
            <w:rFonts w:ascii="Times New Roman" w:eastAsia="Times New Roman" w:hAnsi="Times New Roman" w:cs="Times New Roman"/>
            <w:i/>
            <w:iCs/>
            <w:color w:val="0000FF"/>
            <w:spacing w:val="4"/>
            <w:sz w:val="27"/>
            <w:szCs w:val="27"/>
            <w:u w:val="single"/>
            <w:lang w:eastAsia="ru-RU"/>
          </w:rPr>
          <w:t>B05BB01</w:t>
        </w:r>
      </w:hyperlink>
      <w:r w:rsidRPr="00E51ED1">
        <w:rPr>
          <w:rFonts w:ascii="Times New Roman" w:eastAsia="Times New Roman" w:hAnsi="Times New Roman" w:cs="Times New Roman"/>
          <w:i/>
          <w:iCs/>
          <w:color w:val="333333"/>
          <w:spacing w:val="4"/>
          <w:sz w:val="27"/>
          <w:szCs w:val="27"/>
          <w:lang w:eastAsia="ru-RU"/>
        </w:rPr>
        <w:t>), Возможно применение препаратов, относящихся к фармакологической группе регуляторов водно-электролитного баланса и КЩС в комбинациях, заменителям плазмы и других компонентов крови в комбинациях, например, Натрия лактата раствор сложный [Калия хлорид + Кальция хлорид + Натрия хлорид + Натрия лактат], Натрия лактата раствор сложный (Калия хлорид + Кальция хлорид + Натрия хлорид + Натрия лактат) [1, 13, 14, 36, 41, 72, 99,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Современная идеология инфузионной терапии у пациентов с тяжёлым течением гнойно-воспалительного процесса предполагает: 1) использование кристаллоидных растворов, влияющих на водно-электролитный баланс (АТХ: B05BB), являющихся препаратами выбора в качестве «стартовых»; 2) </w:t>
      </w:r>
      <w:r w:rsidRPr="00E51ED1">
        <w:rPr>
          <w:rFonts w:ascii="Times New Roman" w:eastAsia="Times New Roman" w:hAnsi="Times New Roman" w:cs="Times New Roman"/>
          <w:color w:val="222222"/>
          <w:spacing w:val="4"/>
          <w:sz w:val="27"/>
          <w:szCs w:val="27"/>
          <w:lang w:eastAsia="ru-RU"/>
        </w:rPr>
        <w:t>о</w:t>
      </w:r>
      <w:r w:rsidRPr="00E51ED1">
        <w:rPr>
          <w:rFonts w:ascii="Times New Roman" w:eastAsia="Times New Roman" w:hAnsi="Times New Roman" w:cs="Times New Roman"/>
          <w:i/>
          <w:iCs/>
          <w:color w:val="333333"/>
          <w:spacing w:val="4"/>
          <w:sz w:val="27"/>
          <w:szCs w:val="27"/>
          <w:lang w:eastAsia="ru-RU"/>
        </w:rPr>
        <w:t>тказ от использования препаратов на основе декстранов (из-за высокой аллергогенности, повышенной кровоточивости и риска развития ОПН </w:t>
      </w:r>
      <w:r w:rsidRPr="00E51ED1">
        <w:rPr>
          <w:rFonts w:ascii="Times New Roman" w:eastAsia="Times New Roman" w:hAnsi="Times New Roman" w:cs="Times New Roman"/>
          <w:i/>
          <w:iCs/>
          <w:color w:val="333333"/>
          <w:spacing w:val="4"/>
          <w:sz w:val="20"/>
          <w:szCs w:val="20"/>
          <w:vertAlign w:val="superscript"/>
          <w:lang w:eastAsia="ru-RU"/>
        </w:rPr>
        <w:t>2</w:t>
      </w:r>
      <w:r w:rsidRPr="00E51ED1">
        <w:rPr>
          <w:rFonts w:ascii="Times New Roman" w:eastAsia="Times New Roman" w:hAnsi="Times New Roman" w:cs="Times New Roman"/>
          <w:i/>
          <w:iCs/>
          <w:color w:val="333333"/>
          <w:spacing w:val="4"/>
          <w:sz w:val="27"/>
          <w:szCs w:val="27"/>
          <w:lang w:eastAsia="ru-RU"/>
        </w:rPr>
        <w:t>) и гидроксиэтилкрахмала (ГЭК) (результаты исследований VISEP, CRYSTMAS, 6S и CHEST); 3) назначение Альбумина 10 % (АТХ: </w:t>
      </w:r>
      <w:hyperlink r:id="rId34" w:history="1">
        <w:r w:rsidRPr="00E51ED1">
          <w:rPr>
            <w:rFonts w:ascii="Times New Roman" w:eastAsia="Times New Roman" w:hAnsi="Times New Roman" w:cs="Times New Roman"/>
            <w:i/>
            <w:iCs/>
            <w:color w:val="0000FF"/>
            <w:spacing w:val="4"/>
            <w:sz w:val="27"/>
            <w:szCs w:val="27"/>
            <w:u w:val="single"/>
            <w:lang w:eastAsia="ru-RU"/>
          </w:rPr>
          <w:t>B05AA01</w:t>
        </w:r>
      </w:hyperlink>
      <w:r w:rsidRPr="00E51ED1">
        <w:rPr>
          <w:rFonts w:ascii="Times New Roman" w:eastAsia="Times New Roman" w:hAnsi="Times New Roman" w:cs="Times New Roman"/>
          <w:i/>
          <w:iCs/>
          <w:color w:val="333333"/>
          <w:spacing w:val="4"/>
          <w:sz w:val="27"/>
          <w:szCs w:val="27"/>
          <w:lang w:eastAsia="ru-RU"/>
        </w:rPr>
        <w:t>) только у пациентов, нуждающихся в значительных объёмах растворов-регуляторов водно-электролитного баланса и кислотно-щелочного состояния (АТХ: B05BB),  под контролем уровня общего белка и альбумина крови. 4) начальная водная нагрузка у пациентов с тканевой гипоперфузией и подозрением на гиповолемию должна составлять не менее 30 мл/кг раствора, влияющего на водно-электролитный баланс (АТХ: B05BB) (часть этой дозы может быть заменена на Альбумин 10 %  (АТХ: </w:t>
      </w:r>
      <w:hyperlink r:id="rId35" w:history="1">
        <w:r w:rsidRPr="00E51ED1">
          <w:rPr>
            <w:rFonts w:ascii="Times New Roman" w:eastAsia="Times New Roman" w:hAnsi="Times New Roman" w:cs="Times New Roman"/>
            <w:i/>
            <w:iCs/>
            <w:color w:val="0000FF"/>
            <w:spacing w:val="4"/>
            <w:sz w:val="27"/>
            <w:szCs w:val="27"/>
            <w:u w:val="single"/>
            <w:lang w:eastAsia="ru-RU"/>
          </w:rPr>
          <w:t>B05AA01</w:t>
        </w:r>
      </w:hyperlink>
      <w:r w:rsidRPr="00E51ED1">
        <w:rPr>
          <w:rFonts w:ascii="Times New Roman" w:eastAsia="Times New Roman" w:hAnsi="Times New Roman" w:cs="Times New Roman"/>
          <w:i/>
          <w:iCs/>
          <w:color w:val="333333"/>
          <w:spacing w:val="4"/>
          <w:sz w:val="27"/>
          <w:szCs w:val="27"/>
          <w:lang w:eastAsia="ru-RU"/>
        </w:rPr>
        <w:t>); 5) проведение контроля параметров гемодинамики во время инфузионной терапии с использованием динамических (изменение пульсового давления, ударного объёма) и статичных показателей (АД и ЧСС) [1, 13, 14, 20, 36, 41, 70, 72, 99,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Объём и состав препаратов для проведения инфузионной терапии для пациентов с отягощённым соматическим статусом, при гиперергическом ответе организма на местный воспалительный процесс, неблагоприятном прогнозе течения ГВП с высокими рисками развития осложнений. целесообразно согласовывать с врачом-анестезиологом-реаниматологом.</w:t>
      </w:r>
    </w:p>
    <w:p w:rsidR="00E51ED1" w:rsidRPr="00E51ED1" w:rsidRDefault="00E51ED1" w:rsidP="00E51ED1">
      <w:pPr>
        <w:numPr>
          <w:ilvl w:val="0"/>
          <w:numId w:val="4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Рекомендовано</w:t>
      </w:r>
      <w:r w:rsidRPr="00E51ED1">
        <w:rPr>
          <w:rFonts w:ascii="Times New Roman" w:eastAsia="Times New Roman" w:hAnsi="Times New Roman" w:cs="Times New Roman"/>
          <w:color w:val="222222"/>
          <w:spacing w:val="4"/>
          <w:sz w:val="27"/>
          <w:szCs w:val="27"/>
          <w:lang w:eastAsia="ru-RU"/>
        </w:rPr>
        <w:t xml:space="preserve"> осуществлять контроль нутритивного статуса и проведение нутриционной терапии при хирургическом лечении пациентов с одонтогенными воспалительными заболеваниями челюстей с целью </w:t>
      </w:r>
      <w:r w:rsidRPr="00E51ED1">
        <w:rPr>
          <w:rFonts w:ascii="Times New Roman" w:eastAsia="Times New Roman" w:hAnsi="Times New Roman" w:cs="Times New Roman"/>
          <w:color w:val="222222"/>
          <w:spacing w:val="4"/>
          <w:sz w:val="27"/>
          <w:szCs w:val="27"/>
          <w:lang w:eastAsia="ru-RU"/>
        </w:rPr>
        <w:lastRenderedPageBreak/>
        <w:t>субстратного обеспечения организма необходимыми питательными веществами физиологическим путём через желудочно-кишечный тракт (пероральное потребление или введение через назогастральный/орогастральный зонд [155, 156, 162-165].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 </w:t>
      </w:r>
      <w:r w:rsidRPr="00E51ED1">
        <w:rPr>
          <w:rFonts w:ascii="Times New Roman" w:eastAsia="Times New Roman" w:hAnsi="Times New Roman" w:cs="Times New Roman"/>
          <w:i/>
          <w:iCs/>
          <w:color w:val="333333"/>
          <w:spacing w:val="4"/>
          <w:sz w:val="27"/>
          <w:szCs w:val="27"/>
          <w:lang w:eastAsia="ru-RU"/>
        </w:rPr>
        <w:t>при выполнении хирургических вмешательств</w:t>
      </w:r>
      <w:r w:rsidRPr="00E51ED1">
        <w:rPr>
          <w:rFonts w:ascii="Times New Roman" w:eastAsia="Times New Roman" w:hAnsi="Times New Roman" w:cs="Times New Roman"/>
          <w:color w:val="222222"/>
          <w:spacing w:val="4"/>
          <w:sz w:val="27"/>
          <w:szCs w:val="27"/>
          <w:lang w:eastAsia="ru-RU"/>
        </w:rPr>
        <w:t> в области головы и шеи</w:t>
      </w:r>
      <w:r w:rsidRPr="00E51ED1">
        <w:rPr>
          <w:rFonts w:ascii="Times New Roman" w:eastAsia="Times New Roman" w:hAnsi="Times New Roman" w:cs="Times New Roman"/>
          <w:i/>
          <w:iCs/>
          <w:color w:val="333333"/>
          <w:spacing w:val="4"/>
          <w:sz w:val="27"/>
          <w:szCs w:val="27"/>
          <w:lang w:eastAsia="ru-RU"/>
        </w:rPr>
        <w:t> всем пациентам должен быть обеспечен адекватный режим энтерального питания, средствами для энтерального и парентерального питания (АТХ: B05BA Растворы для парентерального питания) планируемый в соответствии с инструкцией по применению препарата для лечебного питания и осуществляемый в ЧЛХ. При невозможности проведения энтерального питания, а также у ослабленных и тяжёлых пациентов могут быть рассмотрены различные режимы проведения парентерального или смешанного питания. Энергетическая ценности в среднем должна составлять около 3000 ккал из расчёта энергетической потребности = 25–30 ккал/кг/24 час., а именно [155, 156]]:</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noProof/>
          <w:color w:val="222222"/>
          <w:spacing w:val="4"/>
          <w:sz w:val="27"/>
          <w:szCs w:val="27"/>
          <w:lang w:eastAsia="ru-RU"/>
        </w:rPr>
        <mc:AlternateContent>
          <mc:Choice Requires="wps">
            <w:drawing>
              <wp:inline distT="0" distB="0" distL="0" distR="0">
                <wp:extent cx="304800" cy="304800"/>
                <wp:effectExtent l="0" t="0" r="0" b="0"/>
                <wp:docPr id="1" name="Прямоугольник 1" descr="https://cr.minzdrav.gov.ru/view-cr/1049_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17CE955" id="Прямоугольник 1" o:spid="_x0000_s1026" alt="https://cr.minzdrav.gov.ru/view-cr/1049_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CG8fkU&#10;+gIAAPoFAAAOAAAAAAAAAAAAAAAAAC4CAABkcnMvZTJvRG9jLnhtbFBLAQItABQABgAIAAAAIQBM&#10;oOks2AAAAAMBAAAPAAAAAAAAAAAAAAAAAFQFAABkcnMvZG93bnJldi54bWxQSwUGAAAAAAQABADz&#10;AAAAWQYAAAAA&#10;" filled="f" stroked="f">
                <o:lock v:ext="edit" aspectratio="t"/>
                <w10:anchorlock/>
              </v:rect>
            </w:pict>
          </mc:Fallback>
        </mc:AlternateContent>
      </w:r>
      <w:r w:rsidRPr="00E51ED1">
        <w:rPr>
          <w:rFonts w:ascii="Times New Roman" w:eastAsia="Times New Roman" w:hAnsi="Times New Roman" w:cs="Times New Roman"/>
          <w:i/>
          <w:iCs/>
          <w:color w:val="333333"/>
          <w:spacing w:val="4"/>
          <w:sz w:val="27"/>
          <w:szCs w:val="27"/>
          <w:lang w:eastAsia="ru-RU"/>
        </w:rPr>
        <w:t>- при проведении нутриционной поддержки необходимо проводить расчёты, исходя из: энергетические потребности – 25–30 ккал/кг/24 час., в острой фазе процесса - уменьшить, в фазе стабильного гиперметаболизма - глюкоза – &lt; 6 г/кг/24 час., липиды – 0,5–1 г/кг/24 час., белки – 1,0–1,5 г/кг/24 час (0,20–0,30 г азота/кг/24 час.) под контролем азотистого баланса, витамины – «стандартный» суточный состав + К</w:t>
      </w:r>
      <w:r w:rsidRPr="00E51ED1">
        <w:rPr>
          <w:rFonts w:ascii="Times New Roman" w:eastAsia="Times New Roman" w:hAnsi="Times New Roman" w:cs="Times New Roman"/>
          <w:i/>
          <w:iCs/>
          <w:color w:val="333333"/>
          <w:spacing w:val="4"/>
          <w:sz w:val="20"/>
          <w:szCs w:val="20"/>
          <w:vertAlign w:val="superscript"/>
          <w:lang w:eastAsia="ru-RU"/>
        </w:rPr>
        <w:t>+</w:t>
      </w:r>
      <w:r w:rsidRPr="00E51ED1">
        <w:rPr>
          <w:rFonts w:ascii="Times New Roman" w:eastAsia="Times New Roman" w:hAnsi="Times New Roman" w:cs="Times New Roman"/>
          <w:i/>
          <w:iCs/>
          <w:color w:val="333333"/>
          <w:spacing w:val="4"/>
          <w:sz w:val="27"/>
          <w:szCs w:val="27"/>
          <w:lang w:eastAsia="ru-RU"/>
        </w:rPr>
        <w:t> (10 мг/24 час.) + В</w:t>
      </w:r>
      <w:r w:rsidRPr="00E51ED1">
        <w:rPr>
          <w:rFonts w:ascii="Times New Roman" w:eastAsia="Times New Roman" w:hAnsi="Times New Roman" w:cs="Times New Roman"/>
          <w:i/>
          <w:iCs/>
          <w:color w:val="333333"/>
          <w:spacing w:val="4"/>
          <w:sz w:val="20"/>
          <w:szCs w:val="20"/>
          <w:vertAlign w:val="subscript"/>
          <w:lang w:eastAsia="ru-RU"/>
        </w:rPr>
        <w:t>1 </w:t>
      </w:r>
      <w:r w:rsidRPr="00E51ED1">
        <w:rPr>
          <w:rFonts w:ascii="Times New Roman" w:eastAsia="Times New Roman" w:hAnsi="Times New Roman" w:cs="Times New Roman"/>
          <w:i/>
          <w:iCs/>
          <w:color w:val="333333"/>
          <w:spacing w:val="4"/>
          <w:sz w:val="27"/>
          <w:szCs w:val="27"/>
          <w:lang w:eastAsia="ru-RU"/>
        </w:rPr>
        <w:t>и В</w:t>
      </w:r>
      <w:r w:rsidRPr="00E51ED1">
        <w:rPr>
          <w:rFonts w:ascii="Times New Roman" w:eastAsia="Times New Roman" w:hAnsi="Times New Roman" w:cs="Times New Roman"/>
          <w:i/>
          <w:iCs/>
          <w:color w:val="333333"/>
          <w:spacing w:val="4"/>
          <w:sz w:val="20"/>
          <w:szCs w:val="20"/>
          <w:vertAlign w:val="subscript"/>
          <w:lang w:eastAsia="ru-RU"/>
        </w:rPr>
        <w:t>6</w:t>
      </w:r>
      <w:r w:rsidRPr="00E51ED1">
        <w:rPr>
          <w:rFonts w:ascii="Times New Roman" w:eastAsia="Times New Roman" w:hAnsi="Times New Roman" w:cs="Times New Roman"/>
          <w:i/>
          <w:iCs/>
          <w:color w:val="333333"/>
          <w:spacing w:val="4"/>
          <w:sz w:val="27"/>
          <w:szCs w:val="27"/>
          <w:lang w:eastAsia="ru-RU"/>
        </w:rPr>
        <w:t> (100 мг/24 час.) + А, С, Е, микроэлементы – «cтандартный» суточный состав + Zn</w:t>
      </w:r>
      <w:r w:rsidRPr="00E51ED1">
        <w:rPr>
          <w:rFonts w:ascii="Times New Roman" w:eastAsia="Times New Roman" w:hAnsi="Times New Roman" w:cs="Times New Roman"/>
          <w:i/>
          <w:iCs/>
          <w:color w:val="333333"/>
          <w:spacing w:val="4"/>
          <w:sz w:val="20"/>
          <w:szCs w:val="20"/>
          <w:vertAlign w:val="superscript"/>
          <w:lang w:eastAsia="ru-RU"/>
        </w:rPr>
        <w:t>+</w:t>
      </w:r>
      <w:r w:rsidRPr="00E51ED1">
        <w:rPr>
          <w:rFonts w:ascii="Times New Roman" w:eastAsia="Times New Roman" w:hAnsi="Times New Roman" w:cs="Times New Roman"/>
          <w:i/>
          <w:iCs/>
          <w:color w:val="333333"/>
          <w:spacing w:val="4"/>
          <w:sz w:val="27"/>
          <w:szCs w:val="27"/>
          <w:lang w:eastAsia="ru-RU"/>
        </w:rPr>
        <w:t> (15–20 мг/24 час. + 10 мг/л при наличии жидкого стула), электролиты – Na</w:t>
      </w:r>
      <w:r w:rsidRPr="00E51ED1">
        <w:rPr>
          <w:rFonts w:ascii="Times New Roman" w:eastAsia="Times New Roman" w:hAnsi="Times New Roman" w:cs="Times New Roman"/>
          <w:i/>
          <w:iCs/>
          <w:color w:val="333333"/>
          <w:spacing w:val="4"/>
          <w:sz w:val="20"/>
          <w:szCs w:val="20"/>
          <w:vertAlign w:val="superscript"/>
          <w:lang w:eastAsia="ru-RU"/>
        </w:rPr>
        <w:t>+</w:t>
      </w:r>
      <w:r w:rsidRPr="00E51ED1">
        <w:rPr>
          <w:rFonts w:ascii="Times New Roman" w:eastAsia="Times New Roman" w:hAnsi="Times New Roman" w:cs="Times New Roman"/>
          <w:i/>
          <w:iCs/>
          <w:color w:val="333333"/>
          <w:spacing w:val="4"/>
          <w:sz w:val="27"/>
          <w:szCs w:val="27"/>
          <w:lang w:eastAsia="ru-RU"/>
        </w:rPr>
        <w:t>, K</w:t>
      </w:r>
      <w:r w:rsidRPr="00E51ED1">
        <w:rPr>
          <w:rFonts w:ascii="Times New Roman" w:eastAsia="Times New Roman" w:hAnsi="Times New Roman" w:cs="Times New Roman"/>
          <w:i/>
          <w:iCs/>
          <w:color w:val="333333"/>
          <w:spacing w:val="4"/>
          <w:sz w:val="20"/>
          <w:szCs w:val="20"/>
          <w:vertAlign w:val="superscript"/>
          <w:lang w:eastAsia="ru-RU"/>
        </w:rPr>
        <w:t>+</w:t>
      </w:r>
      <w:r w:rsidRPr="00E51ED1">
        <w:rPr>
          <w:rFonts w:ascii="Times New Roman" w:eastAsia="Times New Roman" w:hAnsi="Times New Roman" w:cs="Times New Roman"/>
          <w:i/>
          <w:iCs/>
          <w:color w:val="333333"/>
          <w:spacing w:val="4"/>
          <w:sz w:val="27"/>
          <w:szCs w:val="27"/>
          <w:lang w:eastAsia="ru-RU"/>
        </w:rPr>
        <w:t>, Ca</w:t>
      </w:r>
      <w:r w:rsidRPr="00E51ED1">
        <w:rPr>
          <w:rFonts w:ascii="Times New Roman" w:eastAsia="Times New Roman" w:hAnsi="Times New Roman" w:cs="Times New Roman"/>
          <w:i/>
          <w:iCs/>
          <w:color w:val="333333"/>
          <w:spacing w:val="4"/>
          <w:sz w:val="20"/>
          <w:szCs w:val="20"/>
          <w:vertAlign w:val="superscript"/>
          <w:lang w:eastAsia="ru-RU"/>
        </w:rPr>
        <w:t>2+</w:t>
      </w:r>
      <w:r w:rsidRPr="00E51ED1">
        <w:rPr>
          <w:rFonts w:ascii="Times New Roman" w:eastAsia="Times New Roman" w:hAnsi="Times New Roman" w:cs="Times New Roman"/>
          <w:i/>
          <w:iCs/>
          <w:color w:val="333333"/>
          <w:spacing w:val="4"/>
          <w:sz w:val="27"/>
          <w:szCs w:val="27"/>
          <w:lang w:eastAsia="ru-RU"/>
        </w:rPr>
        <w:t> с учётом балансного расчёта и концентрации в плазме + P</w:t>
      </w:r>
      <w:r w:rsidRPr="00E51ED1">
        <w:rPr>
          <w:rFonts w:ascii="Times New Roman" w:eastAsia="Times New Roman" w:hAnsi="Times New Roman" w:cs="Times New Roman"/>
          <w:i/>
          <w:iCs/>
          <w:color w:val="333333"/>
          <w:spacing w:val="4"/>
          <w:sz w:val="20"/>
          <w:szCs w:val="20"/>
          <w:vertAlign w:val="superscript"/>
          <w:lang w:eastAsia="ru-RU"/>
        </w:rPr>
        <w:t>2+</w:t>
      </w:r>
      <w:r w:rsidRPr="00E51ED1">
        <w:rPr>
          <w:rFonts w:ascii="Times New Roman" w:eastAsia="Times New Roman" w:hAnsi="Times New Roman" w:cs="Times New Roman"/>
          <w:i/>
          <w:iCs/>
          <w:color w:val="333333"/>
          <w:spacing w:val="4"/>
          <w:sz w:val="27"/>
          <w:szCs w:val="27"/>
          <w:lang w:eastAsia="ru-RU"/>
        </w:rPr>
        <w:t> (&gt; 16 ммоль/24 час.) + Mg</w:t>
      </w:r>
      <w:r w:rsidRPr="00E51ED1">
        <w:rPr>
          <w:rFonts w:ascii="Times New Roman" w:eastAsia="Times New Roman" w:hAnsi="Times New Roman" w:cs="Times New Roman"/>
          <w:i/>
          <w:iCs/>
          <w:color w:val="333333"/>
          <w:spacing w:val="4"/>
          <w:sz w:val="20"/>
          <w:szCs w:val="20"/>
          <w:vertAlign w:val="superscript"/>
          <w:lang w:eastAsia="ru-RU"/>
        </w:rPr>
        <w:t>2+</w:t>
      </w:r>
      <w:r w:rsidRPr="00E51ED1">
        <w:rPr>
          <w:rFonts w:ascii="Times New Roman" w:eastAsia="Times New Roman" w:hAnsi="Times New Roman" w:cs="Times New Roman"/>
          <w:i/>
          <w:iCs/>
          <w:color w:val="333333"/>
          <w:spacing w:val="4"/>
          <w:sz w:val="27"/>
          <w:szCs w:val="27"/>
          <w:lang w:eastAsia="ru-RU"/>
        </w:rPr>
        <w:t> (&gt; 200 мг/24 час.);</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 показано раннее начало нутриционной поддержки в сроки 24–36 час. интенсивной терапии (протоколы раннего энтерального зондового питания);</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 у больных с тяжёлым течением гнойно-воспалительного процесса следует избегать введения полной дозы питания в первую неделю, нужно начинать с низкодозового кормления (до 500 ккал/сут.), расширяя объём только при нормальной переносимости.</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 xml:space="preserve">При проведении инфузионно-трансфузионной терапии необходимо предусматривать не только коррекцию гомеостаза и дезинтоксикацию [1, 13, 14, 19, 22, 36, 51, 70, 99], но и определение показаний для назначения дополнительного парентерального питания по общепринятому протоколу для </w:t>
      </w:r>
      <w:r w:rsidRPr="00E51ED1">
        <w:rPr>
          <w:rFonts w:ascii="Times New Roman" w:eastAsia="Times New Roman" w:hAnsi="Times New Roman" w:cs="Times New Roman"/>
          <w:i/>
          <w:iCs/>
          <w:color w:val="333333"/>
          <w:spacing w:val="4"/>
          <w:sz w:val="27"/>
          <w:szCs w:val="27"/>
          <w:lang w:eastAsia="ru-RU"/>
        </w:rPr>
        <w:lastRenderedPageBreak/>
        <w:t>ослабленных пациентов, энергетическая ценность которого должна составлять 1500-2000 ккал/сут., а вместе с энтеральным – до 3000-3500 ккал/сут. [155, 156].</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Реализация стандартного протокола энтерального питания должна осуществляться при условии обязательного лабораторного контроля. При выявлении у пациента  недостаточности питания средней или тяжёлой степени, смешенного типа (по висцеральному и соматическому пулу белков), требующей выполнения расширенного объёма обследования, проведения индивидуальных расчётов и составления индивидуальной карты лечебного питания для конкретного пациента, при необходимости решения вопроса о недостаточности проведения только энтерального питания и дополнительного назначения парентерального питания, а также при отсутствии эффекта от проводимого нутриционного питания по стандартной схеме, необходимо проведение консультации со специалистами междисциплинарной команды по нутриционной поддержке (по организации и проведению лечебного энтерального и парентерального питания), которая должна быть создана в каждом лечебном учреждении.</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При лечении пациентов с ОВЗ ЧЛЛ целесообразно руководствоваться общепринятыми Методическими рекомендациями Федерации анестезиологов и реаниматологов для пациентов по периоперационной нутритивной поддержке (2021 г.) и рекомендациями Ассоциации специалистов по парентеральному и энтеральному питанию при выполнении хирургических вмешательств в области головы и шеи [103, 157, 158].</w:t>
      </w:r>
    </w:p>
    <w:p w:rsidR="00E51ED1" w:rsidRPr="00E51ED1" w:rsidRDefault="00E51ED1" w:rsidP="00E51ED1">
      <w:pPr>
        <w:numPr>
          <w:ilvl w:val="0"/>
          <w:numId w:val="5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Рекомендовано</w:t>
      </w:r>
      <w:r w:rsidRPr="00E51ED1">
        <w:rPr>
          <w:rFonts w:ascii="Times New Roman" w:eastAsia="Times New Roman" w:hAnsi="Times New Roman" w:cs="Times New Roman"/>
          <w:color w:val="222222"/>
          <w:spacing w:val="4"/>
          <w:sz w:val="27"/>
          <w:szCs w:val="27"/>
          <w:lang w:eastAsia="ru-RU"/>
        </w:rPr>
        <w:t> применение антикоагулянтной терапии Антитромботическими средствами (Группа АТХ: B01A) при лечении пациентов с диффузным остеомиелитом верхней челюсти, при осложнённом течении воспалительных заболеваний челюстей, декомпенсированных формах сопутствующей патологии в анамнезе с соблюдением протоколов профилактики развития тромбоэмболических осложнений при хирургическом лечении и профилактики ВТЭО в рамках модифицированной шкалы Caprini, 2012 г. [147, 166, 167].</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 </w:t>
      </w:r>
      <w:r w:rsidRPr="00E51ED1">
        <w:rPr>
          <w:rFonts w:ascii="Times New Roman" w:eastAsia="Times New Roman" w:hAnsi="Times New Roman" w:cs="Times New Roman"/>
          <w:i/>
          <w:iCs/>
          <w:color w:val="333333"/>
          <w:spacing w:val="4"/>
          <w:sz w:val="27"/>
          <w:szCs w:val="27"/>
          <w:lang w:eastAsia="ru-RU"/>
        </w:rPr>
        <w:t xml:space="preserve">при назначении антитромботических препаратов (Группа АТХ: B01A)  следует оценивать неблагоприятные факторы для прогнозирования степени риска развития у пациента ВТЭО, используя  шкалу оценки тромбоэмболического рисков в зависимости от количества </w:t>
      </w:r>
      <w:r w:rsidRPr="00E51ED1">
        <w:rPr>
          <w:rFonts w:ascii="Times New Roman" w:eastAsia="Times New Roman" w:hAnsi="Times New Roman" w:cs="Times New Roman"/>
          <w:i/>
          <w:iCs/>
          <w:color w:val="333333"/>
          <w:spacing w:val="4"/>
          <w:sz w:val="27"/>
          <w:szCs w:val="27"/>
          <w:lang w:eastAsia="ru-RU"/>
        </w:rPr>
        <w:lastRenderedPageBreak/>
        <w:t>полученных при подсчёте баллов (</w:t>
      </w:r>
      <w:r w:rsidRPr="00E51ED1">
        <w:rPr>
          <w:rFonts w:ascii="Times New Roman" w:eastAsia="Times New Roman" w:hAnsi="Times New Roman" w:cs="Times New Roman"/>
          <w:b/>
          <w:bCs/>
          <w:i/>
          <w:iCs/>
          <w:color w:val="333333"/>
          <w:spacing w:val="4"/>
          <w:sz w:val="27"/>
          <w:szCs w:val="27"/>
          <w:lang w:eastAsia="ru-RU"/>
        </w:rPr>
        <w:t>Приложение Г2</w:t>
      </w:r>
      <w:r w:rsidRPr="00E51ED1">
        <w:rPr>
          <w:rFonts w:ascii="Times New Roman" w:eastAsia="Times New Roman" w:hAnsi="Times New Roman" w:cs="Times New Roman"/>
          <w:i/>
          <w:iCs/>
          <w:color w:val="333333"/>
          <w:spacing w:val="4"/>
          <w:sz w:val="27"/>
          <w:szCs w:val="27"/>
          <w:lang w:eastAsia="ru-RU"/>
        </w:rPr>
        <w:t>),  руководствуясь общепринятым порядком проведения периоперационной  профилактики венозных тромбоэмболических осложнений (ВТЭО) у хирургических больных, изложенным в Клинических рекомендациях по диагностике, лечению и профилактике венозных тромбоэмболических осложнений в травматологии и ортопедии общества специалистов по неотложной кардиологии, Ассоциация травматологов-ортопедов России, принятых в 2025 г. [144, 167].</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При остеомиелите верхней челюсти и при осложнениях (абсцессах и флегмонах подглазничной, скуловой областей, глазницы) существует опасность тромбоза вен лица и синусов головного мозга. С целью профилактики развития тромбофлебита вен лица, а также для медикаментозной профилактики ДВС  - синдрома необходимо применять а</w:t>
      </w:r>
      <w:hyperlink r:id="rId36" w:history="1">
        <w:r w:rsidRPr="00E51ED1">
          <w:rPr>
            <w:rFonts w:ascii="Times New Roman" w:eastAsia="Times New Roman" w:hAnsi="Times New Roman" w:cs="Times New Roman"/>
            <w:i/>
            <w:iCs/>
            <w:color w:val="0000FF"/>
            <w:spacing w:val="4"/>
            <w:sz w:val="27"/>
            <w:szCs w:val="27"/>
            <w:u w:val="single"/>
            <w:lang w:eastAsia="ru-RU"/>
          </w:rPr>
          <w:t>нтитромботические средства (антикоагулянты)</w:t>
        </w:r>
      </w:hyperlink>
      <w:r w:rsidRPr="00E51ED1">
        <w:rPr>
          <w:rFonts w:ascii="Times New Roman" w:eastAsia="Times New Roman" w:hAnsi="Times New Roman" w:cs="Times New Roman"/>
          <w:i/>
          <w:iCs/>
          <w:color w:val="333333"/>
          <w:spacing w:val="4"/>
          <w:sz w:val="27"/>
          <w:szCs w:val="27"/>
          <w:lang w:eastAsia="ru-RU"/>
        </w:rPr>
        <w:t> в соответствии с инструкцией фармакологического препарата. С этой целью могут быть использованы как препараты нефракционированного гепарина (Гепарин натрия**) (АТХ:</w:t>
      </w: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B01AB01), так и препараты низкомолекулярного гепарина (группа Гепарина - АТХ: B01AB).</w:t>
      </w:r>
      <w:r w:rsidRPr="00E51ED1">
        <w:rPr>
          <w:rFonts w:ascii="Times New Roman" w:eastAsia="Times New Roman" w:hAnsi="Times New Roman" w:cs="Times New Roman"/>
          <w:b/>
          <w:bCs/>
          <w:i/>
          <w:iCs/>
          <w:color w:val="333333"/>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При планировании  хирургического вмешательства или других инвазивных процедур пациенты с тромбозом поверхностных вен не должны получать препараты</w:t>
      </w:r>
      <w:hyperlink r:id="rId37" w:history="1">
        <w:r w:rsidRPr="00E51ED1">
          <w:rPr>
            <w:rFonts w:ascii="Times New Roman" w:eastAsia="Times New Roman" w:hAnsi="Times New Roman" w:cs="Times New Roman"/>
            <w:i/>
            <w:iCs/>
            <w:color w:val="0000FF"/>
            <w:spacing w:val="4"/>
            <w:sz w:val="27"/>
            <w:szCs w:val="27"/>
            <w:u w:val="single"/>
            <w:lang w:eastAsia="ru-RU"/>
          </w:rPr>
          <w:t>,</w:t>
        </w:r>
      </w:hyperlink>
      <w:r w:rsidRPr="00E51ED1">
        <w:rPr>
          <w:rFonts w:ascii="Times New Roman" w:eastAsia="Times New Roman" w:hAnsi="Times New Roman" w:cs="Times New Roman"/>
          <w:i/>
          <w:iCs/>
          <w:color w:val="333333"/>
          <w:spacing w:val="4"/>
          <w:sz w:val="27"/>
          <w:szCs w:val="27"/>
          <w:lang w:eastAsia="ru-RU"/>
        </w:rPr>
        <w:t> в течение не менее 24 часов перед хирургической операцией, с  возобновлением их применения не менее чем через 6 часов после восстановления гемостаза в профилактических дозах [166]. Введение препаратов необходимо проводить под контролем коагулограммы (1 раз в 2-3 дня при использовании препарата нефракционированного гепарина (АТХ: B01AB01) в профилактических дозах и 1 раз в сутки – при назначении препарата нефракционированного гепарина (АТХ:</w:t>
      </w: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 B01AB01) в лечебных дозах) [98].</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Индивидуальный протокол антитромботической терапии у пациентов с ГВП в челюстях, объём и сроки проведения дополнительных лабораторных исследований целесообразно согласовывать с врачом клинической лабораторной диагностики.</w:t>
      </w:r>
    </w:p>
    <w:p w:rsidR="00E51ED1" w:rsidRPr="00E51ED1" w:rsidRDefault="00E51ED1" w:rsidP="00E51ED1">
      <w:pPr>
        <w:numPr>
          <w:ilvl w:val="0"/>
          <w:numId w:val="5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Рекомендовано</w:t>
      </w:r>
      <w:r w:rsidRPr="00E51ED1">
        <w:rPr>
          <w:rFonts w:ascii="Times New Roman" w:eastAsia="Times New Roman" w:hAnsi="Times New Roman" w:cs="Times New Roman"/>
          <w:color w:val="222222"/>
          <w:spacing w:val="4"/>
          <w:sz w:val="27"/>
          <w:szCs w:val="27"/>
          <w:lang w:eastAsia="ru-RU"/>
        </w:rPr>
        <w:t> применение гипосенсибилизирующей терапии А</w:t>
      </w:r>
      <w:hyperlink r:id="rId38" w:history="1">
        <w:r w:rsidRPr="00E51ED1">
          <w:rPr>
            <w:rFonts w:ascii="Times New Roman" w:eastAsia="Times New Roman" w:hAnsi="Times New Roman" w:cs="Times New Roman"/>
            <w:color w:val="0000FF"/>
            <w:spacing w:val="4"/>
            <w:sz w:val="27"/>
            <w:szCs w:val="27"/>
            <w:u w:val="single"/>
            <w:lang w:eastAsia="ru-RU"/>
          </w:rPr>
          <w:t>нтигистаминными средствами системного действия</w:t>
        </w:r>
      </w:hyperlink>
      <w:r w:rsidRPr="00E51ED1">
        <w:rPr>
          <w:rFonts w:ascii="Times New Roman" w:eastAsia="Times New Roman" w:hAnsi="Times New Roman" w:cs="Times New Roman"/>
          <w:color w:val="222222"/>
          <w:spacing w:val="4"/>
          <w:sz w:val="27"/>
          <w:szCs w:val="27"/>
          <w:lang w:eastAsia="ru-RU"/>
        </w:rPr>
        <w:t> (АТХ: </w:t>
      </w:r>
      <w:hyperlink r:id="rId39" w:history="1">
        <w:r w:rsidRPr="00E51ED1">
          <w:rPr>
            <w:rFonts w:ascii="Times New Roman" w:eastAsia="Times New Roman" w:hAnsi="Times New Roman" w:cs="Times New Roman"/>
            <w:color w:val="0000FF"/>
            <w:spacing w:val="4"/>
            <w:sz w:val="27"/>
            <w:szCs w:val="27"/>
            <w:u w:val="single"/>
            <w:lang w:eastAsia="ru-RU"/>
          </w:rPr>
          <w:t>R06A</w:t>
        </w:r>
      </w:hyperlink>
      <w:r w:rsidRPr="00E51ED1">
        <w:rPr>
          <w:rFonts w:ascii="Times New Roman" w:eastAsia="Times New Roman" w:hAnsi="Times New Roman" w:cs="Times New Roman"/>
          <w:color w:val="222222"/>
          <w:spacing w:val="4"/>
          <w:sz w:val="27"/>
          <w:szCs w:val="27"/>
          <w:lang w:eastAsia="ru-RU"/>
        </w:rPr>
        <w:t>) при лечении пациентов с воспалительными заболеваниями челюстей в соответствии с инструкцией фармакологического препарата с целью снижения гиперэргического фона течения процесса [7, 21, 73,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lastRenderedPageBreak/>
        <w:t>Комментарии:</w:t>
      </w:r>
      <w:r w:rsidRPr="00E51ED1">
        <w:rPr>
          <w:rFonts w:ascii="Times New Roman" w:eastAsia="Times New Roman" w:hAnsi="Times New Roman" w:cs="Times New Roman"/>
          <w:b/>
          <w:bCs/>
          <w:i/>
          <w:iCs/>
          <w:color w:val="333333"/>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антигистаминные препараты применяются с целью купирования нежелательных эффектов биологически активных веществ, образующихся вследствие катаболических процессов в «очаге» воспаления, особенно показано при гиперэргическом типе течения воспалительного процесса. Поэтому использование антигистаминных средств системного действия (АТХ: R06A) является патогенетически обоснованным [7, 20, 73].</w:t>
      </w:r>
    </w:p>
    <w:p w:rsidR="00E51ED1" w:rsidRPr="00E51ED1" w:rsidRDefault="00E51ED1" w:rsidP="00E51ED1">
      <w:pPr>
        <w:numPr>
          <w:ilvl w:val="0"/>
          <w:numId w:val="5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Рекомендовано</w:t>
      </w:r>
      <w:r w:rsidRPr="00E51ED1">
        <w:rPr>
          <w:rFonts w:ascii="Times New Roman" w:eastAsia="Times New Roman" w:hAnsi="Times New Roman" w:cs="Times New Roman"/>
          <w:color w:val="222222"/>
          <w:spacing w:val="4"/>
          <w:sz w:val="27"/>
          <w:szCs w:val="27"/>
          <w:lang w:eastAsia="ru-RU"/>
        </w:rPr>
        <w:t> применение Нестероидных противовоспалительных и противоревматических препаратов (НПВС) - АТХ: M01A, а также других Анальгетиков и антипиретиков (АТХ: N02B) при лечении пациентов с периоститом и остеомиелитом челюстей в соответствии с инструкцией фармакологического препарата с целью купирования болевого синдрома [7, 73, 103].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w:t>
      </w:r>
      <w:r w:rsidRPr="00E51ED1">
        <w:rPr>
          <w:rFonts w:ascii="Times New Roman" w:eastAsia="Times New Roman" w:hAnsi="Times New Roman" w:cs="Times New Roman"/>
          <w:b/>
          <w:bCs/>
          <w:i/>
          <w:iCs/>
          <w:color w:val="333333"/>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при лечении больных с ООВП в челюстях возможно назначение препаратов из группы НПВП: Метамизол натрия (АТХ: </w:t>
      </w:r>
      <w:hyperlink r:id="rId40" w:history="1">
        <w:r w:rsidRPr="00E51ED1">
          <w:rPr>
            <w:rFonts w:ascii="Times New Roman" w:eastAsia="Times New Roman" w:hAnsi="Times New Roman" w:cs="Times New Roman"/>
            <w:i/>
            <w:iCs/>
            <w:color w:val="0000FF"/>
            <w:spacing w:val="4"/>
            <w:sz w:val="27"/>
            <w:szCs w:val="27"/>
            <w:u w:val="single"/>
            <w:lang w:eastAsia="ru-RU"/>
          </w:rPr>
          <w:t>N02BB02</w:t>
        </w:r>
      </w:hyperlink>
      <w:r w:rsidRPr="00E51ED1">
        <w:rPr>
          <w:rFonts w:ascii="Times New Roman" w:eastAsia="Times New Roman" w:hAnsi="Times New Roman" w:cs="Times New Roman"/>
          <w:i/>
          <w:iCs/>
          <w:color w:val="333333"/>
          <w:spacing w:val="4"/>
          <w:sz w:val="27"/>
          <w:szCs w:val="27"/>
          <w:lang w:eastAsia="ru-RU"/>
        </w:rPr>
        <w:t>), Парацетамол** (АТХ: </w:t>
      </w:r>
      <w:hyperlink r:id="rId41" w:history="1">
        <w:r w:rsidRPr="00E51ED1">
          <w:rPr>
            <w:rFonts w:ascii="Times New Roman" w:eastAsia="Times New Roman" w:hAnsi="Times New Roman" w:cs="Times New Roman"/>
            <w:i/>
            <w:iCs/>
            <w:color w:val="0000FF"/>
            <w:spacing w:val="4"/>
            <w:sz w:val="27"/>
            <w:szCs w:val="27"/>
            <w:u w:val="single"/>
            <w:lang w:eastAsia="ru-RU"/>
          </w:rPr>
          <w:t>N02BE01</w:t>
        </w:r>
      </w:hyperlink>
      <w:r w:rsidRPr="00E51ED1">
        <w:rPr>
          <w:rFonts w:ascii="Times New Roman" w:eastAsia="Times New Roman" w:hAnsi="Times New Roman" w:cs="Times New Roman"/>
          <w:i/>
          <w:iCs/>
          <w:color w:val="333333"/>
          <w:spacing w:val="4"/>
          <w:sz w:val="27"/>
          <w:szCs w:val="27"/>
          <w:lang w:eastAsia="ru-RU"/>
        </w:rPr>
        <w:t>), Ацетилсалициловая кислота (АТХ: </w:t>
      </w:r>
      <w:hyperlink r:id="rId42" w:history="1">
        <w:r w:rsidRPr="00E51ED1">
          <w:rPr>
            <w:rFonts w:ascii="Times New Roman" w:eastAsia="Times New Roman" w:hAnsi="Times New Roman" w:cs="Times New Roman"/>
            <w:i/>
            <w:iCs/>
            <w:color w:val="0000FF"/>
            <w:spacing w:val="4"/>
            <w:sz w:val="27"/>
            <w:szCs w:val="27"/>
            <w:u w:val="single"/>
            <w:lang w:eastAsia="ru-RU"/>
          </w:rPr>
          <w:t>N02BA01</w:t>
        </w:r>
      </w:hyperlink>
      <w:r w:rsidRPr="00E51ED1">
        <w:rPr>
          <w:rFonts w:ascii="Times New Roman" w:eastAsia="Times New Roman" w:hAnsi="Times New Roman" w:cs="Times New Roman"/>
          <w:i/>
          <w:iCs/>
          <w:color w:val="333333"/>
          <w:spacing w:val="4"/>
          <w:sz w:val="27"/>
          <w:szCs w:val="27"/>
          <w:lang w:eastAsia="ru-RU"/>
        </w:rPr>
        <w:t>), Ибупрофен** (АТХ: </w:t>
      </w:r>
      <w:hyperlink r:id="rId43" w:history="1">
        <w:r w:rsidRPr="00E51ED1">
          <w:rPr>
            <w:rFonts w:ascii="Times New Roman" w:eastAsia="Times New Roman" w:hAnsi="Times New Roman" w:cs="Times New Roman"/>
            <w:i/>
            <w:iCs/>
            <w:color w:val="0000FF"/>
            <w:spacing w:val="4"/>
            <w:sz w:val="27"/>
            <w:szCs w:val="27"/>
            <w:u w:val="single"/>
            <w:lang w:eastAsia="ru-RU"/>
          </w:rPr>
          <w:t>M01AE01</w:t>
        </w:r>
      </w:hyperlink>
      <w:r w:rsidRPr="00E51ED1">
        <w:rPr>
          <w:rFonts w:ascii="Times New Roman" w:eastAsia="Times New Roman" w:hAnsi="Times New Roman" w:cs="Times New Roman"/>
          <w:i/>
          <w:iCs/>
          <w:color w:val="333333"/>
          <w:spacing w:val="4"/>
          <w:sz w:val="27"/>
          <w:szCs w:val="27"/>
          <w:lang w:eastAsia="ru-RU"/>
        </w:rPr>
        <w:t>), Индометацин (АТХ: </w:t>
      </w:r>
      <w:hyperlink r:id="rId44" w:history="1">
        <w:r w:rsidRPr="00E51ED1">
          <w:rPr>
            <w:rFonts w:ascii="Times New Roman" w:eastAsia="Times New Roman" w:hAnsi="Times New Roman" w:cs="Times New Roman"/>
            <w:i/>
            <w:iCs/>
            <w:color w:val="0000FF"/>
            <w:spacing w:val="4"/>
            <w:sz w:val="27"/>
            <w:szCs w:val="27"/>
            <w:u w:val="single"/>
            <w:lang w:eastAsia="ru-RU"/>
          </w:rPr>
          <w:t>M01AB01</w:t>
        </w:r>
      </w:hyperlink>
      <w:r w:rsidRPr="00E51ED1">
        <w:rPr>
          <w:rFonts w:ascii="Times New Roman" w:eastAsia="Times New Roman" w:hAnsi="Times New Roman" w:cs="Times New Roman"/>
          <w:i/>
          <w:iCs/>
          <w:color w:val="333333"/>
          <w:spacing w:val="4"/>
          <w:sz w:val="27"/>
          <w:szCs w:val="27"/>
          <w:lang w:eastAsia="ru-RU"/>
        </w:rPr>
        <w:t>),  Кетопрофен** ( АТХ: М01АЕ03), Кеторолак** (АТХ: </w:t>
      </w:r>
      <w:hyperlink r:id="rId45" w:history="1">
        <w:r w:rsidRPr="00E51ED1">
          <w:rPr>
            <w:rFonts w:ascii="Times New Roman" w:eastAsia="Times New Roman" w:hAnsi="Times New Roman" w:cs="Times New Roman"/>
            <w:i/>
            <w:iCs/>
            <w:color w:val="0000FF"/>
            <w:spacing w:val="4"/>
            <w:sz w:val="27"/>
            <w:szCs w:val="27"/>
            <w:u w:val="single"/>
            <w:lang w:eastAsia="ru-RU"/>
          </w:rPr>
          <w:t>M01AB15</w:t>
        </w:r>
      </w:hyperlink>
      <w:r w:rsidRPr="00E51ED1">
        <w:rPr>
          <w:rFonts w:ascii="Times New Roman" w:eastAsia="Times New Roman" w:hAnsi="Times New Roman" w:cs="Times New Roman"/>
          <w:i/>
          <w:iCs/>
          <w:color w:val="333333"/>
          <w:spacing w:val="4"/>
          <w:sz w:val="27"/>
          <w:szCs w:val="27"/>
          <w:lang w:eastAsia="ru-RU"/>
        </w:rPr>
        <w:t>) [7, 73].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При назначении ЛП с целью купирования болевого синдрома целесообразно пользоваться визуальной аналоговой шкалой боли (ВАШ) [127-130] </w:t>
      </w:r>
      <w:r w:rsidRPr="00E51ED1">
        <w:rPr>
          <w:rFonts w:ascii="Times New Roman" w:eastAsia="Times New Roman" w:hAnsi="Times New Roman" w:cs="Times New Roman"/>
          <w:b/>
          <w:bCs/>
          <w:i/>
          <w:iCs/>
          <w:color w:val="333333"/>
          <w:spacing w:val="4"/>
          <w:sz w:val="27"/>
          <w:szCs w:val="27"/>
          <w:lang w:eastAsia="ru-RU"/>
        </w:rPr>
        <w:t>Приложение Г1.</w:t>
      </w:r>
    </w:p>
    <w:p w:rsidR="00E51ED1" w:rsidRPr="00E51ED1" w:rsidRDefault="00E51ED1" w:rsidP="00E51ED1">
      <w:pPr>
        <w:numPr>
          <w:ilvl w:val="0"/>
          <w:numId w:val="5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Не рекомендовано</w:t>
      </w:r>
      <w:r w:rsidRPr="00E51ED1">
        <w:rPr>
          <w:rFonts w:ascii="Times New Roman" w:eastAsia="Times New Roman" w:hAnsi="Times New Roman" w:cs="Times New Roman"/>
          <w:color w:val="222222"/>
          <w:spacing w:val="4"/>
          <w:sz w:val="27"/>
          <w:szCs w:val="27"/>
          <w:lang w:eastAsia="ru-RU"/>
        </w:rPr>
        <w:t> рутинное назначение системной иммунокорригирующей терапии без предварительного первичного приёма (осмотра, консультации) врача-аллерголога-иммунолога при лечении гнойно-некротических заболеваний ЧЛЛ и шеи [21, 23, 26, 39, 47, 56, 90, 103, 145].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 </w:t>
      </w:r>
      <w:r w:rsidRPr="00E51ED1">
        <w:rPr>
          <w:rFonts w:ascii="Times New Roman" w:eastAsia="Times New Roman" w:hAnsi="Times New Roman" w:cs="Times New Roman"/>
          <w:i/>
          <w:iCs/>
          <w:color w:val="333333"/>
          <w:spacing w:val="4"/>
          <w:sz w:val="27"/>
          <w:szCs w:val="27"/>
          <w:lang w:eastAsia="ru-RU"/>
        </w:rPr>
        <w:t xml:space="preserve">в настоящее время не доказано положительное влияние иммуномодуляторов на течение и исход воспалительных заболеваний ЧЛЛ и шеи при парентеральном пути введения. Решение о назначении данной группы препаратов отдельным категориям пациентов необходимо согласовывать с врачебной комиссией только после проведения иммунологического исследования крови и местного биоматериала, консультации клинического иммунолога, при отсутствии общих и местных противопоказаний [21, 23, 26, </w:t>
      </w:r>
      <w:r w:rsidRPr="00E51ED1">
        <w:rPr>
          <w:rFonts w:ascii="Times New Roman" w:eastAsia="Times New Roman" w:hAnsi="Times New Roman" w:cs="Times New Roman"/>
          <w:i/>
          <w:iCs/>
          <w:color w:val="333333"/>
          <w:spacing w:val="4"/>
          <w:sz w:val="27"/>
          <w:szCs w:val="27"/>
          <w:lang w:eastAsia="ru-RU"/>
        </w:rPr>
        <w:lastRenderedPageBreak/>
        <w:t>39, 47, 56, 90, 103]. Имеются отдельные клинико-экспериментальные исследования с обоснованием эффективности местного применения иммунокоррегирующих препаратов, например, на основе рекомбинантного интерлейкина-1-бета человека (ИЛ-1-бета) – Интерлейкин-1 бета (АТХ: </w:t>
      </w:r>
      <w:hyperlink r:id="rId46" w:history="1">
        <w:r w:rsidRPr="00E51ED1">
          <w:rPr>
            <w:rFonts w:ascii="Times New Roman" w:eastAsia="Times New Roman" w:hAnsi="Times New Roman" w:cs="Times New Roman"/>
            <w:i/>
            <w:iCs/>
            <w:color w:val="0000FF"/>
            <w:spacing w:val="4"/>
            <w:sz w:val="27"/>
            <w:szCs w:val="27"/>
            <w:u w:val="single"/>
            <w:lang w:eastAsia="ru-RU"/>
          </w:rPr>
          <w:t>L03AX) </w:t>
        </w:r>
      </w:hyperlink>
      <w:r w:rsidRPr="00E51ED1">
        <w:rPr>
          <w:rFonts w:ascii="Times New Roman" w:eastAsia="Times New Roman" w:hAnsi="Times New Roman" w:cs="Times New Roman"/>
          <w:i/>
          <w:iCs/>
          <w:color w:val="333333"/>
          <w:spacing w:val="4"/>
          <w:sz w:val="27"/>
          <w:szCs w:val="27"/>
          <w:lang w:eastAsia="ru-RU"/>
        </w:rPr>
        <w:t>[103]. Однако для внедрения методики требуется проведение многоцентровых клинических исследований.</w:t>
      </w:r>
    </w:p>
    <w:p w:rsidR="00E51ED1" w:rsidRPr="00E51ED1" w:rsidRDefault="00E51ED1" w:rsidP="00E51ED1">
      <w:pPr>
        <w:numPr>
          <w:ilvl w:val="0"/>
          <w:numId w:val="5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Рекомендовано</w:t>
      </w:r>
      <w:r w:rsidRPr="00E51ED1">
        <w:rPr>
          <w:rFonts w:ascii="Times New Roman" w:eastAsia="Times New Roman" w:hAnsi="Times New Roman" w:cs="Times New Roman"/>
          <w:color w:val="222222"/>
          <w:spacing w:val="4"/>
          <w:sz w:val="27"/>
          <w:szCs w:val="27"/>
          <w:lang w:eastAsia="ru-RU"/>
        </w:rPr>
        <w:t> при лечении больных с остеомиелитами челюстей применять гипербарическую оксигенацию (при наличии технической возможности) с целью сокращение сроков регенерации и снижение микробной обсеменённости раневого отделяемого по сравнению с традиционным лечением [122, 123, 140].</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w:t>
      </w:r>
      <w:r w:rsidRPr="00E51ED1">
        <w:rPr>
          <w:rFonts w:ascii="Times New Roman" w:eastAsia="Times New Roman" w:hAnsi="Times New Roman" w:cs="Times New Roman"/>
          <w:i/>
          <w:iCs/>
          <w:color w:val="333333"/>
          <w:spacing w:val="4"/>
          <w:sz w:val="27"/>
          <w:szCs w:val="27"/>
          <w:lang w:eastAsia="ru-RU"/>
        </w:rPr>
        <w:t> гипербарическая оксигенация уменьшает гипоксию тканей, оказывает патогенетически обоснованные антибактериальный, антиацидотический, репаративный эффекты, в том числе на течение гнойно-воспалительного процесса челюстно-лицевой локализации [47, 74, 122, 123].</w:t>
      </w:r>
    </w:p>
    <w:p w:rsidR="00E51ED1" w:rsidRPr="00E51ED1" w:rsidRDefault="00E51ED1" w:rsidP="00E51ED1">
      <w:pPr>
        <w:numPr>
          <w:ilvl w:val="0"/>
          <w:numId w:val="5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Рекомендовано </w:t>
      </w:r>
      <w:r w:rsidRPr="00E51ED1">
        <w:rPr>
          <w:rFonts w:ascii="Times New Roman" w:eastAsia="Times New Roman" w:hAnsi="Times New Roman" w:cs="Times New Roman"/>
          <w:color w:val="222222"/>
          <w:spacing w:val="4"/>
          <w:sz w:val="27"/>
          <w:szCs w:val="27"/>
          <w:lang w:eastAsia="ru-RU"/>
        </w:rPr>
        <w:t>в лечении больных с остеомиелитами челюстей при вялотекущем и хроническом характере течения процесса применять озонотерапию с целью нормализации общей и местной симптоматики, достижения выраженного иммунокорригирующего действия на систему неспецифической иммунорезистентности, клеточный и гуморальный иммунитет, устранения исходного дисбаланса в системе «перекисного окисления липидов–антиоксидантной защиты» [141, 142, 143].</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w:t>
      </w:r>
      <w:r w:rsidRPr="00E51ED1">
        <w:rPr>
          <w:rFonts w:ascii="Times New Roman" w:eastAsia="Times New Roman" w:hAnsi="Times New Roman" w:cs="Times New Roman"/>
          <w:i/>
          <w:iCs/>
          <w:color w:val="333333"/>
          <w:spacing w:val="4"/>
          <w:sz w:val="27"/>
          <w:szCs w:val="27"/>
          <w:lang w:eastAsia="ru-RU"/>
        </w:rPr>
        <w:t> медицинский озон обладает антибактериальным, дезинтоксикационным, антигипоксическим, дозозависимым иммуномодулирующим, опосредованным антиоксидантным, антиагрегационным патогенетически обоснованным действием. В связи с чем данные методы активно используются в лечении остеомиелитов челюстей, особенно у больных с вялотекущим и хроническим воспалительным процессом. Однако они противопоказаны при гиперергическом варианте течения гнойно-некротического процесса челюстей. Пути введения озона: внутривенный или местное применение, возможно их сочетание [40, 55].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0"/>
          <w:szCs w:val="20"/>
          <w:vertAlign w:val="superscript"/>
          <w:lang w:eastAsia="ru-RU"/>
        </w:rPr>
        <w:lastRenderedPageBreak/>
        <w:t>1 </w:t>
      </w:r>
      <w:r w:rsidRPr="00E51ED1">
        <w:rPr>
          <w:rFonts w:ascii="Times New Roman" w:eastAsia="Times New Roman" w:hAnsi="Times New Roman" w:cs="Times New Roman"/>
          <w:i/>
          <w:iCs/>
          <w:color w:val="333333"/>
          <w:spacing w:val="4"/>
          <w:sz w:val="27"/>
          <w:szCs w:val="27"/>
          <w:lang w:eastAsia="ru-RU"/>
        </w:rPr>
        <w:t>Данное уравнение позволяет рассчитать клиренс креатинина при условии, что уровень сывороточного креатинина стабилен (https://www.msdmanuals.com/medical-calculators/CreatinineCl_CG-ru.htm).</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0"/>
          <w:szCs w:val="20"/>
          <w:vertAlign w:val="superscript"/>
          <w:lang w:eastAsia="ru-RU"/>
        </w:rPr>
        <w:t>2 </w:t>
      </w:r>
      <w:r w:rsidRPr="00E51ED1">
        <w:rPr>
          <w:rFonts w:ascii="Times New Roman" w:eastAsia="Times New Roman" w:hAnsi="Times New Roman" w:cs="Times New Roman"/>
          <w:i/>
          <w:iCs/>
          <w:color w:val="333333"/>
          <w:spacing w:val="4"/>
          <w:sz w:val="27"/>
          <w:szCs w:val="27"/>
          <w:lang w:eastAsia="ru-RU"/>
        </w:rPr>
        <w:t>Hohl MK, Lüscher KP, Tichý J, Stiner M, Fridrich R, Gruber UF, Käser O. Prevention of postoperative thromboembolism by dextran 70 or low-dose heparin. Obstetrics and Gynecology. 1980;55(4):497-500. 121. Krüger K, Seifart W, Freudenberg R. Infusion incidents with dextran. Anaesthesiologie und Reanimation. 1988;13(5):259. 122. Laxenaire MC, Charpentier C, Feldman L. Anaphylactoid reactions to colloid plasma substitutes: incidence, risk factors, mechanisms. A French multicenter prospective study. In Annales Francaises d’Anesthesie et de Reanimation. 1994;13(3):301-310. 123. Matheson NA, Diomi P. Renal failure after the administration of dextran 40. Surgery, Gynecology &amp; Obstetrics. 1970;131(4):661. 124. Rasmussen KC, Hoejskov M, Johansson PI, Kridina I, Kistorp T, Salling L, Nielsen HB, Ruhnau B, Pedersen T, Secher NH. Coagulation competence for predicting perioperative hemorrhage in patients treated with lactated Ringer’s vs. Dextran — a randomized controlled trial. BMC Anesthesiology. 2015; 15(1):178.</w:t>
      </w:r>
    </w:p>
    <w:p w:rsidR="00E51ED1" w:rsidRPr="00E51ED1" w:rsidRDefault="00E51ED1" w:rsidP="00E51ED1">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E51ED1">
        <w:rPr>
          <w:rFonts w:ascii="Inter" w:eastAsia="Times New Roman" w:hAnsi="Inter" w:cs="Times New Roman"/>
          <w:b/>
          <w:bCs/>
          <w:color w:val="000000"/>
          <w:spacing w:val="4"/>
          <w:kern w:val="36"/>
          <w:sz w:val="48"/>
          <w:szCs w:val="48"/>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Для обеспечения полной реабилитации пациентов с воспалительными заболеваниями челюстей, особенно с остеомиелитом челюсти, необходима скоординированная работа команды специалистов: врача-стоматолога-хирурга, врача-стоматолога-терапевта, врача-стоматолога-ортопеда, врача-челюстно-лицевого хирурга, врача-невролога, врача-терапевта, врача-анестезиолога-реаниматолога, врача физической и реабилитационной медицины и врача по медицинской реабилитации. Восстановительные мероприятия проводятся, исходя из конкретных клинических проявлений (стоматологических, неврологических, функциональных и т.д.), и подлежат рассмотрению в соответствующих клинических рекомендациях.</w:t>
      </w:r>
    </w:p>
    <w:p w:rsidR="00E51ED1" w:rsidRPr="00E51ED1" w:rsidRDefault="00E51ED1" w:rsidP="00E51ED1">
      <w:pPr>
        <w:numPr>
          <w:ilvl w:val="0"/>
          <w:numId w:val="5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lastRenderedPageBreak/>
        <w:t>Рекомендован</w:t>
      </w:r>
      <w:r w:rsidRPr="00E51ED1">
        <w:rPr>
          <w:rFonts w:ascii="Times New Roman" w:eastAsia="Times New Roman" w:hAnsi="Times New Roman" w:cs="Times New Roman"/>
          <w:color w:val="222222"/>
          <w:spacing w:val="4"/>
          <w:sz w:val="27"/>
          <w:szCs w:val="27"/>
          <w:lang w:eastAsia="ru-RU"/>
        </w:rPr>
        <w:t> осмотр (консультация) врача-физиотерапевта с целью назначения курса физиотерапевтических процедур в комплексе лечебных мероприятий у пациентов с одонтогенными воспалительными заболеваниями челюстей при отсутствии общих и местных противопоказаний [6, 67].</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w:t>
      </w:r>
      <w:r w:rsidRPr="00E51ED1">
        <w:rPr>
          <w:rFonts w:ascii="Times New Roman" w:eastAsia="Times New Roman" w:hAnsi="Times New Roman" w:cs="Times New Roman"/>
          <w:b/>
          <w:bCs/>
          <w:i/>
          <w:iCs/>
          <w:color w:val="333333"/>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своевременное и правильное назначение физиотерапевтических процедур в комплексном лечении пациентов с гнойно-воспалительными заболеваниями челюстей способствует купированию острых явлений воспаления, улучшает микроциркуляцию тканей, способствует уменьшению гнойного экссудата и регенерации раны. Физиотерапевтическое лечение может быть включено в комплекс лечебных мероприятий, но только при условии и после своевременно и адекватно проведённого хирургического вмешательства, обеспечивающего эффективное дренирование раны, после комплексного обследования больного и на фоне медикаментозного лечения, при отсутствии противопоказаний по поводу сопутствующих заболеваний (прежде всего, онкологического генеза), обязательно с учётом фазы течения раневого процесса. При остром периостите и остром остеомиелите челюсти возможно проведение</w:t>
      </w: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низкочастотной магнитотерапии (Магнитотерапия при патологии полости рта и зубов) - воздействие на гнойный «очаг» электрическим полем ультравысокой частоты в атермической или олиготермической дозах, ультрафиолетового облучения поражённой области гелий-неоновым лазером, затем - электрофореза с лекарственными препаратами (Электрофорез лекарственных препаратов при патологии полости рта и зубов), КВЧ-терапии</w:t>
      </w:r>
      <w:r w:rsidRPr="00E51ED1">
        <w:rPr>
          <w:rFonts w:ascii="Times New Roman" w:eastAsia="Times New Roman" w:hAnsi="Times New Roman" w:cs="Times New Roman"/>
          <w:color w:val="222222"/>
          <w:spacing w:val="4"/>
          <w:sz w:val="27"/>
          <w:szCs w:val="27"/>
          <w:lang w:eastAsia="ru-RU"/>
        </w:rPr>
        <w:t> </w:t>
      </w:r>
      <w:r w:rsidRPr="00E51ED1">
        <w:rPr>
          <w:rFonts w:ascii="Times New Roman" w:eastAsia="Times New Roman" w:hAnsi="Times New Roman" w:cs="Times New Roman"/>
          <w:i/>
          <w:iCs/>
          <w:color w:val="333333"/>
          <w:spacing w:val="4"/>
          <w:sz w:val="27"/>
          <w:szCs w:val="27"/>
          <w:lang w:eastAsia="ru-RU"/>
        </w:rPr>
        <w:t>(Воздействие электромагнитным излучением миллиметрового диапазона (КВЧ-терапия)), флюктуоризации и др. При хронических формах воспалительных заболеваний челюстей могут быть проведены: электрофорез лекарственных препаратов при нарушениях микроциркуляции, сочетанное воздействие импульсных токов и ультразвуковой, парафинотерапия заболеваний периферической нервной системы [27, 50, 67].</w:t>
      </w:r>
    </w:p>
    <w:p w:rsidR="00E51ED1" w:rsidRPr="00E51ED1" w:rsidRDefault="00E51ED1" w:rsidP="00E51ED1">
      <w:pPr>
        <w:numPr>
          <w:ilvl w:val="0"/>
          <w:numId w:val="5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Рекомендован</w:t>
      </w:r>
      <w:r w:rsidRPr="00E51ED1">
        <w:rPr>
          <w:rFonts w:ascii="Times New Roman" w:eastAsia="Times New Roman" w:hAnsi="Times New Roman" w:cs="Times New Roman"/>
          <w:color w:val="222222"/>
          <w:spacing w:val="4"/>
          <w:sz w:val="27"/>
          <w:szCs w:val="27"/>
          <w:lang w:eastAsia="ru-RU"/>
        </w:rPr>
        <w:t xml:space="preserve"> приём (осмотр, консультация) врача по лечебной физкультуре (ЛФК) и проведение курса лечебной физкультуры и механотерапии у пациентов с одонтогенными воспалительными заболеваниями челюстей при отсутствии общих и местных </w:t>
      </w:r>
      <w:r w:rsidRPr="00E51ED1">
        <w:rPr>
          <w:rFonts w:ascii="Times New Roman" w:eastAsia="Times New Roman" w:hAnsi="Times New Roman" w:cs="Times New Roman"/>
          <w:color w:val="222222"/>
          <w:spacing w:val="4"/>
          <w:sz w:val="27"/>
          <w:szCs w:val="27"/>
          <w:lang w:eastAsia="ru-RU"/>
        </w:rPr>
        <w:lastRenderedPageBreak/>
        <w:t>противопоказаний с целью восстановления функции жевательного аппарата в максимально ранние сроки, улучшения кровоснабжения тканей ЧЛЛ, предотвращения развития воспалительной контрактуры [6, 40].</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 </w:t>
      </w:r>
      <w:r w:rsidRPr="00E51ED1">
        <w:rPr>
          <w:rFonts w:ascii="Times New Roman" w:eastAsia="Times New Roman" w:hAnsi="Times New Roman" w:cs="Times New Roman"/>
          <w:i/>
          <w:iCs/>
          <w:color w:val="333333"/>
          <w:spacing w:val="4"/>
          <w:sz w:val="27"/>
          <w:szCs w:val="27"/>
          <w:lang w:eastAsia="ru-RU"/>
        </w:rPr>
        <w:t>в острый период воспаления необходимо проводить упражнения для мышц, не связанных с повреждёнными тканями; упражнения должны быть дозированы и направлены на улучшение микроциркуляции тканей, профилактику формирования грубых рубцов. Лечебная физкультура в подострой и хронической стадиях направлена на профилактику развития контрактур, восстановление подвижности височно-нижнечелюстного сустава и функций различных групп мышц, окончание рубцевания и эпителизации ран [6, 40].</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i/>
          <w:iCs/>
          <w:color w:val="333333"/>
          <w:spacing w:val="4"/>
          <w:sz w:val="27"/>
          <w:szCs w:val="27"/>
          <w:lang w:eastAsia="ru-RU"/>
        </w:rPr>
        <w:t>Назначение общего лечебно-оздоровительного режима способствует оптимальному восстановлению организма [6].</w:t>
      </w:r>
    </w:p>
    <w:p w:rsidR="00E51ED1" w:rsidRPr="00E51ED1" w:rsidRDefault="00E51ED1" w:rsidP="00E51ED1">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E51ED1">
        <w:rPr>
          <w:rFonts w:ascii="Inter" w:eastAsia="Times New Roman" w:hAnsi="Inter" w:cs="Times New Roman"/>
          <w:b/>
          <w:bCs/>
          <w:color w:val="000000"/>
          <w:spacing w:val="4"/>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E51ED1" w:rsidRPr="00E51ED1" w:rsidRDefault="00E51ED1" w:rsidP="00E51ED1">
      <w:pPr>
        <w:numPr>
          <w:ilvl w:val="0"/>
          <w:numId w:val="5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Рекомендуется</w:t>
      </w:r>
      <w:r w:rsidRPr="00E51ED1">
        <w:rPr>
          <w:rFonts w:ascii="Times New Roman" w:eastAsia="Times New Roman" w:hAnsi="Times New Roman" w:cs="Times New Roman"/>
          <w:color w:val="222222"/>
          <w:spacing w:val="4"/>
          <w:sz w:val="27"/>
          <w:szCs w:val="27"/>
          <w:lang w:eastAsia="ru-RU"/>
        </w:rPr>
        <w:t> своевременная санация полости рта, заключающаяся в проведении комплекса мероприятий по выявлению и лечению кариеса зубов и его осложнений, воспалительных заболеваний пародонта [13, 103, 159, 161].</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Уровень убедительности рекомендации С (уровень достоверности доказательств – 5).</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Комментарии: </w:t>
      </w:r>
      <w:r w:rsidRPr="00E51ED1">
        <w:rPr>
          <w:rFonts w:ascii="Times New Roman" w:eastAsia="Times New Roman" w:hAnsi="Times New Roman" w:cs="Times New Roman"/>
          <w:i/>
          <w:iCs/>
          <w:color w:val="333333"/>
          <w:spacing w:val="4"/>
          <w:sz w:val="27"/>
          <w:szCs w:val="27"/>
          <w:lang w:eastAsia="ru-RU"/>
        </w:rPr>
        <w:t>в профилактике развития кариеса и его осложнений, заболеваний пародонта большая роль отводится гигиене полости рта, санитарно-просветительской работе, обучению гигиене полости рта детей и взрослых [13]. Посещение врача-стоматолога должно осуществляться не реже 1 раза в год, профессиональная гигиена полости рта - не реже 1 раза в 6 месяцев. Важное значение имеет своевременное эндодонтическое лечение осложнённых форм кариеса [146].</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Показания к проведению профилактических мероприятий:</w:t>
      </w:r>
    </w:p>
    <w:p w:rsidR="00E51ED1" w:rsidRPr="00E51ED1" w:rsidRDefault="00E51ED1" w:rsidP="00E51ED1">
      <w:pPr>
        <w:numPr>
          <w:ilvl w:val="0"/>
          <w:numId w:val="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Низкий уровень гигиены полости рта;</w:t>
      </w:r>
    </w:p>
    <w:p w:rsidR="00E51ED1" w:rsidRPr="00E51ED1" w:rsidRDefault="00E51ED1" w:rsidP="00E51ED1">
      <w:pPr>
        <w:numPr>
          <w:ilvl w:val="0"/>
          <w:numId w:val="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lastRenderedPageBreak/>
        <w:t>Наличие у пациента заболеваний твёрдых тканей зубов и пародонта;</w:t>
      </w:r>
    </w:p>
    <w:p w:rsidR="00E51ED1" w:rsidRPr="00E51ED1" w:rsidRDefault="00E51ED1" w:rsidP="00E51ED1">
      <w:pPr>
        <w:numPr>
          <w:ilvl w:val="0"/>
          <w:numId w:val="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Наличие у пациента сопутствующей патологии в декомпенсированной форме.</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Противопоказания к проведению профилактических мероприятий: </w:t>
      </w:r>
      <w:r w:rsidRPr="00E51ED1">
        <w:rPr>
          <w:rFonts w:ascii="Times New Roman" w:eastAsia="Times New Roman" w:hAnsi="Times New Roman" w:cs="Times New Roman"/>
          <w:color w:val="222222"/>
          <w:spacing w:val="4"/>
          <w:sz w:val="27"/>
          <w:szCs w:val="27"/>
          <w:lang w:eastAsia="ru-RU"/>
        </w:rPr>
        <w:t>абсолютных противопоказаний нет.</w:t>
      </w:r>
    </w:p>
    <w:p w:rsidR="00E51ED1" w:rsidRPr="00E51ED1" w:rsidRDefault="00E51ED1" w:rsidP="00E51ED1">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E51ED1">
        <w:rPr>
          <w:rFonts w:ascii="Inter" w:eastAsia="Times New Roman" w:hAnsi="Inter" w:cs="Times New Roman"/>
          <w:b/>
          <w:bCs/>
          <w:color w:val="000000"/>
          <w:spacing w:val="4"/>
          <w:kern w:val="36"/>
          <w:sz w:val="48"/>
          <w:szCs w:val="48"/>
          <w:lang w:eastAsia="ru-RU"/>
        </w:rPr>
        <w:t>6. Организация оказания медицинской помощи</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Вид оказания помощи: МП по профилю «челюстно-лицевая хирургия»:</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специализированная МП.</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скорая, в том числе, скорая специализированная МП.</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Условия оказания МП: амбулаторно, стационарно.</w:t>
      </w:r>
      <w:r w:rsidRPr="00E51ED1">
        <w:rPr>
          <w:rFonts w:ascii="Times New Roman" w:eastAsia="Times New Roman" w:hAnsi="Times New Roman" w:cs="Times New Roman"/>
          <w:b/>
          <w:bCs/>
          <w:color w:val="222222"/>
          <w:spacing w:val="4"/>
          <w:sz w:val="27"/>
          <w:szCs w:val="27"/>
          <w:lang w:eastAsia="ru-RU"/>
        </w:rPr>
        <w:t> </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Показания для экстренной госпитализации в медицинскую организацию:</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Острый серозный или гнойный периостит при наличии у пациента сопутствующей патологии в суб- или декомпенсированной формах; гиперергической формы течения воспалительного процесса; злокачественных новообразований любой локализации; состояний, сопровождающихся иммунодефицитом организма.</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Показания для плановой госпитализации в медицинскую организацию:</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1) Остеомиелит в подострой фазе и хронический остеомиелит челюсти при наличии сформированного секвестра.</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2) Хронический остеомиелит челюсти в случае затяжного, торпидного или прогрессирующего течения заболевания и длительного формировании секвестров.</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Показания к выписке пациента из стационара:</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1) Неосложнённое течение раннего послеоперационного периода, удовлетворительное состояние пациента, контролируемый болевой синдром с возможностью его купирования приёмом пероральных лекарственных средств, возможность приёма антибактериальных препаратов в амбулаторных условиях под наблюдением врача-челюстно-лицевого хирурга, или хирурга-стоматолога, или хирурга.</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lastRenderedPageBreak/>
        <w:t>2) Необходимость перевода пациента в другое лечебное учреждение или отделение;</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3) По требованию пациента или его законного представителя;</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4) В случаях несоблюдения пациентом предписаний или правил внутреннего распорядка стационара, если это не угрожает жизни пациента и здоровью окружающих.</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Дальнейшее наблюдение и лечение пациента осуществляется в амбулаторных условиях врачом челюстно-лицевым хирургом, а при его отсутствии – врачом-стоматологом-хирургом, врачом-хирургом.</w:t>
      </w:r>
    </w:p>
    <w:p w:rsidR="00E51ED1" w:rsidRPr="00E51ED1" w:rsidRDefault="00E51ED1" w:rsidP="00E51ED1">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E51ED1">
        <w:rPr>
          <w:rFonts w:ascii="Inter" w:eastAsia="Times New Roman" w:hAnsi="Inter" w:cs="Times New Roman"/>
          <w:b/>
          <w:bCs/>
          <w:color w:val="000000"/>
          <w:spacing w:val="4"/>
          <w:kern w:val="36"/>
          <w:sz w:val="48"/>
          <w:szCs w:val="48"/>
          <w:lang w:eastAsia="ru-RU"/>
        </w:rPr>
        <w:t>7. Дополнительная информация (в том числе факторы, влияющие на исход заболевания или состояния)</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Отрицательно влияют на исход лечения:</w:t>
      </w:r>
    </w:p>
    <w:p w:rsidR="00E51ED1" w:rsidRPr="00E51ED1" w:rsidRDefault="00E51ED1" w:rsidP="00E51ED1">
      <w:pPr>
        <w:numPr>
          <w:ilvl w:val="0"/>
          <w:numId w:val="6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Недостаточное вскрытие и дренирование гнойного «очага», что может привести к прогрессированию воспалительного процесса и его распространению в окружающие ткани.</w:t>
      </w:r>
    </w:p>
    <w:p w:rsidR="00E51ED1" w:rsidRPr="00E51ED1" w:rsidRDefault="00E51ED1" w:rsidP="00E51ED1">
      <w:pPr>
        <w:numPr>
          <w:ilvl w:val="0"/>
          <w:numId w:val="6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Несоблюдение режима местной контактной гипотермии в ранний послеоперационный период.</w:t>
      </w:r>
    </w:p>
    <w:p w:rsidR="00E51ED1" w:rsidRPr="00E51ED1" w:rsidRDefault="00E51ED1" w:rsidP="00E51ED1">
      <w:pPr>
        <w:numPr>
          <w:ilvl w:val="0"/>
          <w:numId w:val="6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Несоблюдение личной гигиены полости рта.</w:t>
      </w:r>
    </w:p>
    <w:p w:rsidR="00E51ED1" w:rsidRPr="00E51ED1" w:rsidRDefault="00E51ED1" w:rsidP="00E51ED1">
      <w:pPr>
        <w:numPr>
          <w:ilvl w:val="0"/>
          <w:numId w:val="6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Несоблюдение рекомендаций по физиотерапии и лечебной физкультуре в послеоперационном периоде.</w:t>
      </w:r>
    </w:p>
    <w:p w:rsidR="00E51ED1" w:rsidRPr="00E51ED1" w:rsidRDefault="00E51ED1" w:rsidP="00E51ED1">
      <w:pPr>
        <w:numPr>
          <w:ilvl w:val="0"/>
          <w:numId w:val="6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Отсутствие диспансерного наблюдения.</w:t>
      </w:r>
    </w:p>
    <w:p w:rsidR="00E51ED1" w:rsidRPr="00E51ED1" w:rsidRDefault="00E51ED1" w:rsidP="00E51ED1">
      <w:pPr>
        <w:numPr>
          <w:ilvl w:val="0"/>
          <w:numId w:val="6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Несоблюдение других рекомендаций лечащего врача (общего и местного лечения, режима питания и т.д.).</w:t>
      </w:r>
    </w:p>
    <w:p w:rsidR="00E51ED1" w:rsidRPr="00E51ED1" w:rsidRDefault="00E51ED1" w:rsidP="00E51ED1">
      <w:pPr>
        <w:numPr>
          <w:ilvl w:val="0"/>
          <w:numId w:val="6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Наличие у пациента декомпенсированных форм соматических заболеваний.</w:t>
      </w:r>
    </w:p>
    <w:p w:rsidR="00E51ED1" w:rsidRPr="00E51ED1" w:rsidRDefault="00E51ED1" w:rsidP="00E51ED1">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E51ED1">
        <w:rPr>
          <w:rFonts w:ascii="Inter" w:eastAsia="Times New Roman" w:hAnsi="Inter" w:cs="Times New Roman"/>
          <w:b/>
          <w:bCs/>
          <w:color w:val="000000"/>
          <w:spacing w:val="4"/>
          <w:kern w:val="36"/>
          <w:sz w:val="48"/>
          <w:szCs w:val="48"/>
          <w:lang w:eastAsia="ru-RU"/>
        </w:rPr>
        <w:t>Критерии оценки качества медицинской помощи</w:t>
      </w:r>
    </w:p>
    <w:tbl>
      <w:tblPr>
        <w:tblW w:w="14165" w:type="dxa"/>
        <w:tblCellMar>
          <w:left w:w="0" w:type="dxa"/>
          <w:right w:w="0" w:type="dxa"/>
        </w:tblCellMar>
        <w:tblLook w:val="04A0" w:firstRow="1" w:lastRow="0" w:firstColumn="1" w:lastColumn="0" w:noHBand="0" w:noVBand="1"/>
      </w:tblPr>
      <w:tblGrid>
        <w:gridCol w:w="955"/>
        <w:gridCol w:w="10729"/>
        <w:gridCol w:w="2481"/>
      </w:tblGrid>
      <w:tr w:rsidR="00E51ED1" w:rsidRPr="00E51ED1" w:rsidTr="00E51ED1">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51ED1" w:rsidRPr="00E51ED1" w:rsidRDefault="00E51ED1" w:rsidP="00E51ED1">
            <w:pPr>
              <w:spacing w:after="0" w:line="240" w:lineRule="atLeast"/>
              <w:jc w:val="both"/>
              <w:rPr>
                <w:rFonts w:ascii="Verdana" w:eastAsia="Times New Roman" w:hAnsi="Verdana" w:cs="Times New Roman"/>
                <w:b/>
                <w:bCs/>
                <w:sz w:val="27"/>
                <w:szCs w:val="27"/>
                <w:lang w:eastAsia="ru-RU"/>
              </w:rPr>
            </w:pPr>
            <w:r w:rsidRPr="00E51ED1">
              <w:rPr>
                <w:rFonts w:ascii="Verdana" w:eastAsia="Times New Roman" w:hAnsi="Verdana" w:cs="Times New Roman"/>
                <w:b/>
                <w:bCs/>
                <w:sz w:val="27"/>
                <w:szCs w:val="27"/>
                <w:lang w:eastAsia="ru-RU"/>
              </w:rPr>
              <w:lastRenderedPageBreak/>
              <w:t>№ п/п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51ED1" w:rsidRPr="00E51ED1" w:rsidRDefault="00E51ED1" w:rsidP="00E51ED1">
            <w:pPr>
              <w:spacing w:after="0" w:line="240" w:lineRule="atLeast"/>
              <w:jc w:val="both"/>
              <w:rPr>
                <w:rFonts w:ascii="Verdana" w:eastAsia="Times New Roman" w:hAnsi="Verdana" w:cs="Times New Roman"/>
                <w:b/>
                <w:bCs/>
                <w:sz w:val="27"/>
                <w:szCs w:val="27"/>
                <w:lang w:eastAsia="ru-RU"/>
              </w:rPr>
            </w:pPr>
            <w:r w:rsidRPr="00E51ED1">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51ED1" w:rsidRPr="00E51ED1" w:rsidRDefault="00E51ED1" w:rsidP="00E51ED1">
            <w:pPr>
              <w:spacing w:after="0" w:line="240" w:lineRule="atLeast"/>
              <w:jc w:val="both"/>
              <w:rPr>
                <w:rFonts w:ascii="Verdana" w:eastAsia="Times New Roman" w:hAnsi="Verdana" w:cs="Times New Roman"/>
                <w:b/>
                <w:bCs/>
                <w:sz w:val="27"/>
                <w:szCs w:val="27"/>
                <w:lang w:eastAsia="ru-RU"/>
              </w:rPr>
            </w:pPr>
            <w:r w:rsidRPr="00E51ED1">
              <w:rPr>
                <w:rFonts w:ascii="Verdana" w:eastAsia="Times New Roman" w:hAnsi="Verdana" w:cs="Times New Roman"/>
                <w:b/>
                <w:bCs/>
                <w:sz w:val="27"/>
                <w:szCs w:val="27"/>
                <w:lang w:eastAsia="ru-RU"/>
              </w:rPr>
              <w:t>Оценка выполнения</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Выполнен первичный приём (осмотр, консультация) врачом-челюстно-лицевым хирургом и/или врачом-стоматологом и/или врачом-хирургом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да/нет</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Выполнено физикальное обследование пациента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да/нет</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Выполнен первичный приём (осмотр, консультация) врача-терапевта при наличии сопутствующей (коморбидной) патологии с целью уточнения диагноза и определения лечебной тактики в периоперационном периоде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да/нет</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Выполнен первичный приём (осмотр, консультация) врача-оториноларинголога, врача-невролога, врача-офтальмолога при наличии сопутствующей патологии и/или при распространении ГВП на смежные пространства с целью уточнения диагноза и определения лечебной тактики в периоперационном периоде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да/нет</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Выполнен первичный осмотр (консультация) врачом-анестезиологом-реаниматологом в случае проведения хирургического вмешательства с применением сочетанной анестезии или комбинированного эндотрахеального наркоза, а также в случае наличия/выявления впервые тяжёлой сопутствующей (коморбидной) патологии - для проведения предоперационной подготовки и/или решения вопроса о показаниях к переводу в ОРИТ в периоперационном периоде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да/нет</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Выполнен комплекс диагностических лабораторных исследований в предоперационном периоде перед проведением экстренного оперативного вмешательства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да/нет</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Выполнен комплексный объём инструментальных диагностических исследований: ортопантомография, компьютерная томография челюстно-лицевой области, или компьютерная томография п</w:t>
            </w:r>
            <w:hyperlink r:id="rId47" w:history="1">
              <w:r w:rsidRPr="00E51ED1">
                <w:rPr>
                  <w:rFonts w:ascii="Verdana" w:eastAsia="Times New Roman" w:hAnsi="Verdana" w:cs="Times New Roman"/>
                  <w:color w:val="0000FF"/>
                  <w:sz w:val="27"/>
                  <w:szCs w:val="27"/>
                  <w:u w:val="single"/>
                  <w:lang w:eastAsia="ru-RU"/>
                </w:rPr>
                <w:t>олости рта и зубов</w:t>
              </w:r>
            </w:hyperlink>
            <w:r w:rsidRPr="00E51ED1">
              <w:rPr>
                <w:rFonts w:ascii="Verdana" w:eastAsia="Times New Roman" w:hAnsi="Verdana" w:cs="Times New Roman"/>
                <w:sz w:val="27"/>
                <w:szCs w:val="27"/>
                <w:lang w:eastAsia="ru-RU"/>
              </w:rPr>
              <w:t>, или компьютерная томография лицевого отдела черепа с внутривенным болюсным контрастированием. компьютерная томография челюстно-лицевой области, или конусно-лучевая томография, магнитно-резонансная томография лицевого отдела черепа, и/или ультразвуковое исследование (УЗИ) тканей полости рта (при распространении ГВП в околочелюстные мягкие ткани и/или при лимфаденопатии)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да/нет</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 xml:space="preserve">Выполнено хирургическое вмешательство (исключение - больные с тяжёлой сопутствующей патологией, которым дополнительное </w:t>
            </w:r>
            <w:r w:rsidRPr="00E51ED1">
              <w:rPr>
                <w:rFonts w:ascii="Verdana" w:eastAsia="Times New Roman" w:hAnsi="Verdana" w:cs="Times New Roman"/>
                <w:sz w:val="27"/>
                <w:szCs w:val="27"/>
                <w:lang w:eastAsia="ru-RU"/>
              </w:rPr>
              <w:lastRenderedPageBreak/>
              <w:t>расширенное показано обследование и подготовка в предоперационном периоде) с учётом патогенеза и в зависимости от фазы течения ГВП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lastRenderedPageBreak/>
              <w:t>да/нет</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Выполнено микробиологическое (культуральное) исследование раневого отделяемого на аэробные и факультативно-анаэробные микроорганизмы из лунки удалённого "причинного" зуба, из свищевых ходов с целью определения видового состава микробиоты с определением их чувствительности/резистентности к антимикробным химиотерапевтическим препаратам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да/нет</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Выполнено цитологическое исследование микропрепарата полости рта и/или патолого-анатомического исследования биопсийного (операционного) материала тканей полости рта при необходимости верификации процеccа и/или проведения дифференциальной диагностики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да/нет</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Выполнено назначение рациональной антибактериальной терапии (АБТ) в составе комплексного многокомпонентного протокола лечения пациентов в соответствии с инструкцией фармакологического препарата, начиная с эмпирической АБТ антибактериальными препаратами для системного применения (АТХ J01), с последующим переходом на целенаправленную АБТ после получения результатов микробиологического исследования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да/нет</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Выполнено назначение противомикробных препаратов и антисептиков для местного лечения заболеваний полости рта (АТХ: A01AB), или комбинированных антибактериальных препаратов для местного применения (например, Бацитрацин + Неомицин - АТХ: D06AX - Другие антибиотики для наружного применения), при некротическом характере ГВП - в сочетании с ферментными препаратами протеолитического действия (D03BA - Протеолитические ферменты) для местного лечения с учётом фазы течения гнойного раневого процесса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да/нет</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Выполнен контроль нутритивного статуса пациента и проведение нутриционной терапии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да/нет</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Выполнено назначение плазмозамещающих и перфузионных растворов (Код АТХ: B05) с дезинтоксикационной целью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да/нет</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lastRenderedPageBreak/>
              <w:t>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Выполнено назначение антикоагулянтной терапии Антитромботическими средствами (Группа АТХ: B01A)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да/нет</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Выполнено назначение нестероидных противовоспалительных и противоревматических препаратов (НПВС - АТХ: M01A) с целью купирования болевого синдрома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да/нет</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Выполнено назначение гипосенсибилизирующей терапии а</w:t>
            </w:r>
            <w:hyperlink r:id="rId48" w:history="1">
              <w:r w:rsidRPr="00E51ED1">
                <w:rPr>
                  <w:rFonts w:ascii="Verdana" w:eastAsia="Times New Roman" w:hAnsi="Verdana" w:cs="Times New Roman"/>
                  <w:color w:val="0000FF"/>
                  <w:sz w:val="27"/>
                  <w:szCs w:val="27"/>
                  <w:u w:val="single"/>
                  <w:lang w:eastAsia="ru-RU"/>
                </w:rPr>
                <w:t>нтигистаминными средствами системного действия</w:t>
              </w:r>
            </w:hyperlink>
            <w:r w:rsidRPr="00E51ED1">
              <w:rPr>
                <w:rFonts w:ascii="Verdana" w:eastAsia="Times New Roman" w:hAnsi="Verdana" w:cs="Times New Roman"/>
                <w:sz w:val="27"/>
                <w:szCs w:val="27"/>
                <w:lang w:eastAsia="ru-RU"/>
              </w:rPr>
              <w:t> (АТХ: </w:t>
            </w:r>
            <w:hyperlink r:id="rId49" w:history="1">
              <w:r w:rsidRPr="00E51ED1">
                <w:rPr>
                  <w:rFonts w:ascii="Verdana" w:eastAsia="Times New Roman" w:hAnsi="Verdana" w:cs="Times New Roman"/>
                  <w:color w:val="0000FF"/>
                  <w:sz w:val="27"/>
                  <w:szCs w:val="27"/>
                  <w:u w:val="single"/>
                  <w:lang w:eastAsia="ru-RU"/>
                </w:rPr>
                <w:t>R06A</w:t>
              </w:r>
            </w:hyperlink>
            <w:r w:rsidRPr="00E51ED1">
              <w:rPr>
                <w:rFonts w:ascii="Verdana" w:eastAsia="Times New Roman" w:hAnsi="Verdana" w:cs="Times New Roman"/>
                <w:sz w:val="27"/>
                <w:szCs w:val="27"/>
                <w:lang w:eastAsia="ru-RU"/>
              </w:rPr>
              <w:t>) при гиперэргическом фоне течения процесса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да/нет</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Выполнено назначение антиоксидантной терапии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да/нет</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Выполнено соблюдение рекомендаций «СКАТ» при назначении АБТ в составе комплексного многокомпонентного протокола лечения пациентов с ОВЗ челюстей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да/нет</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Выполнено назначение антикоагулянтной терапии Антитромботическими средствами (Группа АТХ: B01A) при лечении пациентов с диффузным остеомиелитом верхней челюсти, при осложнённом течении воспалительных заболеваний челюстей, декомпенсированных формах сопутствующей патологии в анамнезе с соблюдением протоколов профилактики развития тромбоэмболических осложнений при хирургическом лечении и профилактики ВТЭО в рамках модифицированной шкалы Caprini, 2012 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да/нет</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Выполнен приём (осмотр, консультация) врача-физиотерапевта с целью назначения курса физиотерапевтических процедур при отсутствии противопоказаний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да/нет</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Выполнен приём (осмотр, консультация) врача по лечебной физкультуре (ЛФК) и проведение курса лечебной физкультуры и механотерапии при отсутствии противопоказаний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да/нет</w:t>
            </w:r>
          </w:p>
        </w:tc>
      </w:tr>
    </w:tbl>
    <w:p w:rsidR="00E51ED1" w:rsidRPr="00E51ED1" w:rsidRDefault="00E51ED1" w:rsidP="00E51ED1">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E51ED1">
        <w:rPr>
          <w:rFonts w:ascii="Inter" w:eastAsia="Times New Roman" w:hAnsi="Inter" w:cs="Times New Roman"/>
          <w:b/>
          <w:bCs/>
          <w:color w:val="000000"/>
          <w:spacing w:val="4"/>
          <w:kern w:val="36"/>
          <w:sz w:val="48"/>
          <w:szCs w:val="48"/>
          <w:lang w:eastAsia="ru-RU"/>
        </w:rPr>
        <w:t>Список литературы</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Анестезиология, реанимация и интенсивная терапия в стоматологии и челюстно-лицевой хирургии: Учебное пособие / В.С. Агапов, Н.В. Емельянова, Т.П. Шипкова. – Изд-е испр. и доп. – М.:МИА, 2005. – 256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lastRenderedPageBreak/>
        <w:t>Балин В.Н., Александров Н.М. Клиническая оперативная челюстно-лицевая хирургия: Руководство для врачей. 4-е изд., доп. и испр. СПб: Спецлит; 2005; с 574.</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Бернадский Ю.И. Основы челюстно-лицевой хирургии и хирургической стоматологии. Витебск: Белмедкнига; 1998; с 416.</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Биберман Я.М., Стародубцев B.C., Шутова А.П: Антисептики в комплексном лечении больных с околочелюстными абсцессами и флегмонами // Стоматология. 1996. - №6. - С. 25-26.</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Бродский С.Е. Профилактика воспалительных осложнений в стоматологии с применением фторхинолонов: Дисс. к.м.н. / Москва, 2008. – 140с.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Восстановительная медицина : учеб. / В.А. Епифанов. – М. : ГЭОТАР - Медиа, 2012. – 304. : ил.</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Вебер В.Р., Мороз Б.Т. Клиническая фармакология для стоматологов: Учебное пособие. СПб.: Человек; 2003; с. 352.</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Виноградов С.Ю. Применение конкурентной бактериотерапии в лечении одонтогенных воспалительных заболеваний челюстно-лицевой области (клинико- экспериментальное исследование): Дисс к.м.н. / С.-Петербург, 2011. – 182с.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Гайворонская Т.В. Оптимизация лечения больных с одонтогенными флегмонами челюстно-лицевой области (экспериментально-клиническое исследование): Авто- реф. дис. …д.м.н. М., 2008. - 49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Гандылян К.С. Эффективность комплексного лечения больных с остеомиелитом нижней челюсти одонтогенного или травматического генеза (клинико-экспериментальное исследование): Автореф. дисс. … канд. мед. наук / Воронеж, 2007. –  22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Гельфанд Б.Р., Салтанов А.И. Интенсивная терапия. Национальное руководство, том 1,2. М.: ГЕОТАР-Медиа; 2009; - 954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Голуб И.Е. Сепсис: определение, диагностическая концепция, патогенез и интенсивная терапия: Учебное пособие / И.Е. Голуб, Л.В. Сорокина, Е.С. Нетесин. – Иркутск: ИГМУ, 2015. – 47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lastRenderedPageBreak/>
        <w:t>Гончарова А.В. Реабилитация пациентов с гнойно-воспалительными заболеваниями челюстно-лицевой области в условиях мегаполиса: Дисс. .. канд. мед. наук / Москва, 2014 г. – 254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Гостищев В.К. Инфекции в хирургии. Руководство для врачей. М.: ГЭОТАР-Медиа; 2007. - С. 768.</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Губин М.А., Харитонов Ю.М. Осложнения одонтогенных воспалительных заболеваний. М.: Медицина, 2006. - 664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Гульман М.И., Винник Ю.С., Миллер С.В., Якомов С.В., Карапетян Г.Э., Анишина О.В., Попов Д.В., Мешкова О.С. Атлас дренирования в хирургии. Красноярск; 2004; с. 76 с; 50 рис.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Гуменюк Н.И. Инфузионная терапия: теория и практика / Н.И. Гуменюк, С.И. Кирилевский. К.: Книга плюс, 2004. – 208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Гусейнов А.З., Киреев С.С. Основы инфузионной терапии. Парентеральное и энтеральное питание: Монография. - Санкт- Петербург-Тула: Изд-во ТулГУ, 2014. 158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Диагностика и лечение гнойно-воспалительных заболеваний челюстно- лицевой локализации: практическое руководство для врачей-стоматологов и челюстно-лицевых хирургов / Под ред. А.И. Яременко, Э.Э. Звартау. – СПб.: Человек, 2019. – 256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Дремалов Б.М. Верификация тяжести течения одонтогенных гнойно- воспалительных процессов челюстно-лицевой области у амбулаторных пациентов детского возраста на основе экспресс-оценки эндотоксикоза: Дисс … канд. мед. наук. - Воронеж, 2012. – 140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Дурново Е.А. Воспалительные заболевания челюстно-лицевой области: диагностика и лечение с учётом иммунореактивности организма. - Н. Новгород: Изд-во НГМА, 2007. – 196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Дурново Е.А., Артифексова А.А., Орлинская Н.Ю. [и др.]. Морфологические критерии эффективности лечения больных с острыми гнойными воспалительными заболеваниями челюстно-лицевой области. Москва: Стоматология. 2003, № 3. C. 12 - 14.</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lastRenderedPageBreak/>
        <w:t>Елисеев В.В. Клинико-лабораторная характеристика, диагностика и лечение больных с хроническим одонтогенным остеомиелитом челюстей: Дисс. … канд. мед. наук. – Воронеж, 2005. - 155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Игнатов М.Ю. Роль иммунных и аутоиммунных механизмов в развитии острого гнойного периостита челюстей: Дисс. … канд. мед. наук . - Чита, 2010. – 106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Инфекционные воспалительные заболевания челюстно-лицевой области / Под ред. В.С.Агапова, С.Д. Арутюнова, В.В. Шулакова. – М.: МИА, 2004. – 184 с.: ил.</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Кадыров М.Б. Системный подход к оценке состояния больных острыми воспалительными заболеваниями челюстно-лицевой локализации: Дисс …. канд. мед. наук. – СПб., 2018. – 137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Клиника, диагностика, лечение и профилактика воспалительных заболеваний лица и шеи (руководство для врачей) / Под ред. А.Г. Шаргородского. – М.: ГЕОТАР- Медиа, 2002. – 528</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Козин Д.В. Клинико-экономическое обоснование оптимизации фармакотерапии острого одонтогенного остеомиелита: Дисс. … канд. мед. наук. – Саранск, 2012. – 132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Козлов В.А., Каган И.И. Оперативная челюстно-лицевая хирургия и стоматология: Учебное пособие. - М.: ГЭОТАР-Медиа, 2014. – 539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Козлов В.А. Воспалительные заболевания и повреждения тканей челюстно- лицевой области / В. А. Козлов. – СпецЛит, 2011. – 350 с., ил.</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Кравченко В.В., Лещенко И.Г. Диагностика и лечение гнойной стоматологической инфекции: Монография. – Самара: ГП Перспектива, 2003. – 248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Ксембаев С.С., Ямашев И.Г. Острые одонтогенные воспалительные заболевания челюстей. Диагностика и лечение ангио- и остеогенных нарушений. – М.: МЕД- пресс - информ, 2006. – 128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Кузин М.И., Костюченок Б.М., Раны и раневая инфекция: Руководство для врачей. – 2-е изд., перераб. и доп. – М.: Медицина, 1990. – 592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lastRenderedPageBreak/>
        <w:t>Кузьков В.В., Недашковский Э.В. Основы интенсивной терапии: практическое руководство Всемирной федерации обществ анестезиологов (WFSA). – 2-е изд., перераб. и доп. – 2016. – 466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Лукиных Л.М. Пути повышения уровня стоматологического здоровья нации // Нижегородский медицинский журнал. 2008. – № 2. – С. 90-94.</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Лукьяненко В.И. Остеомиелиты челюстей. – 2-е изд., перераб. и доп. – Л.: Медицина, 1986. – 184 с., ил.</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Лунев М.А. Коррекция иммунных нарушений при одонтогенном остеомиелите челюстно-лицевой области: дисс. канд. мед. наук / Курск, 2012. – 118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Маланчук Д.А. Озонотерапия и светодиодное излучение различных длин волн в комплексном лечении альвеолита и остеомиелита челюстей (ограниченного): Дис. … канд.мед.наук / Москва, 2017. – 132с.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Материалы Российского «Сепсис-Форума» - «Russian Sepsis Forum», «Российский Сепсис Форум».</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Медведев А.С. Основы медицинской реабилитологии / А.С. Медведев. – Минск : Беларус. навука, 2010. – 435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Музыкин М.И. Лечение одонтогенного периостита челюстей у людей пожилого и старческого возраста: Автореферат дис…канд. мед. наук : С.-Петербург. 2013. - 23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Муковозов И.Н. Дифференциальная диагностика хирургических заболеваний челюстно-лицевой области. – М.: «МЕДпресс», 2001. – 224 с., ил.</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Настуева А.М. Оценка риска развития осложнений при одонтогенных гной- но-воспалительных заболеваниях: Дисс…..к.м.н. / Москва, 2017. – 112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Патологическая физиология. Учебник для стоматологических факультетов медицинских ВУЗов. /в 2-х томах/ под общей редакцией А.Н. Воложина и Г.В. Порядина. – М. «МЕДпресс», 1998.</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lastRenderedPageBreak/>
        <w:t>Плиско Д.А. Клинико-лабораторное обоснование применения иммунотерапии в лечении больных с гнойной патологией челюстно-лицевой области: Дисс… к.м.н. / Москва, 2017. – 117с.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Программа СКАТ (Стратегия Контроля Антимикробной Терапии) при оказании стационарной медицинской помощи: Российские клинические рекомендации / Под ред. С.В. Яковлева, Н.И. Брико, С.В. Сидоренко, Д.Н. Проценко. – М.: Издательство «Перо», 2018. – 156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Просычева О.О. Применение минимизированной гипербарической оксигенации и антимикробного перевязочного материала в комплексном лечении больных с флегмонами челюстно-лицевой области: Дисс. …к.м.н. /Москва, 2013. – 128с.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Рабухина Н.А., Аржанцев А.П. Стоматология и челюстно-лицевая хирургия. Атлас рентгенограмм. Москва: МИА; 2002; - 302с.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Рожков А.Г., Карандин В.И. Эфферентная терапия в хирургической клинике. М.; 2010; - 256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Руководство по хирургической стоматологии и челюстно-лицевой хирургии: В 2-х томах. Т.1 / Под ред. В.М. Безрукова, Т.Г. Робустовой - Изд. 2-е, перераб. и доп. М.: Медицина, 2000. — 776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Российские Национальные рекомендации, 2-ое переработанное и дополненное издание «Хирургические инфекции кожи и мягких тканей». Москва, 2015 г.</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Салахов А.К. Комплексная оценка и корреляция нарушений регионарного кровообращения при острых одонтогенных гнойно-воспалительных заболеваниях челюстей: Автореф. дис. . канд. мед. наук. — Казань, 2003. — 16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Семенцов И.В. Местное применение озона в комплексном лечении гнойно- воспалительных заболеваний челюстно-лицевой области: Автореф. дисс. …канд.мед.наук. Санкт- Петербург, 2012. - 21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Сербин А.С. Эффективность комплексного лечения одонтогенных флегмон челюстно-лицевой области у больных пожилого возраста с применением полиоксидония: Дисс…. к.м.н.: / Волгоград, 2014. - 149с.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lastRenderedPageBreak/>
        <w:t>Сергиенко В.И., Петросян Н.Э., Неделько Н.А., Воронин В.Ф.  Петросян Э.А. Оперативная хирургия абсцессов, флегмон головы и шеи. М: ГЭОТАР-МЕД. Майкоп Качество; 2005; с 207.</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Современные принципы лечения гнойных ран: Учебное пособие для слушателей факультета подготовки врачей и ординаторов по специальности «Хирургия» / С.Я. Ивануса, П.Н. Зубарев, Б.В. Рисман, О.А. Литвинов — СПб.: «Онли-Пресс», 2017. — 36 с.; ил.</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Соловьев М.М, Большаков О.П., Галецкий Д.В.. Гнойно-воспалительные заболевания головы и шеи (этиология, патогенез, клиника, лечение). М.: МЕДпресс-информ; 2009; с 192.</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Стоматология детская. Хирургия. Под ред. С.В. Дьяковой. – М.:ОАО «Издательство «Медицина»; 2009; - 384 с.; ил.</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Стратегия и тактика применения антимикробных средств в лечебных учреждениях России. Савельев С.В., Гельфанд Б.Р., Яковлев С.В. Российские национальные рекомендации. / Москва. 2012. – 96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Страчунский Л.С., Козлов С.Н. Современная антимикробная химиотерапия Руководство для врачей. М.: Боргес; 2002; - 436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Суханов Антон Евгеньевич Комплексное лечение острых гнойных одонтогенных периоститов челюстей : Автореф. дис. ... канд. мед. наук: Архангельск, 2011. - 19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Тактика ведения пациентов с сепсисом и септическим шоком в многопрофильном стационаре. Учебное пособие ГБУЗ МО МОНИКИ им. М.Ф. Владимирского. - Москва, 2015. - 35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Тарасенко С.В. Клинико-микробиологическое обоснование профилактики и лечения гнойно-воспалительных заболеваний в челюстно-лицевой хирургии: Дисс… д. мед. наук. М.: 2002; - 49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Тимофеев А.А. Челюстно-лицевая хирургия. – К.: ВСИ Медицина, 2010. -. 576; ил.</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Трутень В.П. Совершенствование лучевой диагностики стоматологических заболеваний: Автореф. дисс. ..докт. мед.наук. / Москва, 2009. – 34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lastRenderedPageBreak/>
        <w:t>Турчина Е.В. Оценка эффективности применения антибиотиков в комплексе лечения больных с гнойно-воспалительными заболеваниями челюстно-лицевой области: автореф. дисс… . канд. мед. наук Иркутск, 2007.- 23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Физиотерапия в стоматологии и челюстно-лицевой хирургии / М.А. Шустов, В.А. Шустова. — Санкт-Петербург : СпецЛит, 2019. — 167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Фурман И.В. Экспериментально-клиническое обоснование применения перфторана в клиническом лечении больных с одонтогенными флегмонами челюстно- лицевой области: Автореф. дис….канд. мед. наук. Москва; 2004; с. 24.</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Харитонов Ю.М, И.С. Фролов. Новые технологии в лечении больных одонтогенной гнойной инфекций. Фундаментальные исследования; 2014; №7: - 582-585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Хартиг В. Современная инфузионная терапия. Парентеральное питание: Пер. с нем. М.: Медицина; 1982; - 496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Хирургическая стоматология. Учебник. Афанасьев В.В. и др. /под общей редакцией В.В. Афанасьева – ГЭОТАР-Медиа. 2016. – 400 с.:ил.</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Царёв В.Н., Ушаков Р.В. Антимикробная профилактика воспалительных осложнений в хирургической стоматологии // Российский стоматологический журнал. 2003. № 4. С. 21-25;</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Челюстно-лицевая хирургия: национальное руководство / под ред. А.А. Кулакова. – М.: ГЭОТАР-Медиа. 2019.- 692 с. – (Серия «Национальное руководство»).</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Челюстно-лицевая хирургия. Учебник / под ред. А.Ю. Дробышева, О.О. Янушевича – М.: ГЭОТАР-Медиа, 2018. – 880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Чувилкин В.И. Разработка методов диагностики и лечения инфекционно- воспалительных заболеваний челюстно-лицевой области: Дисс. .. д.м.н. / Москва, 2011. – 206с.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Шалаев О.Ю. Методологические подходы к рациональному управлению процессом диагностики и лечения стоматологических заболеваний и их осложнений: Дисс. д. мед. наук. / Воронеж, 2008. – 237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lastRenderedPageBreak/>
        <w:t>Шамборский В.Н. Рациональные модели, алгоритмы диагностики и анализа лечения острого одонтогенного остеомиелита челюстей: Дисс. ..канд. мед. наук. / Курск, 2014. – 152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Шеплев Б.В. Морфологическое обоснование лимфотропной терапии при остром гнойном одонтогенном периостите челюсти: Автореф. ..дисс. канд. мед. наук / Новосибирск, 2002. – 18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Шишкин В.С. Клинико-биохимическое обоснование применения антигомотоксических препаратов при лечении одонтогенных периоститов челюстей: Дисс. …канд. мед. наук: Москва, 2017, - 142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Ямуркова Н.Ф. Пути совершенствования организации стационарной помощи взрослому населению с воспалительными заболеваниями челюстно-лицевой области в условиях многопрофильной больницы крупного города: Дисс. … канд. мед. наук. / Москва, 2006. – 179с.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Яременко А.И. Лечение и профилактика инфекционно-воспалительных заболеваний челюстно-лицевой области у пациентов старших возрастных групп (клинико- экспериментальное исследование): автореф. дисс. …д-ра мед. наук / С.-Петербург, 2007. – 38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Яхьяев М.И. Комбинированная антибиотикопрофилактика местных инфекционно-воспалительных осложнений при операциях на альвеолярном отростке (части) челюсти: Дисс. к.м.н. / Москва. 2011. – 107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Andre C.V. et al. Osteomyelitis of the jaws: A retrospective series of 40 patients // J Stomatol Oral Maxillofac Surg; 118 (5), 2017, P. 261-264.</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Baltensperger M. M., Eyrich G.K.H. Osteomyelitis of the Jaws; 2009; : le-tex publishing services oHG, Leipzig, Germany.</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Bertrand et al. Osteomyelitis of the jaw: time to rethink the bone sampling strate- gy? Eur J Clin Microbiol Infect Dis. 2018</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Cameron J. Osteomyelitis of the mandible. JAMA; 2005; Vol.85; N.23: P. 1802 - 1804.</w:t>
      </w:r>
    </w:p>
    <w:p w:rsidR="00E51ED1" w:rsidRPr="00E51ED1" w:rsidRDefault="00E51ED1" w:rsidP="00E51ED1">
      <w:pPr>
        <w:numPr>
          <w:ilvl w:val="0"/>
          <w:numId w:val="61"/>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EUCAST European Committee on Antimicrobial Susceptibility Testing </w:t>
      </w:r>
      <w:hyperlink r:id="rId50" w:history="1">
        <w:r w:rsidRPr="00E51ED1">
          <w:rPr>
            <w:rFonts w:ascii="Times New Roman" w:eastAsia="Times New Roman" w:hAnsi="Times New Roman" w:cs="Times New Roman"/>
            <w:color w:val="0000FF"/>
            <w:spacing w:val="4"/>
            <w:sz w:val="27"/>
            <w:szCs w:val="27"/>
            <w:u w:val="single"/>
            <w:lang w:eastAsia="ru-RU"/>
          </w:rPr>
          <w:t>http://www.eucast.org </w:t>
        </w:r>
      </w:hyperlink>
      <w:r w:rsidRPr="00E51ED1">
        <w:rPr>
          <w:rFonts w:ascii="Times New Roman" w:eastAsia="Times New Roman" w:hAnsi="Times New Roman" w:cs="Times New Roman"/>
          <w:color w:val="222222"/>
          <w:spacing w:val="4"/>
          <w:sz w:val="27"/>
          <w:szCs w:val="27"/>
          <w:lang w:eastAsia="ru-RU"/>
        </w:rPr>
        <w:t>(Европейский комитет по определению чувствительности к антибиотикам)</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lastRenderedPageBreak/>
        <w:t>Lamont R. J. Oral microbiology and immunology. Washington, D.C.: ASM Press, 2006. - 458 p;</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Reynolds S.C. [et al.] Life-threatening infections of the peripharyngeal and deep fascial spaces of the head and neck. Infectious Disease Clinics of the North America; 2007; Vol. 21(2).: P. 557-576.</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Russian Electronic Journal оf Radiology. 2014. Vol. 4. - № 3; P. 66-76.</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Schurr С. [et al.] Management of facial necrotizing fasciitis. European Archives of Otorhino-laryngology; 2009; Vol. 266(3): P. 325-331.</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Soames J. V., Southam J. C. Oral pathology. Oxford - New York: Oxford University Press, 2005. - 278 p.;</w:t>
      </w:r>
    </w:p>
    <w:p w:rsidR="00E51ED1" w:rsidRPr="00E51ED1" w:rsidRDefault="00E51ED1" w:rsidP="00E51ED1">
      <w:pPr>
        <w:numPr>
          <w:ilvl w:val="0"/>
          <w:numId w:val="61"/>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Topazian R. G., Goldberg M. H., Hupp J. R. Oral and maxillofacial infections. - Philadelphia: W.B. Saunders Co., 2002. 524 p. – URL: </w:t>
      </w:r>
      <w:hyperlink r:id="rId51" w:history="1">
        <w:r w:rsidRPr="00E51ED1">
          <w:rPr>
            <w:rFonts w:ascii="Times New Roman" w:eastAsia="Times New Roman" w:hAnsi="Times New Roman" w:cs="Times New Roman"/>
            <w:color w:val="0000FF"/>
            <w:spacing w:val="4"/>
            <w:sz w:val="27"/>
            <w:szCs w:val="27"/>
            <w:u w:val="single"/>
            <w:lang w:eastAsia="ru-RU"/>
          </w:rPr>
          <w:t>http://www.rosmedlib.ru</w:t>
        </w:r>
      </w:hyperlink>
      <w:r w:rsidRPr="00E51ED1">
        <w:rPr>
          <w:rFonts w:ascii="Times New Roman" w:eastAsia="Times New Roman" w:hAnsi="Times New Roman" w:cs="Times New Roman"/>
          <w:color w:val="222222"/>
          <w:spacing w:val="4"/>
          <w:sz w:val="27"/>
          <w:szCs w:val="27"/>
          <w:lang w:eastAsia="ru-RU"/>
        </w:rPr>
        <w:t>.</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Weber A.L. Siciliano A. CT and MR imaging evaluation of neck infections with clinical correlations. RadiolClin North Am; 2000; Vol. 169, N6.: P. 1695 - 1698.</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Williams, M. Yanagisawa // Oral Microbiology and Immunology. 2007. - № 22. - P. 285-288.</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«Инструкция о порядке проведения периоперационной профилактики венозных тромбоэмболических осложнений (ВТЭО) у хирургических больных» в клинике ФГБОУ ВО ПСПбГМУ им. И.П. Павлова Минздрава России.</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Методические рекомендации Российской некоммерческой общественной организации «Ассоциация анестезиологов-реаниматологов», Межрегиональной общественной организации «Альянс клинических химиотерапевтов и микробиологов», Межрегиональной ассоциации по клинической микробиологии и антимикробной химиотерапии (МАКМАХ), общественной организации «Российский Сепсис Форум» «Диагностика и антимикробная терапия инфекций, вызванных полирезистентными микроорганизмами», Вестник анестезиологии и реаниматологии, Том 17, № 1, 2020, 52-83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lastRenderedPageBreak/>
        <w:t>В.А. Руднов, В.В. Кулабухов СЕПСИС-3: Обновленные ключевые положения, потенциальные проблемы и дальнейшие практические шаги Вестник анестезиологии и реаниматологии, Том 13, № 4, 2016, 4-11 с.</w:t>
      </w:r>
    </w:p>
    <w:p w:rsidR="00E51ED1" w:rsidRPr="00E51ED1" w:rsidRDefault="00E51ED1" w:rsidP="00E51ED1">
      <w:pPr>
        <w:numPr>
          <w:ilvl w:val="0"/>
          <w:numId w:val="61"/>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Руднов В.А., Кулабухов В.В. Эволюция представлений о сепсисе. История продолжается. Инфекции в хирургии</w:t>
      </w:r>
      <w:r w:rsidRPr="00E51ED1">
        <w:rPr>
          <w:rFonts w:ascii="Times New Roman" w:eastAsia="Times New Roman" w:hAnsi="Times New Roman" w:cs="Times New Roman"/>
          <w:i/>
          <w:iCs/>
          <w:color w:val="333333"/>
          <w:spacing w:val="4"/>
          <w:sz w:val="27"/>
          <w:szCs w:val="27"/>
          <w:lang w:eastAsia="ru-RU"/>
        </w:rPr>
        <w:t>. </w:t>
      </w:r>
      <w:r w:rsidRPr="00E51ED1">
        <w:rPr>
          <w:rFonts w:ascii="Times New Roman" w:eastAsia="Times New Roman" w:hAnsi="Times New Roman" w:cs="Times New Roman"/>
          <w:color w:val="222222"/>
          <w:spacing w:val="4"/>
          <w:sz w:val="27"/>
          <w:szCs w:val="27"/>
          <w:lang w:eastAsia="ru-RU"/>
        </w:rPr>
        <w:t>2015;2:6-10.</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«Диагностика и антимикробная терапия инфекций, вызванных полирезистентными микроорганизмами» Методические рекомендации. «Вестник анестезиологии и реаниматологии», Том 17, № 1, 2020, с.52-83.</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Тяжелые осложнения одонтогенных гнойно-воспалительных процессов челюстно-лицевой области (тромбофлебит вен лица, тромбоз кавернозного синуса, одонтогенный медиастинит): учеб.-метод. пособие / И.О. Походенько-Чудакова, О.П. Чудаков, А.З. Бармуцкая, С.А. Кабанова. – Витебск: ВГМУ, 2010. - 158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Диагностика и антимикробная терапия инфекций, вызванных полирезистентными микроорганизмами» Методические рекомендации. «Вестник анестезиологии и реаниматологии», Том 17, № 1, 2020, с.52-83</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Соловьёв М.М., Калакуцкий Н.В., Петропавловская О.Ю., Петропавловская М.Ю., Григорьянц  А.П., Галецкий Д.В., Марусов И.В., Спиридонова А.А., Орлова Е.В., Мухина Н.В. Патогенетически обоснованное лечение больных одонтогенными воспалительными заболеваниями. Основы Ленинградской школы профессора М.М. Соловьёва. – СПб.: Человек, 2024. – 176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Шулаков В.В., Лащук С.Ю., Лузина В.В., Бирюлев А.А., Мазур Л.Г. Совместная тактика челюстно-лицевого хирурга и оториноларинголога при комплексном лечении пациентов с хроническим одонтогенным верхнечелюстным синуситом. Российская стоматология. 2015;8(1):123</w:t>
      </w:r>
      <w:r w:rsidRPr="00E51ED1">
        <w:rPr>
          <w:rFonts w:ascii="Times New Roman" w:eastAsia="Times New Roman" w:hAnsi="Times New Roman" w:cs="Times New Roman"/>
          <w:color w:val="222222"/>
          <w:spacing w:val="4"/>
          <w:sz w:val="27"/>
          <w:szCs w:val="27"/>
          <w:lang w:eastAsia="ru-RU"/>
        </w:rPr>
        <w:noBreakHyphen/>
        <w:t>124.</w:t>
      </w:r>
    </w:p>
    <w:p w:rsidR="00E51ED1" w:rsidRPr="00E51ED1" w:rsidRDefault="00E51ED1" w:rsidP="00E51ED1">
      <w:pPr>
        <w:numPr>
          <w:ilvl w:val="0"/>
          <w:numId w:val="61"/>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Жартыбаев Р.Н., Сметов Г.Г. Ранняя диагностика, лечение и профилактика одонтогенного верхнечелюстного синусита в стоматологических амбулаторных условиях (литературный обзор) // Вестник КазНМУ. 2016. №3. URL: </w:t>
      </w:r>
      <w:hyperlink r:id="rId52" w:history="1">
        <w:r w:rsidRPr="00E51ED1">
          <w:rPr>
            <w:rFonts w:ascii="Times New Roman" w:eastAsia="Times New Roman" w:hAnsi="Times New Roman" w:cs="Times New Roman"/>
            <w:color w:val="0000FF"/>
            <w:spacing w:val="4"/>
            <w:sz w:val="27"/>
            <w:szCs w:val="27"/>
            <w:u w:val="single"/>
            <w:lang w:eastAsia="ru-RU"/>
          </w:rPr>
          <w:t>https://cyberleninka.ru/article/n/rannyaya-diagnostika-lechenie-i-profilaktika-odontogennogo-verhnechelyustnogo-sinusita-v-stomatologicheskih-ambulatornyh-usloviyah.</w:t>
        </w:r>
      </w:hyperlink>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lastRenderedPageBreak/>
        <w:t>Зубарева Анна Анатольевна. Комплексная клинико-лучевая диагностика и лечение рино-одонтогенной инфекции лицевого черепа: автореферат дис. доктора медицинских наук : 14.00.04, 14.00.19 / Зубарева Анна Анатольевна; [Место защиты: С.-Петерб. гос. мед. ун-т им. И.П. Павлова]. - Санкт-Петербург, 2009. - 39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Лысенко Анна Валерьевна. Профилактика и лечение одонтогенного перфоративного верхнечелюстного синусита: автореферат дис. ... кандидата медицинских наук : 14.01.14 : 14.01.03 / Лысенко Анна Валерьевна; [Место защиты: ФГБВОУ ВО Военно-медицинская академия имени С.М. Кирова Министерства обороны Российской Федерации]. — Санкт-Петербург, 2019. — 26 с.</w:t>
      </w:r>
    </w:p>
    <w:p w:rsidR="00E51ED1" w:rsidRPr="00E51ED1" w:rsidRDefault="00E51ED1" w:rsidP="00E51ED1">
      <w:pPr>
        <w:numPr>
          <w:ilvl w:val="0"/>
          <w:numId w:val="61"/>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Будина Диана Олеговна, Обжерина Валерия Олеговна, Битеев Владимир Христофорович, Шевченко Александра Александровна Диагностика и лечение острого одонтогенного остеомиелита челюсти // E-Scio. 2021. №11 (62). URL: </w:t>
      </w:r>
      <w:hyperlink r:id="rId53" w:history="1">
        <w:r w:rsidRPr="00E51ED1">
          <w:rPr>
            <w:rFonts w:ascii="Times New Roman" w:eastAsia="Times New Roman" w:hAnsi="Times New Roman" w:cs="Times New Roman"/>
            <w:color w:val="0000FF"/>
            <w:spacing w:val="4"/>
            <w:sz w:val="27"/>
            <w:szCs w:val="27"/>
            <w:u w:val="single"/>
            <w:lang w:eastAsia="ru-RU"/>
          </w:rPr>
          <w:t>https://cyberleninka.ru/article/n/diagnostika-i-lechenie-ostrogo-odontogennogo-osteomielita-chelyusti.</w:t>
        </w:r>
      </w:hyperlink>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Дрегалкина А.А. Воспалительные заболевания челюстно-лицевой области. Современные особенности клинического течения, принципы диагностики и лечения: Д 73 - Учебное пособие / Дрегалкина А.А., Костина И.Н., Шимова М.Е., Шнейдер О. Л. – Екатеринбург: Издательский Дом «ТИРАЖ», 2020 – 108 с.; ISBN 978-5-89895-940-1.</w:t>
      </w:r>
    </w:p>
    <w:p w:rsidR="00E51ED1" w:rsidRPr="00E51ED1" w:rsidRDefault="00E51ED1" w:rsidP="00E51ED1">
      <w:pPr>
        <w:numPr>
          <w:ilvl w:val="0"/>
          <w:numId w:val="61"/>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Солонская Н.С., Зорина И.С. Лучевая дифференциальная диагностика одонтогенного остеомиелита нижней челюсти, сопровождающегося невропатией тройничного нерва // ВРР. 2011. №3. URL: </w:t>
      </w:r>
      <w:hyperlink r:id="rId54" w:history="1">
        <w:r w:rsidRPr="00E51ED1">
          <w:rPr>
            <w:rFonts w:ascii="Times New Roman" w:eastAsia="Times New Roman" w:hAnsi="Times New Roman" w:cs="Times New Roman"/>
            <w:color w:val="0000FF"/>
            <w:spacing w:val="4"/>
            <w:sz w:val="27"/>
            <w:szCs w:val="27"/>
            <w:u w:val="single"/>
            <w:lang w:eastAsia="ru-RU"/>
          </w:rPr>
          <w:t>https://cyberleninka.ru/article/n/luchevaya-differentsialnaya-diagnostika-odontogennogo-osteomielita-nizhney-chelyusti-soprovozhdayuschegosya-nevropatiey-1.</w:t>
        </w:r>
      </w:hyperlink>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Park, M.S., Eo, M.Y., Myoung, H. et al. Early diagnosis of jaw osteomyelitis by easy digitalized panoramic analysis. Maxillofac Plast Reconstr Surg 41, 6 (2019). https://doi.org/10.1186/s40902-019-0188-2</w:t>
      </w:r>
    </w:p>
    <w:p w:rsidR="00E51ED1" w:rsidRPr="00E51ED1" w:rsidRDefault="00E51ED1" w:rsidP="00E51ED1">
      <w:pPr>
        <w:numPr>
          <w:ilvl w:val="0"/>
          <w:numId w:val="61"/>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Азимов А., &amp; Азимов И. (2020). Ультразвуковая остеометрия при острых одонтогенных воспалительных заболеваниях. in Library, 20(3), 38–42. извлечено от </w:t>
      </w:r>
      <w:hyperlink r:id="rId55" w:history="1">
        <w:r w:rsidRPr="00E51ED1">
          <w:rPr>
            <w:rFonts w:ascii="Times New Roman" w:eastAsia="Times New Roman" w:hAnsi="Times New Roman" w:cs="Times New Roman"/>
            <w:color w:val="0000FF"/>
            <w:spacing w:val="4"/>
            <w:sz w:val="27"/>
            <w:szCs w:val="27"/>
            <w:u w:val="single"/>
            <w:lang w:eastAsia="ru-RU"/>
          </w:rPr>
          <w:t>https://inlibrary.uz/index.php/archive/article/view/13580.</w:t>
        </w:r>
      </w:hyperlink>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lastRenderedPageBreak/>
        <w:t>Балмасова И.П., Шестакова И.В., Ющук Н.Д. Современные методы лабораторной диагностики и биомаркеры инфекционно-воспалительных заболеваний полости рта на примере хронического пародонтита. Российская стоматология. 2013;6(2):35</w:t>
      </w:r>
      <w:r w:rsidRPr="00E51ED1">
        <w:rPr>
          <w:rFonts w:ascii="Times New Roman" w:eastAsia="Times New Roman" w:hAnsi="Times New Roman" w:cs="Times New Roman"/>
          <w:color w:val="222222"/>
          <w:spacing w:val="4"/>
          <w:sz w:val="27"/>
          <w:szCs w:val="27"/>
          <w:lang w:eastAsia="ru-RU"/>
        </w:rPr>
        <w:noBreakHyphen/>
        <w:t>41.</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Блатун Л.А. Местное медикаментозное лечение ран. Хирургия. Журнал им. Н.И. Пирогова. 2011;(4):51</w:t>
      </w:r>
      <w:r w:rsidRPr="00E51ED1">
        <w:rPr>
          <w:rFonts w:ascii="Times New Roman" w:eastAsia="Times New Roman" w:hAnsi="Times New Roman" w:cs="Times New Roman"/>
          <w:color w:val="222222"/>
          <w:spacing w:val="4"/>
          <w:sz w:val="27"/>
          <w:szCs w:val="27"/>
          <w:lang w:eastAsia="ru-RU"/>
        </w:rPr>
        <w:noBreakHyphen/>
        <w:t>59.</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Местное лечение ран: Учебное пособие для врачей и медицинских сестер / Под ред. Храмилина В.Н. – М.: «Издательство «Проспект», 2012 – 64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Конорев, М.Р. К-49. Клиническая фармакология в стоматологии: пособие / М.Р. Конорев, О.П. Дорожкина, Т.М. Соболенко, Е.К. Мастыкова, И.И. Крапивко (под ред. М.Р. Конорева). – Витебск: ВГМУ, 2018 – 196 с.; ISBN 978-985-466-856-7</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Чадаев А.П., Климиашвили А.Д. Современные методики местного медикаментозного лечения инфицированных ран. РМЖ. 2002;26:1211.</w:t>
      </w:r>
    </w:p>
    <w:p w:rsidR="00E51ED1" w:rsidRPr="00E51ED1" w:rsidRDefault="00E51ED1" w:rsidP="00E51ED1">
      <w:pPr>
        <w:numPr>
          <w:ilvl w:val="0"/>
          <w:numId w:val="61"/>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Григорьян А.Ю., Бежин А.И., Панкрушева Т.А., Суковатых Б.С. Современное представление о раневых покрытиях. Хирургия. Журнал им. Н.И. Пирогова. 2022;11:42–48. </w:t>
      </w:r>
      <w:hyperlink r:id="rId56" w:history="1">
        <w:r w:rsidRPr="00E51ED1">
          <w:rPr>
            <w:rFonts w:ascii="Times New Roman" w:eastAsia="Times New Roman" w:hAnsi="Times New Roman" w:cs="Times New Roman"/>
            <w:color w:val="0000FF"/>
            <w:spacing w:val="4"/>
            <w:sz w:val="27"/>
            <w:szCs w:val="27"/>
            <w:u w:val="single"/>
            <w:lang w:eastAsia="ru-RU"/>
          </w:rPr>
          <w:t>https://doi.org/10.17116/hirurgia202211142</w:t>
        </w:r>
      </w:hyperlink>
      <w:r w:rsidRPr="00E51ED1">
        <w:rPr>
          <w:rFonts w:ascii="Times New Roman" w:eastAsia="Times New Roman" w:hAnsi="Times New Roman" w:cs="Times New Roman"/>
          <w:color w:val="222222"/>
          <w:spacing w:val="4"/>
          <w:sz w:val="27"/>
          <w:szCs w:val="27"/>
          <w:lang w:eastAsia="ru-RU"/>
        </w:rPr>
        <w:t>.</w:t>
      </w:r>
    </w:p>
    <w:p w:rsidR="00E51ED1" w:rsidRPr="00E51ED1" w:rsidRDefault="00E51ED1" w:rsidP="00E51ED1">
      <w:pPr>
        <w:numPr>
          <w:ilvl w:val="0"/>
          <w:numId w:val="61"/>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Олифирова О.С., Козка А.А. Возможности оптимизации лечения ран различного генеза // Дальневосточный медицинский журнал. 2018. №3. URL: </w:t>
      </w:r>
      <w:hyperlink r:id="rId57" w:history="1">
        <w:r w:rsidRPr="00E51ED1">
          <w:rPr>
            <w:rFonts w:ascii="Times New Roman" w:eastAsia="Times New Roman" w:hAnsi="Times New Roman" w:cs="Times New Roman"/>
            <w:color w:val="0000FF"/>
            <w:spacing w:val="4"/>
            <w:sz w:val="27"/>
            <w:szCs w:val="27"/>
            <w:u w:val="single"/>
            <w:lang w:eastAsia="ru-RU"/>
          </w:rPr>
          <w:t>https://cyberleninka.ru/article/n/vozmozhnosti-optimizatsii-lecheniya-ran-razlichnogo-geneza.</w:t>
        </w:r>
      </w:hyperlink>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Синдром системной воспалительной реакции и сепсис у больных с патологией челюстно-лицевой локализации; С38 учебно-методическое пособие / М.М. Соловьев [и др.: Н.В. Калакуцкий, О.Ю. Петропавловская, И.В. Марусов, А.П. Григорьянц, Е.В. Орлова, Н.В. Мухина, А.А. Спиридонова]; под ред. А.И. Яременко, Э.Э. Звартау. – СПб: РИЦ ПСПбГМУ, 2021 – с.82.</w:t>
      </w:r>
    </w:p>
    <w:p w:rsidR="00E51ED1" w:rsidRPr="00E51ED1" w:rsidRDefault="00E51ED1" w:rsidP="00E51ED1">
      <w:pPr>
        <w:numPr>
          <w:ilvl w:val="0"/>
          <w:numId w:val="61"/>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Павлюченко Иван Иванович, Бат Н. М. Структурно-логический анализ лекарственных препаратов антиоксидантного и антигипоксантного действия // Кубанский научный медицинский вестник. 2018. №1. URL: </w:t>
      </w:r>
      <w:hyperlink r:id="rId58" w:history="1">
        <w:r w:rsidRPr="00E51ED1">
          <w:rPr>
            <w:rFonts w:ascii="Times New Roman" w:eastAsia="Times New Roman" w:hAnsi="Times New Roman" w:cs="Times New Roman"/>
            <w:color w:val="0000FF"/>
            <w:spacing w:val="4"/>
            <w:sz w:val="27"/>
            <w:szCs w:val="27"/>
            <w:u w:val="single"/>
            <w:lang w:eastAsia="ru-RU"/>
          </w:rPr>
          <w:t>https://cyberleninka.ru/article/n/strukturno-logicheskiy-analiz-lekarstvennyh-preparatov-antioksidantnogo-i-antigipoksantnogo-deystviya.</w:t>
        </w:r>
      </w:hyperlink>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lastRenderedPageBreak/>
        <w:t>Опыт применения минимизированной гипербарической  оксигенации (МГБО) и антимикробного перевязочного материала при лечении пациентов с одонтогенными флегмонами/  А.Ю. Дробышев, О.О. Просычева, В.Н. Царёв, Е.В. Ипполитов  // Стоматология для всех №4 2012, С.36-42.</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Просычева Ольга Олеговна. Применение минимизированной гипербарической оксигенации и антимикробного перевязочного материала в комплексном лечении больных с флегмонами челюстно-лицевой области: автореферат дис. ... кандидата медицинских наук : 14.01.14, 03.02.03 / Просычева Ольга Олеговна; [Место защиты: Моск. гос. мед.-стоматолог. ун-т им. А.И. Евдокимова]. - Москва, 2013. - 25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Кытикова Оксана Юрьевна. Применение озонотерапии в хирургическом лечении одонтогенных флегмон челюстно-лицевой области у больных старших возрастных групп : автореферат дис. ... кандидата медицинских наук : 14.00.27 / Владивосток. гос. мед. ун-т. - Владивосток, 2004. - 25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Гриншпун Клара Иосифовна. Применение глюкокортикоидного препарата "Дексаметазон" при хирургических стоматологических вмешательствах для лечения и профилактики воспалительных осложнений. Специальность 14.00.2114.00.25 / Гриншпун Клара Иосифовна. – Москва, 2005 – EDN NPIDNR.</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Российские клинические рекомендации по диагностике, лечению и профилактике венозных тромбоэмболических осложнений (ВТЭО) / А.В. Андрияшкин, В.В. Андрияшкин, Г.П. Арутюнов [и др.] // Флебология. – 2015. – Выпуск 2. – 51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Клинические рекомендации Хронический болевой синдром (ХБС) у взрослых пациентов, нуждающихся в паллиативной медицинской помощи Ассоциация профессиональных участников хосписной помощи, Ассоциация междисциплинарной медицины, Общество специалистов доказательной медицины, Российское научное медицинское общество терапевтов, 2022, с.110</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Овечкин А.М., Баялиева А.Ж., Ежевская А.А., и др.  Послеоперационное обезболивание. Клинические рекомендации. Вестник интенсивной терапии им. А.И. Салтанова. 2019;4:9–33.</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lastRenderedPageBreak/>
        <w:t>Hawker GA, Mian S, Kendzerska T, French M. Measures of adult pain: Visual Analog Scale for Pain (VAS Pain), Numeric Rating Scale for Pain (NRS Pain), McGill Pain Questionnaire (MPQ), Short-Form McGill Pain Questionnaire (SF-MPQ), Chronic Pain Grade Scale (CPGS), Short Form-36 Bodily Pain Scale (SF-36 BPS), and Measure of Intermittent and Constant Osteoarthritis Pain (ICOAP). Arthritis Care Res (Hoboken). 2011; 63 Suppl 11: S 240–252.</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Фомичёв Е.В., Сербин А.С., Ярыгина Е.Н., Михальченко А.В. Сравнительная характеристика обезболивающих препаратов, применяемых для лечения послеоперационной боли у больных с воспалительными заболеваниями челюстно-лицевой области. Лекарственный вестник. № 4 (64). 2016. Том 10. с. 37-41.</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Рациональная антибактериальная терапия гнойно-воспалительных заболеваний челюстно-лицевой локализации. Марусов И.В., Соловьев М.М., Григорьянц А.П., Спиридонова А.А., Бахтина С.М., Петропавловская О.Ю.. Издательство «Человек», Санкт-Петербург, 2019, 100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Периоперационное ведение больных при выполнении расширенных реконструктивных вмешательств в челюстно-лицевой хирургии, включая операции с применением микрохирургических технологий: Я72 Учебно-методическое пособие для студентов V курса стоматологического факультета, клинических ординаторов/ А.И. Яременко [и др.: Н.В. Калакуцкий, О.Ю. Петропавловская, В.Ф. Калинин, А.А. Дунай, И.В. Марусов]. – СПб.: РИЦ ПСПбГМУ, 2023 – с. 92.</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Постановление Правительства РФ от 29 декабря 2022 г. № 2497 «Программа государственных гарантий бесплатного оказания гражданам медицинской помощи на 2023 год и на плановый период 2024 и 2025 годов».- 584 с.</w:t>
      </w:r>
    </w:p>
    <w:p w:rsidR="00E51ED1" w:rsidRPr="00E51ED1" w:rsidRDefault="00E51ED1" w:rsidP="00E51ED1">
      <w:pPr>
        <w:numPr>
          <w:ilvl w:val="0"/>
          <w:numId w:val="61"/>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hyperlink r:id="rId59" w:history="1">
        <w:r w:rsidRPr="00E51ED1">
          <w:rPr>
            <w:rFonts w:ascii="Times New Roman" w:eastAsia="Times New Roman" w:hAnsi="Times New Roman" w:cs="Times New Roman"/>
            <w:color w:val="0000FF"/>
            <w:spacing w:val="4"/>
            <w:sz w:val="27"/>
            <w:szCs w:val="27"/>
            <w:u w:val="single"/>
            <w:lang w:eastAsia="ru-RU"/>
          </w:rPr>
          <w:t>Петриченко, Анна Александровна</w:t>
        </w:r>
      </w:hyperlink>
      <w:hyperlink r:id="rId60" w:history="1">
        <w:r w:rsidRPr="00E51ED1">
          <w:rPr>
            <w:rFonts w:ascii="Times New Roman" w:eastAsia="Times New Roman" w:hAnsi="Times New Roman" w:cs="Times New Roman"/>
            <w:color w:val="0000FF"/>
            <w:spacing w:val="4"/>
            <w:sz w:val="27"/>
            <w:szCs w:val="27"/>
            <w:u w:val="single"/>
            <w:lang w:eastAsia="ru-RU"/>
          </w:rPr>
          <w:t>; Ермолаева, Людмила Александровна</w:t>
        </w:r>
      </w:hyperlink>
      <w:r w:rsidRPr="00E51ED1">
        <w:rPr>
          <w:rFonts w:ascii="Times New Roman" w:eastAsia="Times New Roman" w:hAnsi="Times New Roman" w:cs="Times New Roman"/>
          <w:color w:val="222222"/>
          <w:spacing w:val="4"/>
          <w:sz w:val="27"/>
          <w:szCs w:val="27"/>
          <w:lang w:eastAsia="ru-RU"/>
        </w:rPr>
        <w:t>; Чибисова, М. А.</w:t>
      </w:r>
      <w:hyperlink r:id="rId61" w:history="1">
        <w:r w:rsidRPr="00E51ED1">
          <w:rPr>
            <w:rFonts w:ascii="Times New Roman" w:eastAsia="Times New Roman" w:hAnsi="Times New Roman" w:cs="Times New Roman"/>
            <w:color w:val="0000FF"/>
            <w:spacing w:val="4"/>
            <w:sz w:val="27"/>
            <w:szCs w:val="27"/>
            <w:u w:val="single"/>
            <w:lang w:eastAsia="ru-RU"/>
          </w:rPr>
          <w:t>; Туманова, Светлана Адольфовна</w:t>
        </w:r>
      </w:hyperlink>
      <w:hyperlink r:id="rId62" w:history="1">
        <w:r w:rsidRPr="00E51ED1">
          <w:rPr>
            <w:rFonts w:ascii="Times New Roman" w:eastAsia="Times New Roman" w:hAnsi="Times New Roman" w:cs="Times New Roman"/>
            <w:color w:val="0000FF"/>
            <w:spacing w:val="4"/>
            <w:sz w:val="27"/>
            <w:szCs w:val="27"/>
            <w:u w:val="single"/>
            <w:lang w:eastAsia="ru-RU"/>
          </w:rPr>
          <w:t>; Манушин, Антон Анатольевич</w:t>
        </w:r>
      </w:hyperlink>
      <w:r w:rsidRPr="00E51ED1">
        <w:rPr>
          <w:rFonts w:ascii="Times New Roman" w:eastAsia="Times New Roman" w:hAnsi="Times New Roman" w:cs="Times New Roman"/>
          <w:color w:val="222222"/>
          <w:spacing w:val="4"/>
          <w:sz w:val="27"/>
          <w:szCs w:val="27"/>
          <w:lang w:eastAsia="ru-RU"/>
        </w:rPr>
        <w:t>./ </w:t>
      </w:r>
      <w:hyperlink r:id="rId63" w:history="1">
        <w:r w:rsidRPr="00E51ED1">
          <w:rPr>
            <w:rFonts w:ascii="Times New Roman" w:eastAsia="Times New Roman" w:hAnsi="Times New Roman" w:cs="Times New Roman"/>
            <w:color w:val="0000FF"/>
            <w:spacing w:val="4"/>
            <w:sz w:val="27"/>
            <w:szCs w:val="27"/>
            <w:u w:val="single"/>
            <w:lang w:eastAsia="ru-RU"/>
          </w:rPr>
          <w:t>Сравнительная характеристика использования радиовизиографии и конусно-лучевой компьютерной томографии при повторном эндодонтическом лечении зубов</w:t>
        </w:r>
      </w:hyperlink>
      <w:r w:rsidRPr="00E51ED1">
        <w:rPr>
          <w:rFonts w:ascii="Times New Roman" w:eastAsia="Times New Roman" w:hAnsi="Times New Roman" w:cs="Times New Roman"/>
          <w:color w:val="222222"/>
          <w:spacing w:val="4"/>
          <w:sz w:val="27"/>
          <w:szCs w:val="27"/>
          <w:lang w:eastAsia="ru-RU"/>
        </w:rPr>
        <w:t>. In: ИНСТИТУТ СТОМАТОЛОГИИ. 2024 ; No. 1. pp. 1-2.</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xml:space="preserve">Петрунина Ольга Викторовна. Клинико-цитологическая диагностика воспалительных осложнений в тканях пародонта при ортодонтическом </w:t>
      </w:r>
      <w:r w:rsidRPr="00E51ED1">
        <w:rPr>
          <w:rFonts w:ascii="Times New Roman" w:eastAsia="Times New Roman" w:hAnsi="Times New Roman" w:cs="Times New Roman"/>
          <w:color w:val="222222"/>
          <w:spacing w:val="4"/>
          <w:sz w:val="27"/>
          <w:szCs w:val="27"/>
          <w:lang w:eastAsia="ru-RU"/>
        </w:rPr>
        <w:lastRenderedPageBreak/>
        <w:t>лечении с использованием несъемной техники : автореферат дис. ... кандидата медицинских наук : 14.00.21 / Петрунина Ольга Викторовна; [Место защиты: Центр. науч.-исслед. ин-т стоматологии и челюстно-лицевой хирургии Росмедтехнологий]. — Москва, 2008. — 25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Искакова Марьям Козбаевна, Муродова Нагима Умрзоковна Характеристика цитологических исследований при заболеваниях пародонта // Евразийский Союз Ученых. 2016. №7-1 (28). URL: https://cyberleninka.ru/article/n/harakteristika-tsitologicheskih-issledovaniy-pri-zabolevaniyah-parodonta (дата обращения: 27.11.2025).</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Базарный В.В., Полушина Л.Г., Максимова А.Ю., Светлакова Е.Н., Семенцова Е.А., Нерсесян П.М., Мандра Ю.В. Использование интегральных индексов в оценке буккальной цитограммы в норме и при патологии полости рта. Клиническая лабораторная диагностика. 2019; 64 (12): 736-739. DOI: http: //dx.doi.org/10.18821/0869-2084-2019-64-12-736-739.</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Ломакина М.В. Влияние терапии антикоагулянтами на течение стоматологических заболеваний и оказание стоматологической помощи пациентам. Обзор литературы. Российская стоматология. 2021;14(1):21</w:t>
      </w:r>
      <w:r w:rsidRPr="00E51ED1">
        <w:rPr>
          <w:rFonts w:ascii="Times New Roman" w:eastAsia="Times New Roman" w:hAnsi="Times New Roman" w:cs="Times New Roman"/>
          <w:color w:val="222222"/>
          <w:spacing w:val="4"/>
          <w:sz w:val="27"/>
          <w:szCs w:val="27"/>
          <w:lang w:eastAsia="ru-RU"/>
        </w:rPr>
        <w:noBreakHyphen/>
        <w:t>25.</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Халиме Ибрахим, Мартиросян С.Г., Беленова И.А., Бут Л.В., Проценко Н.А., Кудрявцев О.А. 2023 Анализ подходов к лечению стоматологических пациентов, принимающих антитромботическую терапию. Актуальные проблемы медицины, 46 (2): 191–202. DOI: 10.52575/2687-0940-2023-46-2-191-202.</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Аснина С.А. Разработка показаний к применению гепербарической оксигенации в комплексном лечении хронического остеомиелита нижней челюсти с учетом реактивности организма : автореферат дис. ... кандидата медицинских наук : 14.00.21; 14.00.16. / Моск. мед. стоматол. ин-т им. Н.А. Семашко.- Москва, 1988. - 14 с.</w:t>
      </w:r>
    </w:p>
    <w:p w:rsidR="00E51ED1" w:rsidRPr="00E51ED1" w:rsidRDefault="00E51ED1" w:rsidP="00E51ED1">
      <w:pPr>
        <w:numPr>
          <w:ilvl w:val="0"/>
          <w:numId w:val="61"/>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Ишутов И.В. ВЛИЯНИЕ Озонотерапии на иммунный статус больных с хроническим остеомиелитом // Фундаментальные исследования. 2011. № 7. С. 67-70; URL: </w:t>
      </w:r>
      <w:hyperlink r:id="rId64" w:history="1">
        <w:r w:rsidRPr="00E51ED1">
          <w:rPr>
            <w:rFonts w:ascii="Times New Roman" w:eastAsia="Times New Roman" w:hAnsi="Times New Roman" w:cs="Times New Roman"/>
            <w:color w:val="0000FF"/>
            <w:spacing w:val="4"/>
            <w:sz w:val="27"/>
            <w:szCs w:val="27"/>
            <w:u w:val="single"/>
            <w:lang w:eastAsia="ru-RU"/>
          </w:rPr>
          <w:t>https://fundamental-research.ru/ru/article/view?id=26726</w:t>
        </w:r>
      </w:hyperlink>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xml:space="preserve">Чергештов Ю.И., Царев В.Н., Волков А.Г., Носик А.С., Дикопова Н.Ж., Маланчук Д.А. Исследование действия озоно-воздушной смеси </w:t>
      </w:r>
      <w:r w:rsidRPr="00E51ED1">
        <w:rPr>
          <w:rFonts w:ascii="Times New Roman" w:eastAsia="Times New Roman" w:hAnsi="Times New Roman" w:cs="Times New Roman"/>
          <w:color w:val="222222"/>
          <w:spacing w:val="4"/>
          <w:sz w:val="27"/>
          <w:szCs w:val="27"/>
          <w:lang w:eastAsia="ru-RU"/>
        </w:rPr>
        <w:lastRenderedPageBreak/>
        <w:t>на микрофлору лунки удаленного зуба при альвеолите и ограниченном остеомиелите челюсти. Российская стоматология. 2016;9(1):11</w:t>
      </w:r>
      <w:r w:rsidRPr="00E51ED1">
        <w:rPr>
          <w:rFonts w:ascii="Times New Roman" w:eastAsia="Times New Roman" w:hAnsi="Times New Roman" w:cs="Times New Roman"/>
          <w:color w:val="222222"/>
          <w:spacing w:val="4"/>
          <w:sz w:val="27"/>
          <w:szCs w:val="27"/>
          <w:lang w:eastAsia="ru-RU"/>
        </w:rPr>
        <w:noBreakHyphen/>
        <w:t>15.</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Маланчук Данила Александрович. Озонотерапия и светодиодное излучение различных длин волн в комплексном лечении альвеолита и остеомиелита челюстей (ограниченного) : автореферат дис. ... кандидата медицинских наук : 14.01.14 / Маланчук Данила Александрович; [Место защиты: Моск. гос. мед.-стоматолог. ун-т им. А.И. Евдокимова]. - Москва, 2017. - 24</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Клинические рекомендации Диагностика, лечение и профилактика венозных тромбоэмболических осложнений в травматологии и ортопедии. Общество специалистов по неотложной кардиологии, Ассоциация травматологов-ортопедов России, Год утверждения 2025.</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Царев В., Дробышев А.Ю., Трофимов С.А., Ипполитов Е., Николаева Е. Взаимосвязь клинического течения хронического остеомиелита нижней челюсти и экспрессии рецепторных молекул клеточной активации. Эндодонтия Today. 2017;15(2):41-47.</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Современные методы в комплексном лечении воспалительных заболеваний пародонта: монография / О.А. Гуляева, Р.Т. Буляков, Л.П. Герасимова, Т.С.Чемикосова. - Уфа:Изд-во «УралПолиграфСнаб», 2016 - 190 c.</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Клинические рекомендации Диагностика, лечение и профилактика венозных тромбоэмболических осложнений в травматологии и ортопедии https://cr.minzdrav.gov.ru/view-cr/940_1</w:t>
      </w:r>
    </w:p>
    <w:p w:rsidR="00E51ED1" w:rsidRPr="00E51ED1" w:rsidRDefault="00E51ED1" w:rsidP="00E51ED1">
      <w:pPr>
        <w:numPr>
          <w:ilvl w:val="0"/>
          <w:numId w:val="61"/>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Сравнительная характеристика использования радиовизиографии и конусно-лучевой компьютерной томографии при повторном эндодонтическом лечении зубов. / </w:t>
      </w:r>
      <w:hyperlink r:id="rId65" w:history="1">
        <w:r w:rsidRPr="00E51ED1">
          <w:rPr>
            <w:rFonts w:ascii="Times New Roman" w:eastAsia="Times New Roman" w:hAnsi="Times New Roman" w:cs="Times New Roman"/>
            <w:color w:val="0000FF"/>
            <w:spacing w:val="4"/>
            <w:sz w:val="27"/>
            <w:szCs w:val="27"/>
            <w:u w:val="single"/>
            <w:lang w:eastAsia="ru-RU"/>
          </w:rPr>
          <w:t>Петриченко, Анна Александровна</w:t>
        </w:r>
      </w:hyperlink>
      <w:hyperlink r:id="rId66" w:history="1">
        <w:r w:rsidRPr="00E51ED1">
          <w:rPr>
            <w:rFonts w:ascii="Times New Roman" w:eastAsia="Times New Roman" w:hAnsi="Times New Roman" w:cs="Times New Roman"/>
            <w:color w:val="0000FF"/>
            <w:spacing w:val="4"/>
            <w:sz w:val="27"/>
            <w:szCs w:val="27"/>
            <w:u w:val="single"/>
            <w:lang w:eastAsia="ru-RU"/>
          </w:rPr>
          <w:t>; Ермолаева, Людмила Александровна</w:t>
        </w:r>
      </w:hyperlink>
      <w:r w:rsidRPr="00E51ED1">
        <w:rPr>
          <w:rFonts w:ascii="Times New Roman" w:eastAsia="Times New Roman" w:hAnsi="Times New Roman" w:cs="Times New Roman"/>
          <w:color w:val="222222"/>
          <w:spacing w:val="4"/>
          <w:sz w:val="27"/>
          <w:szCs w:val="27"/>
          <w:lang w:eastAsia="ru-RU"/>
        </w:rPr>
        <w:t>; Чибисова, М. А.</w:t>
      </w:r>
      <w:hyperlink r:id="rId67" w:history="1">
        <w:r w:rsidRPr="00E51ED1">
          <w:rPr>
            <w:rFonts w:ascii="Times New Roman" w:eastAsia="Times New Roman" w:hAnsi="Times New Roman" w:cs="Times New Roman"/>
            <w:color w:val="0000FF"/>
            <w:spacing w:val="4"/>
            <w:sz w:val="27"/>
            <w:szCs w:val="27"/>
            <w:u w:val="single"/>
            <w:lang w:eastAsia="ru-RU"/>
          </w:rPr>
          <w:t>; Туманова, Светлана Адольфовна</w:t>
        </w:r>
      </w:hyperlink>
      <w:hyperlink r:id="rId68" w:history="1">
        <w:r w:rsidRPr="00E51ED1">
          <w:rPr>
            <w:rFonts w:ascii="Times New Roman" w:eastAsia="Times New Roman" w:hAnsi="Times New Roman" w:cs="Times New Roman"/>
            <w:color w:val="0000FF"/>
            <w:spacing w:val="4"/>
            <w:sz w:val="27"/>
            <w:szCs w:val="27"/>
            <w:u w:val="single"/>
            <w:lang w:eastAsia="ru-RU"/>
          </w:rPr>
          <w:t>; Манушин, Антон Анатольевич</w:t>
        </w:r>
      </w:hyperlink>
      <w:r w:rsidRPr="00E51ED1">
        <w:rPr>
          <w:rFonts w:ascii="Times New Roman" w:eastAsia="Times New Roman" w:hAnsi="Times New Roman" w:cs="Times New Roman"/>
          <w:color w:val="222222"/>
          <w:spacing w:val="4"/>
          <w:sz w:val="27"/>
          <w:szCs w:val="27"/>
          <w:lang w:eastAsia="ru-RU"/>
        </w:rPr>
        <w:t>. : Институт стоматологии, № 1, 2024, стр. 1-2.</w:t>
      </w:r>
    </w:p>
    <w:p w:rsidR="00E51ED1" w:rsidRPr="00E51ED1" w:rsidRDefault="00E51ED1" w:rsidP="00E51ED1">
      <w:pPr>
        <w:numPr>
          <w:ilvl w:val="0"/>
          <w:numId w:val="61"/>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Чибисова М.А. Применение радиовизиографов в амбулаторной стоматологической практике // Проблемы стоматологии. 2008. №1. URL: </w:t>
      </w:r>
      <w:hyperlink r:id="rId69" w:history="1">
        <w:r w:rsidRPr="00E51ED1">
          <w:rPr>
            <w:rFonts w:ascii="Times New Roman" w:eastAsia="Times New Roman" w:hAnsi="Times New Roman" w:cs="Times New Roman"/>
            <w:color w:val="0000FF"/>
            <w:spacing w:val="4"/>
            <w:sz w:val="27"/>
            <w:szCs w:val="27"/>
            <w:u w:val="single"/>
            <w:lang w:eastAsia="ru-RU"/>
          </w:rPr>
          <w:t>https://cyberleninka.ru/article/n/primenenie-radioviziografov-v-ambulatornoy-stomatologicheskoy-praktike.</w:t>
        </w:r>
      </w:hyperlink>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lastRenderedPageBreak/>
        <w:t>Селина Олеся Борисовна, Некрылов Д.В., Шалаев О.Ю., Соловьева А.Л., Машкова Н.Г., Швырева С.А. Сравнительный анализ данных традиционной рентгенографии и дентальной конусно-лучевой компьютерной томографии при диагностике хронического гранулирующего периодонтита // Российский стоматологический журнал. 2016. №4. URL: https://cyberleninka.ru/article/n/sravnitelnyy-analiz-dannyh-traditsionnoy-rentgenografii-i-dentalnoy-konusno-luchevoy-kompyuternoy-tomografii-pri-diagnostike</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Наумова Е.Д. Радиовизиография в стоматологии //Сборник трудов конференции ФГБОУ ВО Тверской ГМУ, Молодежь, наука, медицина. г. Тверь. – 2018. – С. 168-170.</w:t>
      </w:r>
    </w:p>
    <w:p w:rsidR="00E51ED1" w:rsidRPr="00E51ED1" w:rsidRDefault="00E51ED1" w:rsidP="00E51ED1">
      <w:pPr>
        <w:numPr>
          <w:ilvl w:val="0"/>
          <w:numId w:val="61"/>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Стоматологическая радиология: Учебно-методическое пособие. Хафизов Раис Габбасович; Житко Айгуль Корбановна; Хафизова Фаниля Асгатовна; Хаирутдинова Айгуль Рафиковна; Азизова Дина Анваровна. Казанский (Приволжский) федеральный университет. Электронное издание.  2016./ URI: </w:t>
      </w:r>
      <w:hyperlink r:id="rId70" w:history="1">
        <w:r w:rsidRPr="00E51ED1">
          <w:rPr>
            <w:rFonts w:ascii="Times New Roman" w:eastAsia="Times New Roman" w:hAnsi="Times New Roman" w:cs="Times New Roman"/>
            <w:color w:val="0000FF"/>
            <w:spacing w:val="4"/>
            <w:sz w:val="27"/>
            <w:szCs w:val="27"/>
            <w:u w:val="single"/>
            <w:lang w:eastAsia="ru-RU"/>
          </w:rPr>
          <w:t>http://dspace.kpfu.ru/xmlui/handle/net/32682</w:t>
        </w:r>
      </w:hyperlink>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Ротова А.А. Определение степени искажения на ортопантомограммах // Смоленский медицинский альманах. 2018. №2. URL: https://cyberleninka.ru/article/n/opredelenie-stepeni-iskazheniya-na-ortopantomogrammah</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Лучевая диагностика в стоматологии: 2D/3D / Рогацкин Дмитрий Васильевич — М.: ТАРКОММ, 2021 — 403 с.: ил.</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Л.А. Акимочкина, А.М. Цициашвили, К.Г. Гуревич, А.М. Панин, А.П. Анищенко. Оценка эффективности применения нутритивной поддержки в сочетании с инъекциями кортикостероидов у пациентов при стоматологических хирургических вмешательствах на основании клинических данных и данных региональной биоимпедансометрии // Вестник новых медицинских технологий. Электронное издание. 2023. №4. URL: https://cyberleninka.ru/article/n/otsenka-effektivnosti-primeneniya-nutritivnoy-podderzhki-v-sochetanii-s-inektsiyami-kortikosteroidov-u-patsientov-pri.</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Giridhar VU. Role of nutrition in oral and maxillofacial surgery patients. Natl J Maxillofac Surg. 2016 Jan-Jun;7(1):3-9. doi: 10.4103/0975-5950.196146. PMID: 28163471; PMCID: PMC5242071.</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lastRenderedPageBreak/>
        <w:t>Сапичева Ю.Ю. и др. Тактика ведения пациентов с сепсисом и септическим шоком в многопрофильном стационаре //Москва. – 2015. 40 с.  ISBN 978-5-98511-299-3</w:t>
      </w:r>
    </w:p>
    <w:p w:rsidR="00E51ED1" w:rsidRPr="00E51ED1" w:rsidRDefault="00E51ED1" w:rsidP="00E51ED1">
      <w:pPr>
        <w:numPr>
          <w:ilvl w:val="0"/>
          <w:numId w:val="61"/>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Лейдерман И.Н., Грицан А.И., Заболотских И.Б., Лебединский К.М., Крылов К.Ю., Мазурок В.А., Ярошецкий А.И. Метаболический мониторинг и нутритивная поддержка при проведении длительной искусственной вентиляции лёгких. Методические рекомендации Общероссийской общественной организации «Федерация анестезиологов и реаниматологов». Анестезиология и реаниматология. 2022; №5: 6–17. </w:t>
      </w:r>
      <w:hyperlink r:id="rId71" w:history="1">
        <w:r w:rsidRPr="00E51ED1">
          <w:rPr>
            <w:rFonts w:ascii="Times New Roman" w:eastAsia="Times New Roman" w:hAnsi="Times New Roman" w:cs="Times New Roman"/>
            <w:color w:val="0000FF"/>
            <w:spacing w:val="4"/>
            <w:sz w:val="27"/>
            <w:szCs w:val="27"/>
            <w:u w:val="single"/>
            <w:lang w:eastAsia="ru-RU"/>
          </w:rPr>
          <w:t>https://doi.org/10.17116/anaesthesiology20220516</w:t>
        </w:r>
      </w:hyperlink>
      <w:r w:rsidRPr="00E51ED1">
        <w:rPr>
          <w:rFonts w:ascii="Times New Roman" w:eastAsia="Times New Roman" w:hAnsi="Times New Roman" w:cs="Times New Roman"/>
          <w:color w:val="222222"/>
          <w:spacing w:val="4"/>
          <w:sz w:val="27"/>
          <w:szCs w:val="27"/>
          <w:lang w:eastAsia="ru-RU"/>
        </w:rPr>
        <w:t>.</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Индивидуальная профилактика и лечение начальных стадий воспалительных заболеваний пародонта в рамках диспансерного наблюдения / О.И. Олейник, Е.В. Вусатая, В.К. Глазьев [и др.]. — Текст : непосредственный // Молодой учёный. — 2015. — № 13 (93). — С. 301-305. — URL: https://moluch.ru/archive/93/20697.</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Олейник О.И., Вусатая Е.В., Кубышкина К.П., Попова В.С., Соловьева А.Л. Реализация индивидуальной профилактики воспалительных заболеваний пародонта в рамках диспансерного подхода // Здоровье и образование в XXI веке. 2020. №4. URL: https://cyberleninka.ru/article/n/realizatsiya-individualnoy-profilaktiki-vospalitelnyh-zabolevaniy-parodonta-v-ramkah-dispansernogo-podhoda.</w:t>
      </w:r>
    </w:p>
    <w:p w:rsidR="00E51ED1" w:rsidRPr="00E51ED1" w:rsidRDefault="00E51ED1" w:rsidP="00E51ED1">
      <w:pPr>
        <w:numPr>
          <w:ilvl w:val="0"/>
          <w:numId w:val="61"/>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Смирнова Я.В., Бриль Е.А., Бакшеева С.Л., Бриль В.И. Современные методы профилактики воспалительных заболеваний пародонта // Современные проблемы науки и образования. 2015. № 6. ; URL: </w:t>
      </w:r>
      <w:hyperlink r:id="rId72" w:history="1">
        <w:r w:rsidRPr="00E51ED1">
          <w:rPr>
            <w:rFonts w:ascii="Times New Roman" w:eastAsia="Times New Roman" w:hAnsi="Times New Roman" w:cs="Times New Roman"/>
            <w:color w:val="0000FF"/>
            <w:spacing w:val="4"/>
            <w:sz w:val="27"/>
            <w:szCs w:val="27"/>
            <w:u w:val="single"/>
            <w:lang w:eastAsia="ru-RU"/>
          </w:rPr>
          <w:t>https://science-education.ru/ru/article/view?id=23209.</w:t>
        </w:r>
      </w:hyperlink>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Тегза Николай Васильевич. Лечебное питание раненых и больных с травмами и воспалительными заболеваниями челюстно-лицевой области [Текст] : учебное пособие / [Тегза Н.В., Железняк В.А.] ; Военно-мед. акад. им. С.М. Кирова, Каф. челюстно-лицевой хирургии и хирургической стоматологии, Каф. терапевтической стоматологии. - Санкт-Петербург : ВМедА им. С.М. Кирова, 2016. - 19, [1] с.</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xml:space="preserve">Акимочкина Лидия Александровна. Оптимизация течения периоперационного периода с использованием нутритивной поддержки у пациентов при плановых хирургических стоматологических </w:t>
      </w:r>
      <w:r w:rsidRPr="00E51ED1">
        <w:rPr>
          <w:rFonts w:ascii="Times New Roman" w:eastAsia="Times New Roman" w:hAnsi="Times New Roman" w:cs="Times New Roman"/>
          <w:color w:val="222222"/>
          <w:spacing w:val="4"/>
          <w:sz w:val="27"/>
          <w:szCs w:val="27"/>
          <w:lang w:eastAsia="ru-RU"/>
        </w:rPr>
        <w:lastRenderedPageBreak/>
        <w:t>вмешательствах : автореферат дис. ... кандидата медицинских наук : 3.1.7. / Акимочкина Лидия Александровна; [Место защиты: ФГБОУ ВО «Московский государственный медико-стоматологический университет имени А.И. Евдокимова» Министерства здравоохранения Российской Федерации; Диссовет Д 208.041.XX (21.2.016.06)]. — Москва, 2023. — 22 с. : ил..</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Акимочкина Л.А., Цициашвили А.М., Гуревич К.Г., Панин А.М., Карамышева Е.И. Клиническая оценка влияния нутритивной поддержки в периоперационном периоде у пациентов при хирургических стоматологических вмешательствах // Кремлевская медицина. Клинический вестник. 2023. Т. № 1. С. 5-10.</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Панин А.М., Гуревич К.Г., Цициашвили А.М., Акимочкина Л.А. Роль клинического питания в периоперационном периоде у пациентов при хирургических вмешательствах в полости рта и челюстно-лицевой области. Head and neck. Голова и шея. Российский журнал. 2023;11(3):68–75</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Величко Э.В. Применение мост-терапии в челюстно-лицевой хирургии и хирургической стоматологической практике / Э.В. Величко, Н.В. Стуров // Вестник Российского университета дружбы народов. Серия: Медицина .— 2015 .— №1 .— С. 104-108 .— URL: http</w:t>
      </w:r>
    </w:p>
    <w:p w:rsidR="00E51ED1" w:rsidRPr="00E51ED1" w:rsidRDefault="00E51ED1" w:rsidP="00E51ED1">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Клинические рекомендации «Диагностика, лечение и профилактика венозных тромбоэмболических осложнений в травматологии и ортопедии» (в рубрикаторе: 940, ID: 417) Общества специалистов по неотложной кардиологии, Общероссийской общественной организации Ассоциация травматологов-ортопедов России (АТОР), 2025.</w:t>
      </w:r>
    </w:p>
    <w:p w:rsidR="00E51ED1" w:rsidRPr="00E51ED1" w:rsidRDefault="00E51ED1" w:rsidP="00E51ED1">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E51ED1">
        <w:rPr>
          <w:rFonts w:ascii="Inter" w:eastAsia="Times New Roman" w:hAnsi="Inter" w:cs="Times New Roman"/>
          <w:b/>
          <w:bCs/>
          <w:color w:val="000000"/>
          <w:spacing w:val="4"/>
          <w:kern w:val="36"/>
          <w:sz w:val="48"/>
          <w:szCs w:val="48"/>
          <w:lang w:eastAsia="ru-RU"/>
        </w:rPr>
        <w:t>Приложение А1. Состав рабочей группы по разработке и пересмотру клинических рекомендаций</w:t>
      </w:r>
    </w:p>
    <w:p w:rsidR="00E51ED1" w:rsidRPr="00E51ED1" w:rsidRDefault="00E51ED1" w:rsidP="00E51ED1">
      <w:pPr>
        <w:numPr>
          <w:ilvl w:val="0"/>
          <w:numId w:val="6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Дурново Е.А. – д.м.н., профессор, член правления ООО «Общество специалистов в области челюстно-лицевой хирургии».</w:t>
      </w:r>
    </w:p>
    <w:p w:rsidR="00E51ED1" w:rsidRPr="00E51ED1" w:rsidRDefault="00E51ED1" w:rsidP="00E51ED1">
      <w:pPr>
        <w:numPr>
          <w:ilvl w:val="0"/>
          <w:numId w:val="6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Яременко А.И. – д.м.н., профессор вице–президент ООО «Общество специалистов в области челюстно-лицевой хирургии».</w:t>
      </w:r>
    </w:p>
    <w:p w:rsidR="00E51ED1" w:rsidRPr="00E51ED1" w:rsidRDefault="00E51ED1" w:rsidP="00E51ED1">
      <w:pPr>
        <w:numPr>
          <w:ilvl w:val="0"/>
          <w:numId w:val="6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lastRenderedPageBreak/>
        <w:t>Соловьёв М.М. – заслуженный деятель науки РФ, д.м.н., профессор кафедры стоматологии хирургической и челюстно-лицевой хирургии ФГБОУ ВО «ПСПбГМУ им. И.П. Павлова» Минздрава России.</w:t>
      </w:r>
    </w:p>
    <w:p w:rsidR="00E51ED1" w:rsidRPr="00E51ED1" w:rsidRDefault="00E51ED1" w:rsidP="00E51ED1">
      <w:pPr>
        <w:numPr>
          <w:ilvl w:val="0"/>
          <w:numId w:val="6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Григорьянц А.П. – к.м.н., доцент кафедры пропедевтики стоматологических заболеваний ФГБОУ ВО «ПСПбГМУ им. И.П. Павлова» Минздрава России.</w:t>
      </w:r>
    </w:p>
    <w:p w:rsidR="00E51ED1" w:rsidRPr="00E51ED1" w:rsidRDefault="00E51ED1" w:rsidP="00E51ED1">
      <w:pPr>
        <w:numPr>
          <w:ilvl w:val="0"/>
          <w:numId w:val="6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Марусов И.В. – к.м.н., доцент кафедры фармакологии ФГБОУ ВО «ПСПбГМУ им. И.П. Павлова» Минздрава России.</w:t>
      </w:r>
    </w:p>
    <w:p w:rsidR="00E51ED1" w:rsidRPr="00E51ED1" w:rsidRDefault="00E51ED1" w:rsidP="00E51ED1">
      <w:pPr>
        <w:numPr>
          <w:ilvl w:val="0"/>
          <w:numId w:val="6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Спиридонова А.А. – зав. отделением клинической микробиологии ФГБОУ ВО «ПСПбГМУ им. И.П. Павлова» Минздрава России.</w:t>
      </w:r>
    </w:p>
    <w:p w:rsidR="00E51ED1" w:rsidRPr="00E51ED1" w:rsidRDefault="00E51ED1" w:rsidP="00E51ED1">
      <w:pPr>
        <w:numPr>
          <w:ilvl w:val="0"/>
          <w:numId w:val="6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Петропавловская О.Ю. </w:t>
      </w:r>
      <w:r w:rsidRPr="00E51ED1">
        <w:rPr>
          <w:rFonts w:ascii="Times New Roman" w:eastAsia="Times New Roman" w:hAnsi="Times New Roman" w:cs="Times New Roman"/>
          <w:b/>
          <w:bCs/>
          <w:color w:val="222222"/>
          <w:spacing w:val="4"/>
          <w:sz w:val="27"/>
          <w:szCs w:val="27"/>
          <w:lang w:eastAsia="ru-RU"/>
        </w:rPr>
        <w:t>– </w:t>
      </w:r>
      <w:r w:rsidRPr="00E51ED1">
        <w:rPr>
          <w:rFonts w:ascii="Times New Roman" w:eastAsia="Times New Roman" w:hAnsi="Times New Roman" w:cs="Times New Roman"/>
          <w:color w:val="222222"/>
          <w:spacing w:val="4"/>
          <w:sz w:val="27"/>
          <w:szCs w:val="27"/>
          <w:lang w:eastAsia="ru-RU"/>
        </w:rPr>
        <w:t>к.м.н., доцент кафедры стоматологии хирургической и челюстно-лицевой хирургии ФГБОУ ВО «ПСПбГМУ им. И.П. Павлова» Минздрава России.</w:t>
      </w:r>
    </w:p>
    <w:p w:rsidR="00E51ED1" w:rsidRPr="00E51ED1" w:rsidRDefault="00E51ED1" w:rsidP="00E51ED1">
      <w:pPr>
        <w:numPr>
          <w:ilvl w:val="0"/>
          <w:numId w:val="6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Высельцева Ю.В. – к.м.н., доцент, член ООО «Общество специалистов в области челюстно-лицевой хирургии».</w:t>
      </w:r>
    </w:p>
    <w:p w:rsidR="00E51ED1" w:rsidRPr="00E51ED1" w:rsidRDefault="00E51ED1" w:rsidP="00E51ED1">
      <w:pPr>
        <w:numPr>
          <w:ilvl w:val="0"/>
          <w:numId w:val="6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Хомутинникова Н.Е. – к.м.н., доцент, член ООО «Общество специалистов в области челюстно-лицевой хирургии».</w:t>
      </w:r>
    </w:p>
    <w:p w:rsidR="00E51ED1" w:rsidRPr="00E51ED1" w:rsidRDefault="00E51ED1" w:rsidP="00E51ED1">
      <w:pPr>
        <w:numPr>
          <w:ilvl w:val="0"/>
          <w:numId w:val="6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Беспалова Н.А. – к.м.н., доцент, член ООО «Общество специалистов в области челюстно-лицевой хирургии».</w:t>
      </w:r>
    </w:p>
    <w:p w:rsidR="00E51ED1" w:rsidRPr="00E51ED1" w:rsidRDefault="00E51ED1" w:rsidP="00E51ED1">
      <w:pPr>
        <w:numPr>
          <w:ilvl w:val="0"/>
          <w:numId w:val="6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Кулаков А.А. – академик РАН, д.м.н., профессор, президент ООО «Общество специалистов в области челюстно-лицевой хирургии».</w:t>
      </w:r>
    </w:p>
    <w:p w:rsidR="00E51ED1" w:rsidRPr="00E51ED1" w:rsidRDefault="00E51ED1" w:rsidP="00E51ED1">
      <w:pPr>
        <w:numPr>
          <w:ilvl w:val="0"/>
          <w:numId w:val="6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Дробышев А.Ю. – д.м.н., профессор вице–президент ООО «Общество специалистов в области челюстно-лицевой хирургии».</w:t>
      </w:r>
    </w:p>
    <w:p w:rsidR="00E51ED1" w:rsidRPr="00E51ED1" w:rsidRDefault="00E51ED1" w:rsidP="00E51ED1">
      <w:pPr>
        <w:numPr>
          <w:ilvl w:val="0"/>
          <w:numId w:val="6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Багненко А.С. – к.м.н., доцент, член ООО «Общество специалистов в области челюстно-лицевой хирургии».</w:t>
      </w:r>
    </w:p>
    <w:p w:rsidR="00E51ED1" w:rsidRPr="00E51ED1" w:rsidRDefault="00E51ED1" w:rsidP="00E51ED1">
      <w:pPr>
        <w:numPr>
          <w:ilvl w:val="0"/>
          <w:numId w:val="6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Байриков И.М. – чл.-корр. РАН, д.м.н., профессор, член ООО «Общество специалистов в области челюстно-лицевой хирургии».</w:t>
      </w:r>
    </w:p>
    <w:p w:rsidR="00E51ED1" w:rsidRPr="00E51ED1" w:rsidRDefault="00E51ED1" w:rsidP="00E51ED1">
      <w:pPr>
        <w:numPr>
          <w:ilvl w:val="0"/>
          <w:numId w:val="6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Брайловская Т.В. – д.м.н., профессор, ответственный секретарь ООО «Общество специалистов в области челюстно-лицевой хирургии».</w:t>
      </w:r>
    </w:p>
    <w:p w:rsidR="00E51ED1" w:rsidRPr="00E51ED1" w:rsidRDefault="00E51ED1" w:rsidP="00E51ED1">
      <w:pPr>
        <w:numPr>
          <w:ilvl w:val="0"/>
          <w:numId w:val="6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lastRenderedPageBreak/>
        <w:t>Иванов С.Ю. – член-корреспондент РАН, д.м.н., профессор, член правления ООО «Общество специалистов в области челюстно-лицевой хирургии».</w:t>
      </w:r>
    </w:p>
    <w:p w:rsidR="00E51ED1" w:rsidRPr="00E51ED1" w:rsidRDefault="00E51ED1" w:rsidP="00E51ED1">
      <w:pPr>
        <w:numPr>
          <w:ilvl w:val="0"/>
          <w:numId w:val="6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Епифанов С.А. – д.м.н., доцент, член ООО «Общество специалистов в области челюстно-лицевой хирургии».</w:t>
      </w:r>
    </w:p>
    <w:p w:rsidR="00E51ED1" w:rsidRPr="00E51ED1" w:rsidRDefault="00E51ED1" w:rsidP="00E51ED1">
      <w:pPr>
        <w:numPr>
          <w:ilvl w:val="0"/>
          <w:numId w:val="6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Тарасенко С.В. – д.м.н., профессор, член ООО «Общество специалистов в области челюстно-лицевой хирургии».</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Все члены рабочей группы являются членами Общероссийской Общественной Организации «Общества специалистов в области челюстно-лицевой хирургии», * кроме специалистов других профилей.</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Конфликт интересов отсутствует.</w:t>
      </w:r>
    </w:p>
    <w:p w:rsidR="00E51ED1" w:rsidRPr="00E51ED1" w:rsidRDefault="00E51ED1" w:rsidP="00E51ED1">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E51ED1">
        <w:rPr>
          <w:rFonts w:ascii="Inter" w:eastAsia="Times New Roman" w:hAnsi="Inter" w:cs="Times New Roman"/>
          <w:b/>
          <w:bCs/>
          <w:color w:val="000000"/>
          <w:spacing w:val="4"/>
          <w:kern w:val="36"/>
          <w:sz w:val="48"/>
          <w:szCs w:val="48"/>
          <w:lang w:eastAsia="ru-RU"/>
        </w:rPr>
        <w:t>Приложение А2. Методология разработки клинических рекомендаций</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Методы, использованные для сбора/селекции доказательств: поиск в электронных базах данных, библиотечные ресурсы. Описание методов, использованных для сбора/селекции доказательств: доказательной базой для рекомендаций являются публикации, вошедшие в Кокрейновскую библиотеку, базы данных EMBASE и MEDLINE, а также монографии и статьи в ведущих специализированных рецензируемых отечественных медицинских журналах по данной тематике. Методы, использованные для оценки качества и силы доказательств: оценка значимости в соответствии с рейтинговой схемой.</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Целевая аудитория данных клинических рекомендаций:</w:t>
      </w:r>
    </w:p>
    <w:p w:rsidR="00E51ED1" w:rsidRPr="00E51ED1" w:rsidRDefault="00E51ED1" w:rsidP="00E51ED1">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Врачи-челюстно-лицевые хирурги.</w:t>
      </w:r>
    </w:p>
    <w:p w:rsidR="00E51ED1" w:rsidRPr="00E51ED1" w:rsidRDefault="00E51ED1" w:rsidP="00E51ED1">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Врачи-стоматологи-хирурги.</w:t>
      </w:r>
    </w:p>
    <w:p w:rsidR="00E51ED1" w:rsidRPr="00E51ED1" w:rsidRDefault="00E51ED1" w:rsidP="00E51ED1">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Врачи-хирурги.</w:t>
      </w:r>
    </w:p>
    <w:p w:rsidR="00E51ED1" w:rsidRPr="00E51ED1" w:rsidRDefault="00E51ED1" w:rsidP="00E51ED1">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Врач-стоматолог детский.</w:t>
      </w:r>
    </w:p>
    <w:p w:rsidR="00E51ED1" w:rsidRPr="00E51ED1" w:rsidRDefault="00E51ED1" w:rsidP="00E51ED1">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Врач-детский хирург.</w:t>
      </w:r>
    </w:p>
    <w:p w:rsidR="00E51ED1" w:rsidRPr="00E51ED1" w:rsidRDefault="00E51ED1" w:rsidP="00E51ED1">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Студенты, ординаторы, аспиранты медицинских ВУЗов. </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i/>
          <w:iCs/>
          <w:color w:val="333333"/>
          <w:spacing w:val="4"/>
          <w:sz w:val="27"/>
          <w:szCs w:val="27"/>
          <w:lang w:eastAsia="ru-RU"/>
        </w:rPr>
        <w:lastRenderedPageBreak/>
        <w:t>Таблица 1</w:t>
      </w:r>
      <w:r w:rsidRPr="00E51ED1">
        <w:rPr>
          <w:rFonts w:ascii="Times New Roman" w:eastAsia="Times New Roman" w:hAnsi="Times New Roman" w:cs="Times New Roman"/>
          <w:i/>
          <w:iCs/>
          <w:color w:val="333333"/>
          <w:spacing w:val="4"/>
          <w:sz w:val="27"/>
          <w:szCs w:val="27"/>
          <w:lang w:eastAsia="ru-RU"/>
        </w:rPr>
        <w:t>. Шкала оценки уровней достоверности доказательств (УДД) для методов диагностики (диагностических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E51ED1" w:rsidRPr="00E51ED1" w:rsidTr="00E51ED1">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51ED1" w:rsidRPr="00E51ED1" w:rsidRDefault="00E51ED1" w:rsidP="00E51ED1">
            <w:pPr>
              <w:spacing w:after="0" w:line="240" w:lineRule="atLeast"/>
              <w:jc w:val="both"/>
              <w:rPr>
                <w:rFonts w:ascii="Verdana" w:eastAsia="Times New Roman" w:hAnsi="Verdana" w:cs="Times New Roman"/>
                <w:b/>
                <w:bCs/>
                <w:sz w:val="27"/>
                <w:szCs w:val="27"/>
                <w:lang w:eastAsia="ru-RU"/>
              </w:rPr>
            </w:pPr>
            <w:r w:rsidRPr="00E51ED1">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51ED1" w:rsidRPr="00E51ED1" w:rsidRDefault="00E51ED1" w:rsidP="00E51ED1">
            <w:pPr>
              <w:spacing w:after="0" w:line="240" w:lineRule="atLeast"/>
              <w:jc w:val="both"/>
              <w:rPr>
                <w:rFonts w:ascii="Verdana" w:eastAsia="Times New Roman" w:hAnsi="Verdana" w:cs="Times New Roman"/>
                <w:b/>
                <w:bCs/>
                <w:sz w:val="27"/>
                <w:szCs w:val="27"/>
                <w:lang w:eastAsia="ru-RU"/>
              </w:rPr>
            </w:pPr>
            <w:r w:rsidRPr="00E51ED1">
              <w:rPr>
                <w:rFonts w:ascii="Verdana" w:eastAsia="Times New Roman" w:hAnsi="Verdana" w:cs="Times New Roman"/>
                <w:b/>
                <w:bCs/>
                <w:sz w:val="27"/>
                <w:szCs w:val="27"/>
                <w:lang w:eastAsia="ru-RU"/>
              </w:rPr>
              <w:t>Расшифровка</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Несравнительные исследования, описание клинического случая</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i/>
          <w:iCs/>
          <w:color w:val="333333"/>
          <w:spacing w:val="4"/>
          <w:sz w:val="27"/>
          <w:szCs w:val="27"/>
          <w:lang w:eastAsia="ru-RU"/>
        </w:rPr>
        <w:t>Таблица 2. </w:t>
      </w:r>
      <w:r w:rsidRPr="00E51ED1">
        <w:rPr>
          <w:rFonts w:ascii="Times New Roman" w:eastAsia="Times New Roman" w:hAnsi="Times New Roman" w:cs="Times New Roman"/>
          <w:i/>
          <w:iCs/>
          <w:color w:val="333333"/>
          <w:spacing w:val="4"/>
          <w:sz w:val="27"/>
          <w:szCs w:val="27"/>
          <w:lang w:eastAsia="ru-RU"/>
        </w:rPr>
        <w:t>Шкала оценки уровней достоверности доказательств (УДД) для методов профилактики, лечения и реабилитации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E51ED1" w:rsidRPr="00E51ED1" w:rsidTr="00E51ED1">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51ED1" w:rsidRPr="00E51ED1" w:rsidRDefault="00E51ED1" w:rsidP="00E51ED1">
            <w:pPr>
              <w:spacing w:after="0" w:line="240" w:lineRule="atLeast"/>
              <w:jc w:val="both"/>
              <w:rPr>
                <w:rFonts w:ascii="Verdana" w:eastAsia="Times New Roman" w:hAnsi="Verdana" w:cs="Times New Roman"/>
                <w:b/>
                <w:bCs/>
                <w:sz w:val="27"/>
                <w:szCs w:val="27"/>
                <w:lang w:eastAsia="ru-RU"/>
              </w:rPr>
            </w:pPr>
            <w:r w:rsidRPr="00E51ED1">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51ED1" w:rsidRPr="00E51ED1" w:rsidRDefault="00E51ED1" w:rsidP="00E51ED1">
            <w:pPr>
              <w:spacing w:after="0" w:line="240" w:lineRule="atLeast"/>
              <w:jc w:val="both"/>
              <w:rPr>
                <w:rFonts w:ascii="Verdana" w:eastAsia="Times New Roman" w:hAnsi="Verdana" w:cs="Times New Roman"/>
                <w:b/>
                <w:bCs/>
                <w:sz w:val="27"/>
                <w:szCs w:val="27"/>
                <w:lang w:eastAsia="ru-RU"/>
              </w:rPr>
            </w:pPr>
            <w:r w:rsidRPr="00E51ED1">
              <w:rPr>
                <w:rFonts w:ascii="Verdana" w:eastAsia="Times New Roman" w:hAnsi="Verdana" w:cs="Times New Roman"/>
                <w:b/>
                <w:bCs/>
                <w:sz w:val="27"/>
                <w:szCs w:val="27"/>
                <w:lang w:eastAsia="ru-RU"/>
              </w:rPr>
              <w:t>Расшифровка</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Систематический обзор РКИ с применением мета-анализа</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Отдельные РКИ и систематические обзоры исследований любого дизайна, за исключением РКИ, с применением мета-анализа</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Нерандомизированные сравнительные исследования, в т.ч. когортные исследования</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«случай-контроль»</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i/>
          <w:iCs/>
          <w:color w:val="333333"/>
          <w:spacing w:val="4"/>
          <w:sz w:val="27"/>
          <w:szCs w:val="27"/>
          <w:lang w:eastAsia="ru-RU"/>
        </w:rPr>
        <w:t>Таблица 3. </w:t>
      </w:r>
      <w:r w:rsidRPr="00E51ED1">
        <w:rPr>
          <w:rFonts w:ascii="Times New Roman" w:eastAsia="Times New Roman" w:hAnsi="Times New Roman" w:cs="Times New Roman"/>
          <w:i/>
          <w:iCs/>
          <w:color w:val="333333"/>
          <w:spacing w:val="4"/>
          <w:sz w:val="27"/>
          <w:szCs w:val="27"/>
          <w:lang w:eastAsia="ru-RU"/>
        </w:rPr>
        <w:t>Шкала оценки уровней убедительности рекомендаций (УУР) для методов профилактики, диагностики, лечения и реабилитации (профилактических, диагностических,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896"/>
        <w:gridCol w:w="13269"/>
      </w:tblGrid>
      <w:tr w:rsidR="00E51ED1" w:rsidRPr="00E51ED1" w:rsidTr="00E51ED1">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51ED1" w:rsidRPr="00E51ED1" w:rsidRDefault="00E51ED1" w:rsidP="00E51ED1">
            <w:pPr>
              <w:spacing w:after="0" w:line="240" w:lineRule="atLeast"/>
              <w:jc w:val="both"/>
              <w:rPr>
                <w:rFonts w:ascii="Verdana" w:eastAsia="Times New Roman" w:hAnsi="Verdana" w:cs="Times New Roman"/>
                <w:b/>
                <w:bCs/>
                <w:sz w:val="27"/>
                <w:szCs w:val="27"/>
                <w:lang w:eastAsia="ru-RU"/>
              </w:rPr>
            </w:pPr>
            <w:r w:rsidRPr="00E51ED1">
              <w:rPr>
                <w:rFonts w:ascii="Verdana" w:eastAsia="Times New Roman" w:hAnsi="Verdana" w:cs="Times New Roman"/>
                <w:b/>
                <w:bCs/>
                <w:sz w:val="27"/>
                <w:szCs w:val="27"/>
                <w:lang w:eastAsia="ru-RU"/>
              </w:rPr>
              <w:lastRenderedPageBreak/>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51ED1" w:rsidRPr="00E51ED1" w:rsidRDefault="00E51ED1" w:rsidP="00E51ED1">
            <w:pPr>
              <w:spacing w:after="0" w:line="240" w:lineRule="atLeast"/>
              <w:jc w:val="both"/>
              <w:rPr>
                <w:rFonts w:ascii="Verdana" w:eastAsia="Times New Roman" w:hAnsi="Verdana" w:cs="Times New Roman"/>
                <w:b/>
                <w:bCs/>
                <w:sz w:val="27"/>
                <w:szCs w:val="27"/>
                <w:lang w:eastAsia="ru-RU"/>
              </w:rPr>
            </w:pPr>
            <w:r w:rsidRPr="00E51ED1">
              <w:rPr>
                <w:rFonts w:ascii="Verdana" w:eastAsia="Times New Roman" w:hAnsi="Verdana" w:cs="Times New Roman"/>
                <w:b/>
                <w:bCs/>
                <w:sz w:val="27"/>
                <w:szCs w:val="27"/>
                <w:lang w:eastAsia="ru-RU"/>
              </w:rPr>
              <w:t>Расшифровка</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 </w:t>
            </w:r>
          </w:p>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 </w:t>
            </w:r>
          </w:p>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E51ED1" w:rsidRPr="00E51ED1" w:rsidTr="00E51ED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 </w:t>
            </w:r>
          </w:p>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51ED1" w:rsidRPr="00E51ED1" w:rsidRDefault="00E51ED1" w:rsidP="00E51ED1">
            <w:pPr>
              <w:spacing w:after="0" w:line="240" w:lineRule="atLeast"/>
              <w:jc w:val="both"/>
              <w:rPr>
                <w:rFonts w:ascii="Verdana" w:eastAsia="Times New Roman" w:hAnsi="Verdana" w:cs="Times New Roman"/>
                <w:sz w:val="27"/>
                <w:szCs w:val="27"/>
                <w:lang w:eastAsia="ru-RU"/>
              </w:rPr>
            </w:pPr>
            <w:r w:rsidRPr="00E51ED1">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Порядок обновления клинических рекомендаций</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утверждённым КР, но не чаще 1 раза в 6 месяцев.</w:t>
      </w:r>
    </w:p>
    <w:p w:rsidR="00E51ED1" w:rsidRPr="00E51ED1" w:rsidRDefault="00E51ED1" w:rsidP="00E51ED1">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E51ED1">
        <w:rPr>
          <w:rFonts w:ascii="Inter" w:eastAsia="Times New Roman" w:hAnsi="Inter" w:cs="Times New Roman"/>
          <w:b/>
          <w:bCs/>
          <w:color w:val="000000"/>
          <w:spacing w:val="4"/>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Данные клинические рекомендации разработаны с учётом следующих нормативно- правовых документов:</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Федеральный закон от 21.11.2011 г. № 323-ФЗ «Об основах охраны здоровья граждан в Российской Федерации».</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lastRenderedPageBreak/>
        <w:t>Приказ Министерства здравоохранения Российской Федерации от 14.04.2025 г. № 203н «Об утверждении критериев оценки качества медицинской помощи».</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Приказ Министерства здравоохранения Российской Федерации от 13.10.2017 г. №804н «Об утверждении номенклатуры медицинских услуг».</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Приказ Министерства здравоохранения Российской Федерации от 28.02.2019 г. № 103н «Об утверждении порядка и сроков разработки клинических рекомендаций, их пересмотра, типовой формы клинических рекомендаций и требований к их структуре, составу и научной обоснованности включаемой в клинические рекомендации информации».</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Приказ Министерства здравоохранения Российской Федерации от 14.06.2019 г. № 422 н «Об утверждении Порядка оказания медицинской помощи по профилю «челюстно- лицевая хирургия».</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Распоряжение Правительства РФ от 12.10.2019 г. № 2406-р «Об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Программа СКАТ (Стратегия Контроля Антимикробной Терапии) при оказании стационарной медицинской помощи / Российские клинические рекомендации Москва – 2018 г.</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EUCAST European Committee on Antimicrobial Susceptibility Testing </w:t>
      </w:r>
      <w:hyperlink r:id="rId73" w:history="1">
        <w:r w:rsidRPr="00E51ED1">
          <w:rPr>
            <w:rFonts w:ascii="Times New Roman" w:eastAsia="Times New Roman" w:hAnsi="Times New Roman" w:cs="Times New Roman"/>
            <w:color w:val="0000FF"/>
            <w:spacing w:val="4"/>
            <w:sz w:val="27"/>
            <w:szCs w:val="27"/>
            <w:u w:val="single"/>
            <w:lang w:eastAsia="ru-RU"/>
          </w:rPr>
          <w:t>http://www.eucast.org </w:t>
        </w:r>
      </w:hyperlink>
      <w:r w:rsidRPr="00E51ED1">
        <w:rPr>
          <w:rFonts w:ascii="Times New Roman" w:eastAsia="Times New Roman" w:hAnsi="Times New Roman" w:cs="Times New Roman"/>
          <w:color w:val="222222"/>
          <w:spacing w:val="4"/>
          <w:sz w:val="27"/>
          <w:szCs w:val="27"/>
          <w:lang w:eastAsia="ru-RU"/>
        </w:rPr>
        <w:t>(Европейский комитет по определению чувствительности к антибиотикам).</w:t>
      </w:r>
    </w:p>
    <w:p w:rsidR="00E51ED1" w:rsidRPr="00E51ED1" w:rsidRDefault="00E51ED1" w:rsidP="00E51ED1">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E51ED1">
        <w:rPr>
          <w:rFonts w:ascii="Times New Roman" w:eastAsia="Times New Roman" w:hAnsi="Times New Roman" w:cs="Times New Roman"/>
          <w:b/>
          <w:bCs/>
          <w:color w:val="000000"/>
          <w:spacing w:val="4"/>
          <w:kern w:val="36"/>
          <w:sz w:val="48"/>
          <w:szCs w:val="48"/>
          <w:lang w:eastAsia="ru-RU"/>
        </w:rPr>
        <w:t xml:space="preserve">Приложение А3.1 Рекомендуемый алгоритм эмпирической антимикробной терапии (АМТ) в челюстно-лицевой хирургии (ЧЛХ) при оказании стационарной помощи пациентам с одонтогенными периоститом и </w:t>
      </w:r>
      <w:r w:rsidRPr="00E51ED1">
        <w:rPr>
          <w:rFonts w:ascii="Times New Roman" w:eastAsia="Times New Roman" w:hAnsi="Times New Roman" w:cs="Times New Roman"/>
          <w:b/>
          <w:bCs/>
          <w:color w:val="000000"/>
          <w:spacing w:val="4"/>
          <w:kern w:val="36"/>
          <w:sz w:val="48"/>
          <w:szCs w:val="48"/>
          <w:lang w:eastAsia="ru-RU"/>
        </w:rPr>
        <w:lastRenderedPageBreak/>
        <w:t>остеомиелитом челюстей в клинике ЧЛХ ФГБОУ ВО ПСПбГМУ им. И.П. Павлова Минздрава России с учётом стратификации по наличию факторов риска полирезистентных возбудителей и инвазивного кандидоза (СКАТ, 2018) [46, 103, 120, 131, 132]</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E51ED1" w:rsidRPr="00E51ED1" w:rsidRDefault="00E51ED1" w:rsidP="00E51ED1">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E51ED1">
        <w:rPr>
          <w:rFonts w:ascii="Inter" w:eastAsia="Times New Roman" w:hAnsi="Inter" w:cs="Times New Roman"/>
          <w:b/>
          <w:bCs/>
          <w:color w:val="000000"/>
          <w:spacing w:val="4"/>
          <w:kern w:val="36"/>
          <w:sz w:val="48"/>
          <w:szCs w:val="48"/>
          <w:lang w:eastAsia="ru-RU"/>
        </w:rPr>
        <w:t>Приложение Б. Алгоритмы действий врача</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E51ED1" w:rsidRPr="00E51ED1" w:rsidRDefault="00E51ED1" w:rsidP="00E51ED1">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E51ED1">
        <w:rPr>
          <w:rFonts w:ascii="Inter" w:eastAsia="Times New Roman" w:hAnsi="Inter" w:cs="Times New Roman"/>
          <w:b/>
          <w:bCs/>
          <w:color w:val="000000"/>
          <w:spacing w:val="4"/>
          <w:kern w:val="36"/>
          <w:sz w:val="48"/>
          <w:szCs w:val="48"/>
          <w:lang w:eastAsia="ru-RU"/>
        </w:rPr>
        <w:t>Приложение В. Информация для пациента</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Острые воспалительные заболевания челюстей, такие как периостит или остеомиелит в практике хирурга-стоматолога встречаются достаточно часто. Пациент должен знать, что при появлении острой боли в зубе или челюсти, с последующим развитием отёка мягких тканей лица, повышения температуры - нельзя заниматься самолечением, а необходимо срочно обратиться за медицинской помощью в медицинскую организацию или вызвать скорую помощь. Оперативное лечение при острых воспалительных заболеваниях челюстей является хирургическим, и несвоевременное оказание специализированной медицинской помощи может привести к развитию тяжёлых осложнений и даже летальному исходу.</w:t>
      </w:r>
    </w:p>
    <w:p w:rsidR="00E51ED1" w:rsidRPr="00E51ED1" w:rsidRDefault="00E51ED1" w:rsidP="00E51ED1">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E51ED1">
        <w:rPr>
          <w:rFonts w:ascii="Inter" w:eastAsia="Times New Roman" w:hAnsi="Inter" w:cs="Times New Roman"/>
          <w:b/>
          <w:bCs/>
          <w:color w:val="000000"/>
          <w:spacing w:val="4"/>
          <w:kern w:val="36"/>
          <w:sz w:val="48"/>
          <w:szCs w:val="48"/>
          <w:lang w:eastAsia="ru-RU"/>
        </w:rPr>
        <w:t xml:space="preserve">Приложение Г1-ГN. Шкалы оценки, вопросники и другие оценочные инструменты состояния пациента, </w:t>
      </w:r>
      <w:r w:rsidRPr="00E51ED1">
        <w:rPr>
          <w:rFonts w:ascii="Inter" w:eastAsia="Times New Roman" w:hAnsi="Inter" w:cs="Times New Roman"/>
          <w:b/>
          <w:bCs/>
          <w:color w:val="000000"/>
          <w:spacing w:val="4"/>
          <w:kern w:val="36"/>
          <w:sz w:val="48"/>
          <w:szCs w:val="48"/>
          <w:lang w:eastAsia="ru-RU"/>
        </w:rPr>
        <w:lastRenderedPageBreak/>
        <w:t>приведенные в клинических рекомендациях</w:t>
      </w:r>
    </w:p>
    <w:p w:rsidR="00E51ED1" w:rsidRPr="00E51ED1" w:rsidRDefault="00E51ED1" w:rsidP="00E51ED1">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E51ED1">
        <w:rPr>
          <w:rFonts w:ascii="Times New Roman" w:eastAsia="Times New Roman" w:hAnsi="Times New Roman" w:cs="Times New Roman"/>
          <w:b/>
          <w:bCs/>
          <w:color w:val="000000"/>
          <w:spacing w:val="4"/>
          <w:kern w:val="36"/>
          <w:sz w:val="48"/>
          <w:szCs w:val="48"/>
          <w:lang w:eastAsia="ru-RU"/>
        </w:rPr>
        <w:t>Приложение Г1.</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Название на русском языке: -</w:t>
      </w:r>
      <w:r w:rsidRPr="00E51ED1">
        <w:rPr>
          <w:rFonts w:ascii="Times New Roman" w:eastAsia="Times New Roman" w:hAnsi="Times New Roman" w:cs="Times New Roman"/>
          <w:color w:val="222222"/>
          <w:spacing w:val="4"/>
          <w:sz w:val="27"/>
          <w:szCs w:val="27"/>
          <w:lang w:eastAsia="ru-RU"/>
        </w:rPr>
        <w:t> Визуальная аналоговая шкала (ВАШ) боли.</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Оригинальное название (если есть):</w:t>
      </w:r>
      <w:r w:rsidRPr="00E51ED1">
        <w:rPr>
          <w:rFonts w:ascii="Times New Roman" w:eastAsia="Times New Roman" w:hAnsi="Times New Roman" w:cs="Times New Roman"/>
          <w:color w:val="222222"/>
          <w:spacing w:val="4"/>
          <w:sz w:val="27"/>
          <w:szCs w:val="27"/>
          <w:lang w:eastAsia="ru-RU"/>
        </w:rPr>
        <w:t> ____________________________________</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Источник (официальный сайт разработчиков, публикация с валидацией):</w:t>
      </w:r>
      <w:r w:rsidRPr="00E51ED1">
        <w:rPr>
          <w:rFonts w:ascii="Times New Roman" w:eastAsia="Times New Roman" w:hAnsi="Times New Roman" w:cs="Times New Roman"/>
          <w:color w:val="222222"/>
          <w:spacing w:val="4"/>
          <w:sz w:val="27"/>
          <w:szCs w:val="27"/>
          <w:lang w:eastAsia="ru-RU"/>
        </w:rPr>
        <w:t> [127-130].</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Тип (подчеркнуть):</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шкала оценки</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индекс</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вопросник</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другое (уточнить): __________________________________________________</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Назначение:</w:t>
      </w:r>
      <w:r w:rsidRPr="00E51ED1">
        <w:rPr>
          <w:rFonts w:ascii="Times New Roman" w:eastAsia="Times New Roman" w:hAnsi="Times New Roman" w:cs="Times New Roman"/>
          <w:color w:val="222222"/>
          <w:spacing w:val="4"/>
          <w:sz w:val="27"/>
          <w:szCs w:val="27"/>
          <w:lang w:eastAsia="ru-RU"/>
        </w:rPr>
        <w:t> оценка выраженности боли у пациента.</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Содержание (шаблон):</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Визуально-аналоговая шкала</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Нет боли                                                                                       Нестерпимая боль</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I___________________________________________________________________I</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Нумерологическая оценочная шкала</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Нет боли                                                                                     Нестерпимая боль</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I______I______I______I______I______I______I______I______I______I_____I</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0           1           2            3           4           5            6           7            8           9         10</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Ключ (интерпретация):</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lastRenderedPageBreak/>
        <w:t>Пациент отмечает своё восприятие боли за последние 24 часа на предложенной шкале (от «минимально выраженной» до «нестерпимой»), что врачом оценивается количественно в миллиметрах по ВАШ или в баллах по НОШ.</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Степень интенсивности боли определяется после сопоставления полученных данных с клинической картиной и данными инструментальных методов обследования, используя следующую градацию:</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боли нет: 0-4 мм по ВАШ или 0 баллов по НОШ;</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боль слабая: 5-44 мм по ВАШ или 1-3 балла по НОШ;</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боль умеренная: 45-74 мм по ВАШ или 4-6 баллов по НОШ;</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боль сильная: 75-100 мм по ВАШ или 7-10 баллов по НОШ.</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Пояснения:</w:t>
      </w:r>
      <w:r w:rsidRPr="00E51ED1">
        <w:rPr>
          <w:rFonts w:ascii="Times New Roman" w:eastAsia="Times New Roman" w:hAnsi="Times New Roman" w:cs="Times New Roman"/>
          <w:color w:val="222222"/>
          <w:spacing w:val="4"/>
          <w:sz w:val="27"/>
          <w:szCs w:val="27"/>
          <w:lang w:eastAsia="ru-RU"/>
        </w:rPr>
        <w:t> результаты лечения интерпретируют в зависимости от генеза болевого синдрома:</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уменьшение интенсивности боли по НОШ на 2 балла или 30 % считается клинически;</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изменения больше, чем на 3 балла по НОШ или на 50 % по ВАШ – существенными;</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изменение более 20 мм считают существенным. </w:t>
      </w:r>
    </w:p>
    <w:p w:rsidR="00E51ED1" w:rsidRPr="00E51ED1" w:rsidRDefault="00E51ED1" w:rsidP="00E51ED1">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E51ED1">
        <w:rPr>
          <w:rFonts w:ascii="Times New Roman" w:eastAsia="Times New Roman" w:hAnsi="Times New Roman" w:cs="Times New Roman"/>
          <w:b/>
          <w:bCs/>
          <w:color w:val="000000"/>
          <w:spacing w:val="4"/>
          <w:kern w:val="36"/>
          <w:sz w:val="48"/>
          <w:szCs w:val="48"/>
          <w:lang w:eastAsia="ru-RU"/>
        </w:rPr>
        <w:t>Приложение Г2. </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Название на русском языке:</w:t>
      </w:r>
      <w:r w:rsidRPr="00E51ED1">
        <w:rPr>
          <w:rFonts w:ascii="Times New Roman" w:eastAsia="Times New Roman" w:hAnsi="Times New Roman" w:cs="Times New Roman"/>
          <w:color w:val="222222"/>
          <w:spacing w:val="4"/>
          <w:sz w:val="27"/>
          <w:szCs w:val="27"/>
          <w:lang w:eastAsia="ru-RU"/>
        </w:rPr>
        <w:t> шкалы оценки тромбоэмболического риска.</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Оригинальное название (если есть):</w:t>
      </w:r>
      <w:r w:rsidRPr="00E51ED1">
        <w:rPr>
          <w:rFonts w:ascii="Times New Roman" w:eastAsia="Times New Roman" w:hAnsi="Times New Roman" w:cs="Times New Roman"/>
          <w:color w:val="222222"/>
          <w:spacing w:val="4"/>
          <w:sz w:val="27"/>
          <w:szCs w:val="27"/>
          <w:lang w:eastAsia="ru-RU"/>
        </w:rPr>
        <w:t> ____________________________________</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Источник (официальный сайт разработчиков, публикация с валидацией):</w:t>
      </w:r>
      <w:r w:rsidRPr="00E51ED1">
        <w:rPr>
          <w:rFonts w:ascii="Times New Roman" w:eastAsia="Times New Roman" w:hAnsi="Times New Roman" w:cs="Times New Roman"/>
          <w:color w:val="222222"/>
          <w:spacing w:val="4"/>
          <w:sz w:val="27"/>
          <w:szCs w:val="27"/>
          <w:lang w:eastAsia="ru-RU"/>
        </w:rPr>
        <w:t> [126].</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Тип (подчеркнуть):</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шкала оценки</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индекс</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вопросник</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 другое (уточнить): __________________________________________________</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lastRenderedPageBreak/>
        <w:t>Назначение:</w:t>
      </w:r>
      <w:r w:rsidRPr="00E51ED1">
        <w:rPr>
          <w:rFonts w:ascii="Times New Roman" w:eastAsia="Times New Roman" w:hAnsi="Times New Roman" w:cs="Times New Roman"/>
          <w:color w:val="222222"/>
          <w:spacing w:val="4"/>
          <w:sz w:val="27"/>
          <w:szCs w:val="27"/>
          <w:lang w:eastAsia="ru-RU"/>
        </w:rPr>
        <w:t> оценка неблагоприятных факторов для прогнозирования степени риска развития у пациента ВТЭО в зависимости от количества баллов.</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Содержание (шаблон):</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Группа факторов риска в 1 балл:</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Планируемые мелкие операции;</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Перенесенные крупные операции (меньше 1 мес. назад);</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Варикозное расширение вен;</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Воспалительные заболевания кишечника в анамнезе;</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Отечность нижних конечностей (на момент обследования);</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Ожирение (индекс массы тела больше 25 кг/м</w:t>
      </w:r>
      <w:r w:rsidRPr="00E51ED1">
        <w:rPr>
          <w:rFonts w:ascii="Times New Roman" w:eastAsia="Times New Roman" w:hAnsi="Times New Roman" w:cs="Times New Roman"/>
          <w:color w:val="222222"/>
          <w:spacing w:val="4"/>
          <w:sz w:val="20"/>
          <w:szCs w:val="20"/>
          <w:vertAlign w:val="superscript"/>
          <w:lang w:eastAsia="ru-RU"/>
        </w:rPr>
        <w:t>2</w:t>
      </w:r>
      <w:r w:rsidRPr="00E51ED1">
        <w:rPr>
          <w:rFonts w:ascii="Times New Roman" w:eastAsia="Times New Roman" w:hAnsi="Times New Roman" w:cs="Times New Roman"/>
          <w:color w:val="222222"/>
          <w:spacing w:val="4"/>
          <w:sz w:val="27"/>
          <w:szCs w:val="27"/>
          <w:lang w:eastAsia="ru-RU"/>
        </w:rPr>
        <w:t>);</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Острый инфаркт миокарда;</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Застойная сердечная недостаточность (меньше 1 мес.);</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Сепсис (меньше 1 мес.);</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Заболевания легких, включая пневмонию (меньше 1 мес.);</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Нарушение функции легких;</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Пациенты терапевтического профиля на постельном режиме.</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Группа факторов риска в 2 балла:</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Артроскопические оперативные вмешательства;</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Злокачественные опухоли (в настоящий момент или в прошлом);</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Крупные хирургические вмешательства (больше 45 минут);</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Лапароскопические операции (больше 45 минут);</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Строгий постельный режим (больше 72 часов);</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Гипсовая иммобилизация (меньше 1 месяца);</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Центральный венозный доступ.</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Группа факторов риска в 3 балла:</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lastRenderedPageBreak/>
        <w:t>✓</w:t>
      </w:r>
      <w:r w:rsidRPr="00E51ED1">
        <w:rPr>
          <w:rFonts w:ascii="Times New Roman" w:eastAsia="Times New Roman" w:hAnsi="Times New Roman" w:cs="Times New Roman"/>
          <w:color w:val="222222"/>
          <w:spacing w:val="4"/>
          <w:sz w:val="27"/>
          <w:szCs w:val="27"/>
          <w:lang w:eastAsia="ru-RU"/>
        </w:rPr>
        <w:t xml:space="preserve"> Перенесенные тромбоз глубоких вен или тромбоэмболии лёгочной артерии;</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Семейный анамнез тромбозов;</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Полиморфизм V фактора свертывания крови (фактора Лейдена);</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Полиморфизм протромбина 20210А;</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Повышение в крови уровня гомоцистеина;</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Наличие волчаночного антикоагулянта;</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Повышение титра антикардиолипиновых антител;</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Гепарин-индуцированная тромбоцитопения (ГИТ);</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Другие виды врожденной или приобретенной тромбофилии.</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color w:val="222222"/>
          <w:spacing w:val="4"/>
          <w:sz w:val="27"/>
          <w:szCs w:val="27"/>
          <w:lang w:eastAsia="ru-RU"/>
        </w:rPr>
        <w:t>Группа факторов риска в 5 баллов:</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Плановая артропластика крупных суставов нижних конечностей;</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Переломы костей бедра, таза и голени (меньше 1 мес.);</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Инсульт (меньше 1 мес.);</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Множественные травмы (меньше 1 мес.);</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Острое повреждение спинного мозга (паралич) (меньше 1 мес.). </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Ключ (интерпретация):</w:t>
      </w:r>
      <w:r w:rsidRPr="00E51ED1">
        <w:rPr>
          <w:rFonts w:ascii="Times New Roman" w:eastAsia="Times New Roman" w:hAnsi="Times New Roman" w:cs="Times New Roman"/>
          <w:color w:val="222222"/>
          <w:spacing w:val="4"/>
          <w:sz w:val="27"/>
          <w:szCs w:val="27"/>
          <w:lang w:eastAsia="ru-RU"/>
        </w:rPr>
        <w:t> Степени риска в зависимости от количества баллов:</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0-1 баллов – низкий; </w:t>
      </w: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2 балла – умеренный; </w:t>
      </w: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3-4 балла – высокий;</w:t>
      </w:r>
    </w:p>
    <w:p w:rsidR="00E51ED1" w:rsidRPr="00E51ED1" w:rsidRDefault="00E51ED1" w:rsidP="00E51ED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Segoe UI Symbol" w:eastAsia="Times New Roman" w:hAnsi="Segoe UI Symbol" w:cs="Segoe UI Symbol"/>
          <w:color w:val="222222"/>
          <w:spacing w:val="4"/>
          <w:sz w:val="27"/>
          <w:szCs w:val="27"/>
          <w:lang w:eastAsia="ru-RU"/>
        </w:rPr>
        <w:t>✓</w:t>
      </w:r>
      <w:r w:rsidRPr="00E51ED1">
        <w:rPr>
          <w:rFonts w:ascii="Times New Roman" w:eastAsia="Times New Roman" w:hAnsi="Times New Roman" w:cs="Times New Roman"/>
          <w:color w:val="222222"/>
          <w:spacing w:val="4"/>
          <w:sz w:val="27"/>
          <w:szCs w:val="27"/>
          <w:lang w:eastAsia="ru-RU"/>
        </w:rPr>
        <w:t xml:space="preserve"> 5 и более баллов – очень высокий.</w:t>
      </w:r>
    </w:p>
    <w:p w:rsidR="00E51ED1" w:rsidRPr="00E51ED1" w:rsidRDefault="00E51ED1" w:rsidP="00E51ED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E51ED1">
        <w:rPr>
          <w:rFonts w:ascii="Times New Roman" w:eastAsia="Times New Roman" w:hAnsi="Times New Roman" w:cs="Times New Roman"/>
          <w:b/>
          <w:bCs/>
          <w:color w:val="222222"/>
          <w:spacing w:val="4"/>
          <w:sz w:val="27"/>
          <w:szCs w:val="27"/>
          <w:lang w:eastAsia="ru-RU"/>
        </w:rPr>
        <w:t>Пояснения:</w:t>
      </w:r>
      <w:r w:rsidRPr="00E51ED1">
        <w:rPr>
          <w:rFonts w:ascii="Times New Roman" w:eastAsia="Times New Roman" w:hAnsi="Times New Roman" w:cs="Times New Roman"/>
          <w:color w:val="222222"/>
          <w:spacing w:val="4"/>
          <w:sz w:val="27"/>
          <w:szCs w:val="27"/>
          <w:lang w:eastAsia="ru-RU"/>
        </w:rPr>
        <w:t> _____________________</w:t>
      </w:r>
    </w:p>
    <w:p w:rsidR="000822CC" w:rsidRDefault="000822CC">
      <w:bookmarkStart w:id="0" w:name="_GoBack"/>
      <w:bookmarkEnd w:id="0"/>
    </w:p>
    <w:sectPr w:rsidR="000822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te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816E5"/>
    <w:multiLevelType w:val="multilevel"/>
    <w:tmpl w:val="E81AC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FB10A7"/>
    <w:multiLevelType w:val="multilevel"/>
    <w:tmpl w:val="2EEEB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E559FD"/>
    <w:multiLevelType w:val="multilevel"/>
    <w:tmpl w:val="2C4EF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1F4927"/>
    <w:multiLevelType w:val="multilevel"/>
    <w:tmpl w:val="34948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F54E64"/>
    <w:multiLevelType w:val="multilevel"/>
    <w:tmpl w:val="50A8B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411132"/>
    <w:multiLevelType w:val="multilevel"/>
    <w:tmpl w:val="DF88E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EC66E0"/>
    <w:multiLevelType w:val="multilevel"/>
    <w:tmpl w:val="DCE49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9E042E"/>
    <w:multiLevelType w:val="multilevel"/>
    <w:tmpl w:val="17E2B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AB0A71"/>
    <w:multiLevelType w:val="multilevel"/>
    <w:tmpl w:val="820E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CC6076"/>
    <w:multiLevelType w:val="multilevel"/>
    <w:tmpl w:val="A7B08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D06F2E"/>
    <w:multiLevelType w:val="multilevel"/>
    <w:tmpl w:val="176AB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C27EC5"/>
    <w:multiLevelType w:val="multilevel"/>
    <w:tmpl w:val="5EDED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9087A95"/>
    <w:multiLevelType w:val="multilevel"/>
    <w:tmpl w:val="EB6C1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923C7E"/>
    <w:multiLevelType w:val="multilevel"/>
    <w:tmpl w:val="D87E0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605A0F"/>
    <w:multiLevelType w:val="multilevel"/>
    <w:tmpl w:val="74E4E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4C4F49"/>
    <w:multiLevelType w:val="multilevel"/>
    <w:tmpl w:val="DACC4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E7C3D4E"/>
    <w:multiLevelType w:val="multilevel"/>
    <w:tmpl w:val="1CC86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1D3133"/>
    <w:multiLevelType w:val="multilevel"/>
    <w:tmpl w:val="3C54C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234C8B"/>
    <w:multiLevelType w:val="multilevel"/>
    <w:tmpl w:val="4E64C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2CD4541"/>
    <w:multiLevelType w:val="multilevel"/>
    <w:tmpl w:val="30EAE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C83AC7"/>
    <w:multiLevelType w:val="multilevel"/>
    <w:tmpl w:val="38068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0F86710"/>
    <w:multiLevelType w:val="multilevel"/>
    <w:tmpl w:val="22F80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1984F0F"/>
    <w:multiLevelType w:val="multilevel"/>
    <w:tmpl w:val="54FA8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1AC4857"/>
    <w:multiLevelType w:val="multilevel"/>
    <w:tmpl w:val="0C489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2400C8B"/>
    <w:multiLevelType w:val="multilevel"/>
    <w:tmpl w:val="A7444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2EC4B43"/>
    <w:multiLevelType w:val="multilevel"/>
    <w:tmpl w:val="3D0EB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906608F"/>
    <w:multiLevelType w:val="multilevel"/>
    <w:tmpl w:val="3FB44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ABD18F1"/>
    <w:multiLevelType w:val="multilevel"/>
    <w:tmpl w:val="2982D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B142A30"/>
    <w:multiLevelType w:val="multilevel"/>
    <w:tmpl w:val="53F67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B6965D6"/>
    <w:multiLevelType w:val="multilevel"/>
    <w:tmpl w:val="19E00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BEE65C2"/>
    <w:multiLevelType w:val="multilevel"/>
    <w:tmpl w:val="2A14B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D1E5E23"/>
    <w:multiLevelType w:val="multilevel"/>
    <w:tmpl w:val="62B4E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2E34766"/>
    <w:multiLevelType w:val="multilevel"/>
    <w:tmpl w:val="A85A3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4E717A0"/>
    <w:multiLevelType w:val="multilevel"/>
    <w:tmpl w:val="F710D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787403C"/>
    <w:multiLevelType w:val="multilevel"/>
    <w:tmpl w:val="ED8CB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8791115"/>
    <w:multiLevelType w:val="multilevel"/>
    <w:tmpl w:val="22906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9BF6EB7"/>
    <w:multiLevelType w:val="multilevel"/>
    <w:tmpl w:val="6F20B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BB93D0A"/>
    <w:multiLevelType w:val="multilevel"/>
    <w:tmpl w:val="D69EF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5A26E6B"/>
    <w:multiLevelType w:val="multilevel"/>
    <w:tmpl w:val="9C6A0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7B806CD"/>
    <w:multiLevelType w:val="multilevel"/>
    <w:tmpl w:val="50147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A443BDC"/>
    <w:multiLevelType w:val="multilevel"/>
    <w:tmpl w:val="62A84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AC462AE"/>
    <w:multiLevelType w:val="multilevel"/>
    <w:tmpl w:val="D4E01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C2C574D"/>
    <w:multiLevelType w:val="multilevel"/>
    <w:tmpl w:val="C2A60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EC27CB4"/>
    <w:multiLevelType w:val="multilevel"/>
    <w:tmpl w:val="A19A4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F691BD0"/>
    <w:multiLevelType w:val="multilevel"/>
    <w:tmpl w:val="76A28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0056268"/>
    <w:multiLevelType w:val="multilevel"/>
    <w:tmpl w:val="1A28C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211A89"/>
    <w:multiLevelType w:val="multilevel"/>
    <w:tmpl w:val="3B8AA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2E23521"/>
    <w:multiLevelType w:val="multilevel"/>
    <w:tmpl w:val="070E1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3A505D8"/>
    <w:multiLevelType w:val="multilevel"/>
    <w:tmpl w:val="C8669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4DC098B"/>
    <w:multiLevelType w:val="multilevel"/>
    <w:tmpl w:val="86B8CE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56476D6"/>
    <w:multiLevelType w:val="multilevel"/>
    <w:tmpl w:val="73260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5BB7670"/>
    <w:multiLevelType w:val="multilevel"/>
    <w:tmpl w:val="FA8A1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604654B"/>
    <w:multiLevelType w:val="multilevel"/>
    <w:tmpl w:val="56905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88C1225"/>
    <w:multiLevelType w:val="multilevel"/>
    <w:tmpl w:val="793A2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9703D15"/>
    <w:multiLevelType w:val="multilevel"/>
    <w:tmpl w:val="166A2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B8C328B"/>
    <w:multiLevelType w:val="multilevel"/>
    <w:tmpl w:val="6B703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08A3F06"/>
    <w:multiLevelType w:val="multilevel"/>
    <w:tmpl w:val="277AB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1D42797"/>
    <w:multiLevelType w:val="multilevel"/>
    <w:tmpl w:val="EB744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3246BCB"/>
    <w:multiLevelType w:val="multilevel"/>
    <w:tmpl w:val="43D22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43B40E5"/>
    <w:multiLevelType w:val="multilevel"/>
    <w:tmpl w:val="CAAA5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5B3372A"/>
    <w:multiLevelType w:val="multilevel"/>
    <w:tmpl w:val="F0D24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76B08C9"/>
    <w:multiLevelType w:val="multilevel"/>
    <w:tmpl w:val="7EFC2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979644F"/>
    <w:multiLevelType w:val="multilevel"/>
    <w:tmpl w:val="13E6C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6"/>
  </w:num>
  <w:num w:numId="2">
    <w:abstractNumId w:val="54"/>
  </w:num>
  <w:num w:numId="3">
    <w:abstractNumId w:val="2"/>
  </w:num>
  <w:num w:numId="4">
    <w:abstractNumId w:val="37"/>
  </w:num>
  <w:num w:numId="5">
    <w:abstractNumId w:val="12"/>
  </w:num>
  <w:num w:numId="6">
    <w:abstractNumId w:val="33"/>
  </w:num>
  <w:num w:numId="7">
    <w:abstractNumId w:val="17"/>
  </w:num>
  <w:num w:numId="8">
    <w:abstractNumId w:val="6"/>
  </w:num>
  <w:num w:numId="9">
    <w:abstractNumId w:val="0"/>
  </w:num>
  <w:num w:numId="10">
    <w:abstractNumId w:val="34"/>
  </w:num>
  <w:num w:numId="11">
    <w:abstractNumId w:val="13"/>
  </w:num>
  <w:num w:numId="12">
    <w:abstractNumId w:val="42"/>
  </w:num>
  <w:num w:numId="13">
    <w:abstractNumId w:val="47"/>
  </w:num>
  <w:num w:numId="14">
    <w:abstractNumId w:val="62"/>
  </w:num>
  <w:num w:numId="15">
    <w:abstractNumId w:val="23"/>
  </w:num>
  <w:num w:numId="16">
    <w:abstractNumId w:val="38"/>
  </w:num>
  <w:num w:numId="17">
    <w:abstractNumId w:val="56"/>
  </w:num>
  <w:num w:numId="18">
    <w:abstractNumId w:val="29"/>
  </w:num>
  <w:num w:numId="19">
    <w:abstractNumId w:val="3"/>
  </w:num>
  <w:num w:numId="20">
    <w:abstractNumId w:val="18"/>
  </w:num>
  <w:num w:numId="21">
    <w:abstractNumId w:val="59"/>
  </w:num>
  <w:num w:numId="22">
    <w:abstractNumId w:val="53"/>
  </w:num>
  <w:num w:numId="23">
    <w:abstractNumId w:val="4"/>
  </w:num>
  <w:num w:numId="24">
    <w:abstractNumId w:val="11"/>
  </w:num>
  <w:num w:numId="25">
    <w:abstractNumId w:val="10"/>
  </w:num>
  <w:num w:numId="26">
    <w:abstractNumId w:val="41"/>
  </w:num>
  <w:num w:numId="27">
    <w:abstractNumId w:val="1"/>
  </w:num>
  <w:num w:numId="28">
    <w:abstractNumId w:val="22"/>
  </w:num>
  <w:num w:numId="29">
    <w:abstractNumId w:val="30"/>
  </w:num>
  <w:num w:numId="30">
    <w:abstractNumId w:val="43"/>
  </w:num>
  <w:num w:numId="31">
    <w:abstractNumId w:val="60"/>
  </w:num>
  <w:num w:numId="32">
    <w:abstractNumId w:val="7"/>
  </w:num>
  <w:num w:numId="33">
    <w:abstractNumId w:val="55"/>
  </w:num>
  <w:num w:numId="34">
    <w:abstractNumId w:val="5"/>
  </w:num>
  <w:num w:numId="35">
    <w:abstractNumId w:val="40"/>
  </w:num>
  <w:num w:numId="36">
    <w:abstractNumId w:val="19"/>
  </w:num>
  <w:num w:numId="37">
    <w:abstractNumId w:val="44"/>
  </w:num>
  <w:num w:numId="38">
    <w:abstractNumId w:val="24"/>
  </w:num>
  <w:num w:numId="39">
    <w:abstractNumId w:val="48"/>
  </w:num>
  <w:num w:numId="40">
    <w:abstractNumId w:val="26"/>
  </w:num>
  <w:num w:numId="41">
    <w:abstractNumId w:val="50"/>
  </w:num>
  <w:num w:numId="42">
    <w:abstractNumId w:val="45"/>
  </w:num>
  <w:num w:numId="43">
    <w:abstractNumId w:val="58"/>
  </w:num>
  <w:num w:numId="44">
    <w:abstractNumId w:val="14"/>
  </w:num>
  <w:num w:numId="45">
    <w:abstractNumId w:val="8"/>
  </w:num>
  <w:num w:numId="46">
    <w:abstractNumId w:val="21"/>
  </w:num>
  <w:num w:numId="47">
    <w:abstractNumId w:val="57"/>
  </w:num>
  <w:num w:numId="48">
    <w:abstractNumId w:val="52"/>
  </w:num>
  <w:num w:numId="49">
    <w:abstractNumId w:val="9"/>
  </w:num>
  <w:num w:numId="50">
    <w:abstractNumId w:val="16"/>
  </w:num>
  <w:num w:numId="51">
    <w:abstractNumId w:val="27"/>
  </w:num>
  <w:num w:numId="52">
    <w:abstractNumId w:val="25"/>
  </w:num>
  <w:num w:numId="53">
    <w:abstractNumId w:val="36"/>
  </w:num>
  <w:num w:numId="54">
    <w:abstractNumId w:val="39"/>
  </w:num>
  <w:num w:numId="55">
    <w:abstractNumId w:val="28"/>
  </w:num>
  <w:num w:numId="56">
    <w:abstractNumId w:val="35"/>
  </w:num>
  <w:num w:numId="57">
    <w:abstractNumId w:val="20"/>
  </w:num>
  <w:num w:numId="58">
    <w:abstractNumId w:val="31"/>
  </w:num>
  <w:num w:numId="59">
    <w:abstractNumId w:val="61"/>
  </w:num>
  <w:num w:numId="60">
    <w:abstractNumId w:val="49"/>
  </w:num>
  <w:num w:numId="61">
    <w:abstractNumId w:val="51"/>
  </w:num>
  <w:num w:numId="62">
    <w:abstractNumId w:val="32"/>
  </w:num>
  <w:num w:numId="63">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9F0"/>
    <w:rsid w:val="000822CC"/>
    <w:rsid w:val="00E51ED1"/>
    <w:rsid w:val="00FF59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5F2C06-4837-4BD4-93A5-64F6761F2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E51ED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51ED1"/>
    <w:rPr>
      <w:rFonts w:ascii="Times New Roman" w:eastAsia="Times New Roman" w:hAnsi="Times New Roman" w:cs="Times New Roman"/>
      <w:b/>
      <w:bCs/>
      <w:kern w:val="36"/>
      <w:sz w:val="48"/>
      <w:szCs w:val="48"/>
      <w:lang w:eastAsia="ru-RU"/>
    </w:rPr>
  </w:style>
  <w:style w:type="paragraph" w:customStyle="1" w:styleId="msonormal0">
    <w:name w:val="msonormal"/>
    <w:basedOn w:val="a"/>
    <w:rsid w:val="00E51E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gotext">
    <w:name w:val="logo_text"/>
    <w:basedOn w:val="a0"/>
    <w:rsid w:val="00E51ED1"/>
  </w:style>
  <w:style w:type="character" w:customStyle="1" w:styleId="titlename">
    <w:name w:val="title_name"/>
    <w:basedOn w:val="a0"/>
    <w:rsid w:val="00E51ED1"/>
  </w:style>
  <w:style w:type="character" w:customStyle="1" w:styleId="titlecontent">
    <w:name w:val="title_content"/>
    <w:basedOn w:val="a0"/>
    <w:rsid w:val="00E51ED1"/>
  </w:style>
  <w:style w:type="character" w:customStyle="1" w:styleId="titlenamecolumn">
    <w:name w:val="title_name_column"/>
    <w:basedOn w:val="a0"/>
    <w:rsid w:val="00E51ED1"/>
  </w:style>
  <w:style w:type="character" w:customStyle="1" w:styleId="titlename1">
    <w:name w:val="title_name1"/>
    <w:basedOn w:val="a0"/>
    <w:rsid w:val="00E51ED1"/>
  </w:style>
  <w:style w:type="character" w:customStyle="1" w:styleId="titlecontent1">
    <w:name w:val="title_content1"/>
    <w:basedOn w:val="a0"/>
    <w:rsid w:val="00E51ED1"/>
  </w:style>
  <w:style w:type="character" w:customStyle="1" w:styleId="titlecontent2">
    <w:name w:val="title_content2"/>
    <w:basedOn w:val="a0"/>
    <w:rsid w:val="00E51ED1"/>
  </w:style>
  <w:style w:type="paragraph" w:styleId="a3">
    <w:name w:val="Normal (Web)"/>
    <w:basedOn w:val="a"/>
    <w:uiPriority w:val="99"/>
    <w:semiHidden/>
    <w:unhideWhenUsed/>
    <w:rsid w:val="00E51E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E51ED1"/>
    <w:rPr>
      <w:i/>
      <w:iCs/>
    </w:rPr>
  </w:style>
  <w:style w:type="character" w:styleId="a5">
    <w:name w:val="Strong"/>
    <w:basedOn w:val="a0"/>
    <w:uiPriority w:val="22"/>
    <w:qFormat/>
    <w:rsid w:val="00E51ED1"/>
    <w:rPr>
      <w:b/>
      <w:bCs/>
    </w:rPr>
  </w:style>
  <w:style w:type="paragraph" w:customStyle="1" w:styleId="marginl">
    <w:name w:val="marginl"/>
    <w:basedOn w:val="a"/>
    <w:rsid w:val="00E51E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E51ED1"/>
    <w:rPr>
      <w:color w:val="0000FF"/>
      <w:u w:val="single"/>
    </w:rPr>
  </w:style>
  <w:style w:type="character" w:styleId="a7">
    <w:name w:val="FollowedHyperlink"/>
    <w:basedOn w:val="a0"/>
    <w:uiPriority w:val="99"/>
    <w:semiHidden/>
    <w:unhideWhenUsed/>
    <w:rsid w:val="00E51ED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354922">
      <w:bodyDiv w:val="1"/>
      <w:marLeft w:val="0"/>
      <w:marRight w:val="0"/>
      <w:marTop w:val="0"/>
      <w:marBottom w:val="0"/>
      <w:divBdr>
        <w:top w:val="none" w:sz="0" w:space="0" w:color="auto"/>
        <w:left w:val="none" w:sz="0" w:space="0" w:color="auto"/>
        <w:bottom w:val="none" w:sz="0" w:space="0" w:color="auto"/>
        <w:right w:val="none" w:sz="0" w:space="0" w:color="auto"/>
      </w:divBdr>
      <w:divsChild>
        <w:div w:id="454567332">
          <w:marLeft w:val="0"/>
          <w:marRight w:val="0"/>
          <w:marTop w:val="0"/>
          <w:marBottom w:val="0"/>
          <w:divBdr>
            <w:top w:val="none" w:sz="0" w:space="0" w:color="auto"/>
            <w:left w:val="none" w:sz="0" w:space="0" w:color="auto"/>
            <w:bottom w:val="none" w:sz="0" w:space="0" w:color="auto"/>
            <w:right w:val="none" w:sz="0" w:space="0" w:color="auto"/>
          </w:divBdr>
        </w:div>
        <w:div w:id="694385402">
          <w:marLeft w:val="0"/>
          <w:marRight w:val="0"/>
          <w:marTop w:val="0"/>
          <w:marBottom w:val="0"/>
          <w:divBdr>
            <w:top w:val="none" w:sz="0" w:space="0" w:color="auto"/>
            <w:left w:val="none" w:sz="0" w:space="0" w:color="auto"/>
            <w:bottom w:val="none" w:sz="0" w:space="0" w:color="auto"/>
            <w:right w:val="none" w:sz="0" w:space="0" w:color="auto"/>
          </w:divBdr>
        </w:div>
        <w:div w:id="784468240">
          <w:marLeft w:val="0"/>
          <w:marRight w:val="0"/>
          <w:marTop w:val="0"/>
          <w:marBottom w:val="0"/>
          <w:divBdr>
            <w:top w:val="none" w:sz="0" w:space="0" w:color="auto"/>
            <w:left w:val="none" w:sz="0" w:space="0" w:color="auto"/>
            <w:bottom w:val="none" w:sz="0" w:space="0" w:color="auto"/>
            <w:right w:val="none" w:sz="0" w:space="0" w:color="auto"/>
          </w:divBdr>
          <w:divsChild>
            <w:div w:id="1367833649">
              <w:marLeft w:val="0"/>
              <w:marRight w:val="0"/>
              <w:marTop w:val="0"/>
              <w:marBottom w:val="0"/>
              <w:divBdr>
                <w:top w:val="none" w:sz="0" w:space="0" w:color="auto"/>
                <w:left w:val="none" w:sz="0" w:space="0" w:color="auto"/>
                <w:bottom w:val="none" w:sz="0" w:space="0" w:color="auto"/>
                <w:right w:val="none" w:sz="0" w:space="0" w:color="auto"/>
              </w:divBdr>
              <w:divsChild>
                <w:div w:id="35588365">
                  <w:marLeft w:val="0"/>
                  <w:marRight w:val="0"/>
                  <w:marTop w:val="0"/>
                  <w:marBottom w:val="1500"/>
                  <w:divBdr>
                    <w:top w:val="none" w:sz="0" w:space="0" w:color="auto"/>
                    <w:left w:val="none" w:sz="0" w:space="0" w:color="auto"/>
                    <w:bottom w:val="none" w:sz="0" w:space="0" w:color="auto"/>
                    <w:right w:val="none" w:sz="0" w:space="0" w:color="auto"/>
                  </w:divBdr>
                </w:div>
              </w:divsChild>
            </w:div>
            <w:div w:id="2080323987">
              <w:marLeft w:val="0"/>
              <w:marRight w:val="0"/>
              <w:marTop w:val="0"/>
              <w:marBottom w:val="0"/>
              <w:divBdr>
                <w:top w:val="none" w:sz="0" w:space="0" w:color="auto"/>
                <w:left w:val="none" w:sz="0" w:space="0" w:color="auto"/>
                <w:bottom w:val="none" w:sz="0" w:space="0" w:color="auto"/>
                <w:right w:val="none" w:sz="0" w:space="0" w:color="auto"/>
              </w:divBdr>
              <w:divsChild>
                <w:div w:id="641035155">
                  <w:marLeft w:val="0"/>
                  <w:marRight w:val="0"/>
                  <w:marTop w:val="0"/>
                  <w:marBottom w:val="0"/>
                  <w:divBdr>
                    <w:top w:val="none" w:sz="0" w:space="0" w:color="auto"/>
                    <w:left w:val="none" w:sz="0" w:space="0" w:color="auto"/>
                    <w:bottom w:val="none" w:sz="0" w:space="0" w:color="auto"/>
                    <w:right w:val="none" w:sz="0" w:space="0" w:color="auto"/>
                  </w:divBdr>
                  <w:divsChild>
                    <w:div w:id="20683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69207">
              <w:marLeft w:val="0"/>
              <w:marRight w:val="0"/>
              <w:marTop w:val="0"/>
              <w:marBottom w:val="0"/>
              <w:divBdr>
                <w:top w:val="none" w:sz="0" w:space="0" w:color="auto"/>
                <w:left w:val="none" w:sz="0" w:space="0" w:color="auto"/>
                <w:bottom w:val="none" w:sz="0" w:space="0" w:color="auto"/>
                <w:right w:val="none" w:sz="0" w:space="0" w:color="auto"/>
              </w:divBdr>
              <w:divsChild>
                <w:div w:id="2043706367">
                  <w:marLeft w:val="0"/>
                  <w:marRight w:val="0"/>
                  <w:marTop w:val="0"/>
                  <w:marBottom w:val="0"/>
                  <w:divBdr>
                    <w:top w:val="none" w:sz="0" w:space="0" w:color="auto"/>
                    <w:left w:val="none" w:sz="0" w:space="0" w:color="auto"/>
                    <w:bottom w:val="none" w:sz="0" w:space="0" w:color="auto"/>
                    <w:right w:val="none" w:sz="0" w:space="0" w:color="auto"/>
                  </w:divBdr>
                  <w:divsChild>
                    <w:div w:id="1559786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355317">
              <w:marLeft w:val="0"/>
              <w:marRight w:val="0"/>
              <w:marTop w:val="0"/>
              <w:marBottom w:val="0"/>
              <w:divBdr>
                <w:top w:val="none" w:sz="0" w:space="0" w:color="auto"/>
                <w:left w:val="none" w:sz="0" w:space="0" w:color="auto"/>
                <w:bottom w:val="none" w:sz="0" w:space="0" w:color="auto"/>
                <w:right w:val="none" w:sz="0" w:space="0" w:color="auto"/>
              </w:divBdr>
              <w:divsChild>
                <w:div w:id="907111719">
                  <w:marLeft w:val="0"/>
                  <w:marRight w:val="0"/>
                  <w:marTop w:val="0"/>
                  <w:marBottom w:val="0"/>
                  <w:divBdr>
                    <w:top w:val="none" w:sz="0" w:space="0" w:color="auto"/>
                    <w:left w:val="none" w:sz="0" w:space="0" w:color="auto"/>
                    <w:bottom w:val="none" w:sz="0" w:space="0" w:color="auto"/>
                    <w:right w:val="none" w:sz="0" w:space="0" w:color="auto"/>
                  </w:divBdr>
                  <w:divsChild>
                    <w:div w:id="125339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669562">
              <w:marLeft w:val="0"/>
              <w:marRight w:val="0"/>
              <w:marTop w:val="0"/>
              <w:marBottom w:val="0"/>
              <w:divBdr>
                <w:top w:val="none" w:sz="0" w:space="0" w:color="auto"/>
                <w:left w:val="none" w:sz="0" w:space="0" w:color="auto"/>
                <w:bottom w:val="none" w:sz="0" w:space="0" w:color="auto"/>
                <w:right w:val="none" w:sz="0" w:space="0" w:color="auto"/>
              </w:divBdr>
              <w:divsChild>
                <w:div w:id="1789931956">
                  <w:marLeft w:val="0"/>
                  <w:marRight w:val="0"/>
                  <w:marTop w:val="0"/>
                  <w:marBottom w:val="0"/>
                  <w:divBdr>
                    <w:top w:val="none" w:sz="0" w:space="0" w:color="auto"/>
                    <w:left w:val="none" w:sz="0" w:space="0" w:color="auto"/>
                    <w:bottom w:val="none" w:sz="0" w:space="0" w:color="auto"/>
                    <w:right w:val="none" w:sz="0" w:space="0" w:color="auto"/>
                  </w:divBdr>
                  <w:divsChild>
                    <w:div w:id="62222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205007">
              <w:marLeft w:val="0"/>
              <w:marRight w:val="0"/>
              <w:marTop w:val="0"/>
              <w:marBottom w:val="0"/>
              <w:divBdr>
                <w:top w:val="none" w:sz="0" w:space="0" w:color="auto"/>
                <w:left w:val="none" w:sz="0" w:space="0" w:color="auto"/>
                <w:bottom w:val="none" w:sz="0" w:space="0" w:color="auto"/>
                <w:right w:val="none" w:sz="0" w:space="0" w:color="auto"/>
              </w:divBdr>
              <w:divsChild>
                <w:div w:id="84883657">
                  <w:marLeft w:val="0"/>
                  <w:marRight w:val="0"/>
                  <w:marTop w:val="0"/>
                  <w:marBottom w:val="0"/>
                  <w:divBdr>
                    <w:top w:val="none" w:sz="0" w:space="0" w:color="auto"/>
                    <w:left w:val="none" w:sz="0" w:space="0" w:color="auto"/>
                    <w:bottom w:val="none" w:sz="0" w:space="0" w:color="auto"/>
                    <w:right w:val="none" w:sz="0" w:space="0" w:color="auto"/>
                  </w:divBdr>
                  <w:divsChild>
                    <w:div w:id="151191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598756">
              <w:marLeft w:val="0"/>
              <w:marRight w:val="0"/>
              <w:marTop w:val="450"/>
              <w:marBottom w:val="0"/>
              <w:divBdr>
                <w:top w:val="none" w:sz="0" w:space="0" w:color="auto"/>
                <w:left w:val="none" w:sz="0" w:space="0" w:color="auto"/>
                <w:bottom w:val="none" w:sz="0" w:space="0" w:color="auto"/>
                <w:right w:val="none" w:sz="0" w:space="0" w:color="auto"/>
              </w:divBdr>
              <w:divsChild>
                <w:div w:id="1969817789">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450"/>
              <w:marBottom w:val="0"/>
              <w:divBdr>
                <w:top w:val="none" w:sz="0" w:space="0" w:color="auto"/>
                <w:left w:val="none" w:sz="0" w:space="0" w:color="auto"/>
                <w:bottom w:val="none" w:sz="0" w:space="0" w:color="auto"/>
                <w:right w:val="none" w:sz="0" w:space="0" w:color="auto"/>
              </w:divBdr>
              <w:divsChild>
                <w:div w:id="1546720743">
                  <w:marLeft w:val="0"/>
                  <w:marRight w:val="0"/>
                  <w:marTop w:val="0"/>
                  <w:marBottom w:val="3750"/>
                  <w:divBdr>
                    <w:top w:val="none" w:sz="0" w:space="0" w:color="auto"/>
                    <w:left w:val="none" w:sz="0" w:space="0" w:color="auto"/>
                    <w:bottom w:val="none" w:sz="0" w:space="0" w:color="auto"/>
                    <w:right w:val="none" w:sz="0" w:space="0" w:color="auto"/>
                  </w:divBdr>
                </w:div>
                <w:div w:id="1273705635">
                  <w:marLeft w:val="0"/>
                  <w:marRight w:val="0"/>
                  <w:marTop w:val="900"/>
                  <w:marBottom w:val="600"/>
                  <w:divBdr>
                    <w:top w:val="none" w:sz="0" w:space="0" w:color="auto"/>
                    <w:left w:val="none" w:sz="0" w:space="0" w:color="auto"/>
                    <w:bottom w:val="none" w:sz="0" w:space="0" w:color="auto"/>
                    <w:right w:val="none" w:sz="0" w:space="0" w:color="auto"/>
                  </w:divBdr>
                </w:div>
              </w:divsChild>
            </w:div>
          </w:divsChild>
        </w:div>
        <w:div w:id="875122029">
          <w:marLeft w:val="0"/>
          <w:marRight w:val="0"/>
          <w:marTop w:val="0"/>
          <w:marBottom w:val="0"/>
          <w:divBdr>
            <w:top w:val="none" w:sz="0" w:space="0" w:color="auto"/>
            <w:left w:val="none" w:sz="0" w:space="0" w:color="auto"/>
            <w:bottom w:val="none" w:sz="0" w:space="0" w:color="auto"/>
            <w:right w:val="none" w:sz="0" w:space="0" w:color="auto"/>
          </w:divBdr>
          <w:divsChild>
            <w:div w:id="622541141">
              <w:marLeft w:val="0"/>
              <w:marRight w:val="0"/>
              <w:marTop w:val="900"/>
              <w:marBottom w:val="600"/>
              <w:divBdr>
                <w:top w:val="none" w:sz="0" w:space="0" w:color="auto"/>
                <w:left w:val="none" w:sz="0" w:space="0" w:color="auto"/>
                <w:bottom w:val="none" w:sz="0" w:space="0" w:color="auto"/>
                <w:right w:val="none" w:sz="0" w:space="0" w:color="auto"/>
              </w:divBdr>
            </w:div>
            <w:div w:id="254872942">
              <w:marLeft w:val="0"/>
              <w:marRight w:val="0"/>
              <w:marTop w:val="0"/>
              <w:marBottom w:val="0"/>
              <w:divBdr>
                <w:top w:val="none" w:sz="0" w:space="0" w:color="auto"/>
                <w:left w:val="none" w:sz="0" w:space="0" w:color="auto"/>
                <w:bottom w:val="none" w:sz="0" w:space="0" w:color="auto"/>
                <w:right w:val="none" w:sz="0" w:space="0" w:color="auto"/>
              </w:divBdr>
              <w:divsChild>
                <w:div w:id="41231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041357">
          <w:marLeft w:val="0"/>
          <w:marRight w:val="0"/>
          <w:marTop w:val="0"/>
          <w:marBottom w:val="0"/>
          <w:divBdr>
            <w:top w:val="none" w:sz="0" w:space="0" w:color="auto"/>
            <w:left w:val="none" w:sz="0" w:space="0" w:color="auto"/>
            <w:bottom w:val="none" w:sz="0" w:space="0" w:color="auto"/>
            <w:right w:val="none" w:sz="0" w:space="0" w:color="auto"/>
          </w:divBdr>
          <w:divsChild>
            <w:div w:id="1591086214">
              <w:marLeft w:val="0"/>
              <w:marRight w:val="0"/>
              <w:marTop w:val="900"/>
              <w:marBottom w:val="600"/>
              <w:divBdr>
                <w:top w:val="none" w:sz="0" w:space="0" w:color="auto"/>
                <w:left w:val="none" w:sz="0" w:space="0" w:color="auto"/>
                <w:bottom w:val="none" w:sz="0" w:space="0" w:color="auto"/>
                <w:right w:val="none" w:sz="0" w:space="0" w:color="auto"/>
              </w:divBdr>
            </w:div>
            <w:div w:id="548539965">
              <w:marLeft w:val="0"/>
              <w:marRight w:val="0"/>
              <w:marTop w:val="0"/>
              <w:marBottom w:val="0"/>
              <w:divBdr>
                <w:top w:val="none" w:sz="0" w:space="0" w:color="auto"/>
                <w:left w:val="none" w:sz="0" w:space="0" w:color="auto"/>
                <w:bottom w:val="none" w:sz="0" w:space="0" w:color="auto"/>
                <w:right w:val="none" w:sz="0" w:space="0" w:color="auto"/>
              </w:divBdr>
              <w:divsChild>
                <w:div w:id="161746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997989">
          <w:marLeft w:val="0"/>
          <w:marRight w:val="0"/>
          <w:marTop w:val="0"/>
          <w:marBottom w:val="0"/>
          <w:divBdr>
            <w:top w:val="none" w:sz="0" w:space="0" w:color="auto"/>
            <w:left w:val="none" w:sz="0" w:space="0" w:color="auto"/>
            <w:bottom w:val="none" w:sz="0" w:space="0" w:color="auto"/>
            <w:right w:val="none" w:sz="0" w:space="0" w:color="auto"/>
          </w:divBdr>
          <w:divsChild>
            <w:div w:id="2119905734">
              <w:marLeft w:val="0"/>
              <w:marRight w:val="0"/>
              <w:marTop w:val="900"/>
              <w:marBottom w:val="600"/>
              <w:divBdr>
                <w:top w:val="none" w:sz="0" w:space="0" w:color="auto"/>
                <w:left w:val="none" w:sz="0" w:space="0" w:color="auto"/>
                <w:bottom w:val="none" w:sz="0" w:space="0" w:color="auto"/>
                <w:right w:val="none" w:sz="0" w:space="0" w:color="auto"/>
              </w:divBdr>
            </w:div>
          </w:divsChild>
        </w:div>
        <w:div w:id="1635676060">
          <w:marLeft w:val="0"/>
          <w:marRight w:val="0"/>
          <w:marTop w:val="0"/>
          <w:marBottom w:val="0"/>
          <w:divBdr>
            <w:top w:val="none" w:sz="0" w:space="0" w:color="auto"/>
            <w:left w:val="none" w:sz="0" w:space="0" w:color="auto"/>
            <w:bottom w:val="none" w:sz="0" w:space="0" w:color="auto"/>
            <w:right w:val="none" w:sz="0" w:space="0" w:color="auto"/>
          </w:divBdr>
          <w:divsChild>
            <w:div w:id="526942027">
              <w:marLeft w:val="0"/>
              <w:marRight w:val="0"/>
              <w:marTop w:val="900"/>
              <w:marBottom w:val="600"/>
              <w:divBdr>
                <w:top w:val="none" w:sz="0" w:space="0" w:color="auto"/>
                <w:left w:val="none" w:sz="0" w:space="0" w:color="auto"/>
                <w:bottom w:val="none" w:sz="0" w:space="0" w:color="auto"/>
                <w:right w:val="none" w:sz="0" w:space="0" w:color="auto"/>
              </w:divBdr>
            </w:div>
            <w:div w:id="1643000701">
              <w:marLeft w:val="0"/>
              <w:marRight w:val="0"/>
              <w:marTop w:val="0"/>
              <w:marBottom w:val="0"/>
              <w:divBdr>
                <w:top w:val="none" w:sz="0" w:space="0" w:color="auto"/>
                <w:left w:val="none" w:sz="0" w:space="0" w:color="auto"/>
                <w:bottom w:val="none" w:sz="0" w:space="0" w:color="auto"/>
                <w:right w:val="none" w:sz="0" w:space="0" w:color="auto"/>
              </w:divBdr>
              <w:divsChild>
                <w:div w:id="40641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547743">
          <w:marLeft w:val="0"/>
          <w:marRight w:val="0"/>
          <w:marTop w:val="0"/>
          <w:marBottom w:val="0"/>
          <w:divBdr>
            <w:top w:val="none" w:sz="0" w:space="0" w:color="auto"/>
            <w:left w:val="none" w:sz="0" w:space="0" w:color="auto"/>
            <w:bottom w:val="none" w:sz="0" w:space="0" w:color="auto"/>
            <w:right w:val="none" w:sz="0" w:space="0" w:color="auto"/>
          </w:divBdr>
          <w:divsChild>
            <w:div w:id="1379166358">
              <w:marLeft w:val="0"/>
              <w:marRight w:val="0"/>
              <w:marTop w:val="900"/>
              <w:marBottom w:val="600"/>
              <w:divBdr>
                <w:top w:val="none" w:sz="0" w:space="0" w:color="auto"/>
                <w:left w:val="none" w:sz="0" w:space="0" w:color="auto"/>
                <w:bottom w:val="none" w:sz="0" w:space="0" w:color="auto"/>
                <w:right w:val="none" w:sz="0" w:space="0" w:color="auto"/>
              </w:divBdr>
            </w:div>
            <w:div w:id="1244410852">
              <w:marLeft w:val="0"/>
              <w:marRight w:val="0"/>
              <w:marTop w:val="0"/>
              <w:marBottom w:val="0"/>
              <w:divBdr>
                <w:top w:val="none" w:sz="0" w:space="0" w:color="auto"/>
                <w:left w:val="none" w:sz="0" w:space="0" w:color="auto"/>
                <w:bottom w:val="none" w:sz="0" w:space="0" w:color="auto"/>
                <w:right w:val="none" w:sz="0" w:space="0" w:color="auto"/>
              </w:divBdr>
              <w:divsChild>
                <w:div w:id="161928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48031">
          <w:marLeft w:val="0"/>
          <w:marRight w:val="0"/>
          <w:marTop w:val="0"/>
          <w:marBottom w:val="0"/>
          <w:divBdr>
            <w:top w:val="none" w:sz="0" w:space="0" w:color="auto"/>
            <w:left w:val="none" w:sz="0" w:space="0" w:color="auto"/>
            <w:bottom w:val="none" w:sz="0" w:space="0" w:color="auto"/>
            <w:right w:val="none" w:sz="0" w:space="0" w:color="auto"/>
          </w:divBdr>
          <w:divsChild>
            <w:div w:id="1286618138">
              <w:marLeft w:val="0"/>
              <w:marRight w:val="0"/>
              <w:marTop w:val="900"/>
              <w:marBottom w:val="600"/>
              <w:divBdr>
                <w:top w:val="none" w:sz="0" w:space="0" w:color="auto"/>
                <w:left w:val="none" w:sz="0" w:space="0" w:color="auto"/>
                <w:bottom w:val="none" w:sz="0" w:space="0" w:color="auto"/>
                <w:right w:val="none" w:sz="0" w:space="0" w:color="auto"/>
              </w:divBdr>
            </w:div>
            <w:div w:id="1882858449">
              <w:marLeft w:val="0"/>
              <w:marRight w:val="0"/>
              <w:marTop w:val="0"/>
              <w:marBottom w:val="0"/>
              <w:divBdr>
                <w:top w:val="none" w:sz="0" w:space="0" w:color="auto"/>
                <w:left w:val="none" w:sz="0" w:space="0" w:color="auto"/>
                <w:bottom w:val="none" w:sz="0" w:space="0" w:color="auto"/>
                <w:right w:val="none" w:sz="0" w:space="0" w:color="auto"/>
              </w:divBdr>
              <w:divsChild>
                <w:div w:id="95984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075265">
          <w:marLeft w:val="0"/>
          <w:marRight w:val="0"/>
          <w:marTop w:val="0"/>
          <w:marBottom w:val="0"/>
          <w:divBdr>
            <w:top w:val="none" w:sz="0" w:space="0" w:color="auto"/>
            <w:left w:val="none" w:sz="0" w:space="0" w:color="auto"/>
            <w:bottom w:val="none" w:sz="0" w:space="0" w:color="auto"/>
            <w:right w:val="none" w:sz="0" w:space="0" w:color="auto"/>
          </w:divBdr>
          <w:divsChild>
            <w:div w:id="1900437096">
              <w:marLeft w:val="0"/>
              <w:marRight w:val="0"/>
              <w:marTop w:val="900"/>
              <w:marBottom w:val="600"/>
              <w:divBdr>
                <w:top w:val="none" w:sz="0" w:space="0" w:color="auto"/>
                <w:left w:val="none" w:sz="0" w:space="0" w:color="auto"/>
                <w:bottom w:val="none" w:sz="0" w:space="0" w:color="auto"/>
                <w:right w:val="none" w:sz="0" w:space="0" w:color="auto"/>
              </w:divBdr>
            </w:div>
            <w:div w:id="1872575675">
              <w:marLeft w:val="0"/>
              <w:marRight w:val="0"/>
              <w:marTop w:val="0"/>
              <w:marBottom w:val="0"/>
              <w:divBdr>
                <w:top w:val="none" w:sz="0" w:space="0" w:color="auto"/>
                <w:left w:val="none" w:sz="0" w:space="0" w:color="auto"/>
                <w:bottom w:val="none" w:sz="0" w:space="0" w:color="auto"/>
                <w:right w:val="none" w:sz="0" w:space="0" w:color="auto"/>
              </w:divBdr>
              <w:divsChild>
                <w:div w:id="149063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821859">
          <w:marLeft w:val="0"/>
          <w:marRight w:val="0"/>
          <w:marTop w:val="0"/>
          <w:marBottom w:val="0"/>
          <w:divBdr>
            <w:top w:val="none" w:sz="0" w:space="0" w:color="auto"/>
            <w:left w:val="none" w:sz="0" w:space="0" w:color="auto"/>
            <w:bottom w:val="none" w:sz="0" w:space="0" w:color="auto"/>
            <w:right w:val="none" w:sz="0" w:space="0" w:color="auto"/>
          </w:divBdr>
          <w:divsChild>
            <w:div w:id="575212991">
              <w:marLeft w:val="0"/>
              <w:marRight w:val="0"/>
              <w:marTop w:val="900"/>
              <w:marBottom w:val="600"/>
              <w:divBdr>
                <w:top w:val="none" w:sz="0" w:space="0" w:color="auto"/>
                <w:left w:val="none" w:sz="0" w:space="0" w:color="auto"/>
                <w:bottom w:val="none" w:sz="0" w:space="0" w:color="auto"/>
                <w:right w:val="none" w:sz="0" w:space="0" w:color="auto"/>
              </w:divBdr>
            </w:div>
            <w:div w:id="367875557">
              <w:marLeft w:val="0"/>
              <w:marRight w:val="0"/>
              <w:marTop w:val="0"/>
              <w:marBottom w:val="0"/>
              <w:divBdr>
                <w:top w:val="none" w:sz="0" w:space="0" w:color="auto"/>
                <w:left w:val="none" w:sz="0" w:space="0" w:color="auto"/>
                <w:bottom w:val="none" w:sz="0" w:space="0" w:color="auto"/>
                <w:right w:val="none" w:sz="0" w:space="0" w:color="auto"/>
              </w:divBdr>
              <w:divsChild>
                <w:div w:id="41736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307089">
          <w:marLeft w:val="0"/>
          <w:marRight w:val="0"/>
          <w:marTop w:val="0"/>
          <w:marBottom w:val="0"/>
          <w:divBdr>
            <w:top w:val="none" w:sz="0" w:space="0" w:color="auto"/>
            <w:left w:val="none" w:sz="0" w:space="0" w:color="auto"/>
            <w:bottom w:val="none" w:sz="0" w:space="0" w:color="auto"/>
            <w:right w:val="none" w:sz="0" w:space="0" w:color="auto"/>
          </w:divBdr>
          <w:divsChild>
            <w:div w:id="2124840712">
              <w:marLeft w:val="0"/>
              <w:marRight w:val="0"/>
              <w:marTop w:val="900"/>
              <w:marBottom w:val="600"/>
              <w:divBdr>
                <w:top w:val="none" w:sz="0" w:space="0" w:color="auto"/>
                <w:left w:val="none" w:sz="0" w:space="0" w:color="auto"/>
                <w:bottom w:val="none" w:sz="0" w:space="0" w:color="auto"/>
                <w:right w:val="none" w:sz="0" w:space="0" w:color="auto"/>
              </w:divBdr>
            </w:div>
            <w:div w:id="1731537377">
              <w:marLeft w:val="0"/>
              <w:marRight w:val="0"/>
              <w:marTop w:val="0"/>
              <w:marBottom w:val="0"/>
              <w:divBdr>
                <w:top w:val="none" w:sz="0" w:space="0" w:color="auto"/>
                <w:left w:val="none" w:sz="0" w:space="0" w:color="auto"/>
                <w:bottom w:val="none" w:sz="0" w:space="0" w:color="auto"/>
                <w:right w:val="none" w:sz="0" w:space="0" w:color="auto"/>
              </w:divBdr>
              <w:divsChild>
                <w:div w:id="1937205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468108">
          <w:marLeft w:val="0"/>
          <w:marRight w:val="0"/>
          <w:marTop w:val="0"/>
          <w:marBottom w:val="0"/>
          <w:divBdr>
            <w:top w:val="none" w:sz="0" w:space="0" w:color="auto"/>
            <w:left w:val="none" w:sz="0" w:space="0" w:color="auto"/>
            <w:bottom w:val="none" w:sz="0" w:space="0" w:color="auto"/>
            <w:right w:val="none" w:sz="0" w:space="0" w:color="auto"/>
          </w:divBdr>
          <w:divsChild>
            <w:div w:id="2111969429">
              <w:marLeft w:val="0"/>
              <w:marRight w:val="0"/>
              <w:marTop w:val="900"/>
              <w:marBottom w:val="600"/>
              <w:divBdr>
                <w:top w:val="none" w:sz="0" w:space="0" w:color="auto"/>
                <w:left w:val="none" w:sz="0" w:space="0" w:color="auto"/>
                <w:bottom w:val="none" w:sz="0" w:space="0" w:color="auto"/>
                <w:right w:val="none" w:sz="0" w:space="0" w:color="auto"/>
              </w:divBdr>
            </w:div>
            <w:div w:id="399257073">
              <w:marLeft w:val="0"/>
              <w:marRight w:val="0"/>
              <w:marTop w:val="0"/>
              <w:marBottom w:val="0"/>
              <w:divBdr>
                <w:top w:val="none" w:sz="0" w:space="0" w:color="auto"/>
                <w:left w:val="none" w:sz="0" w:space="0" w:color="auto"/>
                <w:bottom w:val="none" w:sz="0" w:space="0" w:color="auto"/>
                <w:right w:val="none" w:sz="0" w:space="0" w:color="auto"/>
              </w:divBdr>
              <w:divsChild>
                <w:div w:id="71843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046102">
          <w:marLeft w:val="0"/>
          <w:marRight w:val="0"/>
          <w:marTop w:val="0"/>
          <w:marBottom w:val="0"/>
          <w:divBdr>
            <w:top w:val="none" w:sz="0" w:space="0" w:color="auto"/>
            <w:left w:val="none" w:sz="0" w:space="0" w:color="auto"/>
            <w:bottom w:val="none" w:sz="0" w:space="0" w:color="auto"/>
            <w:right w:val="none" w:sz="0" w:space="0" w:color="auto"/>
          </w:divBdr>
          <w:divsChild>
            <w:div w:id="1742369105">
              <w:marLeft w:val="0"/>
              <w:marRight w:val="0"/>
              <w:marTop w:val="900"/>
              <w:marBottom w:val="600"/>
              <w:divBdr>
                <w:top w:val="none" w:sz="0" w:space="0" w:color="auto"/>
                <w:left w:val="none" w:sz="0" w:space="0" w:color="auto"/>
                <w:bottom w:val="none" w:sz="0" w:space="0" w:color="auto"/>
                <w:right w:val="none" w:sz="0" w:space="0" w:color="auto"/>
              </w:divBdr>
            </w:div>
            <w:div w:id="1864441102">
              <w:marLeft w:val="0"/>
              <w:marRight w:val="0"/>
              <w:marTop w:val="0"/>
              <w:marBottom w:val="0"/>
              <w:divBdr>
                <w:top w:val="none" w:sz="0" w:space="0" w:color="auto"/>
                <w:left w:val="none" w:sz="0" w:space="0" w:color="auto"/>
                <w:bottom w:val="none" w:sz="0" w:space="0" w:color="auto"/>
                <w:right w:val="none" w:sz="0" w:space="0" w:color="auto"/>
              </w:divBdr>
              <w:divsChild>
                <w:div w:id="158541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019552">
          <w:marLeft w:val="0"/>
          <w:marRight w:val="0"/>
          <w:marTop w:val="0"/>
          <w:marBottom w:val="0"/>
          <w:divBdr>
            <w:top w:val="none" w:sz="0" w:space="0" w:color="auto"/>
            <w:left w:val="none" w:sz="0" w:space="0" w:color="auto"/>
            <w:bottom w:val="none" w:sz="0" w:space="0" w:color="auto"/>
            <w:right w:val="none" w:sz="0" w:space="0" w:color="auto"/>
          </w:divBdr>
          <w:divsChild>
            <w:div w:id="1153914209">
              <w:marLeft w:val="0"/>
              <w:marRight w:val="0"/>
              <w:marTop w:val="900"/>
              <w:marBottom w:val="600"/>
              <w:divBdr>
                <w:top w:val="none" w:sz="0" w:space="0" w:color="auto"/>
                <w:left w:val="none" w:sz="0" w:space="0" w:color="auto"/>
                <w:bottom w:val="none" w:sz="0" w:space="0" w:color="auto"/>
                <w:right w:val="none" w:sz="0" w:space="0" w:color="auto"/>
              </w:divBdr>
            </w:div>
            <w:div w:id="1926303916">
              <w:marLeft w:val="0"/>
              <w:marRight w:val="0"/>
              <w:marTop w:val="0"/>
              <w:marBottom w:val="0"/>
              <w:divBdr>
                <w:top w:val="none" w:sz="0" w:space="0" w:color="auto"/>
                <w:left w:val="none" w:sz="0" w:space="0" w:color="auto"/>
                <w:bottom w:val="none" w:sz="0" w:space="0" w:color="auto"/>
                <w:right w:val="none" w:sz="0" w:space="0" w:color="auto"/>
              </w:divBdr>
              <w:divsChild>
                <w:div w:id="1687321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419238">
          <w:marLeft w:val="0"/>
          <w:marRight w:val="0"/>
          <w:marTop w:val="0"/>
          <w:marBottom w:val="0"/>
          <w:divBdr>
            <w:top w:val="none" w:sz="0" w:space="0" w:color="auto"/>
            <w:left w:val="none" w:sz="0" w:space="0" w:color="auto"/>
            <w:bottom w:val="none" w:sz="0" w:space="0" w:color="auto"/>
            <w:right w:val="none" w:sz="0" w:space="0" w:color="auto"/>
          </w:divBdr>
          <w:divsChild>
            <w:div w:id="985234099">
              <w:marLeft w:val="0"/>
              <w:marRight w:val="0"/>
              <w:marTop w:val="900"/>
              <w:marBottom w:val="600"/>
              <w:divBdr>
                <w:top w:val="none" w:sz="0" w:space="0" w:color="auto"/>
                <w:left w:val="none" w:sz="0" w:space="0" w:color="auto"/>
                <w:bottom w:val="none" w:sz="0" w:space="0" w:color="auto"/>
                <w:right w:val="none" w:sz="0" w:space="0" w:color="auto"/>
              </w:divBdr>
            </w:div>
            <w:div w:id="698168610">
              <w:marLeft w:val="0"/>
              <w:marRight w:val="0"/>
              <w:marTop w:val="0"/>
              <w:marBottom w:val="0"/>
              <w:divBdr>
                <w:top w:val="none" w:sz="0" w:space="0" w:color="auto"/>
                <w:left w:val="none" w:sz="0" w:space="0" w:color="auto"/>
                <w:bottom w:val="none" w:sz="0" w:space="0" w:color="auto"/>
                <w:right w:val="none" w:sz="0" w:space="0" w:color="auto"/>
              </w:divBdr>
              <w:divsChild>
                <w:div w:id="70310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632996">
          <w:marLeft w:val="0"/>
          <w:marRight w:val="0"/>
          <w:marTop w:val="0"/>
          <w:marBottom w:val="0"/>
          <w:divBdr>
            <w:top w:val="none" w:sz="0" w:space="0" w:color="auto"/>
            <w:left w:val="none" w:sz="0" w:space="0" w:color="auto"/>
            <w:bottom w:val="none" w:sz="0" w:space="0" w:color="auto"/>
            <w:right w:val="none" w:sz="0" w:space="0" w:color="auto"/>
          </w:divBdr>
          <w:divsChild>
            <w:div w:id="1116103416">
              <w:marLeft w:val="0"/>
              <w:marRight w:val="0"/>
              <w:marTop w:val="900"/>
              <w:marBottom w:val="600"/>
              <w:divBdr>
                <w:top w:val="none" w:sz="0" w:space="0" w:color="auto"/>
                <w:left w:val="none" w:sz="0" w:space="0" w:color="auto"/>
                <w:bottom w:val="none" w:sz="0" w:space="0" w:color="auto"/>
                <w:right w:val="none" w:sz="0" w:space="0" w:color="auto"/>
              </w:divBdr>
            </w:div>
            <w:div w:id="1970040874">
              <w:marLeft w:val="0"/>
              <w:marRight w:val="0"/>
              <w:marTop w:val="0"/>
              <w:marBottom w:val="0"/>
              <w:divBdr>
                <w:top w:val="none" w:sz="0" w:space="0" w:color="auto"/>
                <w:left w:val="none" w:sz="0" w:space="0" w:color="auto"/>
                <w:bottom w:val="none" w:sz="0" w:space="0" w:color="auto"/>
                <w:right w:val="none" w:sz="0" w:space="0" w:color="auto"/>
              </w:divBdr>
              <w:divsChild>
                <w:div w:id="106631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5131943">
          <w:marLeft w:val="0"/>
          <w:marRight w:val="0"/>
          <w:marTop w:val="0"/>
          <w:marBottom w:val="0"/>
          <w:divBdr>
            <w:top w:val="none" w:sz="0" w:space="0" w:color="auto"/>
            <w:left w:val="none" w:sz="0" w:space="0" w:color="auto"/>
            <w:bottom w:val="none" w:sz="0" w:space="0" w:color="auto"/>
            <w:right w:val="none" w:sz="0" w:space="0" w:color="auto"/>
          </w:divBdr>
          <w:divsChild>
            <w:div w:id="1024092558">
              <w:marLeft w:val="0"/>
              <w:marRight w:val="0"/>
              <w:marTop w:val="900"/>
              <w:marBottom w:val="600"/>
              <w:divBdr>
                <w:top w:val="none" w:sz="0" w:space="0" w:color="auto"/>
                <w:left w:val="none" w:sz="0" w:space="0" w:color="auto"/>
                <w:bottom w:val="none" w:sz="0" w:space="0" w:color="auto"/>
                <w:right w:val="none" w:sz="0" w:space="0" w:color="auto"/>
              </w:divBdr>
            </w:div>
            <w:div w:id="460154342">
              <w:marLeft w:val="0"/>
              <w:marRight w:val="0"/>
              <w:marTop w:val="0"/>
              <w:marBottom w:val="0"/>
              <w:divBdr>
                <w:top w:val="none" w:sz="0" w:space="0" w:color="auto"/>
                <w:left w:val="none" w:sz="0" w:space="0" w:color="auto"/>
                <w:bottom w:val="none" w:sz="0" w:space="0" w:color="auto"/>
                <w:right w:val="none" w:sz="0" w:space="0" w:color="auto"/>
              </w:divBdr>
              <w:divsChild>
                <w:div w:id="11548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996610">
          <w:marLeft w:val="0"/>
          <w:marRight w:val="0"/>
          <w:marTop w:val="0"/>
          <w:marBottom w:val="0"/>
          <w:divBdr>
            <w:top w:val="none" w:sz="0" w:space="0" w:color="auto"/>
            <w:left w:val="none" w:sz="0" w:space="0" w:color="auto"/>
            <w:bottom w:val="none" w:sz="0" w:space="0" w:color="auto"/>
            <w:right w:val="none" w:sz="0" w:space="0" w:color="auto"/>
          </w:divBdr>
          <w:divsChild>
            <w:div w:id="711879184">
              <w:marLeft w:val="0"/>
              <w:marRight w:val="0"/>
              <w:marTop w:val="900"/>
              <w:marBottom w:val="600"/>
              <w:divBdr>
                <w:top w:val="none" w:sz="0" w:space="0" w:color="auto"/>
                <w:left w:val="none" w:sz="0" w:space="0" w:color="auto"/>
                <w:bottom w:val="none" w:sz="0" w:space="0" w:color="auto"/>
                <w:right w:val="none" w:sz="0" w:space="0" w:color="auto"/>
              </w:divBdr>
            </w:div>
            <w:div w:id="1403603532">
              <w:marLeft w:val="0"/>
              <w:marRight w:val="0"/>
              <w:marTop w:val="0"/>
              <w:marBottom w:val="0"/>
              <w:divBdr>
                <w:top w:val="none" w:sz="0" w:space="0" w:color="auto"/>
                <w:left w:val="none" w:sz="0" w:space="0" w:color="auto"/>
                <w:bottom w:val="none" w:sz="0" w:space="0" w:color="auto"/>
                <w:right w:val="none" w:sz="0" w:space="0" w:color="auto"/>
              </w:divBdr>
              <w:divsChild>
                <w:div w:id="123523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478025">
          <w:marLeft w:val="0"/>
          <w:marRight w:val="0"/>
          <w:marTop w:val="0"/>
          <w:marBottom w:val="0"/>
          <w:divBdr>
            <w:top w:val="none" w:sz="0" w:space="0" w:color="auto"/>
            <w:left w:val="none" w:sz="0" w:space="0" w:color="auto"/>
            <w:bottom w:val="none" w:sz="0" w:space="0" w:color="auto"/>
            <w:right w:val="none" w:sz="0" w:space="0" w:color="auto"/>
          </w:divBdr>
          <w:divsChild>
            <w:div w:id="942762373">
              <w:marLeft w:val="0"/>
              <w:marRight w:val="0"/>
              <w:marTop w:val="900"/>
              <w:marBottom w:val="600"/>
              <w:divBdr>
                <w:top w:val="none" w:sz="0" w:space="0" w:color="auto"/>
                <w:left w:val="none" w:sz="0" w:space="0" w:color="auto"/>
                <w:bottom w:val="none" w:sz="0" w:space="0" w:color="auto"/>
                <w:right w:val="none" w:sz="0" w:space="0" w:color="auto"/>
              </w:divBdr>
            </w:div>
            <w:div w:id="570651554">
              <w:marLeft w:val="0"/>
              <w:marRight w:val="0"/>
              <w:marTop w:val="0"/>
              <w:marBottom w:val="0"/>
              <w:divBdr>
                <w:top w:val="none" w:sz="0" w:space="0" w:color="auto"/>
                <w:left w:val="none" w:sz="0" w:space="0" w:color="auto"/>
                <w:bottom w:val="none" w:sz="0" w:space="0" w:color="auto"/>
                <w:right w:val="none" w:sz="0" w:space="0" w:color="auto"/>
              </w:divBdr>
              <w:divsChild>
                <w:div w:id="396587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942987">
          <w:marLeft w:val="0"/>
          <w:marRight w:val="0"/>
          <w:marTop w:val="0"/>
          <w:marBottom w:val="0"/>
          <w:divBdr>
            <w:top w:val="none" w:sz="0" w:space="0" w:color="auto"/>
            <w:left w:val="none" w:sz="0" w:space="0" w:color="auto"/>
            <w:bottom w:val="none" w:sz="0" w:space="0" w:color="auto"/>
            <w:right w:val="none" w:sz="0" w:space="0" w:color="auto"/>
          </w:divBdr>
          <w:divsChild>
            <w:div w:id="858932457">
              <w:marLeft w:val="0"/>
              <w:marRight w:val="0"/>
              <w:marTop w:val="900"/>
              <w:marBottom w:val="600"/>
              <w:divBdr>
                <w:top w:val="none" w:sz="0" w:space="0" w:color="auto"/>
                <w:left w:val="none" w:sz="0" w:space="0" w:color="auto"/>
                <w:bottom w:val="none" w:sz="0" w:space="0" w:color="auto"/>
                <w:right w:val="none" w:sz="0" w:space="0" w:color="auto"/>
              </w:divBdr>
            </w:div>
            <w:div w:id="897404304">
              <w:marLeft w:val="0"/>
              <w:marRight w:val="0"/>
              <w:marTop w:val="0"/>
              <w:marBottom w:val="0"/>
              <w:divBdr>
                <w:top w:val="none" w:sz="0" w:space="0" w:color="auto"/>
                <w:left w:val="none" w:sz="0" w:space="0" w:color="auto"/>
                <w:bottom w:val="none" w:sz="0" w:space="0" w:color="auto"/>
                <w:right w:val="none" w:sz="0" w:space="0" w:color="auto"/>
              </w:divBdr>
              <w:divsChild>
                <w:div w:id="101353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370781">
          <w:marLeft w:val="0"/>
          <w:marRight w:val="0"/>
          <w:marTop w:val="0"/>
          <w:marBottom w:val="0"/>
          <w:divBdr>
            <w:top w:val="none" w:sz="0" w:space="0" w:color="auto"/>
            <w:left w:val="none" w:sz="0" w:space="0" w:color="auto"/>
            <w:bottom w:val="none" w:sz="0" w:space="0" w:color="auto"/>
            <w:right w:val="none" w:sz="0" w:space="0" w:color="auto"/>
          </w:divBdr>
          <w:divsChild>
            <w:div w:id="1272127332">
              <w:marLeft w:val="0"/>
              <w:marRight w:val="0"/>
              <w:marTop w:val="900"/>
              <w:marBottom w:val="600"/>
              <w:divBdr>
                <w:top w:val="none" w:sz="0" w:space="0" w:color="auto"/>
                <w:left w:val="none" w:sz="0" w:space="0" w:color="auto"/>
                <w:bottom w:val="none" w:sz="0" w:space="0" w:color="auto"/>
                <w:right w:val="none" w:sz="0" w:space="0" w:color="auto"/>
              </w:divBdr>
            </w:div>
            <w:div w:id="1560480748">
              <w:marLeft w:val="0"/>
              <w:marRight w:val="0"/>
              <w:marTop w:val="0"/>
              <w:marBottom w:val="0"/>
              <w:divBdr>
                <w:top w:val="none" w:sz="0" w:space="0" w:color="auto"/>
                <w:left w:val="none" w:sz="0" w:space="0" w:color="auto"/>
                <w:bottom w:val="none" w:sz="0" w:space="0" w:color="auto"/>
                <w:right w:val="none" w:sz="0" w:space="0" w:color="auto"/>
              </w:divBdr>
              <w:divsChild>
                <w:div w:id="167237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540796">
          <w:marLeft w:val="0"/>
          <w:marRight w:val="0"/>
          <w:marTop w:val="0"/>
          <w:marBottom w:val="0"/>
          <w:divBdr>
            <w:top w:val="none" w:sz="0" w:space="0" w:color="auto"/>
            <w:left w:val="none" w:sz="0" w:space="0" w:color="auto"/>
            <w:bottom w:val="none" w:sz="0" w:space="0" w:color="auto"/>
            <w:right w:val="none" w:sz="0" w:space="0" w:color="auto"/>
          </w:divBdr>
          <w:divsChild>
            <w:div w:id="371077866">
              <w:marLeft w:val="0"/>
              <w:marRight w:val="0"/>
              <w:marTop w:val="900"/>
              <w:marBottom w:val="600"/>
              <w:divBdr>
                <w:top w:val="none" w:sz="0" w:space="0" w:color="auto"/>
                <w:left w:val="none" w:sz="0" w:space="0" w:color="auto"/>
                <w:bottom w:val="none" w:sz="0" w:space="0" w:color="auto"/>
                <w:right w:val="none" w:sz="0" w:space="0" w:color="auto"/>
              </w:divBdr>
            </w:div>
            <w:div w:id="1487893727">
              <w:marLeft w:val="0"/>
              <w:marRight w:val="0"/>
              <w:marTop w:val="0"/>
              <w:marBottom w:val="0"/>
              <w:divBdr>
                <w:top w:val="none" w:sz="0" w:space="0" w:color="auto"/>
                <w:left w:val="none" w:sz="0" w:space="0" w:color="auto"/>
                <w:bottom w:val="none" w:sz="0" w:space="0" w:color="auto"/>
                <w:right w:val="none" w:sz="0" w:space="0" w:color="auto"/>
              </w:divBdr>
              <w:divsChild>
                <w:div w:id="43695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071537">
          <w:marLeft w:val="0"/>
          <w:marRight w:val="0"/>
          <w:marTop w:val="0"/>
          <w:marBottom w:val="0"/>
          <w:divBdr>
            <w:top w:val="none" w:sz="0" w:space="0" w:color="auto"/>
            <w:left w:val="none" w:sz="0" w:space="0" w:color="auto"/>
            <w:bottom w:val="none" w:sz="0" w:space="0" w:color="auto"/>
            <w:right w:val="none" w:sz="0" w:space="0" w:color="auto"/>
          </w:divBdr>
          <w:divsChild>
            <w:div w:id="1788426008">
              <w:marLeft w:val="0"/>
              <w:marRight w:val="0"/>
              <w:marTop w:val="900"/>
              <w:marBottom w:val="600"/>
              <w:divBdr>
                <w:top w:val="none" w:sz="0" w:space="0" w:color="auto"/>
                <w:left w:val="none" w:sz="0" w:space="0" w:color="auto"/>
                <w:bottom w:val="none" w:sz="0" w:space="0" w:color="auto"/>
                <w:right w:val="none" w:sz="0" w:space="0" w:color="auto"/>
              </w:divBdr>
            </w:div>
            <w:div w:id="1583878319">
              <w:marLeft w:val="0"/>
              <w:marRight w:val="0"/>
              <w:marTop w:val="0"/>
              <w:marBottom w:val="0"/>
              <w:divBdr>
                <w:top w:val="none" w:sz="0" w:space="0" w:color="auto"/>
                <w:left w:val="none" w:sz="0" w:space="0" w:color="auto"/>
                <w:bottom w:val="none" w:sz="0" w:space="0" w:color="auto"/>
                <w:right w:val="none" w:sz="0" w:space="0" w:color="auto"/>
              </w:divBdr>
              <w:divsChild>
                <w:div w:id="91628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223075">
          <w:marLeft w:val="0"/>
          <w:marRight w:val="0"/>
          <w:marTop w:val="0"/>
          <w:marBottom w:val="0"/>
          <w:divBdr>
            <w:top w:val="none" w:sz="0" w:space="0" w:color="auto"/>
            <w:left w:val="none" w:sz="0" w:space="0" w:color="auto"/>
            <w:bottom w:val="none" w:sz="0" w:space="0" w:color="auto"/>
            <w:right w:val="none" w:sz="0" w:space="0" w:color="auto"/>
          </w:divBdr>
          <w:divsChild>
            <w:div w:id="2019458153">
              <w:marLeft w:val="0"/>
              <w:marRight w:val="0"/>
              <w:marTop w:val="900"/>
              <w:marBottom w:val="600"/>
              <w:divBdr>
                <w:top w:val="none" w:sz="0" w:space="0" w:color="auto"/>
                <w:left w:val="none" w:sz="0" w:space="0" w:color="auto"/>
                <w:bottom w:val="none" w:sz="0" w:space="0" w:color="auto"/>
                <w:right w:val="none" w:sz="0" w:space="0" w:color="auto"/>
              </w:divBdr>
            </w:div>
            <w:div w:id="1749691170">
              <w:marLeft w:val="0"/>
              <w:marRight w:val="0"/>
              <w:marTop w:val="0"/>
              <w:marBottom w:val="0"/>
              <w:divBdr>
                <w:top w:val="none" w:sz="0" w:space="0" w:color="auto"/>
                <w:left w:val="none" w:sz="0" w:space="0" w:color="auto"/>
                <w:bottom w:val="none" w:sz="0" w:space="0" w:color="auto"/>
                <w:right w:val="none" w:sz="0" w:space="0" w:color="auto"/>
              </w:divBdr>
              <w:divsChild>
                <w:div w:id="177544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221871">
          <w:marLeft w:val="0"/>
          <w:marRight w:val="0"/>
          <w:marTop w:val="0"/>
          <w:marBottom w:val="0"/>
          <w:divBdr>
            <w:top w:val="none" w:sz="0" w:space="0" w:color="auto"/>
            <w:left w:val="none" w:sz="0" w:space="0" w:color="auto"/>
            <w:bottom w:val="none" w:sz="0" w:space="0" w:color="auto"/>
            <w:right w:val="none" w:sz="0" w:space="0" w:color="auto"/>
          </w:divBdr>
          <w:divsChild>
            <w:div w:id="247883758">
              <w:marLeft w:val="0"/>
              <w:marRight w:val="0"/>
              <w:marTop w:val="900"/>
              <w:marBottom w:val="600"/>
              <w:divBdr>
                <w:top w:val="none" w:sz="0" w:space="0" w:color="auto"/>
                <w:left w:val="none" w:sz="0" w:space="0" w:color="auto"/>
                <w:bottom w:val="none" w:sz="0" w:space="0" w:color="auto"/>
                <w:right w:val="none" w:sz="0" w:space="0" w:color="auto"/>
              </w:divBdr>
            </w:div>
            <w:div w:id="106703104">
              <w:marLeft w:val="0"/>
              <w:marRight w:val="0"/>
              <w:marTop w:val="0"/>
              <w:marBottom w:val="0"/>
              <w:divBdr>
                <w:top w:val="none" w:sz="0" w:space="0" w:color="auto"/>
                <w:left w:val="none" w:sz="0" w:space="0" w:color="auto"/>
                <w:bottom w:val="none" w:sz="0" w:space="0" w:color="auto"/>
                <w:right w:val="none" w:sz="0" w:space="0" w:color="auto"/>
              </w:divBdr>
              <w:divsChild>
                <w:div w:id="86717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762843">
          <w:marLeft w:val="0"/>
          <w:marRight w:val="0"/>
          <w:marTop w:val="0"/>
          <w:marBottom w:val="0"/>
          <w:divBdr>
            <w:top w:val="none" w:sz="0" w:space="0" w:color="auto"/>
            <w:left w:val="none" w:sz="0" w:space="0" w:color="auto"/>
            <w:bottom w:val="none" w:sz="0" w:space="0" w:color="auto"/>
            <w:right w:val="none" w:sz="0" w:space="0" w:color="auto"/>
          </w:divBdr>
          <w:divsChild>
            <w:div w:id="915361281">
              <w:marLeft w:val="0"/>
              <w:marRight w:val="0"/>
              <w:marTop w:val="900"/>
              <w:marBottom w:val="600"/>
              <w:divBdr>
                <w:top w:val="none" w:sz="0" w:space="0" w:color="auto"/>
                <w:left w:val="none" w:sz="0" w:space="0" w:color="auto"/>
                <w:bottom w:val="none" w:sz="0" w:space="0" w:color="auto"/>
                <w:right w:val="none" w:sz="0" w:space="0" w:color="auto"/>
              </w:divBdr>
            </w:div>
            <w:div w:id="1363936845">
              <w:marLeft w:val="0"/>
              <w:marRight w:val="0"/>
              <w:marTop w:val="0"/>
              <w:marBottom w:val="0"/>
              <w:divBdr>
                <w:top w:val="none" w:sz="0" w:space="0" w:color="auto"/>
                <w:left w:val="none" w:sz="0" w:space="0" w:color="auto"/>
                <w:bottom w:val="none" w:sz="0" w:space="0" w:color="auto"/>
                <w:right w:val="none" w:sz="0" w:space="0" w:color="auto"/>
              </w:divBdr>
              <w:divsChild>
                <w:div w:id="60392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191033">
          <w:marLeft w:val="0"/>
          <w:marRight w:val="0"/>
          <w:marTop w:val="0"/>
          <w:marBottom w:val="0"/>
          <w:divBdr>
            <w:top w:val="none" w:sz="0" w:space="0" w:color="auto"/>
            <w:left w:val="none" w:sz="0" w:space="0" w:color="auto"/>
            <w:bottom w:val="none" w:sz="0" w:space="0" w:color="auto"/>
            <w:right w:val="none" w:sz="0" w:space="0" w:color="auto"/>
          </w:divBdr>
          <w:divsChild>
            <w:div w:id="1267730664">
              <w:marLeft w:val="0"/>
              <w:marRight w:val="0"/>
              <w:marTop w:val="900"/>
              <w:marBottom w:val="600"/>
              <w:divBdr>
                <w:top w:val="none" w:sz="0" w:space="0" w:color="auto"/>
                <w:left w:val="none" w:sz="0" w:space="0" w:color="auto"/>
                <w:bottom w:val="none" w:sz="0" w:space="0" w:color="auto"/>
                <w:right w:val="none" w:sz="0" w:space="0" w:color="auto"/>
              </w:divBdr>
            </w:div>
            <w:div w:id="427043815">
              <w:marLeft w:val="0"/>
              <w:marRight w:val="0"/>
              <w:marTop w:val="0"/>
              <w:marBottom w:val="0"/>
              <w:divBdr>
                <w:top w:val="none" w:sz="0" w:space="0" w:color="auto"/>
                <w:left w:val="none" w:sz="0" w:space="0" w:color="auto"/>
                <w:bottom w:val="none" w:sz="0" w:space="0" w:color="auto"/>
                <w:right w:val="none" w:sz="0" w:space="0" w:color="auto"/>
              </w:divBdr>
              <w:divsChild>
                <w:div w:id="920793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781243">
          <w:marLeft w:val="0"/>
          <w:marRight w:val="0"/>
          <w:marTop w:val="0"/>
          <w:marBottom w:val="0"/>
          <w:divBdr>
            <w:top w:val="none" w:sz="0" w:space="0" w:color="auto"/>
            <w:left w:val="none" w:sz="0" w:space="0" w:color="auto"/>
            <w:bottom w:val="none" w:sz="0" w:space="0" w:color="auto"/>
            <w:right w:val="none" w:sz="0" w:space="0" w:color="auto"/>
          </w:divBdr>
          <w:divsChild>
            <w:div w:id="2024357613">
              <w:marLeft w:val="0"/>
              <w:marRight w:val="0"/>
              <w:marTop w:val="900"/>
              <w:marBottom w:val="600"/>
              <w:divBdr>
                <w:top w:val="none" w:sz="0" w:space="0" w:color="auto"/>
                <w:left w:val="none" w:sz="0" w:space="0" w:color="auto"/>
                <w:bottom w:val="none" w:sz="0" w:space="0" w:color="auto"/>
                <w:right w:val="none" w:sz="0" w:space="0" w:color="auto"/>
              </w:divBdr>
            </w:div>
            <w:div w:id="680472699">
              <w:marLeft w:val="0"/>
              <w:marRight w:val="0"/>
              <w:marTop w:val="0"/>
              <w:marBottom w:val="0"/>
              <w:divBdr>
                <w:top w:val="none" w:sz="0" w:space="0" w:color="auto"/>
                <w:left w:val="none" w:sz="0" w:space="0" w:color="auto"/>
                <w:bottom w:val="none" w:sz="0" w:space="0" w:color="auto"/>
                <w:right w:val="none" w:sz="0" w:space="0" w:color="auto"/>
              </w:divBdr>
              <w:divsChild>
                <w:div w:id="67561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523885">
          <w:marLeft w:val="0"/>
          <w:marRight w:val="0"/>
          <w:marTop w:val="0"/>
          <w:marBottom w:val="0"/>
          <w:divBdr>
            <w:top w:val="none" w:sz="0" w:space="0" w:color="auto"/>
            <w:left w:val="none" w:sz="0" w:space="0" w:color="auto"/>
            <w:bottom w:val="none" w:sz="0" w:space="0" w:color="auto"/>
            <w:right w:val="none" w:sz="0" w:space="0" w:color="auto"/>
          </w:divBdr>
          <w:divsChild>
            <w:div w:id="159204002">
              <w:marLeft w:val="0"/>
              <w:marRight w:val="0"/>
              <w:marTop w:val="900"/>
              <w:marBottom w:val="600"/>
              <w:divBdr>
                <w:top w:val="none" w:sz="0" w:space="0" w:color="auto"/>
                <w:left w:val="none" w:sz="0" w:space="0" w:color="auto"/>
                <w:bottom w:val="none" w:sz="0" w:space="0" w:color="auto"/>
                <w:right w:val="none" w:sz="0" w:space="0" w:color="auto"/>
              </w:divBdr>
            </w:div>
            <w:div w:id="2132815948">
              <w:marLeft w:val="0"/>
              <w:marRight w:val="0"/>
              <w:marTop w:val="0"/>
              <w:marBottom w:val="0"/>
              <w:divBdr>
                <w:top w:val="none" w:sz="0" w:space="0" w:color="auto"/>
                <w:left w:val="none" w:sz="0" w:space="0" w:color="auto"/>
                <w:bottom w:val="none" w:sz="0" w:space="0" w:color="auto"/>
                <w:right w:val="none" w:sz="0" w:space="0" w:color="auto"/>
              </w:divBdr>
              <w:divsChild>
                <w:div w:id="143204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541891">
          <w:marLeft w:val="0"/>
          <w:marRight w:val="0"/>
          <w:marTop w:val="0"/>
          <w:marBottom w:val="0"/>
          <w:divBdr>
            <w:top w:val="none" w:sz="0" w:space="0" w:color="auto"/>
            <w:left w:val="none" w:sz="0" w:space="0" w:color="auto"/>
            <w:bottom w:val="none" w:sz="0" w:space="0" w:color="auto"/>
            <w:right w:val="none" w:sz="0" w:space="0" w:color="auto"/>
          </w:divBdr>
          <w:divsChild>
            <w:div w:id="1455519518">
              <w:marLeft w:val="0"/>
              <w:marRight w:val="0"/>
              <w:marTop w:val="900"/>
              <w:marBottom w:val="600"/>
              <w:divBdr>
                <w:top w:val="none" w:sz="0" w:space="0" w:color="auto"/>
                <w:left w:val="none" w:sz="0" w:space="0" w:color="auto"/>
                <w:bottom w:val="none" w:sz="0" w:space="0" w:color="auto"/>
                <w:right w:val="none" w:sz="0" w:space="0" w:color="auto"/>
              </w:divBdr>
            </w:div>
            <w:div w:id="398721439">
              <w:marLeft w:val="0"/>
              <w:marRight w:val="0"/>
              <w:marTop w:val="0"/>
              <w:marBottom w:val="0"/>
              <w:divBdr>
                <w:top w:val="none" w:sz="0" w:space="0" w:color="auto"/>
                <w:left w:val="none" w:sz="0" w:space="0" w:color="auto"/>
                <w:bottom w:val="none" w:sz="0" w:space="0" w:color="auto"/>
                <w:right w:val="none" w:sz="0" w:space="0" w:color="auto"/>
              </w:divBdr>
              <w:divsChild>
                <w:div w:id="148288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vidal.ru/drugs/pharm-group/551" TargetMode="External"/><Relationship Id="rId21" Type="http://schemas.openxmlformats.org/officeDocument/2006/relationships/hyperlink" Target="https://www.vidal.ru/drugs/atc/b05cb04" TargetMode="External"/><Relationship Id="rId42" Type="http://schemas.openxmlformats.org/officeDocument/2006/relationships/hyperlink" Target="https://www.rlsnet.ru/atc/acetilsalicilovaya-kislota-51" TargetMode="External"/><Relationship Id="rId47" Type="http://schemas.openxmlformats.org/officeDocument/2006/relationships/hyperlink" Target="https://zdravmedinform.ru/nomenclatura-meditcinskikh-uslug/a06.07.html" TargetMode="External"/><Relationship Id="rId63" Type="http://schemas.openxmlformats.org/officeDocument/2006/relationships/hyperlink" Target="https://pureportal.spbu.ru/en/publications/------------(fe1f77c6-b4aa-417f-83b4-4deb49a887d5).html" TargetMode="External"/><Relationship Id="rId68" Type="http://schemas.openxmlformats.org/officeDocument/2006/relationships/hyperlink" Target="https://pureportal.spbu.ru/ru/persons/--(2188adb2-6589-46ed-a0f0-1e3bb91e089c).html" TargetMode="External"/><Relationship Id="rId2" Type="http://schemas.openxmlformats.org/officeDocument/2006/relationships/styles" Target="styles.xml"/><Relationship Id="rId16" Type="http://schemas.openxmlformats.org/officeDocument/2006/relationships/hyperlink" Target="https://www.rlsnet.ru/atc/vodoroda-peroksid-1694" TargetMode="External"/><Relationship Id="rId29" Type="http://schemas.openxmlformats.org/officeDocument/2006/relationships/hyperlink" Target="http://www.eucast.org/" TargetMode="External"/><Relationship Id="rId11" Type="http://schemas.openxmlformats.org/officeDocument/2006/relationships/hyperlink" Target="https://www.rlsnet.ru/active-substance/apiksaban-3099" TargetMode="External"/><Relationship Id="rId24" Type="http://schemas.openxmlformats.org/officeDocument/2006/relationships/hyperlink" Target="https://www.rlsnet.ru/atc/drugie-immunostimulyatory-756" TargetMode="External"/><Relationship Id="rId32" Type="http://schemas.openxmlformats.org/officeDocument/2006/relationships/hyperlink" Target="https://www.lsgeotar.ru/atc/node/iv-solutions-B05B" TargetMode="External"/><Relationship Id="rId37" Type="http://schemas.openxmlformats.org/officeDocument/2006/relationships/hyperlink" Target="https://www.rlsnet.ru/atc/fondaparinuks-natriya-2524" TargetMode="External"/><Relationship Id="rId40" Type="http://schemas.openxmlformats.org/officeDocument/2006/relationships/hyperlink" Target="https://www.rlsnet.ru/atc/metamizol-natriya-383" TargetMode="External"/><Relationship Id="rId45" Type="http://schemas.openxmlformats.org/officeDocument/2006/relationships/hyperlink" Target="https://www.rlsnet.ru/atc/ketorolak-1071" TargetMode="External"/><Relationship Id="rId53" Type="http://schemas.openxmlformats.org/officeDocument/2006/relationships/hyperlink" Target="https://cyberleninka.ru/article/n/diagnostika-i-lechenie-ostrogo-odontogennogo-osteomielita-chelyusti." TargetMode="External"/><Relationship Id="rId58" Type="http://schemas.openxmlformats.org/officeDocument/2006/relationships/hyperlink" Target="https://cyberleninka.ru/article/n/strukturno-logicheskiy-analiz-lekarstvennyh-preparatov-antioksidantnogo-i-antigipoksantnogo-deystviya." TargetMode="External"/><Relationship Id="rId66" Type="http://schemas.openxmlformats.org/officeDocument/2006/relationships/hyperlink" Target="https://pureportal.spbu.ru/ru/persons/--(12231003-c0e0-4a3d-8b59-710b5c1a3610).html" TargetMode="External"/><Relationship Id="rId74" Type="http://schemas.openxmlformats.org/officeDocument/2006/relationships/fontTable" Target="fontTable.xml"/><Relationship Id="rId5" Type="http://schemas.openxmlformats.org/officeDocument/2006/relationships/hyperlink" Target="https://zdravmedinform.ru/nomenclatura-meditcinskikh-uslug/a06.07.html" TargetMode="External"/><Relationship Id="rId61" Type="http://schemas.openxmlformats.org/officeDocument/2006/relationships/hyperlink" Target="https://pureportal.spbu.ru/en/persons/--(7e321235-dad7-4a9f-95c1-37abf7accfce).html" TargetMode="External"/><Relationship Id="rId19" Type="http://schemas.openxmlformats.org/officeDocument/2006/relationships/hyperlink" Target="https://www.rlsnet.ru/atc/procie-antibakterialnye-preparaty-1192" TargetMode="External"/><Relationship Id="rId14" Type="http://schemas.openxmlformats.org/officeDocument/2006/relationships/hyperlink" Target="https://www.rlsnet.ru/atc/acetilsalicilovaya-kislota-523" TargetMode="External"/><Relationship Id="rId22" Type="http://schemas.openxmlformats.org/officeDocument/2006/relationships/hyperlink" Target="https://www.vidal.ru/drugs/atc/a01ab12" TargetMode="External"/><Relationship Id="rId27" Type="http://schemas.openxmlformats.org/officeDocument/2006/relationships/hyperlink" Target="https://www.rlsnet.ru/atc/preparaty-ioda-649" TargetMode="External"/><Relationship Id="rId30" Type="http://schemas.openxmlformats.org/officeDocument/2006/relationships/hyperlink" Target="https://www.escmid.org/" TargetMode="External"/><Relationship Id="rId35" Type="http://schemas.openxmlformats.org/officeDocument/2006/relationships/hyperlink" Target="https://www.rlsnet.ru/atc/albumin-293" TargetMode="External"/><Relationship Id="rId43" Type="http://schemas.openxmlformats.org/officeDocument/2006/relationships/hyperlink" Target="https://www.rlsnet.ru/atc/ibuprofen-118" TargetMode="External"/><Relationship Id="rId48" Type="http://schemas.openxmlformats.org/officeDocument/2006/relationships/hyperlink" Target="https://classinform.ru/atc-classifikatcija/r06a.html" TargetMode="External"/><Relationship Id="rId56" Type="http://schemas.openxmlformats.org/officeDocument/2006/relationships/hyperlink" Target="https://doi.org/10.17116/hirurgia202211142" TargetMode="External"/><Relationship Id="rId64" Type="http://schemas.openxmlformats.org/officeDocument/2006/relationships/hyperlink" Target="https://fundamental-research.ru/ru/article/view?id=26726" TargetMode="External"/><Relationship Id="rId69" Type="http://schemas.openxmlformats.org/officeDocument/2006/relationships/hyperlink" Target="https://cyberleninka.ru/article/n/primenenie-radioviziografov-v-ambulatornoy-stomatologicheskoy-praktike." TargetMode="External"/><Relationship Id="rId8" Type="http://schemas.openxmlformats.org/officeDocument/2006/relationships/hyperlink" Target="https://www.rlsnet.ru/atc/varfarin-2217" TargetMode="External"/><Relationship Id="rId51" Type="http://schemas.openxmlformats.org/officeDocument/2006/relationships/hyperlink" Target="http://www.rosmedlib.ru/" TargetMode="External"/><Relationship Id="rId72" Type="http://schemas.openxmlformats.org/officeDocument/2006/relationships/hyperlink" Target="https://science-education.ru/ru/article/view?id=23209." TargetMode="External"/><Relationship Id="rId3" Type="http://schemas.openxmlformats.org/officeDocument/2006/relationships/settings" Target="settings.xml"/><Relationship Id="rId12" Type="http://schemas.openxmlformats.org/officeDocument/2006/relationships/hyperlink" Target="https://www.rlsnet.ru/atc/apiksaban-2846" TargetMode="External"/><Relationship Id="rId17" Type="http://schemas.openxmlformats.org/officeDocument/2006/relationships/hyperlink" Target="https://www.vidal.ru/drugs/atc/a01ab12" TargetMode="External"/><Relationship Id="rId25" Type="http://schemas.openxmlformats.org/officeDocument/2006/relationships/hyperlink" Target="https://www.rlsnet.ru/atc/povidon-iod-648" TargetMode="External"/><Relationship Id="rId33" Type="http://schemas.openxmlformats.org/officeDocument/2006/relationships/hyperlink" Target="https://www.rlsnet.ru/atc/elektrolity-114" TargetMode="External"/><Relationship Id="rId38" Type="http://schemas.openxmlformats.org/officeDocument/2006/relationships/hyperlink" Target="https://classinform.ru/atc-classifikatcija/r06a.html" TargetMode="External"/><Relationship Id="rId46" Type="http://schemas.openxmlformats.org/officeDocument/2006/relationships/hyperlink" Target="https://www.rlsnet.ru/atc/drugie-immunostimulyatory-756" TargetMode="External"/><Relationship Id="rId59" Type="http://schemas.openxmlformats.org/officeDocument/2006/relationships/hyperlink" Target="https://pureportal.spbu.ru/en/persons/--(94f1f1d2-9169-4621-8052-dfd5b5cd9e66).html" TargetMode="External"/><Relationship Id="rId67" Type="http://schemas.openxmlformats.org/officeDocument/2006/relationships/hyperlink" Target="https://pureportal.spbu.ru/ru/persons/--(7e321235-dad7-4a9f-95c1-37abf7accfce).html" TargetMode="External"/><Relationship Id="rId20" Type="http://schemas.openxmlformats.org/officeDocument/2006/relationships/hyperlink" Target="https://www.vidal.ru/drugs/atc/d08ag02" TargetMode="External"/><Relationship Id="rId41" Type="http://schemas.openxmlformats.org/officeDocument/2006/relationships/hyperlink" Target="https://www.rlsnet.ru/atc/paracetamol-199" TargetMode="External"/><Relationship Id="rId54" Type="http://schemas.openxmlformats.org/officeDocument/2006/relationships/hyperlink" Target="https://cyberleninka.ru/article/n/luchevaya-differentsialnaya-diagnostika-odontogennogo-osteomielita-nizhney-chelyusti-soprovozhdayuschegosya-nevropatiey-1." TargetMode="External"/><Relationship Id="rId62" Type="http://schemas.openxmlformats.org/officeDocument/2006/relationships/hyperlink" Target="https://pureportal.spbu.ru/en/persons/--(2188adb2-6589-46ed-a0f0-1e3bb91e089c).html" TargetMode="External"/><Relationship Id="rId70" Type="http://schemas.openxmlformats.org/officeDocument/2006/relationships/hyperlink" Target="http://dspace.kpfu.ru/xmlui/handle/net/32682" TargetMode="External"/><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zdravmedinform.ru/nomenclatura-meditcinskikh-uslug/a03.16.001.html" TargetMode="External"/><Relationship Id="rId15" Type="http://schemas.openxmlformats.org/officeDocument/2006/relationships/hyperlink" Target="https://zdravmedinform.ru/nomenclatura-meditcinskikh-uslug/b01.003.004.010.html" TargetMode="External"/><Relationship Id="rId23" Type="http://schemas.openxmlformats.org/officeDocument/2006/relationships/hyperlink" Target="https://www.rlsnet.ru/atc/drugie-immunostimulyatory-756" TargetMode="External"/><Relationship Id="rId28" Type="http://schemas.openxmlformats.org/officeDocument/2006/relationships/hyperlink" Target="https://www.rlsnet.ru/atc/drugie-immunostimulyatory-756" TargetMode="External"/><Relationship Id="rId36" Type="http://schemas.openxmlformats.org/officeDocument/2006/relationships/hyperlink" Target="https://www.rlsnet.ru/pharm-groups/antikoagulyanty-152" TargetMode="External"/><Relationship Id="rId49" Type="http://schemas.openxmlformats.org/officeDocument/2006/relationships/hyperlink" Target="https://classinform.ru/atc-classifikatcija/r06a.html" TargetMode="External"/><Relationship Id="rId57" Type="http://schemas.openxmlformats.org/officeDocument/2006/relationships/hyperlink" Target="https://cyberleninka.ru/article/n/vozmozhnosti-optimizatsii-lecheniya-ran-razlichnogo-geneza." TargetMode="External"/><Relationship Id="rId10" Type="http://schemas.openxmlformats.org/officeDocument/2006/relationships/hyperlink" Target="https://www.rlsnet.ru/atc/varfarin-2217" TargetMode="External"/><Relationship Id="rId31" Type="http://schemas.openxmlformats.org/officeDocument/2006/relationships/hyperlink" Target="https://www.lsgeotar.ru/atc/node/blood-substitutes-and-perfusion-solutions-B05" TargetMode="External"/><Relationship Id="rId44" Type="http://schemas.openxmlformats.org/officeDocument/2006/relationships/hyperlink" Target="https://www.rlsnet.ru/atc/indometacin-459" TargetMode="External"/><Relationship Id="rId52" Type="http://schemas.openxmlformats.org/officeDocument/2006/relationships/hyperlink" Target="https://cyberleninka.ru/article/n/rannyaya-diagnostika-lechenie-i-profilaktika-odontogennogo-verhnechelyustnogo-sinusita-v-stomatologicheskih-ambulatornyh-usloviyah." TargetMode="External"/><Relationship Id="rId60" Type="http://schemas.openxmlformats.org/officeDocument/2006/relationships/hyperlink" Target="https://pureportal.spbu.ru/en/persons/--(12231003-c0e0-4a3d-8b59-710b5c1a3610).html" TargetMode="External"/><Relationship Id="rId65" Type="http://schemas.openxmlformats.org/officeDocument/2006/relationships/hyperlink" Target="https://pureportal.spbu.ru/ru/persons/--(94f1f1d2-9169-4621-8052-dfd5b5cd9e66).html" TargetMode="External"/><Relationship Id="rId73" Type="http://schemas.openxmlformats.org/officeDocument/2006/relationships/hyperlink" Target="http://www.eucast.org/" TargetMode="External"/><Relationship Id="rId4" Type="http://schemas.openxmlformats.org/officeDocument/2006/relationships/webSettings" Target="webSettings.xml"/><Relationship Id="rId9" Type="http://schemas.openxmlformats.org/officeDocument/2006/relationships/hyperlink" Target="https://www.rlsnet.ru/atc/geparin-natriya-876" TargetMode="External"/><Relationship Id="rId13" Type="http://schemas.openxmlformats.org/officeDocument/2006/relationships/hyperlink" Target="https://www.rlsnet.ru/active-substance/acetilsalicilovaia-kislota-22" TargetMode="External"/><Relationship Id="rId18" Type="http://schemas.openxmlformats.org/officeDocument/2006/relationships/hyperlink" Target="https://www.rlsnet.ru/atc/kaliya-permanganat-1775" TargetMode="External"/><Relationship Id="rId39" Type="http://schemas.openxmlformats.org/officeDocument/2006/relationships/hyperlink" Target="https://classinform.ru/atc-classifikatcija/r06a.html" TargetMode="External"/><Relationship Id="rId34" Type="http://schemas.openxmlformats.org/officeDocument/2006/relationships/hyperlink" Target="https://www.rlsnet.ru/atc/albumin-293" TargetMode="External"/><Relationship Id="rId50" Type="http://schemas.openxmlformats.org/officeDocument/2006/relationships/hyperlink" Target="http://www.eucast.org/" TargetMode="External"/><Relationship Id="rId55" Type="http://schemas.openxmlformats.org/officeDocument/2006/relationships/hyperlink" Target="https://inlibrary.uz/index.php/archive/article/view/13580." TargetMode="External"/><Relationship Id="rId7" Type="http://schemas.openxmlformats.org/officeDocument/2006/relationships/hyperlink" Target="https://zdravmedinform.ru/nomenclatura-meditcinskikh-uslug/a12.05.007.001.html" TargetMode="External"/><Relationship Id="rId71" Type="http://schemas.openxmlformats.org/officeDocument/2006/relationships/hyperlink" Target="https://doi.org/10.17116/anaesthesiology202205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100</Pages>
  <Words>30150</Words>
  <Characters>171861</Characters>
  <Application>Microsoft Office Word</Application>
  <DocSecurity>0</DocSecurity>
  <Lines>1432</Lines>
  <Paragraphs>403</Paragraphs>
  <ScaleCrop>false</ScaleCrop>
  <Company/>
  <LinksUpToDate>false</LinksUpToDate>
  <CharactersWithSpaces>201608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2026-06-19T08:55:00Z</dcterms:created>
  <dcterms:modified xsi:type="dcterms:W3CDTF">2026-06-19T08:56:00Z</dcterms:modified>
</cp:coreProperties>
</file>